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928" w:rsidRDefault="00B34112">
      <w:pPr>
        <w:tabs>
          <w:tab w:val="clear" w:pos="708"/>
        </w:tabs>
        <w:suppressAutoHyphens w:val="0"/>
        <w:spacing w:after="0" w:line="240" w:lineRule="auto"/>
        <w:rPr>
          <w:rFonts w:ascii="Impact" w:hAnsi="Impact"/>
          <w:color w:val="2E74B5"/>
          <w:spacing w:val="40"/>
          <w:w w:val="90"/>
          <w:kern w:val="40"/>
          <w:sz w:val="44"/>
          <w:szCs w:val="44"/>
        </w:rPr>
      </w:pPr>
      <w:bookmarkStart w:id="0" w:name="_Toc404948488"/>
      <w:bookmarkStart w:id="1" w:name="_GoBack"/>
      <w:r w:rsidRPr="00B34112">
        <w:rPr>
          <w:rFonts w:asciiTheme="minorHAnsi" w:eastAsiaTheme="minorHAnsi" w:hAnsiTheme="minorHAnsi" w:cstheme="minorBidi"/>
          <w:noProof/>
          <w:color w:val="auto"/>
          <w:kern w:val="0"/>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8.05pt;margin-top:-72.4pt;width:624pt;height:799.5pt;z-index:251660288">
            <v:imagedata r:id="rId8" o:title=""/>
          </v:shape>
          <o:OLEObject Type="Embed" ProgID="Unknown" ShapeID="_x0000_s1026" DrawAspect="Content" ObjectID="_1478962465" r:id="rId9"/>
        </w:pict>
      </w:r>
      <w:r w:rsidR="00212928">
        <w:rPr>
          <w:rFonts w:ascii="Impact" w:hAnsi="Impact"/>
          <w:color w:val="2E74B5"/>
          <w:spacing w:val="40"/>
          <w:w w:val="90"/>
          <w:kern w:val="40"/>
          <w:sz w:val="44"/>
          <w:szCs w:val="44"/>
        </w:rPr>
        <w:br w:type="page"/>
      </w:r>
    </w:p>
    <w:p w:rsidR="009C32C7" w:rsidRPr="00877E3A" w:rsidRDefault="00802641" w:rsidP="00212928">
      <w:pPr>
        <w:spacing w:after="0" w:line="360" w:lineRule="auto"/>
        <w:jc w:val="center"/>
        <w:rPr>
          <w:rFonts w:ascii="Impact" w:hAnsi="Impact"/>
          <w:color w:val="2E74B5"/>
          <w:spacing w:val="40"/>
          <w:w w:val="90"/>
          <w:kern w:val="40"/>
          <w:sz w:val="44"/>
          <w:szCs w:val="44"/>
        </w:rPr>
      </w:pPr>
      <w:r w:rsidRPr="00877E3A">
        <w:rPr>
          <w:rFonts w:ascii="Impact" w:hAnsi="Impact"/>
          <w:color w:val="2E74B5"/>
          <w:spacing w:val="40"/>
          <w:w w:val="90"/>
          <w:kern w:val="40"/>
          <w:sz w:val="44"/>
          <w:szCs w:val="44"/>
        </w:rPr>
        <w:t>CONTENIDO</w:t>
      </w:r>
    </w:p>
    <w:p w:rsidR="00802641" w:rsidRPr="00802641" w:rsidRDefault="00802641" w:rsidP="00802641">
      <w:pPr>
        <w:pStyle w:val="Textoindependiente"/>
      </w:pPr>
    </w:p>
    <w:bookmarkEnd w:id="1" w:displacedByCustomXml="next"/>
    <w:sdt>
      <w:sdtPr>
        <w:rPr>
          <w:rFonts w:ascii="Arial" w:eastAsia="WenQuanYi Micro Hei" w:hAnsi="Arial" w:cs="Arial"/>
          <w:b w:val="0"/>
          <w:bCs w:val="0"/>
          <w:color w:val="00000A"/>
          <w:kern w:val="1"/>
          <w:sz w:val="22"/>
          <w:szCs w:val="22"/>
          <w:lang w:val="es-SV"/>
        </w:rPr>
        <w:id w:val="19449438"/>
        <w:docPartObj>
          <w:docPartGallery w:val="Table of Contents"/>
          <w:docPartUnique/>
        </w:docPartObj>
      </w:sdtPr>
      <w:sdtContent>
        <w:p w:rsidR="009C32C7" w:rsidRPr="004938B5" w:rsidRDefault="009C32C7" w:rsidP="004938B5">
          <w:pPr>
            <w:pStyle w:val="TtulodeTDC"/>
            <w:spacing w:line="480" w:lineRule="auto"/>
            <w:rPr>
              <w:rFonts w:asciiTheme="minorHAnsi" w:hAnsiTheme="minorHAnsi" w:cstheme="minorHAnsi"/>
              <w:b w:val="0"/>
              <w:i/>
              <w:sz w:val="24"/>
              <w:szCs w:val="24"/>
            </w:rPr>
          </w:pPr>
        </w:p>
        <w:p w:rsidR="004938B5" w:rsidRPr="00A41568" w:rsidRDefault="00B34112" w:rsidP="004938B5">
          <w:pPr>
            <w:pStyle w:val="TDC1"/>
            <w:tabs>
              <w:tab w:val="right" w:leader="dot" w:pos="8828"/>
            </w:tabs>
            <w:spacing w:line="480" w:lineRule="auto"/>
            <w:rPr>
              <w:rFonts w:eastAsiaTheme="minorEastAsia"/>
              <w:b w:val="0"/>
              <w:bCs w:val="0"/>
              <w:i w:val="0"/>
              <w:iCs w:val="0"/>
              <w:noProof/>
              <w:color w:val="auto"/>
              <w:kern w:val="0"/>
              <w:sz w:val="22"/>
              <w:szCs w:val="22"/>
              <w:lang w:eastAsia="es-SV"/>
            </w:rPr>
          </w:pPr>
          <w:r w:rsidRPr="00B34112">
            <w:rPr>
              <w:b w:val="0"/>
              <w:bCs w:val="0"/>
              <w:lang w:val="es-ES"/>
            </w:rPr>
            <w:fldChar w:fldCharType="begin"/>
          </w:r>
          <w:r w:rsidR="004938B5" w:rsidRPr="004938B5">
            <w:rPr>
              <w:b w:val="0"/>
              <w:bCs w:val="0"/>
              <w:lang w:val="es-ES"/>
            </w:rPr>
            <w:instrText xml:space="preserve"> TOC \o "1-3" \h \z \u </w:instrText>
          </w:r>
          <w:r w:rsidRPr="00B34112">
            <w:rPr>
              <w:b w:val="0"/>
              <w:bCs w:val="0"/>
              <w:lang w:val="es-ES"/>
            </w:rPr>
            <w:fldChar w:fldCharType="separate"/>
          </w:r>
          <w:hyperlink w:anchor="_Toc405021438" w:history="1">
            <w:r w:rsidR="004938B5" w:rsidRPr="00A41568">
              <w:rPr>
                <w:rStyle w:val="Hipervnculo"/>
                <w:b w:val="0"/>
                <w:i w:val="0"/>
                <w:noProof/>
                <w:w w:val="90"/>
                <w:kern w:val="40"/>
              </w:rPr>
              <w:t>INTRODUCCIÓN</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_Toc405021438 \h </w:instrText>
            </w:r>
            <w:r w:rsidRPr="00A41568">
              <w:rPr>
                <w:b w:val="0"/>
                <w:i w:val="0"/>
                <w:noProof/>
                <w:webHidden/>
              </w:rPr>
            </w:r>
            <w:r w:rsidRPr="00A41568">
              <w:rPr>
                <w:b w:val="0"/>
                <w:i w:val="0"/>
                <w:noProof/>
                <w:webHidden/>
              </w:rPr>
              <w:fldChar w:fldCharType="separate"/>
            </w:r>
            <w:r w:rsidR="00F6202F">
              <w:rPr>
                <w:b w:val="0"/>
                <w:i w:val="0"/>
                <w:noProof/>
                <w:webHidden/>
              </w:rPr>
              <w:t>3</w:t>
            </w:r>
            <w:r w:rsidRPr="00A41568">
              <w:rPr>
                <w:b w:val="0"/>
                <w:i w:val="0"/>
                <w:noProof/>
                <w:webHidden/>
              </w:rPr>
              <w:fldChar w:fldCharType="end"/>
            </w:r>
          </w:hyperlink>
        </w:p>
        <w:p w:rsidR="004938B5" w:rsidRPr="00A41568" w:rsidRDefault="00B34112" w:rsidP="004938B5">
          <w:pPr>
            <w:pStyle w:val="TDC1"/>
            <w:tabs>
              <w:tab w:val="right" w:leader="dot" w:pos="8828"/>
            </w:tabs>
            <w:spacing w:line="480" w:lineRule="auto"/>
            <w:rPr>
              <w:rFonts w:eastAsiaTheme="minorEastAsia"/>
              <w:b w:val="0"/>
              <w:bCs w:val="0"/>
              <w:i w:val="0"/>
              <w:iCs w:val="0"/>
              <w:noProof/>
              <w:color w:val="auto"/>
              <w:kern w:val="0"/>
              <w:sz w:val="22"/>
              <w:szCs w:val="22"/>
              <w:lang w:eastAsia="es-SV"/>
            </w:rPr>
          </w:pPr>
          <w:hyperlink w:anchor="_Toc405021439" w:history="1">
            <w:r w:rsidR="004938B5" w:rsidRPr="00A41568">
              <w:rPr>
                <w:rStyle w:val="Hipervnculo"/>
                <w:b w:val="0"/>
                <w:i w:val="0"/>
                <w:noProof/>
                <w:w w:val="90"/>
                <w:kern w:val="40"/>
              </w:rPr>
              <w:t>ANTECEDENTES</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_Toc405021439 \h </w:instrText>
            </w:r>
            <w:r w:rsidRPr="00A41568">
              <w:rPr>
                <w:b w:val="0"/>
                <w:i w:val="0"/>
                <w:noProof/>
                <w:webHidden/>
              </w:rPr>
            </w:r>
            <w:r w:rsidRPr="00A41568">
              <w:rPr>
                <w:b w:val="0"/>
                <w:i w:val="0"/>
                <w:noProof/>
                <w:webHidden/>
              </w:rPr>
              <w:fldChar w:fldCharType="separate"/>
            </w:r>
            <w:r w:rsidR="00F6202F">
              <w:rPr>
                <w:b w:val="0"/>
                <w:i w:val="0"/>
                <w:noProof/>
                <w:webHidden/>
              </w:rPr>
              <w:t>5</w:t>
            </w:r>
            <w:r w:rsidRPr="00A41568">
              <w:rPr>
                <w:b w:val="0"/>
                <w:i w:val="0"/>
                <w:noProof/>
                <w:webHidden/>
              </w:rPr>
              <w:fldChar w:fldCharType="end"/>
            </w:r>
          </w:hyperlink>
        </w:p>
        <w:p w:rsidR="004938B5" w:rsidRPr="00A41568" w:rsidRDefault="00B34112" w:rsidP="004938B5">
          <w:pPr>
            <w:pStyle w:val="TDC1"/>
            <w:tabs>
              <w:tab w:val="right" w:leader="dot" w:pos="8828"/>
            </w:tabs>
            <w:spacing w:line="480" w:lineRule="auto"/>
            <w:rPr>
              <w:rFonts w:eastAsiaTheme="minorEastAsia"/>
              <w:b w:val="0"/>
              <w:bCs w:val="0"/>
              <w:i w:val="0"/>
              <w:iCs w:val="0"/>
              <w:noProof/>
              <w:color w:val="auto"/>
              <w:kern w:val="0"/>
              <w:sz w:val="22"/>
              <w:szCs w:val="22"/>
              <w:lang w:eastAsia="es-SV"/>
            </w:rPr>
          </w:pPr>
          <w:hyperlink w:anchor="_Toc405021440" w:history="1">
            <w:r w:rsidR="004938B5" w:rsidRPr="00A41568">
              <w:rPr>
                <w:rStyle w:val="Hipervnculo"/>
                <w:b w:val="0"/>
                <w:i w:val="0"/>
                <w:noProof/>
                <w:w w:val="90"/>
                <w:kern w:val="40"/>
              </w:rPr>
              <w:t>ALGUNOS RESULTADOS HASTA LA FECHA</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_Toc405021440 \h </w:instrText>
            </w:r>
            <w:r w:rsidRPr="00A41568">
              <w:rPr>
                <w:b w:val="0"/>
                <w:i w:val="0"/>
                <w:noProof/>
                <w:webHidden/>
              </w:rPr>
            </w:r>
            <w:r w:rsidRPr="00A41568">
              <w:rPr>
                <w:b w:val="0"/>
                <w:i w:val="0"/>
                <w:noProof/>
                <w:webHidden/>
              </w:rPr>
              <w:fldChar w:fldCharType="separate"/>
            </w:r>
            <w:r w:rsidR="00F6202F">
              <w:rPr>
                <w:b w:val="0"/>
                <w:i w:val="0"/>
                <w:noProof/>
                <w:webHidden/>
              </w:rPr>
              <w:t>7</w:t>
            </w:r>
            <w:r w:rsidRPr="00A41568">
              <w:rPr>
                <w:b w:val="0"/>
                <w:i w:val="0"/>
                <w:noProof/>
                <w:webHidden/>
              </w:rPr>
              <w:fldChar w:fldCharType="end"/>
            </w:r>
          </w:hyperlink>
        </w:p>
        <w:p w:rsidR="004938B5" w:rsidRPr="00A41568" w:rsidRDefault="00B34112" w:rsidP="004938B5">
          <w:pPr>
            <w:pStyle w:val="TDC1"/>
            <w:tabs>
              <w:tab w:val="right" w:leader="dot" w:pos="8828"/>
            </w:tabs>
            <w:spacing w:line="480" w:lineRule="auto"/>
            <w:rPr>
              <w:rFonts w:eastAsiaTheme="minorEastAsia"/>
              <w:b w:val="0"/>
              <w:bCs w:val="0"/>
              <w:i w:val="0"/>
              <w:iCs w:val="0"/>
              <w:noProof/>
              <w:color w:val="auto"/>
              <w:kern w:val="0"/>
              <w:sz w:val="22"/>
              <w:szCs w:val="22"/>
              <w:lang w:eastAsia="es-SV"/>
            </w:rPr>
          </w:pPr>
          <w:hyperlink w:anchor="_Toc405021441" w:history="1">
            <w:r w:rsidR="004938B5" w:rsidRPr="00A41568">
              <w:rPr>
                <w:rStyle w:val="Hipervnculo"/>
                <w:b w:val="0"/>
                <w:i w:val="0"/>
                <w:noProof/>
                <w:w w:val="90"/>
                <w:kern w:val="40"/>
              </w:rPr>
              <w:t>PROCESO DE FORMULACIÓN DEL PLAN DE ACCIÓN 2014-2016</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_Toc405021441 \h </w:instrText>
            </w:r>
            <w:r w:rsidRPr="00A41568">
              <w:rPr>
                <w:b w:val="0"/>
                <w:i w:val="0"/>
                <w:noProof/>
                <w:webHidden/>
              </w:rPr>
            </w:r>
            <w:r w:rsidRPr="00A41568">
              <w:rPr>
                <w:b w:val="0"/>
                <w:i w:val="0"/>
                <w:noProof/>
                <w:webHidden/>
              </w:rPr>
              <w:fldChar w:fldCharType="separate"/>
            </w:r>
            <w:r w:rsidR="00F6202F">
              <w:rPr>
                <w:b w:val="0"/>
                <w:i w:val="0"/>
                <w:noProof/>
                <w:webHidden/>
              </w:rPr>
              <w:t>10</w:t>
            </w:r>
            <w:r w:rsidRPr="00A41568">
              <w:rPr>
                <w:b w:val="0"/>
                <w:i w:val="0"/>
                <w:noProof/>
                <w:webHidden/>
              </w:rPr>
              <w:fldChar w:fldCharType="end"/>
            </w:r>
          </w:hyperlink>
        </w:p>
        <w:p w:rsidR="004938B5" w:rsidRPr="00A41568" w:rsidRDefault="00B34112" w:rsidP="004938B5">
          <w:pPr>
            <w:pStyle w:val="TDC1"/>
            <w:tabs>
              <w:tab w:val="right" w:leader="dot" w:pos="8828"/>
            </w:tabs>
            <w:spacing w:line="480" w:lineRule="auto"/>
            <w:rPr>
              <w:rFonts w:eastAsiaTheme="minorEastAsia"/>
              <w:b w:val="0"/>
              <w:bCs w:val="0"/>
              <w:i w:val="0"/>
              <w:iCs w:val="0"/>
              <w:noProof/>
              <w:color w:val="auto"/>
              <w:kern w:val="0"/>
              <w:sz w:val="22"/>
              <w:szCs w:val="22"/>
              <w:lang w:eastAsia="es-SV"/>
            </w:rPr>
          </w:pPr>
          <w:hyperlink w:anchor="_Toc405021442" w:history="1">
            <w:r w:rsidR="004938B5" w:rsidRPr="00A41568">
              <w:rPr>
                <w:rStyle w:val="Hipervnculo"/>
                <w:b w:val="0"/>
                <w:i w:val="0"/>
                <w:noProof/>
                <w:w w:val="90"/>
                <w:kern w:val="40"/>
              </w:rPr>
              <w:t>PLAN DE ACCIÓN 2014-2016</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_Toc405021442 \h </w:instrText>
            </w:r>
            <w:r w:rsidRPr="00A41568">
              <w:rPr>
                <w:b w:val="0"/>
                <w:i w:val="0"/>
                <w:noProof/>
                <w:webHidden/>
              </w:rPr>
            </w:r>
            <w:r w:rsidRPr="00A41568">
              <w:rPr>
                <w:b w:val="0"/>
                <w:i w:val="0"/>
                <w:noProof/>
                <w:webHidden/>
              </w:rPr>
              <w:fldChar w:fldCharType="separate"/>
            </w:r>
            <w:r w:rsidR="00F6202F">
              <w:rPr>
                <w:b w:val="0"/>
                <w:i w:val="0"/>
                <w:noProof/>
                <w:webHidden/>
              </w:rPr>
              <w:t>13</w:t>
            </w:r>
            <w:r w:rsidRPr="00A41568">
              <w:rPr>
                <w:b w:val="0"/>
                <w:i w:val="0"/>
                <w:noProof/>
                <w:webHidden/>
              </w:rPr>
              <w:fldChar w:fldCharType="end"/>
            </w:r>
          </w:hyperlink>
        </w:p>
        <w:p w:rsidR="004938B5" w:rsidRPr="00A41568" w:rsidRDefault="00B34112" w:rsidP="004938B5">
          <w:pPr>
            <w:pStyle w:val="TDC2"/>
            <w:tabs>
              <w:tab w:val="right" w:leader="dot" w:pos="8828"/>
            </w:tabs>
            <w:spacing w:line="480" w:lineRule="auto"/>
            <w:rPr>
              <w:rFonts w:eastAsiaTheme="minorEastAsia"/>
              <w:b w:val="0"/>
              <w:bCs w:val="0"/>
              <w:noProof/>
              <w:color w:val="auto"/>
              <w:kern w:val="0"/>
              <w:lang w:eastAsia="es-SV"/>
            </w:rPr>
          </w:pPr>
          <w:hyperlink w:anchor="_Toc405021443" w:history="1">
            <w:r w:rsidR="004938B5" w:rsidRPr="00A41568">
              <w:rPr>
                <w:rStyle w:val="Hipervnculo"/>
                <w:b w:val="0"/>
                <w:noProof/>
              </w:rPr>
              <w:t>Objetivo</w:t>
            </w:r>
            <w:r w:rsidR="004938B5" w:rsidRPr="00A41568">
              <w:rPr>
                <w:b w:val="0"/>
                <w:noProof/>
                <w:webHidden/>
              </w:rPr>
              <w:tab/>
            </w:r>
            <w:r w:rsidRPr="00A41568">
              <w:rPr>
                <w:b w:val="0"/>
                <w:noProof/>
                <w:webHidden/>
              </w:rPr>
              <w:fldChar w:fldCharType="begin"/>
            </w:r>
            <w:r w:rsidR="004938B5" w:rsidRPr="00A41568">
              <w:rPr>
                <w:b w:val="0"/>
                <w:noProof/>
                <w:webHidden/>
              </w:rPr>
              <w:instrText xml:space="preserve"> PAGEREF _Toc405021443 \h </w:instrText>
            </w:r>
            <w:r w:rsidRPr="00A41568">
              <w:rPr>
                <w:b w:val="0"/>
                <w:noProof/>
                <w:webHidden/>
              </w:rPr>
            </w:r>
            <w:r w:rsidRPr="00A41568">
              <w:rPr>
                <w:b w:val="0"/>
                <w:noProof/>
                <w:webHidden/>
              </w:rPr>
              <w:fldChar w:fldCharType="separate"/>
            </w:r>
            <w:r w:rsidR="00F6202F">
              <w:rPr>
                <w:b w:val="0"/>
                <w:noProof/>
                <w:webHidden/>
              </w:rPr>
              <w:t>13</w:t>
            </w:r>
            <w:r w:rsidRPr="00A41568">
              <w:rPr>
                <w:b w:val="0"/>
                <w:noProof/>
                <w:webHidden/>
              </w:rPr>
              <w:fldChar w:fldCharType="end"/>
            </w:r>
          </w:hyperlink>
        </w:p>
        <w:p w:rsidR="004938B5" w:rsidRPr="00A41568" w:rsidRDefault="00B34112" w:rsidP="004938B5">
          <w:pPr>
            <w:pStyle w:val="TDC2"/>
            <w:tabs>
              <w:tab w:val="right" w:leader="dot" w:pos="8828"/>
            </w:tabs>
            <w:spacing w:line="480" w:lineRule="auto"/>
            <w:rPr>
              <w:rFonts w:eastAsiaTheme="minorEastAsia"/>
              <w:b w:val="0"/>
              <w:bCs w:val="0"/>
              <w:noProof/>
              <w:color w:val="auto"/>
              <w:kern w:val="0"/>
              <w:lang w:eastAsia="es-SV"/>
            </w:rPr>
          </w:pPr>
          <w:hyperlink w:anchor="_Toc405021444" w:history="1">
            <w:r w:rsidR="004938B5" w:rsidRPr="00A41568">
              <w:rPr>
                <w:rStyle w:val="Hipervnculo"/>
                <w:b w:val="0"/>
                <w:noProof/>
              </w:rPr>
              <w:t>Componentes</w:t>
            </w:r>
            <w:r w:rsidR="004938B5" w:rsidRPr="00A41568">
              <w:rPr>
                <w:b w:val="0"/>
                <w:noProof/>
                <w:webHidden/>
              </w:rPr>
              <w:tab/>
            </w:r>
            <w:r w:rsidRPr="00A41568">
              <w:rPr>
                <w:b w:val="0"/>
                <w:noProof/>
                <w:webHidden/>
              </w:rPr>
              <w:fldChar w:fldCharType="begin"/>
            </w:r>
            <w:r w:rsidR="004938B5" w:rsidRPr="00A41568">
              <w:rPr>
                <w:b w:val="0"/>
                <w:noProof/>
                <w:webHidden/>
              </w:rPr>
              <w:instrText xml:space="preserve"> PAGEREF _Toc405021444 \h </w:instrText>
            </w:r>
            <w:r w:rsidRPr="00A41568">
              <w:rPr>
                <w:b w:val="0"/>
                <w:noProof/>
                <w:webHidden/>
              </w:rPr>
            </w:r>
            <w:r w:rsidRPr="00A41568">
              <w:rPr>
                <w:b w:val="0"/>
                <w:noProof/>
                <w:webHidden/>
              </w:rPr>
              <w:fldChar w:fldCharType="separate"/>
            </w:r>
            <w:r w:rsidR="00F6202F">
              <w:rPr>
                <w:b w:val="0"/>
                <w:noProof/>
                <w:webHidden/>
              </w:rPr>
              <w:t>13</w:t>
            </w:r>
            <w:r w:rsidRPr="00A41568">
              <w:rPr>
                <w:b w:val="0"/>
                <w:noProof/>
                <w:webHidden/>
              </w:rPr>
              <w:fldChar w:fldCharType="end"/>
            </w:r>
          </w:hyperlink>
        </w:p>
        <w:p w:rsidR="004938B5" w:rsidRPr="00A41568" w:rsidRDefault="00B34112" w:rsidP="004938B5">
          <w:pPr>
            <w:pStyle w:val="TDC2"/>
            <w:tabs>
              <w:tab w:val="right" w:leader="dot" w:pos="8828"/>
            </w:tabs>
            <w:spacing w:line="480" w:lineRule="auto"/>
            <w:rPr>
              <w:rFonts w:eastAsiaTheme="minorEastAsia"/>
              <w:b w:val="0"/>
              <w:bCs w:val="0"/>
              <w:noProof/>
              <w:color w:val="auto"/>
              <w:kern w:val="0"/>
              <w:lang w:eastAsia="es-SV"/>
            </w:rPr>
          </w:pPr>
          <w:hyperlink w:anchor="_Toc405021445" w:history="1">
            <w:r w:rsidR="004938B5" w:rsidRPr="00A41568">
              <w:rPr>
                <w:rStyle w:val="Hipervnculo"/>
                <w:b w:val="0"/>
                <w:noProof/>
              </w:rPr>
              <w:t>Entidades  Involucradas</w:t>
            </w:r>
            <w:r w:rsidR="004938B5" w:rsidRPr="00A41568">
              <w:rPr>
                <w:b w:val="0"/>
                <w:noProof/>
                <w:webHidden/>
              </w:rPr>
              <w:tab/>
            </w:r>
            <w:r w:rsidRPr="00A41568">
              <w:rPr>
                <w:b w:val="0"/>
                <w:noProof/>
                <w:webHidden/>
              </w:rPr>
              <w:fldChar w:fldCharType="begin"/>
            </w:r>
            <w:r w:rsidR="004938B5" w:rsidRPr="00A41568">
              <w:rPr>
                <w:b w:val="0"/>
                <w:noProof/>
                <w:webHidden/>
              </w:rPr>
              <w:instrText xml:space="preserve"> PAGEREF _Toc405021445 \h </w:instrText>
            </w:r>
            <w:r w:rsidRPr="00A41568">
              <w:rPr>
                <w:b w:val="0"/>
                <w:noProof/>
                <w:webHidden/>
              </w:rPr>
            </w:r>
            <w:r w:rsidRPr="00A41568">
              <w:rPr>
                <w:b w:val="0"/>
                <w:noProof/>
                <w:webHidden/>
              </w:rPr>
              <w:fldChar w:fldCharType="separate"/>
            </w:r>
            <w:r w:rsidR="00F6202F">
              <w:rPr>
                <w:b w:val="0"/>
                <w:noProof/>
                <w:webHidden/>
              </w:rPr>
              <w:t>14</w:t>
            </w:r>
            <w:r w:rsidRPr="00A41568">
              <w:rPr>
                <w:b w:val="0"/>
                <w:noProof/>
                <w:webHidden/>
              </w:rPr>
              <w:fldChar w:fldCharType="end"/>
            </w:r>
          </w:hyperlink>
        </w:p>
        <w:p w:rsidR="004938B5" w:rsidRPr="00A41568" w:rsidRDefault="00B34112" w:rsidP="004938B5">
          <w:pPr>
            <w:pStyle w:val="TDC2"/>
            <w:tabs>
              <w:tab w:val="right" w:leader="dot" w:pos="8828"/>
            </w:tabs>
            <w:spacing w:line="480" w:lineRule="auto"/>
            <w:rPr>
              <w:rFonts w:eastAsiaTheme="minorEastAsia"/>
              <w:b w:val="0"/>
              <w:bCs w:val="0"/>
              <w:noProof/>
              <w:color w:val="auto"/>
              <w:kern w:val="0"/>
              <w:lang w:eastAsia="es-SV"/>
            </w:rPr>
          </w:pPr>
          <w:hyperlink w:anchor="_Toc405021446" w:history="1">
            <w:r w:rsidR="004938B5" w:rsidRPr="00A41568">
              <w:rPr>
                <w:rStyle w:val="Hipervnculo"/>
                <w:b w:val="0"/>
                <w:noProof/>
              </w:rPr>
              <w:t>Matriz de compromisos</w:t>
            </w:r>
            <w:r w:rsidR="004938B5" w:rsidRPr="00A41568">
              <w:rPr>
                <w:b w:val="0"/>
                <w:noProof/>
                <w:webHidden/>
              </w:rPr>
              <w:tab/>
            </w:r>
            <w:r w:rsidRPr="00A41568">
              <w:rPr>
                <w:b w:val="0"/>
                <w:noProof/>
                <w:webHidden/>
              </w:rPr>
              <w:fldChar w:fldCharType="begin"/>
            </w:r>
            <w:r w:rsidR="004938B5" w:rsidRPr="00A41568">
              <w:rPr>
                <w:b w:val="0"/>
                <w:noProof/>
                <w:webHidden/>
              </w:rPr>
              <w:instrText xml:space="preserve"> PAGEREF _Toc405021446 \h </w:instrText>
            </w:r>
            <w:r w:rsidRPr="00A41568">
              <w:rPr>
                <w:b w:val="0"/>
                <w:noProof/>
                <w:webHidden/>
              </w:rPr>
            </w:r>
            <w:r w:rsidRPr="00A41568">
              <w:rPr>
                <w:b w:val="0"/>
                <w:noProof/>
                <w:webHidden/>
              </w:rPr>
              <w:fldChar w:fldCharType="separate"/>
            </w:r>
            <w:r w:rsidR="00F6202F">
              <w:rPr>
                <w:b w:val="0"/>
                <w:noProof/>
                <w:webHidden/>
              </w:rPr>
              <w:t>15</w:t>
            </w:r>
            <w:r w:rsidRPr="00A41568">
              <w:rPr>
                <w:b w:val="0"/>
                <w:noProof/>
                <w:webHidden/>
              </w:rPr>
              <w:fldChar w:fldCharType="end"/>
            </w:r>
          </w:hyperlink>
        </w:p>
        <w:p w:rsidR="004938B5" w:rsidRPr="004938B5" w:rsidRDefault="00B34112" w:rsidP="004938B5">
          <w:pPr>
            <w:pStyle w:val="TDC1"/>
            <w:tabs>
              <w:tab w:val="right" w:leader="dot" w:pos="8828"/>
            </w:tabs>
            <w:spacing w:line="480" w:lineRule="auto"/>
            <w:rPr>
              <w:rFonts w:eastAsiaTheme="minorEastAsia"/>
              <w:b w:val="0"/>
              <w:bCs w:val="0"/>
              <w:iCs w:val="0"/>
              <w:noProof/>
              <w:color w:val="auto"/>
              <w:kern w:val="0"/>
              <w:sz w:val="22"/>
              <w:szCs w:val="22"/>
              <w:lang w:eastAsia="es-SV"/>
            </w:rPr>
          </w:pPr>
          <w:hyperlink w:anchor="_Toc405021447" w:history="1">
            <w:r w:rsidR="004938B5" w:rsidRPr="00A41568">
              <w:rPr>
                <w:rStyle w:val="Hipervnculo"/>
                <w:b w:val="0"/>
                <w:i w:val="0"/>
                <w:noProof/>
                <w:w w:val="90"/>
                <w:kern w:val="40"/>
              </w:rPr>
              <w:t>ESTRATEGIA DE SEGUIMIENTO</w:t>
            </w:r>
            <w:r w:rsidR="004938B5" w:rsidRPr="00A41568">
              <w:rPr>
                <w:b w:val="0"/>
                <w:i w:val="0"/>
                <w:noProof/>
                <w:webHidden/>
              </w:rPr>
              <w:tab/>
            </w:r>
            <w:r w:rsidRPr="00A41568">
              <w:rPr>
                <w:b w:val="0"/>
                <w:i w:val="0"/>
                <w:noProof/>
                <w:webHidden/>
              </w:rPr>
              <w:fldChar w:fldCharType="begin"/>
            </w:r>
            <w:r w:rsidR="004938B5" w:rsidRPr="00A41568">
              <w:rPr>
                <w:b w:val="0"/>
                <w:i w:val="0"/>
                <w:noProof/>
                <w:webHidden/>
              </w:rPr>
              <w:instrText xml:space="preserve"> PAGEREF _Toc405021447 \h </w:instrText>
            </w:r>
            <w:r w:rsidRPr="00A41568">
              <w:rPr>
                <w:b w:val="0"/>
                <w:i w:val="0"/>
                <w:noProof/>
                <w:webHidden/>
              </w:rPr>
            </w:r>
            <w:r w:rsidRPr="00A41568">
              <w:rPr>
                <w:b w:val="0"/>
                <w:i w:val="0"/>
                <w:noProof/>
                <w:webHidden/>
              </w:rPr>
              <w:fldChar w:fldCharType="separate"/>
            </w:r>
            <w:r w:rsidR="00F6202F">
              <w:rPr>
                <w:b w:val="0"/>
                <w:i w:val="0"/>
                <w:noProof/>
                <w:webHidden/>
              </w:rPr>
              <w:t>22</w:t>
            </w:r>
            <w:r w:rsidRPr="00A41568">
              <w:rPr>
                <w:b w:val="0"/>
                <w:i w:val="0"/>
                <w:noProof/>
                <w:webHidden/>
              </w:rPr>
              <w:fldChar w:fldCharType="end"/>
            </w:r>
          </w:hyperlink>
        </w:p>
        <w:p w:rsidR="009C32C7" w:rsidRPr="00CD5B88" w:rsidRDefault="00B34112" w:rsidP="004938B5">
          <w:pPr>
            <w:spacing w:line="480" w:lineRule="auto"/>
            <w:rPr>
              <w:rFonts w:ascii="Arial" w:hAnsi="Arial" w:cs="Arial"/>
              <w:lang w:val="es-ES"/>
            </w:rPr>
          </w:pPr>
          <w:r w:rsidRPr="004938B5">
            <w:rPr>
              <w:rFonts w:asciiTheme="minorHAnsi" w:hAnsiTheme="minorHAnsi" w:cstheme="minorHAnsi"/>
              <w:bCs/>
              <w:i/>
              <w:sz w:val="24"/>
              <w:szCs w:val="24"/>
              <w:lang w:val="es-ES"/>
            </w:rPr>
            <w:fldChar w:fldCharType="end"/>
          </w:r>
        </w:p>
      </w:sdtContent>
    </w:sdt>
    <w:p w:rsidR="009C32C7" w:rsidRPr="00CD5B88" w:rsidRDefault="009C32C7" w:rsidP="00CD5B88">
      <w:pPr>
        <w:spacing w:line="360" w:lineRule="auto"/>
        <w:rPr>
          <w:rFonts w:ascii="Arial" w:hAnsi="Arial" w:cs="Arial"/>
          <w:lang w:val="es-ES"/>
        </w:rPr>
      </w:pPr>
    </w:p>
    <w:p w:rsidR="009C32C7" w:rsidRPr="00CD5B88" w:rsidRDefault="009C32C7" w:rsidP="00CD5B88">
      <w:pPr>
        <w:tabs>
          <w:tab w:val="clear" w:pos="708"/>
        </w:tabs>
        <w:suppressAutoHyphens w:val="0"/>
        <w:spacing w:after="0" w:line="360" w:lineRule="auto"/>
        <w:rPr>
          <w:rFonts w:ascii="Arial" w:hAnsi="Arial" w:cs="Arial"/>
          <w:b/>
          <w:bCs/>
          <w:color w:val="2E74B5"/>
          <w:sz w:val="32"/>
          <w:szCs w:val="32"/>
        </w:rPr>
      </w:pPr>
      <w:r w:rsidRPr="00CD5B88">
        <w:rPr>
          <w:rFonts w:ascii="Arial" w:hAnsi="Arial" w:cs="Arial"/>
          <w:sz w:val="32"/>
        </w:rPr>
        <w:br w:type="page"/>
      </w:r>
    </w:p>
    <w:p w:rsidR="009C32C7" w:rsidRPr="00A25846" w:rsidRDefault="00325C0F" w:rsidP="00802641">
      <w:pPr>
        <w:pStyle w:val="Ttulo1"/>
        <w:pageBreakBefore/>
        <w:ind w:left="431" w:hanging="431"/>
        <w:rPr>
          <w:rFonts w:ascii="Impact" w:hAnsi="Impact" w:cs="Aharoni"/>
          <w:b w:val="0"/>
          <w:spacing w:val="40"/>
          <w:w w:val="90"/>
          <w:kern w:val="40"/>
          <w:sz w:val="44"/>
          <w:szCs w:val="44"/>
        </w:rPr>
      </w:pPr>
      <w:bookmarkStart w:id="2" w:name="_Toc404948851"/>
      <w:bookmarkStart w:id="3" w:name="_Toc405021438"/>
      <w:r>
        <w:rPr>
          <w:rFonts w:ascii="Impact" w:hAnsi="Impact" w:cs="Aharoni"/>
          <w:b w:val="0"/>
          <w:spacing w:val="40"/>
          <w:w w:val="90"/>
          <w:kern w:val="40"/>
          <w:sz w:val="44"/>
          <w:szCs w:val="44"/>
        </w:rPr>
        <w:t>INTRODUCCIÓN</w:t>
      </w:r>
      <w:bookmarkEnd w:id="0"/>
      <w:bookmarkEnd w:id="2"/>
      <w:bookmarkEnd w:id="3"/>
    </w:p>
    <w:p w:rsidR="009C32C7" w:rsidRPr="00CD5B88" w:rsidRDefault="009C32C7" w:rsidP="00CD5B88">
      <w:pPr>
        <w:spacing w:line="360" w:lineRule="auto"/>
        <w:jc w:val="both"/>
        <w:rPr>
          <w:rFonts w:ascii="Arial" w:hAnsi="Arial" w:cs="Arial"/>
        </w:rPr>
      </w:pPr>
    </w:p>
    <w:p w:rsidR="009C32C7" w:rsidRPr="00A85DED" w:rsidRDefault="009C32C7" w:rsidP="00CD5B88">
      <w:pPr>
        <w:spacing w:before="28" w:after="28" w:line="360" w:lineRule="auto"/>
        <w:ind w:left="1416"/>
        <w:jc w:val="both"/>
        <w:rPr>
          <w:rFonts w:asciiTheme="minorHAnsi" w:hAnsiTheme="minorHAnsi" w:cstheme="minorHAnsi"/>
          <w:i/>
          <w:color w:val="404040"/>
          <w:sz w:val="28"/>
          <w:szCs w:val="28"/>
        </w:rPr>
      </w:pPr>
      <w:r w:rsidRPr="00A85DED">
        <w:rPr>
          <w:rStyle w:val="nfasissutil1"/>
          <w:rFonts w:asciiTheme="minorHAnsi" w:hAnsiTheme="minorHAnsi" w:cstheme="minorHAnsi"/>
          <w:sz w:val="28"/>
          <w:szCs w:val="28"/>
        </w:rPr>
        <w:t>La participación ciudadana será fundamental en mi gobierno. Porque el derecho y la responsabilidad de construir este país es de todos. Queremos una ciudadanía activa, que haga contraloría social, que exija principios éticos a sus funcionarios…</w:t>
      </w:r>
    </w:p>
    <w:p w:rsidR="009C32C7" w:rsidRPr="00A85DED" w:rsidRDefault="009C32C7" w:rsidP="004641CC">
      <w:pPr>
        <w:spacing w:after="0" w:line="240" w:lineRule="auto"/>
        <w:ind w:left="1418"/>
        <w:jc w:val="right"/>
        <w:rPr>
          <w:rFonts w:asciiTheme="minorHAnsi" w:hAnsiTheme="minorHAnsi" w:cstheme="minorHAnsi"/>
          <w:i/>
          <w:color w:val="404040"/>
          <w:sz w:val="16"/>
          <w:szCs w:val="16"/>
        </w:rPr>
      </w:pPr>
      <w:r w:rsidRPr="00A85DED">
        <w:rPr>
          <w:rFonts w:asciiTheme="minorHAnsi" w:hAnsiTheme="minorHAnsi" w:cstheme="minorHAnsi"/>
          <w:i/>
          <w:color w:val="404040"/>
          <w:sz w:val="16"/>
          <w:szCs w:val="16"/>
        </w:rPr>
        <w:t xml:space="preserve">Fragmento del discurso de toma de posesión </w:t>
      </w:r>
    </w:p>
    <w:p w:rsidR="009C32C7" w:rsidRPr="00A85DED" w:rsidRDefault="009C32C7" w:rsidP="004641CC">
      <w:pPr>
        <w:spacing w:after="0" w:line="240" w:lineRule="auto"/>
        <w:ind w:left="1418"/>
        <w:jc w:val="right"/>
        <w:rPr>
          <w:rFonts w:asciiTheme="minorHAnsi" w:hAnsiTheme="minorHAnsi" w:cstheme="minorHAnsi"/>
          <w:sz w:val="16"/>
          <w:szCs w:val="16"/>
        </w:rPr>
      </w:pPr>
      <w:r w:rsidRPr="00A85DED">
        <w:rPr>
          <w:rFonts w:asciiTheme="minorHAnsi" w:hAnsiTheme="minorHAnsi" w:cstheme="minorHAnsi"/>
          <w:i/>
          <w:color w:val="404040"/>
          <w:sz w:val="16"/>
          <w:szCs w:val="16"/>
        </w:rPr>
        <w:t>Presidente Salvador Sánchez Cerén</w:t>
      </w:r>
    </w:p>
    <w:p w:rsidR="009C32C7" w:rsidRPr="00A85DED" w:rsidRDefault="009C32C7" w:rsidP="00CD5B88">
      <w:pPr>
        <w:spacing w:after="0" w:line="360" w:lineRule="auto"/>
        <w:jc w:val="both"/>
        <w:rPr>
          <w:rFonts w:asciiTheme="minorHAnsi" w:hAnsiTheme="minorHAnsi" w:cstheme="minorHAnsi"/>
          <w:sz w:val="24"/>
          <w:szCs w:val="24"/>
        </w:rPr>
      </w:pP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Gobernar con y para la gente de forma inclusiva y solidaria es la nueva visión que la Presidencia de El Salvador tiene para ejecutar en el presente quinquenio. La ciudadanía debe tener un papel preponderante en la formulación e implementación de las políticas públicas </w:t>
      </w:r>
      <w:r w:rsidR="006B2E9F" w:rsidRPr="00A85DED">
        <w:rPr>
          <w:rFonts w:asciiTheme="minorHAnsi" w:hAnsiTheme="minorHAnsi" w:cstheme="minorHAnsi"/>
          <w:iCs/>
          <w:color w:val="404040"/>
          <w:sz w:val="24"/>
          <w:szCs w:val="24"/>
        </w:rPr>
        <w:t>con el objeto que p</w:t>
      </w:r>
      <w:r w:rsidRPr="00A85DED">
        <w:rPr>
          <w:rFonts w:asciiTheme="minorHAnsi" w:hAnsiTheme="minorHAnsi" w:cstheme="minorHAnsi"/>
          <w:iCs/>
          <w:color w:val="404040"/>
          <w:sz w:val="24"/>
          <w:szCs w:val="24"/>
        </w:rPr>
        <w:t>uedan decidir las actividades gubernamentales que</w:t>
      </w:r>
      <w:r w:rsidR="006B2E9F" w:rsidRPr="00A85DED">
        <w:rPr>
          <w:rFonts w:asciiTheme="minorHAnsi" w:hAnsiTheme="minorHAnsi" w:cstheme="minorHAnsi"/>
          <w:iCs/>
          <w:color w:val="404040"/>
          <w:sz w:val="24"/>
          <w:szCs w:val="24"/>
        </w:rPr>
        <w:t xml:space="preserve"> les pudieran beneficiar o afectar </w:t>
      </w:r>
      <w:r w:rsidRPr="00A85DED">
        <w:rPr>
          <w:rFonts w:asciiTheme="minorHAnsi" w:hAnsiTheme="minorHAnsi" w:cstheme="minorHAnsi"/>
          <w:iCs/>
          <w:color w:val="404040"/>
          <w:sz w:val="24"/>
          <w:szCs w:val="24"/>
        </w:rPr>
        <w:t xml:space="preserve">directamente. </w:t>
      </w: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El presente Plan de Acción de la Alianza por un Gobierno Abierto 2014-2016 es el resultado de un proceso de consulta que incluyó dos metodologías, una realizada por la Secretaría de Participación  Ciudadana, Transparencia y Anticorrupción</w:t>
      </w:r>
      <w:r w:rsidR="006B2E9F" w:rsidRPr="00A85DED">
        <w:rPr>
          <w:rFonts w:asciiTheme="minorHAnsi" w:hAnsiTheme="minorHAnsi" w:cstheme="minorHAnsi"/>
          <w:iCs/>
          <w:color w:val="404040"/>
          <w:sz w:val="24"/>
          <w:szCs w:val="24"/>
        </w:rPr>
        <w:t>, y</w:t>
      </w:r>
      <w:r w:rsidRPr="00A85DED">
        <w:rPr>
          <w:rFonts w:asciiTheme="minorHAnsi" w:hAnsiTheme="minorHAnsi" w:cstheme="minorHAnsi"/>
          <w:iCs/>
          <w:color w:val="404040"/>
          <w:sz w:val="24"/>
          <w:szCs w:val="24"/>
        </w:rPr>
        <w:t xml:space="preserve"> la otra</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por organizaciones de la sociedad civil interesadas en el tema de Gobierno Abierto. En las consultas participaron ciudadanos y representantes de diversas organizaciones sociales, entidades autónomas y sector</w:t>
      </w:r>
      <w:r w:rsidR="006B2E9F" w:rsidRPr="00A85DED">
        <w:rPr>
          <w:rFonts w:asciiTheme="minorHAnsi" w:hAnsiTheme="minorHAnsi" w:cstheme="minorHAnsi"/>
          <w:iCs/>
          <w:color w:val="404040"/>
          <w:sz w:val="24"/>
          <w:szCs w:val="24"/>
        </w:rPr>
        <w:t>es</w:t>
      </w:r>
      <w:r w:rsidRPr="00A85DED">
        <w:rPr>
          <w:rFonts w:asciiTheme="minorHAnsi" w:hAnsiTheme="minorHAnsi" w:cstheme="minorHAnsi"/>
          <w:iCs/>
          <w:color w:val="404040"/>
          <w:sz w:val="24"/>
          <w:szCs w:val="24"/>
        </w:rPr>
        <w:t xml:space="preserve"> empresarial</w:t>
      </w:r>
      <w:r w:rsidR="006B2E9F" w:rsidRPr="00A85DED">
        <w:rPr>
          <w:rFonts w:asciiTheme="minorHAnsi" w:hAnsiTheme="minorHAnsi" w:cstheme="minorHAnsi"/>
          <w:iCs/>
          <w:color w:val="404040"/>
          <w:sz w:val="24"/>
          <w:szCs w:val="24"/>
        </w:rPr>
        <w:t>es,</w:t>
      </w:r>
      <w:r w:rsidRPr="00A85DED">
        <w:rPr>
          <w:rFonts w:asciiTheme="minorHAnsi" w:hAnsiTheme="minorHAnsi" w:cstheme="minorHAnsi"/>
          <w:iCs/>
          <w:color w:val="404040"/>
          <w:sz w:val="24"/>
          <w:szCs w:val="24"/>
        </w:rPr>
        <w:t xml:space="preserve"> todos haciendo propuestas y aportado ideas para su implementación.  </w:t>
      </w: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Se decidió seguir trabajando con los cinco grandes desafíos planteados por la Alianza considerando la importancia que tienen los mismos y que no es posible construir un verdadero gobierno abierto sin realizar avances en todos los ejes. </w:t>
      </w:r>
    </w:p>
    <w:p w:rsidR="009C32C7" w:rsidRPr="00A85DED" w:rsidRDefault="009C32C7" w:rsidP="00CD5B88">
      <w:pPr>
        <w:spacing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El documento contiene 20 compromisos, seis correspondientes al desafío uno ADMINISTRACIÓN DE RECURSOS PÚBLICOS; tres sobre el desafío dos COMUNIDADES MÁS SEGURAS</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cuatro considerados en el desafío tres INTEGRIDAD PÚBLICA; cuatro en el desafío cuatro MEJORA DE LOS SERVICIOS; dos relativas a la RESPONSABILIDAD EMPRESARIAL; y finalmente</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se agrega un compromiso para la implementación de un mecanismo de seguimiento coordinado por la Secretaría de Participación Ciudadana, Transparencia y Anticorrupción y contará con la participación activa de otras instituciones públicas y de la </w:t>
      </w:r>
      <w:r w:rsidR="006B2E9F" w:rsidRPr="00A85DED">
        <w:rPr>
          <w:rFonts w:asciiTheme="minorHAnsi" w:hAnsiTheme="minorHAnsi" w:cstheme="minorHAnsi"/>
          <w:iCs/>
          <w:color w:val="404040"/>
          <w:sz w:val="24"/>
          <w:szCs w:val="24"/>
        </w:rPr>
        <w:t>s</w:t>
      </w:r>
      <w:r w:rsidRPr="00A85DED">
        <w:rPr>
          <w:rFonts w:asciiTheme="minorHAnsi" w:hAnsiTheme="minorHAnsi" w:cstheme="minorHAnsi"/>
          <w:iCs/>
          <w:color w:val="404040"/>
          <w:sz w:val="24"/>
          <w:szCs w:val="24"/>
        </w:rPr>
        <w:t xml:space="preserve">ociedad </w:t>
      </w:r>
      <w:r w:rsidR="006B2E9F" w:rsidRPr="00A85DED">
        <w:rPr>
          <w:rFonts w:asciiTheme="minorHAnsi" w:hAnsiTheme="minorHAnsi" w:cstheme="minorHAnsi"/>
          <w:iCs/>
          <w:color w:val="404040"/>
          <w:sz w:val="24"/>
          <w:szCs w:val="24"/>
        </w:rPr>
        <w:t>c</w:t>
      </w:r>
      <w:r w:rsidRPr="00A85DED">
        <w:rPr>
          <w:rFonts w:asciiTheme="minorHAnsi" w:hAnsiTheme="minorHAnsi" w:cstheme="minorHAnsi"/>
          <w:iCs/>
          <w:color w:val="404040"/>
          <w:sz w:val="24"/>
          <w:szCs w:val="24"/>
        </w:rPr>
        <w:t xml:space="preserve">ivil. </w:t>
      </w:r>
    </w:p>
    <w:p w:rsidR="009C32C7" w:rsidRPr="00A85DED" w:rsidRDefault="009C32C7" w:rsidP="00CD5B88">
      <w:pPr>
        <w:spacing w:line="360" w:lineRule="auto"/>
        <w:jc w:val="both"/>
        <w:rPr>
          <w:rFonts w:asciiTheme="minorHAnsi" w:hAnsiTheme="minorHAnsi" w:cstheme="minorHAnsi"/>
          <w:sz w:val="24"/>
          <w:szCs w:val="24"/>
        </w:rPr>
      </w:pPr>
      <w:r w:rsidRPr="00A85DED">
        <w:rPr>
          <w:rFonts w:asciiTheme="minorHAnsi" w:hAnsiTheme="minorHAnsi" w:cstheme="minorHAnsi"/>
          <w:iCs/>
          <w:color w:val="404040"/>
          <w:sz w:val="24"/>
          <w:szCs w:val="24"/>
        </w:rPr>
        <w:t xml:space="preserve">El momento de la formulación de este Plan de Acción coincide con el cambio de gobierno y la definición de sus políticas públicas a ejecutar durante el siguiente quinquenio, una oportunidad importante para que las instituciones incorporen los principios de Gobierno Abierto en sus planes estratégicos, garantizando así recursos humanos y financieros para concretar los compromisos asumidos.   </w:t>
      </w:r>
    </w:p>
    <w:p w:rsidR="009C32C7" w:rsidRPr="00CD5B88" w:rsidRDefault="009C32C7" w:rsidP="00CD5B88">
      <w:pPr>
        <w:spacing w:line="360" w:lineRule="auto"/>
        <w:jc w:val="both"/>
        <w:rPr>
          <w:rFonts w:ascii="Arial" w:hAnsi="Arial" w:cs="Arial"/>
        </w:rPr>
      </w:pPr>
    </w:p>
    <w:p w:rsidR="009C32C7" w:rsidRPr="00CD5B88" w:rsidRDefault="009C32C7" w:rsidP="00CD5B88">
      <w:pPr>
        <w:spacing w:line="360" w:lineRule="auto"/>
        <w:jc w:val="both"/>
        <w:rPr>
          <w:rFonts w:ascii="Arial" w:hAnsi="Arial" w:cs="Arial"/>
        </w:rPr>
      </w:pPr>
    </w:p>
    <w:p w:rsidR="009C32C7" w:rsidRPr="00CD5B88" w:rsidRDefault="009C32C7" w:rsidP="00CD5B88">
      <w:pPr>
        <w:spacing w:line="360" w:lineRule="auto"/>
        <w:jc w:val="both"/>
        <w:rPr>
          <w:rFonts w:ascii="Arial" w:hAnsi="Arial" w:cs="Arial"/>
        </w:rPr>
      </w:pPr>
    </w:p>
    <w:p w:rsidR="009C32C7" w:rsidRPr="00CD5B88" w:rsidRDefault="009C32C7" w:rsidP="00CD5B88">
      <w:pPr>
        <w:spacing w:line="360" w:lineRule="auto"/>
        <w:jc w:val="both"/>
        <w:rPr>
          <w:rFonts w:ascii="Arial" w:hAnsi="Arial" w:cs="Arial"/>
        </w:rPr>
      </w:pPr>
    </w:p>
    <w:p w:rsidR="009C32C7" w:rsidRPr="00CD5B88" w:rsidRDefault="009C32C7" w:rsidP="00CD5B88">
      <w:pPr>
        <w:spacing w:line="360" w:lineRule="auto"/>
        <w:jc w:val="both"/>
        <w:rPr>
          <w:rFonts w:ascii="Arial" w:hAnsi="Arial" w:cs="Arial"/>
        </w:rPr>
      </w:pPr>
    </w:p>
    <w:p w:rsidR="009C32C7" w:rsidRPr="00A25846" w:rsidRDefault="00A25846" w:rsidP="00A25846">
      <w:pPr>
        <w:pStyle w:val="Ttulo1"/>
        <w:pageBreakBefore/>
        <w:ind w:left="431" w:hanging="431"/>
        <w:rPr>
          <w:rFonts w:ascii="Impact" w:hAnsi="Impact" w:cs="Aharoni"/>
          <w:b w:val="0"/>
          <w:spacing w:val="40"/>
          <w:w w:val="90"/>
          <w:kern w:val="40"/>
          <w:sz w:val="44"/>
          <w:szCs w:val="44"/>
        </w:rPr>
      </w:pPr>
      <w:bookmarkStart w:id="4" w:name="_Toc404893845"/>
      <w:bookmarkStart w:id="5" w:name="_Toc404948489"/>
      <w:bookmarkStart w:id="6" w:name="_Toc404948852"/>
      <w:bookmarkStart w:id="7" w:name="_Toc405021439"/>
      <w:bookmarkEnd w:id="4"/>
      <w:r w:rsidRPr="00A25846">
        <w:rPr>
          <w:rFonts w:ascii="Impact" w:hAnsi="Impact" w:cs="Aharoni"/>
          <w:b w:val="0"/>
          <w:spacing w:val="40"/>
          <w:w w:val="90"/>
          <w:kern w:val="40"/>
          <w:sz w:val="44"/>
          <w:szCs w:val="44"/>
        </w:rPr>
        <w:t>ANTECEDENTES</w:t>
      </w:r>
      <w:bookmarkEnd w:id="5"/>
      <w:bookmarkEnd w:id="6"/>
      <w:bookmarkEnd w:id="7"/>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El Salvador es parte de los países de la segunda generación que suscribieron a la Alianza por un Gobierno Abierto (AGA). En septiembre de 2011 el gobierno presentó su carta de intención para participar en AGA y suscribió la Declaración de Gobierno Abierto. </w:t>
      </w: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Para participar en el AGA El Salvador demostró un compromiso claro con el concepto de gobierno abierto, reflejado en un conjunto de indicadores fundamentales: 1) transparencia fiscal</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2) divulgación pública de ingresos y activos de cargos políticos y altos funcionarios públicos</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3) acceso a la información pública</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y</w:t>
      </w:r>
      <w:r w:rsidR="006B2E9F"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4) participación ciudadana en el control de las cuentas públicas. </w:t>
      </w: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Para medir el compromiso se</w:t>
      </w:r>
      <w:r w:rsidR="000A7C0C" w:rsidRPr="00A85DED">
        <w:rPr>
          <w:rFonts w:asciiTheme="minorHAnsi" w:hAnsiTheme="minorHAnsi" w:cstheme="minorHAnsi"/>
          <w:iCs/>
          <w:color w:val="404040"/>
          <w:sz w:val="24"/>
          <w:szCs w:val="24"/>
        </w:rPr>
        <w:t xml:space="preserve"> utiliza </w:t>
      </w:r>
      <w:r w:rsidRPr="00A85DED">
        <w:rPr>
          <w:rFonts w:asciiTheme="minorHAnsi" w:hAnsiTheme="minorHAnsi" w:cstheme="minorHAnsi"/>
          <w:iCs/>
          <w:color w:val="404040"/>
          <w:sz w:val="24"/>
          <w:szCs w:val="24"/>
        </w:rPr>
        <w:t>como base indicadores objetivos elaborados por organismos ajenos a la AGA. El Salvador contaba con los requisitos necesarios de elegibilidad y una puntación total de 12 puntos de los 16 posibles en la evaluación</w:t>
      </w:r>
      <w:r w:rsidR="000A7C0C"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que se dividían en </w:t>
      </w:r>
      <w:r w:rsidR="00A85DED">
        <w:rPr>
          <w:rFonts w:asciiTheme="minorHAnsi" w:hAnsiTheme="minorHAnsi" w:cstheme="minorHAnsi"/>
          <w:iCs/>
          <w:color w:val="404040"/>
          <w:sz w:val="24"/>
          <w:szCs w:val="24"/>
        </w:rPr>
        <w:t>dos</w:t>
      </w:r>
      <w:r w:rsidRPr="00A85DED">
        <w:rPr>
          <w:rFonts w:asciiTheme="minorHAnsi" w:hAnsiTheme="minorHAnsi" w:cstheme="minorHAnsi"/>
          <w:iCs/>
          <w:color w:val="404040"/>
          <w:sz w:val="24"/>
          <w:szCs w:val="24"/>
        </w:rPr>
        <w:t xml:space="preserve"> puntos sobre un total de </w:t>
      </w:r>
      <w:r w:rsidR="00A85DED">
        <w:rPr>
          <w:rFonts w:asciiTheme="minorHAnsi" w:hAnsiTheme="minorHAnsi" w:cstheme="minorHAnsi"/>
          <w:iCs/>
          <w:color w:val="404040"/>
          <w:sz w:val="24"/>
          <w:szCs w:val="24"/>
        </w:rPr>
        <w:t>cuatro</w:t>
      </w:r>
      <w:r w:rsidRPr="00A85DED">
        <w:rPr>
          <w:rFonts w:asciiTheme="minorHAnsi" w:hAnsiTheme="minorHAnsi" w:cstheme="minorHAnsi"/>
          <w:iCs/>
          <w:color w:val="404040"/>
          <w:sz w:val="24"/>
          <w:szCs w:val="24"/>
        </w:rPr>
        <w:t xml:space="preserve"> en materia de indicadores mínimos en la encuesta de transparencia fiscal del International Budget Partnership, </w:t>
      </w:r>
      <w:r w:rsidR="00A85DED">
        <w:rPr>
          <w:rFonts w:asciiTheme="minorHAnsi" w:hAnsiTheme="minorHAnsi" w:cstheme="minorHAnsi"/>
          <w:iCs/>
          <w:color w:val="404040"/>
          <w:sz w:val="24"/>
          <w:szCs w:val="24"/>
        </w:rPr>
        <w:t>dos</w:t>
      </w:r>
      <w:r w:rsidRPr="00A85DED">
        <w:rPr>
          <w:rFonts w:asciiTheme="minorHAnsi" w:hAnsiTheme="minorHAnsi" w:cstheme="minorHAnsi"/>
          <w:iCs/>
          <w:color w:val="404040"/>
          <w:sz w:val="24"/>
          <w:szCs w:val="24"/>
        </w:rPr>
        <w:t xml:space="preserve"> sobre un total de </w:t>
      </w:r>
      <w:r w:rsidR="00A85DED">
        <w:rPr>
          <w:rFonts w:asciiTheme="minorHAnsi" w:hAnsiTheme="minorHAnsi" w:cstheme="minorHAnsi"/>
          <w:iCs/>
          <w:color w:val="404040"/>
          <w:sz w:val="24"/>
          <w:szCs w:val="24"/>
        </w:rPr>
        <w:t>cuatro</w:t>
      </w:r>
      <w:r w:rsidRPr="00A85DED">
        <w:rPr>
          <w:rFonts w:asciiTheme="minorHAnsi" w:hAnsiTheme="minorHAnsi" w:cstheme="minorHAnsi"/>
          <w:iCs/>
          <w:color w:val="404040"/>
          <w:sz w:val="24"/>
          <w:szCs w:val="24"/>
        </w:rPr>
        <w:t xml:space="preserve"> respecto de la divulgación pública de ingresos y recursos de cargos políticos y altos funcionarios públicos, </w:t>
      </w:r>
      <w:r w:rsidR="00A85DED">
        <w:rPr>
          <w:rFonts w:asciiTheme="minorHAnsi" w:hAnsiTheme="minorHAnsi" w:cstheme="minorHAnsi"/>
          <w:iCs/>
          <w:color w:val="404040"/>
          <w:sz w:val="24"/>
          <w:szCs w:val="24"/>
        </w:rPr>
        <w:t>cuatro</w:t>
      </w:r>
      <w:r w:rsidRPr="00A85DED">
        <w:rPr>
          <w:rFonts w:asciiTheme="minorHAnsi" w:hAnsiTheme="minorHAnsi" w:cstheme="minorHAnsi"/>
          <w:iCs/>
          <w:color w:val="404040"/>
          <w:sz w:val="24"/>
          <w:szCs w:val="24"/>
        </w:rPr>
        <w:t xml:space="preserve"> sobre un total de </w:t>
      </w:r>
      <w:r w:rsidR="00A85DED">
        <w:rPr>
          <w:rFonts w:asciiTheme="minorHAnsi" w:hAnsiTheme="minorHAnsi" w:cstheme="minorHAnsi"/>
          <w:iCs/>
          <w:color w:val="404040"/>
          <w:sz w:val="24"/>
          <w:szCs w:val="24"/>
        </w:rPr>
        <w:t xml:space="preserve">cuatro </w:t>
      </w:r>
      <w:r w:rsidRPr="00A85DED">
        <w:rPr>
          <w:rFonts w:asciiTheme="minorHAnsi" w:hAnsiTheme="minorHAnsi" w:cstheme="minorHAnsi"/>
          <w:iCs/>
          <w:color w:val="404040"/>
          <w:sz w:val="24"/>
          <w:szCs w:val="24"/>
        </w:rPr>
        <w:t xml:space="preserve">puntos en el acceso a la información y </w:t>
      </w:r>
      <w:r w:rsidR="00A85DED">
        <w:rPr>
          <w:rFonts w:asciiTheme="minorHAnsi" w:hAnsiTheme="minorHAnsi" w:cstheme="minorHAnsi"/>
          <w:iCs/>
          <w:color w:val="404040"/>
          <w:sz w:val="24"/>
          <w:szCs w:val="24"/>
        </w:rPr>
        <w:t>cuatro de cuatro</w:t>
      </w:r>
      <w:r w:rsidRPr="00A85DED">
        <w:rPr>
          <w:rFonts w:asciiTheme="minorHAnsi" w:hAnsiTheme="minorHAnsi" w:cstheme="minorHAnsi"/>
          <w:iCs/>
          <w:color w:val="404040"/>
          <w:sz w:val="24"/>
          <w:szCs w:val="24"/>
        </w:rPr>
        <w:t xml:space="preserve"> en participación ciudadana ya que obtuvo un puntaje de 8</w:t>
      </w:r>
      <w:r w:rsidR="000A7C0C"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24 de un máximo de 10 en el sub-indicador de “Libertades Civiles” del Índice de Democracia del EconomistIntelligenceUnit. Las debilidades encontradas fueron la falta de publicación de los informes de auditoría y la confidencialidad de las declaraciones patrimoniales de los funcionarios públicos y políticos.</w:t>
      </w: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El gobierno de El Salvador presentó su primer Plan de Acción en la Reunión Anual de la AGA celebrad</w:t>
      </w:r>
      <w:r w:rsidR="00615183" w:rsidRPr="00A85DED">
        <w:rPr>
          <w:rFonts w:asciiTheme="minorHAnsi" w:hAnsiTheme="minorHAnsi" w:cstheme="minorHAnsi"/>
          <w:iCs/>
          <w:color w:val="404040"/>
          <w:sz w:val="24"/>
          <w:szCs w:val="24"/>
        </w:rPr>
        <w:t>a en Brasilia, Brasil en 2012</w:t>
      </w:r>
      <w:r w:rsidR="000A7C0C" w:rsidRPr="00A85DED">
        <w:rPr>
          <w:rFonts w:asciiTheme="minorHAnsi" w:hAnsiTheme="minorHAnsi" w:cstheme="minorHAnsi"/>
          <w:iCs/>
          <w:color w:val="404040"/>
          <w:sz w:val="24"/>
          <w:szCs w:val="24"/>
        </w:rPr>
        <w:t>, e</w:t>
      </w:r>
      <w:r w:rsidRPr="00A85DED">
        <w:rPr>
          <w:rFonts w:asciiTheme="minorHAnsi" w:hAnsiTheme="minorHAnsi" w:cstheme="minorHAnsi"/>
          <w:iCs/>
          <w:color w:val="404040"/>
          <w:sz w:val="24"/>
          <w:szCs w:val="24"/>
        </w:rPr>
        <w:t>ste se elaboró tomando de referencia insumos de la consulta realizada para elaborar la política de transparencia y anticorrupción.</w:t>
      </w:r>
    </w:p>
    <w:p w:rsidR="009C32C7" w:rsidRPr="00A85DED" w:rsidRDefault="009C32C7" w:rsidP="00A85DED">
      <w:pPr>
        <w:spacing w:before="240" w:line="360" w:lineRule="auto"/>
        <w:jc w:val="both"/>
        <w:rPr>
          <w:rFonts w:asciiTheme="minorHAnsi" w:hAnsiTheme="minorHAnsi" w:cstheme="minorHAnsi"/>
          <w:iCs/>
          <w:color w:val="404040"/>
          <w:sz w:val="24"/>
          <w:szCs w:val="24"/>
        </w:rPr>
      </w:pP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En diciembre del año 2012 inició el proceso de formulación de un nuevo Plan de Acción con una consulta ciudadana. En septiembre de 2013 se presentó el Plan de Acción 2013-2014, cuya vigencia llegaba hasta </w:t>
      </w:r>
      <w:r w:rsidR="000A7C0C" w:rsidRPr="00A85DED">
        <w:rPr>
          <w:rFonts w:asciiTheme="minorHAnsi" w:hAnsiTheme="minorHAnsi" w:cstheme="minorHAnsi"/>
          <w:iCs/>
          <w:color w:val="404040"/>
          <w:sz w:val="24"/>
          <w:szCs w:val="24"/>
        </w:rPr>
        <w:t>m</w:t>
      </w:r>
      <w:r w:rsidRPr="00A85DED">
        <w:rPr>
          <w:rFonts w:asciiTheme="minorHAnsi" w:hAnsiTheme="minorHAnsi" w:cstheme="minorHAnsi"/>
          <w:iCs/>
          <w:color w:val="404040"/>
          <w:sz w:val="24"/>
          <w:szCs w:val="24"/>
        </w:rPr>
        <w:t>ayo de 2014, debido a que se aproximaban las elecciones presidenciales</w:t>
      </w:r>
      <w:r w:rsidR="006F2B95"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y por ende</w:t>
      </w:r>
      <w:r w:rsidR="006F2B95" w:rsidRPr="00A85DED">
        <w:rPr>
          <w:rFonts w:asciiTheme="minorHAnsi" w:hAnsiTheme="minorHAnsi" w:cstheme="minorHAnsi"/>
          <w:iCs/>
          <w:color w:val="404040"/>
          <w:sz w:val="24"/>
          <w:szCs w:val="24"/>
        </w:rPr>
        <w:t>,</w:t>
      </w:r>
      <w:r w:rsidRPr="00A85DED">
        <w:rPr>
          <w:rFonts w:asciiTheme="minorHAnsi" w:hAnsiTheme="minorHAnsi" w:cstheme="minorHAnsi"/>
          <w:iCs/>
          <w:color w:val="404040"/>
          <w:sz w:val="24"/>
          <w:szCs w:val="24"/>
        </w:rPr>
        <w:t xml:space="preserve"> cambio de gobierno. </w:t>
      </w:r>
      <w:r w:rsidR="00A85DED">
        <w:rPr>
          <w:rFonts w:asciiTheme="minorHAnsi" w:hAnsiTheme="minorHAnsi" w:cstheme="minorHAnsi"/>
          <w:iCs/>
          <w:color w:val="404040"/>
          <w:sz w:val="24"/>
          <w:szCs w:val="24"/>
        </w:rPr>
        <w:t xml:space="preserve">La consulta </w:t>
      </w:r>
      <w:r w:rsidRPr="00A85DED">
        <w:rPr>
          <w:rFonts w:asciiTheme="minorHAnsi" w:hAnsiTheme="minorHAnsi" w:cstheme="minorHAnsi"/>
          <w:iCs/>
          <w:color w:val="404040"/>
          <w:sz w:val="24"/>
          <w:szCs w:val="24"/>
        </w:rPr>
        <w:t xml:space="preserve">incorporó talleres y reuniones presenciales con especialistas en los diferentes ejes de acción que impulsa la Alianza. Fueron invitados y participaron representantes de diferentes entes de la Administración Pública, Organizaciones de la Sociedad Civil, Organizaciones no Gubernamentales (ONG’s), Sindicatos, Gremiales Empresariales y </w:t>
      </w:r>
      <w:r w:rsidR="006F2B95" w:rsidRPr="00A85DED">
        <w:rPr>
          <w:rFonts w:asciiTheme="minorHAnsi" w:hAnsiTheme="minorHAnsi" w:cstheme="minorHAnsi"/>
          <w:iCs/>
          <w:color w:val="404040"/>
          <w:sz w:val="24"/>
          <w:szCs w:val="24"/>
        </w:rPr>
        <w:t>U</w:t>
      </w:r>
      <w:r w:rsidRPr="00A85DED">
        <w:rPr>
          <w:rFonts w:asciiTheme="minorHAnsi" w:hAnsiTheme="minorHAnsi" w:cstheme="minorHAnsi"/>
          <w:iCs/>
          <w:color w:val="404040"/>
          <w:sz w:val="24"/>
          <w:szCs w:val="24"/>
        </w:rPr>
        <w:t xml:space="preserve">niversidades. </w:t>
      </w: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 xml:space="preserve">Las propuestas de compromisos fueron consultadas en un sitio web (consulta.gobiernoabierto.gob.sv) especialmente diseñado para ello y con posibilidad acceder desde cualquier red social (Facebook, Twitter y otras). Una vez sistematizada la información se realizaron dos validaciones, la primera con las instituciones públicas encargadas de cada una de las acciones específicas propuestas para que dieran su aval y aceptaran liderar los diferentes procesos; y la segunda fue una revisión conjunta con las organizaciones de sociedad civil, de donde surge la versión final del plan 2013 -2014. </w:t>
      </w:r>
    </w:p>
    <w:p w:rsidR="009C32C7" w:rsidRPr="00A85DED" w:rsidRDefault="009C32C7" w:rsidP="00A85DED">
      <w:pPr>
        <w:spacing w:before="240" w:line="360" w:lineRule="auto"/>
        <w:jc w:val="both"/>
        <w:rPr>
          <w:rFonts w:asciiTheme="minorHAnsi" w:hAnsiTheme="minorHAnsi" w:cstheme="minorHAnsi"/>
          <w:iCs/>
          <w:color w:val="404040"/>
          <w:sz w:val="24"/>
          <w:szCs w:val="24"/>
        </w:rPr>
      </w:pPr>
      <w:r w:rsidRPr="00A85DED">
        <w:rPr>
          <w:rFonts w:asciiTheme="minorHAnsi" w:hAnsiTheme="minorHAnsi" w:cstheme="minorHAnsi"/>
          <w:iCs/>
          <w:color w:val="404040"/>
          <w:sz w:val="24"/>
          <w:szCs w:val="24"/>
        </w:rPr>
        <w:t>Otro elemento importante en este proceso es que también se comprometieron otros entes públicos que no pertenecen a la Rama Ejecutiva como son el Tribunal de Ética Gubernamental, el Instituto de Acceso a la Información, Pública, la Sección de Probidad de la Corte Suprema de Justicia, la Fiscalía General de la República y la Corte de Cuentas de la República. Siendo así uno de los primeros planes totalmente consultados con la población en el que se incorporaban otros entes gubernamentales independientes del Órgano Ejecutivo.</w:t>
      </w:r>
    </w:p>
    <w:p w:rsidR="009C32C7" w:rsidRPr="00CD5B88" w:rsidRDefault="009C32C7" w:rsidP="00AD470E">
      <w:pPr>
        <w:spacing w:before="240" w:line="360" w:lineRule="auto"/>
        <w:jc w:val="both"/>
        <w:rPr>
          <w:rFonts w:ascii="Arial" w:hAnsi="Arial" w:cs="Arial"/>
        </w:rPr>
      </w:pPr>
      <w:r w:rsidRPr="00A85DED">
        <w:rPr>
          <w:rFonts w:asciiTheme="minorHAnsi" w:hAnsiTheme="minorHAnsi" w:cstheme="minorHAnsi"/>
          <w:iCs/>
          <w:color w:val="404040"/>
          <w:sz w:val="24"/>
          <w:szCs w:val="24"/>
        </w:rPr>
        <w:t>Cabe mencionar que el primer plan de acción fue evaluado por la Iniciativa Social para la Democracia mediante el mecanismo independiente de la Sociedad Civil. La evaluación destacó que El Salvador ha logrado efectuar una variedad de acciones con impacto potencial significativo y ha avanzado en la implementación de nuevas iniciativas en varios sectores del gobierno en el marco de la AGA cumpliendo 18 compromisos de 21.</w:t>
      </w:r>
    </w:p>
    <w:p w:rsidR="009C32C7" w:rsidRPr="00A25846" w:rsidRDefault="00A25846" w:rsidP="00A25846">
      <w:pPr>
        <w:pStyle w:val="Ttulo1"/>
        <w:pageBreakBefore/>
        <w:tabs>
          <w:tab w:val="clear" w:pos="432"/>
          <w:tab w:val="num" w:pos="0"/>
        </w:tabs>
        <w:spacing w:line="240" w:lineRule="auto"/>
        <w:ind w:left="0" w:firstLine="0"/>
        <w:rPr>
          <w:rFonts w:ascii="Impact" w:hAnsi="Impact" w:cs="Aharoni"/>
          <w:b w:val="0"/>
          <w:spacing w:val="40"/>
          <w:w w:val="90"/>
          <w:kern w:val="40"/>
          <w:sz w:val="44"/>
          <w:szCs w:val="44"/>
        </w:rPr>
      </w:pPr>
      <w:bookmarkStart w:id="8" w:name="_Toc404893846"/>
      <w:bookmarkStart w:id="9" w:name="_Toc404948490"/>
      <w:bookmarkStart w:id="10" w:name="_Toc404948853"/>
      <w:bookmarkStart w:id="11" w:name="_Toc405021440"/>
      <w:bookmarkEnd w:id="8"/>
      <w:r>
        <w:rPr>
          <w:rFonts w:ascii="Impact" w:hAnsi="Impact" w:cs="Aharoni"/>
          <w:b w:val="0"/>
          <w:spacing w:val="40"/>
          <w:w w:val="90"/>
          <w:kern w:val="40"/>
          <w:sz w:val="44"/>
          <w:szCs w:val="44"/>
        </w:rPr>
        <w:t xml:space="preserve">ALGUNOS RESULTADOS </w:t>
      </w:r>
      <w:bookmarkEnd w:id="9"/>
      <w:bookmarkEnd w:id="10"/>
      <w:r w:rsidR="00325C0F">
        <w:rPr>
          <w:rFonts w:ascii="Impact" w:hAnsi="Impact" w:cs="Aharoni"/>
          <w:b w:val="0"/>
          <w:spacing w:val="40"/>
          <w:w w:val="90"/>
          <w:kern w:val="40"/>
          <w:sz w:val="44"/>
          <w:szCs w:val="44"/>
        </w:rPr>
        <w:t>HASTA LA FECHA</w:t>
      </w:r>
      <w:bookmarkEnd w:id="11"/>
    </w:p>
    <w:p w:rsidR="00A25846" w:rsidRPr="00A25846" w:rsidRDefault="00A25846" w:rsidP="00CD5B88">
      <w:pPr>
        <w:pStyle w:val="Prrafodelista1"/>
        <w:numPr>
          <w:ilvl w:val="0"/>
          <w:numId w:val="1"/>
        </w:numPr>
        <w:tabs>
          <w:tab w:val="clear" w:pos="432"/>
          <w:tab w:val="num" w:pos="0"/>
        </w:tabs>
        <w:spacing w:after="0" w:line="360" w:lineRule="auto"/>
        <w:ind w:left="0" w:firstLine="0"/>
        <w:jc w:val="both"/>
        <w:rPr>
          <w:rFonts w:ascii="Arial" w:hAnsi="Arial" w:cs="Arial"/>
          <w:sz w:val="24"/>
          <w:szCs w:val="24"/>
        </w:rPr>
      </w:pPr>
    </w:p>
    <w:p w:rsidR="009C32C7" w:rsidRPr="00C35FDD" w:rsidRDefault="009C32C7" w:rsidP="00325C0F">
      <w:pPr>
        <w:pStyle w:val="Prrafodelista1"/>
        <w:numPr>
          <w:ilvl w:val="0"/>
          <w:numId w:val="1"/>
        </w:numPr>
        <w:tabs>
          <w:tab w:val="clear" w:pos="432"/>
          <w:tab w:val="num" w:pos="0"/>
        </w:tabs>
        <w:spacing w:before="240" w:line="360" w:lineRule="auto"/>
        <w:ind w:left="0" w:firstLine="0"/>
        <w:jc w:val="both"/>
        <w:rPr>
          <w:rFonts w:asciiTheme="minorHAnsi" w:hAnsiTheme="minorHAnsi" w:cstheme="minorHAnsi"/>
          <w:sz w:val="24"/>
          <w:szCs w:val="24"/>
        </w:rPr>
      </w:pPr>
      <w:r w:rsidRPr="00C35FDD">
        <w:rPr>
          <w:rFonts w:asciiTheme="minorHAnsi" w:hAnsiTheme="minorHAnsi" w:cstheme="minorHAnsi"/>
          <w:iCs/>
          <w:color w:val="404040"/>
          <w:sz w:val="24"/>
          <w:szCs w:val="24"/>
          <w:lang w:val="es-ES"/>
        </w:rPr>
        <w:t xml:space="preserve">Son muchos los avances que el país ha tenido con la implementación de los planes de acción, por mencionar algunos: </w:t>
      </w:r>
    </w:p>
    <w:p w:rsidR="009C32C7" w:rsidRPr="00C35FDD" w:rsidRDefault="009C32C7" w:rsidP="00325C0F">
      <w:pPr>
        <w:pStyle w:val="Prrafodelista1"/>
        <w:numPr>
          <w:ilvl w:val="0"/>
          <w:numId w:val="1"/>
        </w:numPr>
        <w:tabs>
          <w:tab w:val="clear" w:pos="432"/>
          <w:tab w:val="num" w:pos="0"/>
        </w:tabs>
        <w:spacing w:before="240" w:line="360" w:lineRule="auto"/>
        <w:ind w:left="0" w:firstLine="0"/>
        <w:jc w:val="both"/>
        <w:rPr>
          <w:rFonts w:asciiTheme="minorHAnsi" w:hAnsiTheme="minorHAnsi" w:cstheme="minorHAnsi"/>
          <w:sz w:val="24"/>
          <w:szCs w:val="24"/>
        </w:rPr>
      </w:pPr>
      <w:r w:rsidRPr="00C35FDD">
        <w:rPr>
          <w:rFonts w:asciiTheme="minorHAnsi" w:hAnsiTheme="minorHAnsi" w:cstheme="minorHAnsi"/>
          <w:iCs/>
          <w:color w:val="404040"/>
          <w:sz w:val="24"/>
          <w:szCs w:val="24"/>
          <w:lang w:val="es-ES"/>
        </w:rPr>
        <w:t xml:space="preserve">La apertura de las </w:t>
      </w:r>
      <w:r w:rsidRPr="00C35FDD">
        <w:rPr>
          <w:rFonts w:asciiTheme="minorHAnsi" w:hAnsiTheme="minorHAnsi" w:cstheme="minorHAnsi"/>
          <w:b/>
          <w:iCs/>
          <w:color w:val="404040"/>
          <w:sz w:val="24"/>
          <w:szCs w:val="24"/>
          <w:lang w:val="es-ES"/>
        </w:rPr>
        <w:t>Oficinas de Información y Respuesta (OIR)</w:t>
      </w:r>
      <w:r w:rsidRPr="00C35FDD">
        <w:rPr>
          <w:rFonts w:asciiTheme="minorHAnsi" w:hAnsiTheme="minorHAnsi" w:cstheme="minorHAnsi"/>
          <w:iCs/>
          <w:color w:val="404040"/>
          <w:sz w:val="24"/>
          <w:szCs w:val="24"/>
          <w:lang w:val="es-ES"/>
        </w:rPr>
        <w:t>. Esto resultó en la apertura de 82 OIR que tienen como función básica recibir las solicitudes de información que la población presente a las instituciones públicas; también son la unidad administrativa encargada de recibir las quejas y denuncias por malos servicios recibidos,recibe avisos de actos de corrupción y es el lugar en el que la ciudadanía puede acercarse para presentar proyectos y acciones que consideran deberían ser ejecutadas por las instituciones públicas.</w:t>
      </w:r>
    </w:p>
    <w:p w:rsidR="009C32C7" w:rsidRPr="00C35FDD" w:rsidRDefault="009C32C7" w:rsidP="00325C0F">
      <w:pPr>
        <w:pStyle w:val="Prrafodelista1"/>
        <w:spacing w:before="240" w:line="360" w:lineRule="auto"/>
        <w:ind w:left="0"/>
        <w:jc w:val="both"/>
        <w:rPr>
          <w:rFonts w:asciiTheme="minorHAnsi" w:hAnsiTheme="minorHAnsi" w:cstheme="minorHAnsi"/>
          <w:sz w:val="24"/>
          <w:szCs w:val="24"/>
        </w:rPr>
      </w:pPr>
      <w:r w:rsidRPr="00C35FDD">
        <w:rPr>
          <w:rFonts w:asciiTheme="minorHAnsi" w:hAnsiTheme="minorHAnsi" w:cstheme="minorHAnsi"/>
          <w:iCs/>
          <w:color w:val="404040"/>
          <w:sz w:val="24"/>
          <w:szCs w:val="24"/>
          <w:lang w:val="es-ES"/>
        </w:rPr>
        <w:t xml:space="preserve">La </w:t>
      </w:r>
      <w:r w:rsidRPr="00C35FDD">
        <w:rPr>
          <w:rFonts w:asciiTheme="minorHAnsi" w:hAnsiTheme="minorHAnsi" w:cstheme="minorHAnsi"/>
          <w:b/>
          <w:iCs/>
          <w:color w:val="404040"/>
          <w:sz w:val="24"/>
          <w:szCs w:val="24"/>
          <w:lang w:val="es-ES"/>
        </w:rPr>
        <w:t>rendición de cuentas</w:t>
      </w:r>
      <w:r w:rsidRPr="00C35FDD">
        <w:rPr>
          <w:rFonts w:asciiTheme="minorHAnsi" w:hAnsiTheme="minorHAnsi" w:cstheme="minorHAnsi"/>
          <w:iCs/>
          <w:color w:val="404040"/>
          <w:sz w:val="24"/>
          <w:szCs w:val="24"/>
          <w:lang w:val="es-ES"/>
        </w:rPr>
        <w:t xml:space="preserve"> destaca como uno de los mecanismos que se fortalecieron en este marco, hoy en día</w:t>
      </w:r>
      <w:r w:rsidR="006F2B95" w:rsidRPr="00C35FDD">
        <w:rPr>
          <w:rFonts w:asciiTheme="minorHAnsi" w:hAnsiTheme="minorHAnsi" w:cstheme="minorHAnsi"/>
          <w:iCs/>
          <w:color w:val="404040"/>
          <w:sz w:val="24"/>
          <w:szCs w:val="24"/>
          <w:lang w:val="es-ES"/>
        </w:rPr>
        <w:t>,</w:t>
      </w:r>
      <w:r w:rsidRPr="00C35FDD">
        <w:rPr>
          <w:rFonts w:asciiTheme="minorHAnsi" w:hAnsiTheme="minorHAnsi" w:cstheme="minorHAnsi"/>
          <w:iCs/>
          <w:color w:val="404040"/>
          <w:sz w:val="24"/>
          <w:szCs w:val="24"/>
          <w:lang w:val="es-ES"/>
        </w:rPr>
        <w:t xml:space="preserve"> son más de 80 instituciones que rinden cuentas a la población a nivel central y en los territorios, a través de los Gabinetes de Gestión Departamental y los más de cinco mil centros escolares públicos. Para ello, se elaboraron guías, manuales y materiales divulgativos, que además incentivaran la participación de la población en las audiencias públicas de rendición de cuentas.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Como resultado del primer plan de acción se creó el </w:t>
      </w:r>
      <w:r w:rsidRPr="00C35FDD">
        <w:rPr>
          <w:rFonts w:asciiTheme="minorHAnsi" w:hAnsiTheme="minorHAnsi" w:cstheme="minorHAnsi"/>
          <w:b/>
          <w:iCs/>
          <w:color w:val="404040"/>
          <w:sz w:val="24"/>
          <w:szCs w:val="24"/>
        </w:rPr>
        <w:t>portal de Gobierno Abierto</w:t>
      </w:r>
      <w:r w:rsidRPr="00C35FDD">
        <w:rPr>
          <w:rFonts w:asciiTheme="minorHAnsi" w:hAnsiTheme="minorHAnsi" w:cstheme="minorHAnsi"/>
          <w:iCs/>
          <w:color w:val="404040"/>
          <w:sz w:val="24"/>
          <w:szCs w:val="24"/>
        </w:rPr>
        <w:t xml:space="preserve"> (</w:t>
      </w:r>
      <w:hyperlink r:id="rId10" w:history="1">
        <w:r w:rsidRPr="00C35FDD">
          <w:rPr>
            <w:rFonts w:asciiTheme="minorHAnsi" w:hAnsiTheme="minorHAnsi" w:cstheme="minorHAnsi"/>
            <w:iCs/>
            <w:color w:val="404040"/>
            <w:sz w:val="24"/>
            <w:szCs w:val="24"/>
          </w:rPr>
          <w:t>www.gobiernoabierto.gob.sv</w:t>
        </w:r>
      </w:hyperlink>
      <w:r w:rsidRPr="00C35FDD">
        <w:rPr>
          <w:rFonts w:asciiTheme="minorHAnsi" w:hAnsiTheme="minorHAnsi" w:cstheme="minorHAnsi"/>
          <w:iCs/>
          <w:color w:val="404040"/>
          <w:sz w:val="24"/>
          <w:szCs w:val="24"/>
        </w:rPr>
        <w:t xml:space="preserve">) que es un sitio único que centraliza todos los esfuerzos gubernamentales en el tema, para facilitar a la población el acceso y el control de la información producida por las instituciones del Órgano Ejecutivo. </w:t>
      </w:r>
    </w:p>
    <w:p w:rsidR="009C32C7" w:rsidRPr="00C35FDD" w:rsidRDefault="009C32C7" w:rsidP="00CD5B88">
      <w:pPr>
        <w:spacing w:after="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El sitio integra: </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EF0C94">
        <w:rPr>
          <w:rFonts w:asciiTheme="minorHAnsi" w:hAnsiTheme="minorHAnsi" w:cstheme="minorHAnsi"/>
          <w:b/>
          <w:iCs/>
          <w:color w:val="404040"/>
          <w:sz w:val="24"/>
          <w:szCs w:val="24"/>
        </w:rPr>
        <w:t xml:space="preserve">Divulgación de la información pública </w:t>
      </w:r>
      <w:r w:rsidR="00EF0C94" w:rsidRPr="00EF0C94">
        <w:rPr>
          <w:rFonts w:asciiTheme="minorHAnsi" w:hAnsiTheme="minorHAnsi" w:cstheme="minorHAnsi"/>
          <w:b/>
          <w:iCs/>
          <w:color w:val="404040"/>
          <w:sz w:val="24"/>
          <w:szCs w:val="24"/>
        </w:rPr>
        <w:t>en el Portal de Transparencia</w:t>
      </w:r>
      <w:r w:rsidR="00EF0C94">
        <w:rPr>
          <w:rFonts w:asciiTheme="minorHAnsi" w:hAnsiTheme="minorHAnsi" w:cstheme="minorHAnsi"/>
          <w:iCs/>
          <w:color w:val="404040"/>
          <w:sz w:val="24"/>
          <w:szCs w:val="24"/>
        </w:rPr>
        <w:t xml:space="preserve"> en donde se centraliza la información oficiosa de </w:t>
      </w:r>
      <w:r w:rsidRPr="00C35FDD">
        <w:rPr>
          <w:rFonts w:asciiTheme="minorHAnsi" w:hAnsiTheme="minorHAnsi" w:cstheme="minorHAnsi"/>
          <w:iCs/>
          <w:color w:val="404040"/>
          <w:sz w:val="24"/>
          <w:szCs w:val="24"/>
        </w:rPr>
        <w:t>todas las instituciones del gobierno y otras dependencias del Estado</w:t>
      </w:r>
      <w:r w:rsidR="00EF0C94">
        <w:rPr>
          <w:rFonts w:asciiTheme="minorHAnsi" w:hAnsiTheme="minorHAnsi" w:cstheme="minorHAnsi"/>
          <w:iCs/>
          <w:color w:val="404040"/>
          <w:sz w:val="24"/>
          <w:szCs w:val="24"/>
        </w:rPr>
        <w:t xml:space="preserve">. Buena parte </w:t>
      </w:r>
      <w:r w:rsidRPr="00C35FDD">
        <w:rPr>
          <w:rFonts w:asciiTheme="minorHAnsi" w:hAnsiTheme="minorHAnsi" w:cstheme="minorHAnsi"/>
          <w:iCs/>
          <w:color w:val="404040"/>
          <w:sz w:val="24"/>
          <w:szCs w:val="24"/>
        </w:rPr>
        <w:t>de esa información está en formato de datos abiertos.</w:t>
      </w:r>
      <w:r w:rsidR="00EF0C94">
        <w:rPr>
          <w:rFonts w:asciiTheme="minorHAnsi" w:hAnsiTheme="minorHAnsi" w:cstheme="minorHAnsi"/>
          <w:iCs/>
          <w:color w:val="404040"/>
          <w:sz w:val="24"/>
          <w:szCs w:val="24"/>
        </w:rPr>
        <w:t xml:space="preserve"> Hasta la fecha se cuenta con más de 72 mil documentos que pertenecen a 171 instituciones.</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b/>
          <w:iCs/>
          <w:color w:val="404040"/>
          <w:sz w:val="24"/>
          <w:szCs w:val="24"/>
        </w:rPr>
        <w:t>InfoÚtil</w:t>
      </w:r>
      <w:r w:rsidRPr="00C35FDD">
        <w:rPr>
          <w:rFonts w:asciiTheme="minorHAnsi" w:hAnsiTheme="minorHAnsi" w:cstheme="minorHAnsi"/>
          <w:iCs/>
          <w:color w:val="404040"/>
          <w:sz w:val="24"/>
          <w:szCs w:val="24"/>
        </w:rPr>
        <w:t>, es un sitio que contiene bases de bases de datos abiertos con información socialmente útil para que la ciudadanía tome mejores decisiones, especialmente en la selección de bienes y servicios. Este portal tiene una gran aceptación entre la población porque les ayuda a entender fácilmente información, que publicada de otra forma, sería incompresible para ellos.</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b/>
          <w:iCs/>
          <w:color w:val="404040"/>
          <w:sz w:val="24"/>
          <w:szCs w:val="24"/>
        </w:rPr>
        <w:t>Sistema de Gestión de Solicitudes de Información Pública</w:t>
      </w:r>
      <w:r w:rsidRPr="00C35FDD">
        <w:rPr>
          <w:rFonts w:asciiTheme="minorHAnsi" w:hAnsiTheme="minorHAnsi" w:cstheme="minorHAnsi"/>
          <w:iCs/>
          <w:color w:val="404040"/>
          <w:sz w:val="24"/>
          <w:szCs w:val="24"/>
        </w:rPr>
        <w:t xml:space="preserve">, una herramienta que facilita al interior de las instituciones el trámite de las respuestas a las peticiones ciudadanas. Asimismo, el sistema permite divulgar en tiempo real estadísticas sobre el desempeño de las instituciones en el cumplimiento de la Ley de Acceso a la Información Pública. </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b/>
          <w:iCs/>
          <w:color w:val="404040"/>
          <w:sz w:val="24"/>
          <w:szCs w:val="24"/>
        </w:rPr>
        <w:t>Ranking de Información en la Web</w:t>
      </w:r>
      <w:r w:rsidR="00325C0F" w:rsidRPr="00C35FDD">
        <w:rPr>
          <w:rFonts w:asciiTheme="minorHAnsi" w:hAnsiTheme="minorHAnsi" w:cstheme="minorHAnsi"/>
          <w:b/>
          <w:iCs/>
          <w:color w:val="404040"/>
          <w:sz w:val="24"/>
          <w:szCs w:val="24"/>
        </w:rPr>
        <w:t xml:space="preserve"> (estándares de transparencia)</w:t>
      </w:r>
      <w:r w:rsidRPr="00C35FDD">
        <w:rPr>
          <w:rFonts w:asciiTheme="minorHAnsi" w:hAnsiTheme="minorHAnsi" w:cstheme="minorHAnsi"/>
          <w:iCs/>
          <w:color w:val="404040"/>
          <w:sz w:val="24"/>
          <w:szCs w:val="24"/>
        </w:rPr>
        <w:t xml:space="preserve"> que es un mecanismo que permite evaluar a las instituciones por la información pública que divulgan mediante la Web. </w:t>
      </w:r>
      <w:r w:rsidR="006F2B95" w:rsidRPr="00C35FDD">
        <w:rPr>
          <w:rFonts w:asciiTheme="minorHAnsi" w:hAnsiTheme="minorHAnsi" w:cstheme="minorHAnsi"/>
          <w:iCs/>
          <w:color w:val="404040"/>
          <w:sz w:val="24"/>
          <w:szCs w:val="24"/>
        </w:rPr>
        <w:t>É</w:t>
      </w:r>
      <w:r w:rsidRPr="00C35FDD">
        <w:rPr>
          <w:rFonts w:asciiTheme="minorHAnsi" w:hAnsiTheme="minorHAnsi" w:cstheme="minorHAnsi"/>
          <w:iCs/>
          <w:color w:val="404040"/>
          <w:sz w:val="24"/>
          <w:szCs w:val="24"/>
        </w:rPr>
        <w:t xml:space="preserve">ste incorpora elementos de los planes de acción AGA que son valor agregado a lo exigido por la  Ley de Acceso a la Información pública </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Aplicación para solicitar información, interponer </w:t>
      </w:r>
      <w:r w:rsidRPr="00C35FDD">
        <w:rPr>
          <w:rFonts w:asciiTheme="minorHAnsi" w:hAnsiTheme="minorHAnsi" w:cstheme="minorHAnsi"/>
          <w:b/>
          <w:iCs/>
          <w:color w:val="404040"/>
          <w:sz w:val="24"/>
          <w:szCs w:val="24"/>
        </w:rPr>
        <w:t>quejas y avisos en línea</w:t>
      </w:r>
      <w:r w:rsidRPr="00C35FDD">
        <w:rPr>
          <w:rFonts w:asciiTheme="minorHAnsi" w:hAnsiTheme="minorHAnsi" w:cstheme="minorHAnsi"/>
          <w:iCs/>
          <w:color w:val="404040"/>
          <w:sz w:val="24"/>
          <w:szCs w:val="24"/>
        </w:rPr>
        <w:t xml:space="preserve"> a las instituciones del gobierno.</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b/>
          <w:iCs/>
          <w:color w:val="404040"/>
          <w:sz w:val="24"/>
          <w:szCs w:val="24"/>
        </w:rPr>
        <w:t>Transparencia Activa</w:t>
      </w:r>
      <w:r w:rsidRPr="00C35FDD">
        <w:rPr>
          <w:rFonts w:asciiTheme="minorHAnsi" w:hAnsiTheme="minorHAnsi" w:cstheme="minorHAnsi"/>
          <w:iCs/>
          <w:color w:val="404040"/>
          <w:sz w:val="24"/>
          <w:szCs w:val="24"/>
        </w:rPr>
        <w:t xml:space="preserve">, medio de comunicación digital que aborda temas sobre transparencia, acceso a información, rendición de cuentas, participación ciudadana. Además </w:t>
      </w:r>
      <w:r w:rsidR="00325C0F" w:rsidRPr="00C35FDD">
        <w:rPr>
          <w:rFonts w:asciiTheme="minorHAnsi" w:hAnsiTheme="minorHAnsi" w:cstheme="minorHAnsi"/>
          <w:iCs/>
          <w:color w:val="404040"/>
          <w:sz w:val="24"/>
          <w:szCs w:val="24"/>
        </w:rPr>
        <w:t>por</w:t>
      </w:r>
      <w:r w:rsidRPr="00C35FDD">
        <w:rPr>
          <w:rFonts w:asciiTheme="minorHAnsi" w:hAnsiTheme="minorHAnsi" w:cstheme="minorHAnsi"/>
          <w:iCs/>
          <w:color w:val="404040"/>
          <w:sz w:val="24"/>
          <w:szCs w:val="24"/>
        </w:rPr>
        <w:t xml:space="preserve"> su medio se han </w:t>
      </w:r>
      <w:r w:rsidR="00325C0F" w:rsidRPr="00C35FDD">
        <w:rPr>
          <w:rFonts w:asciiTheme="minorHAnsi" w:hAnsiTheme="minorHAnsi" w:cstheme="minorHAnsi"/>
          <w:iCs/>
          <w:color w:val="404040"/>
          <w:sz w:val="24"/>
          <w:szCs w:val="24"/>
        </w:rPr>
        <w:t>publicado</w:t>
      </w:r>
      <w:r w:rsidRPr="00C35FDD">
        <w:rPr>
          <w:rFonts w:asciiTheme="minorHAnsi" w:hAnsiTheme="minorHAnsi" w:cstheme="minorHAnsi"/>
          <w:iCs/>
          <w:color w:val="404040"/>
          <w:sz w:val="24"/>
          <w:szCs w:val="24"/>
        </w:rPr>
        <w:t xml:space="preserve"> casos de corrupción. </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b/>
          <w:iCs/>
          <w:color w:val="404040"/>
          <w:sz w:val="24"/>
          <w:szCs w:val="24"/>
        </w:rPr>
        <w:t>Aula Virtual</w:t>
      </w:r>
      <w:r w:rsidRPr="00C35FDD">
        <w:rPr>
          <w:rFonts w:asciiTheme="minorHAnsi" w:hAnsiTheme="minorHAnsi" w:cstheme="minorHAnsi"/>
          <w:iCs/>
          <w:color w:val="404040"/>
          <w:sz w:val="24"/>
          <w:szCs w:val="24"/>
        </w:rPr>
        <w:t xml:space="preserve">, que ofrece cursos en línea a diversos sectores de la población y servidores públicos. Se desarrollan desde cursos cortos hasta diplomados especializados en la materia. </w:t>
      </w:r>
    </w:p>
    <w:p w:rsidR="009C32C7" w:rsidRPr="00C35FDD" w:rsidRDefault="009C32C7" w:rsidP="00325C0F">
      <w:pPr>
        <w:pStyle w:val="Prrafodelista1"/>
        <w:numPr>
          <w:ilvl w:val="0"/>
          <w:numId w:val="6"/>
        </w:numPr>
        <w:spacing w:before="240" w:line="360" w:lineRule="auto"/>
        <w:ind w:left="709" w:hanging="349"/>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Aplicación para la </w:t>
      </w:r>
      <w:r w:rsidRPr="00C35FDD">
        <w:rPr>
          <w:rFonts w:asciiTheme="minorHAnsi" w:hAnsiTheme="minorHAnsi" w:cstheme="minorHAnsi"/>
          <w:b/>
          <w:iCs/>
          <w:color w:val="404040"/>
          <w:sz w:val="24"/>
          <w:szCs w:val="24"/>
        </w:rPr>
        <w:t>consulta de los planes de acción de la Alianza</w:t>
      </w:r>
      <w:r w:rsidRPr="00C35FDD">
        <w:rPr>
          <w:rFonts w:asciiTheme="minorHAnsi" w:hAnsiTheme="minorHAnsi" w:cstheme="minorHAnsi"/>
          <w:iCs/>
          <w:color w:val="404040"/>
          <w:sz w:val="24"/>
          <w:szCs w:val="24"/>
        </w:rPr>
        <w:t xml:space="preserve"> para el Gobierno  Abierto. Esta herramienta también ha servido para realizar otra serie de consultas.</w:t>
      </w:r>
    </w:p>
    <w:p w:rsidR="009C32C7" w:rsidRPr="00C35FDD" w:rsidRDefault="009C32C7" w:rsidP="00325C0F">
      <w:pPr>
        <w:pStyle w:val="Prrafodelista1"/>
        <w:spacing w:before="24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El Ministerio de Hacienda desarrolló y continua mejorando el </w:t>
      </w:r>
      <w:r w:rsidRPr="00C35FDD">
        <w:rPr>
          <w:rFonts w:asciiTheme="minorHAnsi" w:hAnsiTheme="minorHAnsi" w:cstheme="minorHAnsi"/>
          <w:b/>
          <w:iCs/>
          <w:color w:val="404040"/>
          <w:sz w:val="24"/>
          <w:szCs w:val="24"/>
        </w:rPr>
        <w:t>portal Transparencia Fiscal</w:t>
      </w:r>
      <w:r w:rsidRPr="00C35FDD">
        <w:rPr>
          <w:rFonts w:asciiTheme="minorHAnsi" w:hAnsiTheme="minorHAnsi" w:cstheme="minorHAnsi"/>
          <w:iCs/>
          <w:color w:val="404040"/>
          <w:sz w:val="24"/>
          <w:szCs w:val="24"/>
        </w:rPr>
        <w:t>, que posee ahora un nuevo diseño, amigable, con gráficos interactivos, lenguaje de fácil comprensión  y herramientas para facilitar la búsqueda de la información a los ciudadanos para que ejerzan mejor contraloría en el gasto, inversión y deuda.</w:t>
      </w:r>
    </w:p>
    <w:p w:rsidR="009C32C7" w:rsidRPr="00C35FDD" w:rsidRDefault="009C32C7" w:rsidP="00325C0F">
      <w:pPr>
        <w:pStyle w:val="Prrafodelista1"/>
        <w:spacing w:before="24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Asimismo en el proceso de implementación de los planes de realizó el </w:t>
      </w:r>
      <w:r w:rsidRPr="00C35FDD">
        <w:rPr>
          <w:rFonts w:asciiTheme="minorHAnsi" w:hAnsiTheme="minorHAnsi" w:cstheme="minorHAnsi"/>
          <w:b/>
          <w:iCs/>
          <w:color w:val="404040"/>
          <w:sz w:val="24"/>
          <w:szCs w:val="24"/>
        </w:rPr>
        <w:t>Primer Hackthon de Gobierno Abierto</w:t>
      </w:r>
      <w:r w:rsidRPr="00C35FDD">
        <w:rPr>
          <w:rFonts w:asciiTheme="minorHAnsi" w:hAnsiTheme="minorHAnsi" w:cstheme="minorHAnsi"/>
          <w:iCs/>
          <w:color w:val="404040"/>
          <w:sz w:val="24"/>
          <w:szCs w:val="24"/>
        </w:rPr>
        <w:t>, mediante el cual más de 100 jóvenes desarrolladores y diseñadores presentaron aplicaciones que facilitaran a la población el acceso a la información, mayor acceso a servicios públicos y la interposición de quejas y avisos.</w:t>
      </w:r>
    </w:p>
    <w:p w:rsidR="00325C0F" w:rsidRPr="00C35FDD" w:rsidRDefault="009C32C7" w:rsidP="00325C0F">
      <w:pPr>
        <w:pStyle w:val="Prrafodelista1"/>
        <w:spacing w:before="24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La incorporación de El Salvador a OGP ha sido de mucho provecho y aprendizajes especialmente en la planificación, implementación, seguimiento y evaluación de los compromisos, así como en los procesos de consulta y la relación con la Sociedad Civil. Desde el año 2009 en el país se apostó a la transparencia y la participación ciudadana. Esas condiciones han permitido que en su mayoría los compromisos se hayan cumplido</w:t>
      </w:r>
      <w:r w:rsidR="00325C0F" w:rsidRPr="00C35FDD">
        <w:rPr>
          <w:rFonts w:asciiTheme="minorHAnsi" w:hAnsiTheme="minorHAnsi" w:cstheme="minorHAnsi"/>
          <w:iCs/>
          <w:color w:val="404040"/>
          <w:sz w:val="24"/>
          <w:szCs w:val="24"/>
        </w:rPr>
        <w:t xml:space="preserve">. </w:t>
      </w:r>
    </w:p>
    <w:p w:rsidR="009C32C7" w:rsidRPr="00C35FDD" w:rsidRDefault="00325C0F" w:rsidP="00325C0F">
      <w:pPr>
        <w:pStyle w:val="Prrafodelista1"/>
        <w:spacing w:before="24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S</w:t>
      </w:r>
      <w:r w:rsidR="009C32C7" w:rsidRPr="00C35FDD">
        <w:rPr>
          <w:rFonts w:asciiTheme="minorHAnsi" w:hAnsiTheme="minorHAnsi" w:cstheme="minorHAnsi"/>
          <w:iCs/>
          <w:color w:val="404040"/>
          <w:sz w:val="24"/>
          <w:szCs w:val="24"/>
        </w:rPr>
        <w:t>in duda quedan muchas cosas por mejorar y muchas por crear, pero se han sentado las bases para impulsar la filosofía del Gobierno Abierto en la administración pública salvadoreña.</w:t>
      </w:r>
    </w:p>
    <w:p w:rsidR="009C32C7" w:rsidRPr="00CD5B88" w:rsidRDefault="009C32C7" w:rsidP="00325C0F">
      <w:pPr>
        <w:pStyle w:val="Prrafodelista1"/>
        <w:spacing w:before="240" w:line="360" w:lineRule="auto"/>
        <w:ind w:left="0"/>
        <w:jc w:val="both"/>
        <w:rPr>
          <w:rFonts w:ascii="Arial" w:hAnsi="Arial" w:cs="Arial"/>
          <w:iCs/>
          <w:color w:val="404040"/>
          <w:sz w:val="24"/>
          <w:szCs w:val="24"/>
        </w:rPr>
      </w:pPr>
    </w:p>
    <w:p w:rsidR="009C32C7" w:rsidRPr="00CD5B88" w:rsidRDefault="009C32C7" w:rsidP="00CD5B88">
      <w:pPr>
        <w:pStyle w:val="Prrafodelista1"/>
        <w:spacing w:after="0" w:line="360" w:lineRule="auto"/>
        <w:ind w:left="0"/>
        <w:jc w:val="both"/>
        <w:rPr>
          <w:rFonts w:ascii="Arial" w:hAnsi="Arial" w:cs="Arial"/>
          <w:iCs/>
          <w:color w:val="404040"/>
          <w:sz w:val="24"/>
          <w:szCs w:val="24"/>
        </w:rPr>
      </w:pPr>
    </w:p>
    <w:p w:rsidR="009C32C7" w:rsidRPr="00CD5B88" w:rsidRDefault="009C32C7" w:rsidP="00CD5B88">
      <w:pPr>
        <w:pStyle w:val="Prrafodelista1"/>
        <w:spacing w:after="0" w:line="360" w:lineRule="auto"/>
        <w:ind w:left="0"/>
        <w:jc w:val="both"/>
        <w:rPr>
          <w:rFonts w:ascii="Arial" w:hAnsi="Arial" w:cs="Arial"/>
          <w:sz w:val="24"/>
          <w:szCs w:val="24"/>
        </w:rPr>
      </w:pPr>
    </w:p>
    <w:p w:rsidR="009C32C7" w:rsidRPr="00CD5B88" w:rsidRDefault="009C32C7" w:rsidP="00CD5B88">
      <w:pPr>
        <w:pStyle w:val="Prrafodelista1"/>
        <w:spacing w:after="0" w:line="360" w:lineRule="auto"/>
        <w:ind w:left="0"/>
        <w:jc w:val="both"/>
        <w:rPr>
          <w:rFonts w:ascii="Arial" w:hAnsi="Arial" w:cs="Arial"/>
        </w:rPr>
      </w:pPr>
    </w:p>
    <w:p w:rsidR="009C32C7" w:rsidRPr="00CD5B88" w:rsidRDefault="009C32C7" w:rsidP="00CD5B88">
      <w:pPr>
        <w:pStyle w:val="Prrafodelista1"/>
        <w:spacing w:after="0" w:line="360" w:lineRule="auto"/>
        <w:ind w:left="0"/>
        <w:jc w:val="both"/>
        <w:rPr>
          <w:rFonts w:ascii="Arial" w:hAnsi="Arial" w:cs="Arial"/>
        </w:rPr>
      </w:pPr>
    </w:p>
    <w:p w:rsidR="009C32C7" w:rsidRPr="00A25846" w:rsidRDefault="00A25846" w:rsidP="00A25846">
      <w:pPr>
        <w:pStyle w:val="Ttulo1"/>
        <w:pageBreakBefore/>
        <w:tabs>
          <w:tab w:val="clear" w:pos="432"/>
          <w:tab w:val="num" w:pos="0"/>
        </w:tabs>
        <w:spacing w:line="240" w:lineRule="auto"/>
        <w:ind w:left="0" w:firstLine="0"/>
        <w:rPr>
          <w:rFonts w:ascii="Impact" w:hAnsi="Impact" w:cs="Aharoni"/>
          <w:b w:val="0"/>
          <w:spacing w:val="40"/>
          <w:w w:val="90"/>
          <w:kern w:val="40"/>
          <w:sz w:val="44"/>
          <w:szCs w:val="44"/>
        </w:rPr>
      </w:pPr>
      <w:bookmarkStart w:id="12" w:name="_Toc404893847"/>
      <w:bookmarkStart w:id="13" w:name="_Toc404948491"/>
      <w:bookmarkStart w:id="14" w:name="_Toc404948854"/>
      <w:bookmarkStart w:id="15" w:name="_Toc405021441"/>
      <w:bookmarkEnd w:id="12"/>
      <w:r w:rsidRPr="00A25846">
        <w:rPr>
          <w:rFonts w:ascii="Impact" w:hAnsi="Impact" w:cs="Aharoni"/>
          <w:b w:val="0"/>
          <w:spacing w:val="40"/>
          <w:w w:val="90"/>
          <w:kern w:val="40"/>
          <w:sz w:val="44"/>
          <w:szCs w:val="44"/>
        </w:rPr>
        <w:t>PROCESO DE FORMULACIÓN DEL PLAN DE ACCIÓN 2014-2016</w:t>
      </w:r>
      <w:bookmarkEnd w:id="13"/>
      <w:bookmarkEnd w:id="14"/>
      <w:bookmarkEnd w:id="15"/>
    </w:p>
    <w:p w:rsidR="00A25846" w:rsidRDefault="00A25846" w:rsidP="00CD5B88">
      <w:pPr>
        <w:spacing w:line="360" w:lineRule="auto"/>
        <w:jc w:val="both"/>
        <w:rPr>
          <w:rFonts w:ascii="Arial" w:hAnsi="Arial" w:cs="Arial"/>
          <w:iCs/>
          <w:color w:val="404040"/>
          <w:sz w:val="24"/>
          <w:szCs w:val="24"/>
        </w:rPr>
      </w:pP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La Secretaría de Participación Ciudadana, Transparencia y Anticorrupción (SPCTA) </w:t>
      </w:r>
      <w:r w:rsidRPr="00C35FDD">
        <w:rPr>
          <w:rFonts w:asciiTheme="minorHAnsi" w:hAnsiTheme="minorHAnsi" w:cstheme="minorHAnsi"/>
          <w:bCs/>
          <w:iCs/>
          <w:color w:val="404040"/>
          <w:sz w:val="24"/>
          <w:szCs w:val="24"/>
          <w:lang w:val="es-MX"/>
        </w:rPr>
        <w:t>tiene como misión y mandato, de acuerdo al Reglamento Interno el Órgano Ejecutivo</w:t>
      </w:r>
      <w:r w:rsidR="006F2B95" w:rsidRPr="00C35FDD">
        <w:rPr>
          <w:rFonts w:asciiTheme="minorHAnsi" w:hAnsiTheme="minorHAnsi" w:cstheme="minorHAnsi"/>
          <w:bCs/>
          <w:iCs/>
          <w:color w:val="404040"/>
          <w:sz w:val="24"/>
          <w:szCs w:val="24"/>
          <w:lang w:val="es-MX"/>
        </w:rPr>
        <w:t xml:space="preserve">, </w:t>
      </w:r>
      <w:r w:rsidRPr="00C35FDD">
        <w:rPr>
          <w:rFonts w:asciiTheme="minorHAnsi" w:hAnsiTheme="minorHAnsi" w:cstheme="minorHAnsi"/>
          <w:iCs/>
          <w:color w:val="404040"/>
          <w:sz w:val="24"/>
          <w:szCs w:val="24"/>
        </w:rPr>
        <w:t>fomentar y garantizar el ejercicio del derecho de participación de la ciudadanía e instituir instancias, mecanismos y procedimientos de transparencia en la gestión del gobierno, coordinando la deliberación pública con las diferentes Instituciones Autónomas y la sociedad para el seguimiento de las políticas públicas y la prestación de servicios, así como sentar las bases para una democracia con más participación ciudadana. Si consideramos los principios de Gobierno Abierto que son la transparencia, rendición de cuentas y participación ciudadana es la SPCTA el ente encargado de dirigir la consulta del plan de acción y su implementación porque sus fines coinciden perfectamente con los de la Alianza por un Gobierno Abierto (AGA).</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El  proceso de formulación incluyó una consulta planificada por las organizaciones: Iniciativa Social para la Democracia (ISD), Fundación Salvadoreña para el Desarrollo Económico y Social (FUSADES), Fundación Democracia – Transparencia – Justicia (DTJ), Fundación Nacional para el Desarrollo (FUNDE) y Open Knowledge El Salvador, con apoyo del Programa de las Naciones Unidas para el Desarrollo (PNUD)</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En agosto de 2014 las organizaciones antes mencionadas llevaron a cabo un primer taller de consulta ciudadana para la formulación de las propuestas de acciones </w:t>
      </w:r>
      <w:r w:rsidR="006F2B95" w:rsidRPr="00C35FDD">
        <w:rPr>
          <w:rFonts w:asciiTheme="minorHAnsi" w:hAnsiTheme="minorHAnsi" w:cstheme="minorHAnsi"/>
          <w:iCs/>
          <w:color w:val="404040"/>
          <w:sz w:val="24"/>
          <w:szCs w:val="24"/>
        </w:rPr>
        <w:t>d</w:t>
      </w:r>
      <w:r w:rsidRPr="00C35FDD">
        <w:rPr>
          <w:rFonts w:asciiTheme="minorHAnsi" w:hAnsiTheme="minorHAnsi" w:cstheme="minorHAnsi"/>
          <w:iCs/>
          <w:color w:val="404040"/>
          <w:sz w:val="24"/>
          <w:szCs w:val="24"/>
        </w:rPr>
        <w:t xml:space="preserve">el actual Plan de Acción. Posteriormente realizaron una consulta en línea por medio del un portal alojado en </w:t>
      </w:r>
      <w:hyperlink r:id="rId11" w:history="1">
        <w:r w:rsidRPr="00C35FDD">
          <w:rPr>
            <w:rStyle w:val="Hipervnculo"/>
            <w:rFonts w:asciiTheme="minorHAnsi" w:hAnsiTheme="minorHAnsi" w:cstheme="minorHAnsi"/>
            <w:sz w:val="24"/>
            <w:szCs w:val="24"/>
          </w:rPr>
          <w:t>http://gobiernoabierto.abiertoalpublico.org/</w:t>
        </w:r>
      </w:hyperlink>
      <w:r w:rsidRPr="00C35FDD">
        <w:rPr>
          <w:rFonts w:asciiTheme="minorHAnsi" w:hAnsiTheme="minorHAnsi" w:cstheme="minorHAnsi"/>
          <w:iCs/>
          <w:color w:val="404040"/>
          <w:sz w:val="24"/>
          <w:szCs w:val="24"/>
        </w:rPr>
        <w:t xml:space="preserve">. De los insumos obtenidos en las consultas realizaron un proceso de discusión y sistematización del cual surgieron 15 propuestas de compromisos e indicadores que fueron presentados en un taller de validación. Finalmente el 28 de octubre hicieron la entrega pública de las propuestas al Secretario de Participación Ciudadana, Transparencia y Anticorrupción.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El Gobierno de El Salvador, en el marco del diseño del Plan Quinquenal de Desarrollo 2014-2019, realizó una amplia consulta que comprendía cuatro modalidades: jornadas sectoriales, jornadas territoriales, consulta especializada y consulta en línea (</w:t>
      </w:r>
      <w:hyperlink r:id="rId12" w:history="1">
        <w:r w:rsidRPr="00C35FDD">
          <w:rPr>
            <w:rStyle w:val="Hipervnculo"/>
            <w:rFonts w:asciiTheme="minorHAnsi" w:hAnsiTheme="minorHAnsi" w:cstheme="minorHAnsi"/>
            <w:sz w:val="24"/>
            <w:szCs w:val="24"/>
          </w:rPr>
          <w:t>http://consulta.gob.sv</w:t>
        </w:r>
      </w:hyperlink>
      <w:r w:rsidRPr="00C35FDD">
        <w:rPr>
          <w:rFonts w:asciiTheme="minorHAnsi" w:hAnsiTheme="minorHAnsi" w:cstheme="minorHAnsi"/>
          <w:iCs/>
          <w:color w:val="404040"/>
          <w:sz w:val="24"/>
          <w:szCs w:val="24"/>
        </w:rPr>
        <w:t xml:space="preserve">). Inmersos en este proceso,  se decidió construir sobre la base de esos insumos los compromisos que serían propuestos para el Plan de Acción – AGA 2014-2016.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La consulta sectorial, dirigida por la SPCTA, consistió en la realización de cinco talleres: dos sobre Participación Ciudadana, dos sobre Transparencia y Anticorrupción y uno con servidores públicos sobre todos los temas.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Una vez se tenían las propuestas de las cinco organizaciones civiles se consolidó con las propuestas derivadas de los talleres que realizó la SPCTA para tener un primer borrador que fue presentado a los Ministros y Titulares de las autónomas para analizar la viabilidad y pertinencia de las propuestas que se hicieron; se analizaron las competencias legales de cada uno de los entes involucrados para verificar que efectivamente se tuvieran las potestades para realizar las actividades que solicitó la ciudadanía.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Una vez finalizada la ronda de consultas institucionales se realizó una reunión con las cinco organizaciones para presentarles el resultado de las mismas y se incorporaron los comentarios que ellos tenían previo a la validación que se haría de documento final.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El día 26 de noviembre del presente año se hizo la validación de los 20 compromisos resultantes del proceso de consulta. Esta incluyó un sistema de votación electrónico para que los participantes expresaran si estaban de acuerdo o en desacuerdo con las propuestas presentadas. La mayoría de compromisos tuvieron una aprobación del 100% por lo que mantuvieron su redacción, por el contrario</w:t>
      </w:r>
      <w:r w:rsidR="006F2B95" w:rsidRPr="00C35FDD">
        <w:rPr>
          <w:rFonts w:asciiTheme="minorHAnsi" w:hAnsiTheme="minorHAnsi" w:cstheme="minorHAnsi"/>
          <w:iCs/>
          <w:color w:val="404040"/>
          <w:sz w:val="24"/>
          <w:szCs w:val="24"/>
        </w:rPr>
        <w:t>,</w:t>
      </w:r>
      <w:r w:rsidRPr="00C35FDD">
        <w:rPr>
          <w:rFonts w:asciiTheme="minorHAnsi" w:hAnsiTheme="minorHAnsi" w:cstheme="minorHAnsi"/>
          <w:iCs/>
          <w:color w:val="404040"/>
          <w:sz w:val="24"/>
          <w:szCs w:val="24"/>
        </w:rPr>
        <w:t xml:space="preserve"> las que no tuvieron el 100% se revisaron las recomendaciones y se incluyeron aquellas que eran factibles técnicamente.</w:t>
      </w:r>
      <w:r w:rsidR="00325C0F" w:rsidRPr="00C35FDD">
        <w:rPr>
          <w:rFonts w:asciiTheme="minorHAnsi" w:hAnsiTheme="minorHAnsi" w:cstheme="minorHAnsi"/>
          <w:iCs/>
          <w:color w:val="404040"/>
          <w:sz w:val="24"/>
          <w:szCs w:val="24"/>
        </w:rPr>
        <w:t xml:space="preserve"> Muchos de los aportes, serán retomados en el proceso de implementación o serán incorporados al plan estratégico de la SPCTA. </w:t>
      </w:r>
    </w:p>
    <w:p w:rsidR="009C32C7" w:rsidRPr="00C35FDD" w:rsidRDefault="009C32C7" w:rsidP="00325C0F">
      <w:pPr>
        <w:spacing w:before="240" w:line="360" w:lineRule="auto"/>
        <w:jc w:val="both"/>
        <w:rPr>
          <w:rFonts w:asciiTheme="minorHAnsi" w:hAnsiTheme="minorHAnsi" w:cstheme="minorHAnsi"/>
          <w:sz w:val="24"/>
          <w:szCs w:val="24"/>
        </w:rPr>
      </w:pPr>
      <w:r w:rsidRPr="00C35FDD">
        <w:rPr>
          <w:rFonts w:asciiTheme="minorHAnsi" w:hAnsiTheme="minorHAnsi" w:cstheme="minorHAnsi"/>
          <w:iCs/>
          <w:color w:val="404040"/>
          <w:sz w:val="24"/>
          <w:szCs w:val="24"/>
        </w:rPr>
        <w:t xml:space="preserve">Los siguientes compromisos son el resultado de un proceso colaborativo y de diálogo entre el Gobierno y organizaciones de la sociedad civil que incorporaron las propuestas que la ciudadanía estimó pertinentes para consolidar un Gobierno Abierto en El Salvador. </w:t>
      </w:r>
    </w:p>
    <w:p w:rsidR="009C32C7" w:rsidRPr="00CD5B88" w:rsidRDefault="009C32C7" w:rsidP="00325C0F">
      <w:pPr>
        <w:pStyle w:val="Estilo1"/>
        <w:spacing w:before="240"/>
        <w:jc w:val="center"/>
        <w:rPr>
          <w:rFonts w:ascii="Arial" w:hAnsi="Arial" w:cs="Arial"/>
        </w:rPr>
      </w:pPr>
    </w:p>
    <w:p w:rsidR="009C32C7" w:rsidRPr="00A25846" w:rsidRDefault="00A25846" w:rsidP="00A25846">
      <w:pPr>
        <w:pStyle w:val="Ttulo1"/>
        <w:pageBreakBefore/>
        <w:tabs>
          <w:tab w:val="clear" w:pos="432"/>
          <w:tab w:val="num" w:pos="0"/>
        </w:tabs>
        <w:spacing w:line="240" w:lineRule="auto"/>
        <w:ind w:left="0" w:firstLine="0"/>
        <w:rPr>
          <w:rFonts w:ascii="Impact" w:hAnsi="Impact" w:cs="Aharoni"/>
          <w:b w:val="0"/>
          <w:spacing w:val="40"/>
          <w:w w:val="90"/>
          <w:kern w:val="40"/>
          <w:sz w:val="44"/>
          <w:szCs w:val="44"/>
        </w:rPr>
      </w:pPr>
      <w:bookmarkStart w:id="16" w:name="_Toc404893848"/>
      <w:bookmarkStart w:id="17" w:name="_Toc404948492"/>
      <w:bookmarkStart w:id="18" w:name="_Toc404948855"/>
      <w:bookmarkStart w:id="19" w:name="_Toc405021442"/>
      <w:bookmarkEnd w:id="16"/>
      <w:r w:rsidRPr="00A25846">
        <w:rPr>
          <w:rFonts w:ascii="Impact" w:hAnsi="Impact" w:cs="Aharoni"/>
          <w:b w:val="0"/>
          <w:spacing w:val="40"/>
          <w:w w:val="90"/>
          <w:kern w:val="40"/>
          <w:sz w:val="44"/>
          <w:szCs w:val="44"/>
        </w:rPr>
        <w:t>PLAN DE ACCIÓN 2014-2016</w:t>
      </w:r>
      <w:bookmarkEnd w:id="17"/>
      <w:bookmarkEnd w:id="18"/>
      <w:bookmarkEnd w:id="19"/>
    </w:p>
    <w:p w:rsidR="009C32C7" w:rsidRPr="00CD5B88" w:rsidRDefault="009C32C7" w:rsidP="00CD5B88">
      <w:pPr>
        <w:spacing w:line="360" w:lineRule="auto"/>
        <w:jc w:val="both"/>
        <w:rPr>
          <w:rFonts w:ascii="Arial" w:hAnsi="Arial" w:cs="Arial"/>
        </w:rPr>
      </w:pPr>
    </w:p>
    <w:p w:rsidR="009C32C7" w:rsidRPr="00C35FDD" w:rsidRDefault="009C32C7" w:rsidP="00CD5B88">
      <w:pPr>
        <w:spacing w:line="360" w:lineRule="auto"/>
        <w:jc w:val="both"/>
        <w:rPr>
          <w:rFonts w:asciiTheme="minorHAnsi" w:hAnsiTheme="minorHAnsi" w:cstheme="minorHAnsi"/>
        </w:rPr>
      </w:pPr>
      <w:r w:rsidRPr="00C35FDD">
        <w:rPr>
          <w:rFonts w:asciiTheme="minorHAnsi" w:hAnsiTheme="minorHAnsi" w:cstheme="minorHAnsi"/>
          <w:iCs/>
          <w:color w:val="404040"/>
          <w:sz w:val="24"/>
          <w:szCs w:val="24"/>
        </w:rPr>
        <w:t xml:space="preserve">Uno de los objetivos planteados por el Gobierno de El Salvador es lograr una gestión pública ética, abierta, transparente y efectiva en la lucha contra la corrupción, que reconozca a la población como protagonista </w:t>
      </w:r>
      <w:r w:rsidRPr="00C35FDD">
        <w:rPr>
          <w:rFonts w:asciiTheme="minorHAnsi" w:hAnsiTheme="minorHAnsi" w:cstheme="minorHAnsi"/>
          <w:iCs/>
          <w:color w:val="404040"/>
          <w:sz w:val="24"/>
          <w:szCs w:val="24"/>
          <w:lang w:val="es-ES"/>
        </w:rPr>
        <w:t>en el diseño, implementación y evaluación de las políticas públicas y en el control de los recursos públicos</w:t>
      </w:r>
      <w:r w:rsidRPr="00C35FDD">
        <w:rPr>
          <w:rFonts w:asciiTheme="minorHAnsi" w:hAnsiTheme="minorHAnsi" w:cstheme="minorHAnsi"/>
          <w:iCs/>
          <w:color w:val="404040"/>
          <w:sz w:val="24"/>
          <w:szCs w:val="24"/>
        </w:rPr>
        <w:t xml:space="preserve">. </w:t>
      </w:r>
    </w:p>
    <w:p w:rsidR="009C32C7" w:rsidRPr="00CD5B88" w:rsidRDefault="009C32C7" w:rsidP="00CD5B88">
      <w:pPr>
        <w:spacing w:line="360" w:lineRule="auto"/>
        <w:jc w:val="both"/>
        <w:rPr>
          <w:rFonts w:ascii="Arial" w:hAnsi="Arial" w:cs="Arial"/>
        </w:rPr>
      </w:pPr>
    </w:p>
    <w:p w:rsidR="009C32C7" w:rsidRPr="00CD5B88" w:rsidRDefault="009C32C7" w:rsidP="00CD5B88">
      <w:pPr>
        <w:pStyle w:val="Ttulo2"/>
        <w:numPr>
          <w:ilvl w:val="1"/>
          <w:numId w:val="2"/>
        </w:numPr>
        <w:rPr>
          <w:rFonts w:ascii="Arial" w:hAnsi="Arial" w:cs="Arial"/>
          <w:color w:val="404040"/>
          <w:sz w:val="24"/>
          <w:szCs w:val="24"/>
        </w:rPr>
      </w:pPr>
      <w:bookmarkStart w:id="20" w:name="_Toc404893849"/>
      <w:bookmarkStart w:id="21" w:name="_Toc404948493"/>
      <w:bookmarkStart w:id="22" w:name="_Toc404948856"/>
      <w:bookmarkStart w:id="23" w:name="_Toc405021443"/>
      <w:r w:rsidRPr="00CD5B88">
        <w:rPr>
          <w:rFonts w:ascii="Arial" w:hAnsi="Arial" w:cs="Arial"/>
        </w:rPr>
        <w:t>Objetivo</w:t>
      </w:r>
      <w:bookmarkEnd w:id="20"/>
      <w:bookmarkEnd w:id="21"/>
      <w:bookmarkEnd w:id="22"/>
      <w:bookmarkEnd w:id="23"/>
    </w:p>
    <w:p w:rsidR="009C32C7" w:rsidRPr="00C35FDD" w:rsidRDefault="009C32C7" w:rsidP="00CD5B88">
      <w:pPr>
        <w:spacing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Contribuir, mediante compromisos  enfocados a Gobierno Abierto, a la construcción de un Sistema Nacional de Integridad fundamentado en un pacto nacional entre Estado, ciudadanía y sector empresarial, que fortalezca la calidad de la democracia y el desarrollo del país.</w:t>
      </w:r>
    </w:p>
    <w:p w:rsidR="009C32C7" w:rsidRPr="00CD5B88" w:rsidRDefault="009C32C7" w:rsidP="00CD5B88">
      <w:pPr>
        <w:spacing w:line="360" w:lineRule="auto"/>
        <w:jc w:val="both"/>
        <w:rPr>
          <w:rFonts w:ascii="Arial" w:hAnsi="Arial" w:cs="Arial"/>
        </w:rPr>
      </w:pPr>
    </w:p>
    <w:p w:rsidR="009C32C7" w:rsidRPr="00CD5B88" w:rsidRDefault="009C32C7" w:rsidP="00CD5B88">
      <w:pPr>
        <w:pStyle w:val="Ttulo2"/>
        <w:numPr>
          <w:ilvl w:val="1"/>
          <w:numId w:val="2"/>
        </w:numPr>
        <w:rPr>
          <w:rFonts w:ascii="Arial" w:hAnsi="Arial" w:cs="Arial"/>
          <w:color w:val="404040"/>
          <w:sz w:val="24"/>
          <w:szCs w:val="24"/>
        </w:rPr>
      </w:pPr>
      <w:bookmarkStart w:id="24" w:name="_Toc404893850"/>
      <w:bookmarkStart w:id="25" w:name="_Toc404948494"/>
      <w:bookmarkStart w:id="26" w:name="_Toc404948857"/>
      <w:bookmarkStart w:id="27" w:name="_Toc405021444"/>
      <w:bookmarkEnd w:id="24"/>
      <w:r w:rsidRPr="00CD5B88">
        <w:rPr>
          <w:rFonts w:ascii="Arial" w:hAnsi="Arial" w:cs="Arial"/>
        </w:rPr>
        <w:t>Componentes</w:t>
      </w:r>
      <w:bookmarkEnd w:id="25"/>
      <w:bookmarkEnd w:id="26"/>
      <w:bookmarkEnd w:id="27"/>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1.  Participación ciudadana: </w:t>
      </w:r>
      <w:r w:rsidRPr="00C35FDD">
        <w:rPr>
          <w:rFonts w:asciiTheme="minorHAnsi" w:hAnsiTheme="minorHAnsi" w:cstheme="minorHAnsi"/>
          <w:iCs/>
          <w:color w:val="404040"/>
          <w:sz w:val="24"/>
          <w:szCs w:val="24"/>
          <w:lang w:val="es-ES"/>
        </w:rPr>
        <w:t xml:space="preserve">Promover una cultura ciudadana, mecanismos y capacidades para un involucramiento crítico y propositivo de la sociedad en la toma de decisiones y el control social de la gestión pública.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2. Integridad Pública: </w:t>
      </w:r>
      <w:r w:rsidRPr="00C35FDD">
        <w:rPr>
          <w:rFonts w:asciiTheme="minorHAnsi" w:hAnsiTheme="minorHAnsi" w:cstheme="minorHAnsi"/>
          <w:iCs/>
          <w:color w:val="404040"/>
          <w:sz w:val="24"/>
          <w:szCs w:val="24"/>
          <w:lang w:val="es-NI"/>
        </w:rPr>
        <w:t>Facilitar el acceso a la información sobre el cumplimiento de las disposiciones legales relativas, con el propósito activar la contraloría social para prevenir hechos que afecten los intereses públicos</w:t>
      </w:r>
      <w:r w:rsidRPr="00C35FDD">
        <w:rPr>
          <w:rFonts w:asciiTheme="minorHAnsi" w:hAnsiTheme="minorHAnsi" w:cstheme="minorHAnsi"/>
          <w:iCs/>
          <w:color w:val="404040"/>
          <w:sz w:val="24"/>
          <w:szCs w:val="24"/>
        </w:rPr>
        <w:t xml:space="preserve">.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3. Transparencia: Asegurar el acceso a la información y la obligación de rendir cuentas sobre su actuación y el uso de los recursos. También promover  la  transparencia  en los procesos de contratación de bienes, productos y servicios, así como de recursos humanos.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4. Lucha contra la corrupción: Desarrollar  un  sistema  proactivo  para  prevenir,  detectar  y  promover  sanciones para erradicar la corrupción. </w:t>
      </w:r>
    </w:p>
    <w:p w:rsidR="009C32C7" w:rsidRPr="00C35FDD" w:rsidRDefault="009C32C7" w:rsidP="00325C0F">
      <w:pPr>
        <w:spacing w:before="240" w:line="360" w:lineRule="auto"/>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6. Mejora de los Servicios Públicos: Impulsar acciones encaminadas a atender poblaciones vulnerables. Asimismo, mejorar la prestación de servicios o la gestión de trámites, incorporando proceso de calidad y el uso de las Tecnologías. </w:t>
      </w:r>
    </w:p>
    <w:p w:rsidR="009C32C7" w:rsidRPr="00C35FDD" w:rsidRDefault="009C32C7" w:rsidP="00325C0F">
      <w:pPr>
        <w:spacing w:before="240" w:line="360" w:lineRule="auto"/>
        <w:jc w:val="both"/>
        <w:rPr>
          <w:rFonts w:asciiTheme="minorHAnsi" w:hAnsiTheme="minorHAnsi" w:cstheme="minorHAnsi"/>
        </w:rPr>
      </w:pPr>
      <w:r w:rsidRPr="00C35FDD">
        <w:rPr>
          <w:rFonts w:asciiTheme="minorHAnsi" w:hAnsiTheme="minorHAnsi" w:cstheme="minorHAnsi"/>
          <w:iCs/>
          <w:color w:val="404040"/>
          <w:sz w:val="24"/>
          <w:szCs w:val="24"/>
        </w:rPr>
        <w:t xml:space="preserve">7. Fortalecimiento institucional y articulación interinstitucional. Desarrollar las capacidades técnicas y tecnológicas en las instituciones y fomentar la articulación y el diálogo entre instituciones públicas y actores sociales, que faciliten el cumplimiento de los compromisos del Plan de Acción 2014-2016. </w:t>
      </w:r>
    </w:p>
    <w:p w:rsidR="009C32C7" w:rsidRPr="00CD5B88" w:rsidRDefault="009C32C7" w:rsidP="00325C0F">
      <w:pPr>
        <w:spacing w:before="240" w:line="360" w:lineRule="auto"/>
        <w:rPr>
          <w:rFonts w:ascii="Arial" w:hAnsi="Arial" w:cs="Arial"/>
        </w:rPr>
      </w:pPr>
    </w:p>
    <w:p w:rsidR="009C32C7" w:rsidRPr="00CD5B88" w:rsidRDefault="009C32C7" w:rsidP="00CD5B88">
      <w:pPr>
        <w:pStyle w:val="Ttulo2"/>
        <w:numPr>
          <w:ilvl w:val="1"/>
          <w:numId w:val="2"/>
        </w:numPr>
        <w:rPr>
          <w:rFonts w:ascii="Arial" w:hAnsi="Arial" w:cs="Arial"/>
          <w:i w:val="0"/>
          <w:iCs w:val="0"/>
        </w:rPr>
      </w:pPr>
      <w:bookmarkStart w:id="28" w:name="_Toc404893851"/>
      <w:bookmarkStart w:id="29" w:name="_Toc404948495"/>
      <w:bookmarkStart w:id="30" w:name="_Toc404948858"/>
      <w:bookmarkStart w:id="31" w:name="_Toc405021445"/>
      <w:bookmarkEnd w:id="28"/>
      <w:r w:rsidRPr="00CD5B88">
        <w:rPr>
          <w:rFonts w:ascii="Arial" w:hAnsi="Arial" w:cs="Arial"/>
        </w:rPr>
        <w:t>Entidades  Involucradas</w:t>
      </w:r>
      <w:bookmarkEnd w:id="29"/>
      <w:bookmarkEnd w:id="30"/>
      <w:bookmarkEnd w:id="31"/>
    </w:p>
    <w:p w:rsidR="00A41568" w:rsidRDefault="009C32C7" w:rsidP="00A41568">
      <w:pPr>
        <w:spacing w:line="360"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Para el presente Plan se han incorporado compromisos en los cinco  ejes  centrales  de  la  Al</w:t>
      </w:r>
      <w:r w:rsidR="00A41568">
        <w:rPr>
          <w:rStyle w:val="nfasissutil1"/>
          <w:rFonts w:asciiTheme="minorHAnsi" w:hAnsiTheme="minorHAnsi" w:cstheme="minorHAnsi"/>
          <w:i w:val="0"/>
          <w:color w:val="404040"/>
          <w:sz w:val="24"/>
          <w:szCs w:val="24"/>
        </w:rPr>
        <w:t xml:space="preserve">ianza  para el Gobierno Abierto, que serán ejecutados por las siguientes instituciones: </w:t>
      </w:r>
      <w:r w:rsidRPr="00C35FDD">
        <w:rPr>
          <w:rStyle w:val="nfasissutil1"/>
          <w:rFonts w:asciiTheme="minorHAnsi" w:hAnsiTheme="minorHAnsi" w:cstheme="minorHAnsi"/>
          <w:i w:val="0"/>
          <w:color w:val="404040"/>
          <w:sz w:val="24"/>
          <w:szCs w:val="24"/>
        </w:rPr>
        <w:t xml:space="preserve"> </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 xml:space="preserve">Secretaría  de Participación,  Transparencia  y  Anticorrupción    </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Secretaría Técnica y de Planificación</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Ministerio de Justicia y Seguridad Pública</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 xml:space="preserve">Ministerios  Salud </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Ministerio de Educación</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Ministerio de Hacienda</w:t>
      </w:r>
    </w:p>
    <w:p w:rsidR="009C32C7" w:rsidRPr="00C35FDD" w:rsidRDefault="009C32C7" w:rsidP="00A41568">
      <w:pPr>
        <w:pStyle w:val="Prrafodelista1"/>
        <w:numPr>
          <w:ilvl w:val="0"/>
          <w:numId w:val="5"/>
        </w:numPr>
        <w:spacing w:after="0" w:line="276" w:lineRule="auto"/>
        <w:rPr>
          <w:rFonts w:asciiTheme="minorHAnsi" w:hAnsiTheme="minorHAnsi" w:cstheme="minorHAnsi"/>
          <w:iCs/>
          <w:color w:val="404040"/>
          <w:sz w:val="24"/>
          <w:szCs w:val="24"/>
        </w:rPr>
      </w:pPr>
      <w:r w:rsidRPr="00C35FDD">
        <w:rPr>
          <w:rStyle w:val="nfasissutil1"/>
          <w:rFonts w:asciiTheme="minorHAnsi" w:hAnsiTheme="minorHAnsi" w:cstheme="minorHAnsi"/>
          <w:i w:val="0"/>
          <w:color w:val="404040"/>
          <w:sz w:val="24"/>
          <w:szCs w:val="24"/>
        </w:rPr>
        <w:t>Policía Nacional Civil</w:t>
      </w:r>
    </w:p>
    <w:p w:rsidR="009C32C7" w:rsidRPr="00C35FDD" w:rsidRDefault="009C32C7" w:rsidP="00A41568">
      <w:pPr>
        <w:pStyle w:val="Prrafodelista1"/>
        <w:numPr>
          <w:ilvl w:val="0"/>
          <w:numId w:val="5"/>
        </w:numPr>
        <w:spacing w:after="0" w:line="276" w:lineRule="auto"/>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Fondo de Conservación Vial</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Fonts w:asciiTheme="minorHAnsi" w:hAnsiTheme="minorHAnsi" w:cstheme="minorHAnsi"/>
          <w:iCs/>
          <w:color w:val="404040"/>
          <w:sz w:val="24"/>
          <w:szCs w:val="24"/>
        </w:rPr>
        <w:t>Dirección General de Centros Penales</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 xml:space="preserve">Dirección </w:t>
      </w:r>
      <w:r w:rsidRPr="00C35FDD">
        <w:rPr>
          <w:rFonts w:asciiTheme="minorHAnsi" w:hAnsiTheme="minorHAnsi" w:cstheme="minorHAnsi"/>
          <w:iCs/>
          <w:color w:val="404040"/>
          <w:sz w:val="24"/>
          <w:szCs w:val="24"/>
        </w:rPr>
        <w:t>de Innovación Tecnológica e Informática</w:t>
      </w:r>
      <w:r w:rsidRPr="00C35FDD">
        <w:rPr>
          <w:rStyle w:val="nfasissutil1"/>
          <w:rFonts w:asciiTheme="minorHAnsi" w:hAnsiTheme="minorHAnsi" w:cstheme="minorHAnsi"/>
          <w:i w:val="0"/>
          <w:color w:val="404040"/>
          <w:sz w:val="24"/>
          <w:szCs w:val="24"/>
        </w:rPr>
        <w:t xml:space="preserve"> de la Presidencia</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Sección de Probidad de la Corte Suprema de Justicia</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Instituto de Acceso a la Información Pública</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Organizaciones de la Sociedad Civil</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Empresa Privada</w:t>
      </w:r>
    </w:p>
    <w:p w:rsidR="009C32C7" w:rsidRPr="00C35FDD" w:rsidRDefault="009C32C7" w:rsidP="00A41568">
      <w:pPr>
        <w:pStyle w:val="Prrafodelista1"/>
        <w:numPr>
          <w:ilvl w:val="0"/>
          <w:numId w:val="5"/>
        </w:numPr>
        <w:spacing w:after="0" w:line="276" w:lineRule="auto"/>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Universidades</w:t>
      </w:r>
    </w:p>
    <w:p w:rsidR="006F2B95" w:rsidRPr="00C35FDD" w:rsidRDefault="009C32C7" w:rsidP="00A41568">
      <w:pPr>
        <w:pStyle w:val="Prrafodelista1"/>
        <w:numPr>
          <w:ilvl w:val="0"/>
          <w:numId w:val="5"/>
        </w:numPr>
        <w:spacing w:after="0" w:line="276" w:lineRule="auto"/>
        <w:rPr>
          <w:rFonts w:asciiTheme="minorHAnsi" w:hAnsiTheme="minorHAnsi" w:cstheme="minorHAnsi"/>
        </w:rPr>
      </w:pPr>
      <w:r w:rsidRPr="00C35FDD">
        <w:rPr>
          <w:rStyle w:val="nfasissutil1"/>
          <w:rFonts w:asciiTheme="minorHAnsi" w:hAnsiTheme="minorHAnsi" w:cstheme="minorHAnsi"/>
          <w:i w:val="0"/>
          <w:color w:val="404040"/>
          <w:sz w:val="24"/>
          <w:szCs w:val="24"/>
        </w:rPr>
        <w:t>Grupo CoST El Salvador</w:t>
      </w:r>
      <w:bookmarkStart w:id="32" w:name="_Toc404893852"/>
      <w:bookmarkStart w:id="33" w:name="_Toc404948496"/>
      <w:bookmarkStart w:id="34" w:name="_Toc404948859"/>
      <w:bookmarkEnd w:id="32"/>
    </w:p>
    <w:p w:rsidR="00A41568" w:rsidRDefault="00A41568" w:rsidP="00A41568">
      <w:pPr>
        <w:spacing w:line="360" w:lineRule="auto"/>
        <w:ind w:left="360"/>
        <w:rPr>
          <w:rStyle w:val="nfasissutil1"/>
          <w:rFonts w:asciiTheme="minorHAnsi" w:hAnsiTheme="minorHAnsi" w:cstheme="minorHAnsi"/>
          <w:i w:val="0"/>
          <w:color w:val="404040"/>
          <w:sz w:val="24"/>
          <w:szCs w:val="24"/>
        </w:rPr>
      </w:pPr>
    </w:p>
    <w:p w:rsidR="00A41568" w:rsidRPr="00A41568" w:rsidRDefault="00A41568" w:rsidP="00A41568">
      <w:pPr>
        <w:spacing w:line="360" w:lineRule="auto"/>
        <w:ind w:left="360"/>
        <w:rPr>
          <w:rStyle w:val="nfasissutil1"/>
          <w:rFonts w:asciiTheme="minorHAnsi" w:hAnsiTheme="minorHAnsi" w:cstheme="minorHAnsi"/>
          <w:i w:val="0"/>
          <w:color w:val="404040"/>
          <w:sz w:val="24"/>
          <w:szCs w:val="24"/>
        </w:rPr>
      </w:pPr>
      <w:r>
        <w:rPr>
          <w:rStyle w:val="nfasissutil1"/>
          <w:rFonts w:asciiTheme="minorHAnsi" w:hAnsiTheme="minorHAnsi" w:cstheme="minorHAnsi"/>
          <w:i w:val="0"/>
          <w:color w:val="404040"/>
          <w:sz w:val="24"/>
          <w:szCs w:val="24"/>
        </w:rPr>
        <w:t xml:space="preserve">Queda abierta la </w:t>
      </w:r>
      <w:r w:rsidRPr="00A41568">
        <w:rPr>
          <w:rStyle w:val="nfasissutil1"/>
          <w:rFonts w:asciiTheme="minorHAnsi" w:hAnsiTheme="minorHAnsi" w:cstheme="minorHAnsi"/>
          <w:i w:val="0"/>
          <w:color w:val="404040"/>
          <w:sz w:val="24"/>
          <w:szCs w:val="24"/>
        </w:rPr>
        <w:t xml:space="preserve">posibilidad de </w:t>
      </w:r>
      <w:r>
        <w:rPr>
          <w:rStyle w:val="nfasissutil1"/>
          <w:rFonts w:asciiTheme="minorHAnsi" w:hAnsiTheme="minorHAnsi" w:cstheme="minorHAnsi"/>
          <w:i w:val="0"/>
          <w:color w:val="404040"/>
          <w:sz w:val="24"/>
          <w:szCs w:val="24"/>
        </w:rPr>
        <w:t>incorporar</w:t>
      </w:r>
      <w:r w:rsidRPr="00A41568">
        <w:rPr>
          <w:rStyle w:val="nfasissutil1"/>
          <w:rFonts w:asciiTheme="minorHAnsi" w:hAnsiTheme="minorHAnsi" w:cstheme="minorHAnsi"/>
          <w:i w:val="0"/>
          <w:color w:val="404040"/>
          <w:sz w:val="24"/>
          <w:szCs w:val="24"/>
        </w:rPr>
        <w:t xml:space="preserve"> más </w:t>
      </w:r>
      <w:r>
        <w:rPr>
          <w:rStyle w:val="nfasissutil1"/>
          <w:rFonts w:asciiTheme="minorHAnsi" w:hAnsiTheme="minorHAnsi" w:cstheme="minorHAnsi"/>
          <w:i w:val="0"/>
          <w:color w:val="404040"/>
          <w:sz w:val="24"/>
          <w:szCs w:val="24"/>
        </w:rPr>
        <w:t>entidades</w:t>
      </w:r>
      <w:r w:rsidRPr="00A41568">
        <w:rPr>
          <w:rStyle w:val="nfasissutil1"/>
          <w:rFonts w:asciiTheme="minorHAnsi" w:hAnsiTheme="minorHAnsi" w:cstheme="minorHAnsi"/>
          <w:i w:val="0"/>
          <w:color w:val="404040"/>
          <w:sz w:val="24"/>
          <w:szCs w:val="24"/>
        </w:rPr>
        <w:t xml:space="preserve"> públic</w:t>
      </w:r>
      <w:r>
        <w:rPr>
          <w:rStyle w:val="nfasissutil1"/>
          <w:rFonts w:asciiTheme="minorHAnsi" w:hAnsiTheme="minorHAnsi" w:cstheme="minorHAnsi"/>
          <w:i w:val="0"/>
          <w:color w:val="404040"/>
          <w:sz w:val="24"/>
          <w:szCs w:val="24"/>
        </w:rPr>
        <w:t>a</w:t>
      </w:r>
      <w:r w:rsidRPr="00A41568">
        <w:rPr>
          <w:rStyle w:val="nfasissutil1"/>
          <w:rFonts w:asciiTheme="minorHAnsi" w:hAnsiTheme="minorHAnsi" w:cstheme="minorHAnsi"/>
          <w:i w:val="0"/>
          <w:color w:val="404040"/>
          <w:sz w:val="24"/>
          <w:szCs w:val="24"/>
        </w:rPr>
        <w:t>s y privad</w:t>
      </w:r>
      <w:r>
        <w:rPr>
          <w:rStyle w:val="nfasissutil1"/>
          <w:rFonts w:asciiTheme="minorHAnsi" w:hAnsiTheme="minorHAnsi" w:cstheme="minorHAnsi"/>
          <w:i w:val="0"/>
          <w:color w:val="404040"/>
          <w:sz w:val="24"/>
          <w:szCs w:val="24"/>
        </w:rPr>
        <w:t>a</w:t>
      </w:r>
      <w:r w:rsidRPr="00A41568">
        <w:rPr>
          <w:rStyle w:val="nfasissutil1"/>
          <w:rFonts w:asciiTheme="minorHAnsi" w:hAnsiTheme="minorHAnsi" w:cstheme="minorHAnsi"/>
          <w:i w:val="0"/>
          <w:color w:val="404040"/>
          <w:sz w:val="24"/>
          <w:szCs w:val="24"/>
        </w:rPr>
        <w:t>s</w:t>
      </w:r>
      <w:r>
        <w:rPr>
          <w:rStyle w:val="nfasissutil1"/>
          <w:rFonts w:asciiTheme="minorHAnsi" w:hAnsiTheme="minorHAnsi" w:cstheme="minorHAnsi"/>
          <w:i w:val="0"/>
          <w:color w:val="404040"/>
          <w:sz w:val="24"/>
          <w:szCs w:val="24"/>
        </w:rPr>
        <w:t>.</w:t>
      </w:r>
    </w:p>
    <w:p w:rsidR="006F2B95" w:rsidRPr="00CD5B88" w:rsidRDefault="006F2B95" w:rsidP="00CD5B88">
      <w:pPr>
        <w:pStyle w:val="Textoindependiente"/>
        <w:spacing w:line="360" w:lineRule="auto"/>
        <w:rPr>
          <w:rFonts w:ascii="Arial" w:hAnsi="Arial" w:cs="Arial"/>
        </w:rPr>
      </w:pPr>
    </w:p>
    <w:p w:rsidR="009C32C7" w:rsidRPr="00CD5B88" w:rsidRDefault="009C32C7" w:rsidP="00CD5B88">
      <w:pPr>
        <w:pStyle w:val="Ttulo2"/>
        <w:numPr>
          <w:ilvl w:val="1"/>
          <w:numId w:val="2"/>
        </w:numPr>
        <w:rPr>
          <w:rFonts w:ascii="Arial" w:hAnsi="Arial" w:cs="Arial"/>
        </w:rPr>
      </w:pPr>
      <w:bookmarkStart w:id="35" w:name="_Toc405021446"/>
      <w:r w:rsidRPr="00CD5B88">
        <w:rPr>
          <w:rFonts w:ascii="Arial" w:hAnsi="Arial" w:cs="Arial"/>
        </w:rPr>
        <w:t>Matriz de compromisos</w:t>
      </w:r>
      <w:bookmarkEnd w:id="33"/>
      <w:bookmarkEnd w:id="34"/>
      <w:bookmarkEnd w:id="35"/>
    </w:p>
    <w:p w:rsidR="009C32C7" w:rsidRPr="00CD5B88" w:rsidRDefault="009C32C7" w:rsidP="00CD5B88">
      <w:pPr>
        <w:pStyle w:val="Prrafodelista1"/>
        <w:spacing w:line="360" w:lineRule="auto"/>
        <w:ind w:left="0"/>
        <w:rPr>
          <w:rFonts w:ascii="Arial" w:hAnsi="Arial" w:cs="Arial"/>
        </w:rPr>
      </w:pPr>
    </w:p>
    <w:p w:rsidR="009C32C7" w:rsidRDefault="009C32C7" w:rsidP="00CD5B88">
      <w:pPr>
        <w:pStyle w:val="Prrafodelista1"/>
        <w:spacing w:line="360" w:lineRule="auto"/>
        <w:ind w:left="0"/>
        <w:jc w:val="both"/>
        <w:rPr>
          <w:rStyle w:val="nfasissutil1"/>
          <w:rFonts w:asciiTheme="minorHAnsi" w:hAnsiTheme="minorHAnsi" w:cstheme="minorHAnsi"/>
          <w:i w:val="0"/>
          <w:color w:val="404040"/>
          <w:sz w:val="24"/>
          <w:szCs w:val="24"/>
        </w:rPr>
      </w:pPr>
      <w:r w:rsidRPr="00C35FDD">
        <w:rPr>
          <w:rStyle w:val="nfasissutil1"/>
          <w:rFonts w:asciiTheme="minorHAnsi" w:hAnsiTheme="minorHAnsi" w:cstheme="minorHAnsi"/>
          <w:i w:val="0"/>
          <w:color w:val="404040"/>
          <w:sz w:val="24"/>
          <w:szCs w:val="24"/>
        </w:rPr>
        <w:t>Seguidamente se presenta los compromisos que asume el Gobierno de El Salvador ante la Alianza para el Gobierno Abierto, durante el período 2014-2016</w:t>
      </w:r>
    </w:p>
    <w:p w:rsidR="002E6CD7" w:rsidRPr="00C35FDD" w:rsidRDefault="002E6CD7" w:rsidP="00CD5B88">
      <w:pPr>
        <w:pStyle w:val="Prrafodelista1"/>
        <w:spacing w:line="360" w:lineRule="auto"/>
        <w:ind w:left="0"/>
        <w:jc w:val="both"/>
        <w:rPr>
          <w:rStyle w:val="nfasissutil1"/>
          <w:rFonts w:asciiTheme="minorHAnsi" w:hAnsiTheme="minorHAnsi" w:cstheme="minorHAnsi"/>
          <w:i w:val="0"/>
          <w:color w:val="404040"/>
          <w:sz w:val="24"/>
          <w:szCs w:val="24"/>
        </w:rPr>
      </w:pPr>
    </w:p>
    <w:p w:rsidR="002749B0"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DESAFÍO 1: ADMINISTRACIÓN DE LOS RECURSOS PÚBLICOS</w:t>
      </w:r>
    </w:p>
    <w:tbl>
      <w:tblPr>
        <w:tblW w:w="9985" w:type="dxa"/>
        <w:jc w:val="center"/>
        <w:tblInd w:w="554"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tblPr>
      <w:tblGrid>
        <w:gridCol w:w="3261"/>
        <w:gridCol w:w="3027"/>
        <w:gridCol w:w="3697"/>
      </w:tblGrid>
      <w:tr w:rsidR="009C32C7" w:rsidRPr="00A85DED" w:rsidTr="00C35FDD">
        <w:trPr>
          <w:trHeight w:val="484"/>
          <w:jc w:val="center"/>
        </w:trPr>
        <w:tc>
          <w:tcPr>
            <w:tcW w:w="3261" w:type="dxa"/>
            <w:shd w:val="clear" w:color="auto" w:fill="595959" w:themeFill="text1" w:themeFillTint="A6"/>
            <w:vAlign w:val="center"/>
          </w:tcPr>
          <w:p w:rsidR="009C32C7" w:rsidRPr="00A85DED" w:rsidRDefault="009C32C7" w:rsidP="00A25846">
            <w:pPr>
              <w:pStyle w:val="ParaAttribute2"/>
              <w:spacing w:after="0" w:line="276" w:lineRule="auto"/>
              <w:jc w:val="center"/>
              <w:rPr>
                <w:rFonts w:asciiTheme="minorHAnsi" w:eastAsia="Calibri" w:hAnsiTheme="minorHAnsi" w:cstheme="minorHAnsi"/>
                <w:b/>
                <w:color w:val="FFFFFF" w:themeColor="background1"/>
              </w:rPr>
            </w:pPr>
            <w:bookmarkStart w:id="36" w:name="Bookmark1"/>
            <w:bookmarkEnd w:id="36"/>
            <w:r w:rsidRPr="00A85DED">
              <w:rPr>
                <w:rFonts w:asciiTheme="minorHAnsi" w:eastAsia="Calibri" w:hAnsiTheme="minorHAnsi" w:cstheme="minorHAnsi"/>
                <w:b/>
                <w:color w:val="FFFFFF" w:themeColor="background1"/>
              </w:rPr>
              <w:t>COMPROMISOS</w:t>
            </w:r>
          </w:p>
        </w:tc>
        <w:tc>
          <w:tcPr>
            <w:tcW w:w="3027" w:type="dxa"/>
            <w:shd w:val="clear" w:color="auto" w:fill="595959" w:themeFill="text1" w:themeFillTint="A6"/>
            <w:vAlign w:val="center"/>
          </w:tcPr>
          <w:p w:rsidR="003B35EC" w:rsidRPr="00A85DED" w:rsidRDefault="009C32C7" w:rsidP="00A25846">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9C32C7" w:rsidRPr="00A85DED" w:rsidRDefault="009C32C7" w:rsidP="00A25846">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697" w:type="dxa"/>
            <w:shd w:val="clear" w:color="auto" w:fill="595959" w:themeFill="text1" w:themeFillTint="A6"/>
            <w:vAlign w:val="center"/>
          </w:tcPr>
          <w:p w:rsidR="00F16750" w:rsidRPr="00A85DED" w:rsidRDefault="009C32C7" w:rsidP="00A25846">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INDICADORES DE</w:t>
            </w:r>
          </w:p>
          <w:p w:rsidR="009C32C7" w:rsidRPr="00A85DED" w:rsidRDefault="009C32C7" w:rsidP="00A25846">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 CUMPLIMIENTO</w:t>
            </w: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hAnsiTheme="minorHAnsi" w:cstheme="minorHAnsi"/>
                <w:b/>
              </w:rPr>
            </w:pPr>
            <w:r w:rsidRPr="00C35FDD">
              <w:rPr>
                <w:rFonts w:asciiTheme="minorHAnsi" w:eastAsia="Calibri" w:hAnsiTheme="minorHAnsi" w:cstheme="minorHAnsi"/>
                <w:b/>
                <w:color w:val="000000"/>
              </w:rPr>
              <w:t>PARTICIPACIÓN CIUDADANA EN LOS PROCESOS DE PLANIFICACIÓN</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color w:val="000000"/>
                <w:sz w:val="22"/>
                <w:szCs w:val="22"/>
              </w:rPr>
              <w:t xml:space="preserve">Diseñar herramientas y metodologías para promover la participación ciudadana en el diseño e implementación de las políticas públicas. </w:t>
            </w:r>
          </w:p>
        </w:tc>
        <w:tc>
          <w:tcPr>
            <w:tcW w:w="3027"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bCs/>
                <w:color w:val="000000"/>
                <w:sz w:val="22"/>
                <w:szCs w:val="22"/>
              </w:rPr>
              <w:t>Secretaría Técnica y de Planificación  y Secretaría de Participación Ciudadana y Transparencia.</w:t>
            </w:r>
          </w:p>
          <w:p w:rsidR="009C32C7" w:rsidRPr="00A85DED" w:rsidRDefault="009C32C7" w:rsidP="00A25846">
            <w:pPr>
              <w:spacing w:line="276" w:lineRule="auto"/>
              <w:rPr>
                <w:rFonts w:asciiTheme="minorHAnsi" w:hAnsiTheme="minorHAnsi" w:cstheme="minorHAnsi"/>
              </w:rPr>
            </w:pPr>
          </w:p>
          <w:p w:rsidR="009C32C7" w:rsidRPr="00A85DED" w:rsidRDefault="009C32C7" w:rsidP="00A25846">
            <w:pPr>
              <w:spacing w:line="276" w:lineRule="auto"/>
              <w:rPr>
                <w:rFonts w:asciiTheme="minorHAnsi" w:hAnsiTheme="minorHAnsi" w:cstheme="minorHAnsi"/>
              </w:rPr>
            </w:pPr>
          </w:p>
          <w:p w:rsidR="009C32C7" w:rsidRPr="00A85DED" w:rsidRDefault="009C32C7" w:rsidP="00A25846">
            <w:pPr>
              <w:spacing w:line="276" w:lineRule="auto"/>
              <w:rPr>
                <w:rFonts w:asciiTheme="minorHAnsi" w:hAnsiTheme="minorHAnsi" w:cstheme="minorHAnsi"/>
              </w:rPr>
            </w:pPr>
          </w:p>
          <w:p w:rsidR="009C32C7" w:rsidRPr="00A85DED" w:rsidRDefault="009C32C7" w:rsidP="00A25846">
            <w:pPr>
              <w:spacing w:line="276" w:lineRule="auto"/>
              <w:rPr>
                <w:rFonts w:asciiTheme="minorHAnsi" w:hAnsiTheme="minorHAnsi" w:cstheme="minorHAnsi"/>
              </w:rPr>
            </w:pPr>
          </w:p>
          <w:p w:rsidR="009C32C7" w:rsidRPr="00A85DED" w:rsidRDefault="009C32C7" w:rsidP="00A25846">
            <w:pPr>
              <w:tabs>
                <w:tab w:val="left" w:pos="2278"/>
              </w:tabs>
              <w:spacing w:line="276" w:lineRule="auto"/>
              <w:rPr>
                <w:rFonts w:asciiTheme="minorHAnsi" w:eastAsia="Calibri" w:hAnsiTheme="minorHAnsi" w:cstheme="minorHAnsi"/>
                <w:bCs/>
                <w:color w:val="000000"/>
              </w:rPr>
            </w:pPr>
            <w:r w:rsidRPr="00A85DED">
              <w:rPr>
                <w:rFonts w:asciiTheme="minorHAnsi" w:hAnsiTheme="minorHAnsi" w:cstheme="minorHAnsi"/>
                <w:lang w:eastAsia="es-SV"/>
              </w:rPr>
              <w:tab/>
            </w:r>
          </w:p>
        </w:tc>
        <w:tc>
          <w:tcPr>
            <w:tcW w:w="3697"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bCs/>
                <w:color w:val="000000"/>
                <w:sz w:val="22"/>
                <w:szCs w:val="22"/>
              </w:rPr>
              <w:t>Decreto Ejecutivo en que se establezcan los lineamientos generales para la implementación de mecanismos de participación ciudadana</w:t>
            </w:r>
            <w:r w:rsidR="00EF0C94">
              <w:rPr>
                <w:rFonts w:asciiTheme="minorHAnsi" w:eastAsia="Calibri" w:hAnsiTheme="minorHAnsi" w:cstheme="minorHAnsi"/>
                <w:bCs/>
                <w:color w:val="000000"/>
                <w:sz w:val="22"/>
                <w:szCs w:val="22"/>
              </w:rPr>
              <w:t xml:space="preserve"> emitido</w:t>
            </w:r>
            <w:r w:rsidRPr="00A85DED">
              <w:rPr>
                <w:rFonts w:asciiTheme="minorHAnsi" w:eastAsia="Calibri" w:hAnsiTheme="minorHAnsi" w:cstheme="minorHAnsi"/>
                <w:bCs/>
                <w:color w:val="000000"/>
                <w:sz w:val="22"/>
                <w:szCs w:val="22"/>
              </w:rPr>
              <w:t xml:space="preserve">.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bCs/>
                <w:color w:val="000000"/>
                <w:sz w:val="22"/>
                <w:szCs w:val="22"/>
              </w:rPr>
              <w:t xml:space="preserve">Enfoque y lineamientos para la participación ciudadana incorporados al documento conceptual del Sistema Nacional de Planificación.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bCs/>
                <w:color w:val="000000"/>
                <w:sz w:val="22"/>
                <w:szCs w:val="22"/>
              </w:rPr>
              <w:t xml:space="preserve">Enfoque y lineamientos para la participación ciudadana incorporados al documento guía de planeación estratégica de las instituciones del Órgano Ejecutivo. </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2749B0" w:rsidRPr="00C35FD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Plazo: Hasta</w:t>
            </w:r>
            <w:r w:rsidR="00EF0C94">
              <w:rPr>
                <w:rFonts w:asciiTheme="minorHAnsi" w:eastAsia="Calibri" w:hAnsiTheme="minorHAnsi" w:cstheme="minorHAnsi"/>
                <w:bCs/>
                <w:color w:val="000000"/>
                <w:sz w:val="22"/>
                <w:szCs w:val="22"/>
              </w:rPr>
              <w:t xml:space="preserve"> junio</w:t>
            </w:r>
            <w:r w:rsidRPr="00A85DED">
              <w:rPr>
                <w:rFonts w:asciiTheme="minorHAnsi" w:eastAsia="Calibri" w:hAnsiTheme="minorHAnsi" w:cstheme="minorHAnsi"/>
                <w:bCs/>
                <w:color w:val="000000"/>
                <w:sz w:val="22"/>
                <w:szCs w:val="22"/>
              </w:rPr>
              <w:t xml:space="preserve"> 2016</w:t>
            </w: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MECANISMO INDEPENDIENTE DE SEGUIMIENTO AL PLAN QUINQUENAL DE DESARROLLO 2014-2019</w:t>
            </w:r>
          </w:p>
          <w:p w:rsidR="009C32C7" w:rsidRPr="00A85DED" w:rsidRDefault="009C32C7" w:rsidP="00A25846">
            <w:pPr>
              <w:pStyle w:val="ParaAttribute2"/>
              <w:spacing w:after="0" w:line="276" w:lineRule="auto"/>
              <w:rPr>
                <w:rFonts w:asciiTheme="minorHAnsi" w:hAnsiTheme="minorHAnsi" w:cstheme="minorHAnsi"/>
                <w:sz w:val="22"/>
                <w:szCs w:val="22"/>
              </w:rPr>
            </w:pPr>
          </w:p>
          <w:p w:rsidR="002749B0" w:rsidRPr="00C35FD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Crear espacios que permitan a la sociedad civil llevar un monitoreo y seguimiento de los resultados e impactos de las políticas públicas derivadas del Plan Quinquenal de Desarrollo 2014-2019.</w:t>
            </w:r>
          </w:p>
        </w:tc>
        <w:tc>
          <w:tcPr>
            <w:tcW w:w="3027"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Secretaría Técnica y de Planificación; Secretaría de Participación Ciudadana, Transparencia y Anticorrupción, Universidades, Sociedad Civil.</w:t>
            </w:r>
          </w:p>
        </w:tc>
        <w:tc>
          <w:tcPr>
            <w:tcW w:w="3697" w:type="dxa"/>
            <w:shd w:val="clear" w:color="auto" w:fill="FFFFFF"/>
          </w:tcPr>
          <w:p w:rsidR="009C32C7" w:rsidRPr="00A85DED" w:rsidRDefault="00EF0C94"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M</w:t>
            </w:r>
            <w:r w:rsidR="009C32C7" w:rsidRPr="00A85DED">
              <w:rPr>
                <w:rFonts w:asciiTheme="minorHAnsi" w:eastAsia="Calibri" w:hAnsiTheme="minorHAnsi" w:cstheme="minorHAnsi"/>
                <w:color w:val="000000"/>
                <w:sz w:val="22"/>
                <w:szCs w:val="22"/>
              </w:rPr>
              <w:t>ecanismo de monitoreo y seguimiento</w:t>
            </w:r>
            <w:r>
              <w:rPr>
                <w:rFonts w:asciiTheme="minorHAnsi" w:eastAsia="Calibri" w:hAnsiTheme="minorHAnsi" w:cstheme="minorHAnsi"/>
                <w:color w:val="000000"/>
                <w:sz w:val="22"/>
                <w:szCs w:val="22"/>
              </w:rPr>
              <w:t xml:space="preserve"> creado y </w:t>
            </w:r>
            <w:r w:rsidRPr="00A85DED">
              <w:rPr>
                <w:rFonts w:asciiTheme="minorHAnsi" w:eastAsia="Calibri" w:hAnsiTheme="minorHAnsi" w:cstheme="minorHAnsi"/>
                <w:color w:val="000000"/>
                <w:sz w:val="22"/>
                <w:szCs w:val="22"/>
              </w:rPr>
              <w:t>en funcionamiento</w:t>
            </w:r>
            <w:r w:rsidR="009C32C7" w:rsidRPr="00A85DED">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ind w:left="720"/>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DESPACHOS ABIERTOS</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Impulsar espacios de diálogo entre los titulares de las instituciones y la población sobre temas de interés relacionados con la gestión y competencia institucional, a fin de generar acuerdos que permitan buscar soluciones a los problemas sociales. </w:t>
            </w:r>
          </w:p>
          <w:p w:rsidR="00C35FDD" w:rsidRPr="00A85DED" w:rsidRDefault="00C35FDD" w:rsidP="00A25846">
            <w:pPr>
              <w:pStyle w:val="ParaAttribute2"/>
              <w:spacing w:after="0" w:line="276" w:lineRule="auto"/>
              <w:jc w:val="both"/>
              <w:rPr>
                <w:rFonts w:asciiTheme="minorHAnsi" w:eastAsia="Calibri" w:hAnsiTheme="minorHAnsi" w:cstheme="minorHAnsi"/>
                <w:bCs/>
                <w:color w:val="000000"/>
                <w:sz w:val="22"/>
                <w:szCs w:val="22"/>
              </w:rPr>
            </w:pPr>
          </w:p>
        </w:tc>
        <w:tc>
          <w:tcPr>
            <w:tcW w:w="3027"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bCs/>
                <w:color w:val="000000"/>
                <w:sz w:val="22"/>
                <w:szCs w:val="22"/>
              </w:rPr>
              <w:t>Secretaría de Participación y Transparencia.</w:t>
            </w:r>
          </w:p>
        </w:tc>
        <w:tc>
          <w:tcPr>
            <w:tcW w:w="3697"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“Despachos Abiertos” realizados en las instituciones del Órgano Ejecutivo, al menos cuatro veces al año</w:t>
            </w:r>
            <w:r w:rsidR="00FC28F7">
              <w:rPr>
                <w:rFonts w:asciiTheme="minorHAnsi" w:eastAsia="Calibri" w:hAnsiTheme="minorHAnsi" w:cstheme="minorHAnsi"/>
                <w:color w:val="000000"/>
                <w:sz w:val="22"/>
                <w:szCs w:val="22"/>
              </w:rPr>
              <w:t>, en 13 ministerios</w:t>
            </w:r>
            <w:r w:rsidRPr="00A85DED">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FC28F7"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L</w:t>
            </w:r>
            <w:r w:rsidR="009C32C7" w:rsidRPr="00A85DED">
              <w:rPr>
                <w:rFonts w:asciiTheme="minorHAnsi" w:eastAsia="Calibri" w:hAnsiTheme="minorHAnsi" w:cstheme="minorHAnsi"/>
                <w:color w:val="000000"/>
                <w:sz w:val="22"/>
                <w:szCs w:val="22"/>
              </w:rPr>
              <w:t xml:space="preserve">ineamientos y metodología para el funcionamiento de los </w:t>
            </w:r>
            <w:r>
              <w:rPr>
                <w:rFonts w:asciiTheme="minorHAnsi" w:eastAsia="Calibri" w:hAnsiTheme="minorHAnsi" w:cstheme="minorHAnsi"/>
                <w:color w:val="000000"/>
                <w:sz w:val="22"/>
                <w:szCs w:val="22"/>
              </w:rPr>
              <w:t>“</w:t>
            </w:r>
            <w:r w:rsidR="009C32C7" w:rsidRPr="00A85DED">
              <w:rPr>
                <w:rFonts w:asciiTheme="minorHAnsi" w:eastAsia="Calibri" w:hAnsiTheme="minorHAnsi" w:cstheme="minorHAnsi"/>
                <w:color w:val="000000"/>
                <w:sz w:val="22"/>
                <w:szCs w:val="22"/>
              </w:rPr>
              <w:t>Despachos Abiertos</w:t>
            </w:r>
            <w:r>
              <w:rPr>
                <w:rFonts w:asciiTheme="minorHAnsi" w:eastAsia="Calibri" w:hAnsiTheme="minorHAnsi" w:cstheme="minorHAnsi"/>
                <w:color w:val="000000"/>
                <w:sz w:val="22"/>
                <w:szCs w:val="22"/>
              </w:rPr>
              <w:t>” emitidos</w:t>
            </w:r>
            <w:r w:rsidR="009C32C7" w:rsidRPr="00A85DED">
              <w:rPr>
                <w:rFonts w:asciiTheme="minorHAnsi" w:eastAsia="Calibri" w:hAnsiTheme="minorHAnsi" w:cstheme="minorHAnsi"/>
                <w:color w:val="000000"/>
                <w:sz w:val="22"/>
                <w:szCs w:val="22"/>
              </w:rPr>
              <w:t xml:space="preserve">.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p w:rsidR="002749B0" w:rsidRPr="00A85DED" w:rsidRDefault="002749B0" w:rsidP="00A25846">
            <w:pPr>
              <w:pStyle w:val="ParaAttribute2"/>
              <w:spacing w:after="0" w:line="276" w:lineRule="auto"/>
              <w:jc w:val="both"/>
              <w:rPr>
                <w:rFonts w:asciiTheme="minorHAnsi" w:eastAsia="Calibri" w:hAnsiTheme="minorHAnsi" w:cstheme="minorHAnsi"/>
                <w:color w:val="000000"/>
                <w:sz w:val="22"/>
                <w:szCs w:val="22"/>
              </w:rPr>
            </w:pP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REGLAMENTAR EL EJERCICIO DE RENDICIÓN DE CUENTAS </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9C32C7" w:rsidP="00A25846">
            <w:pPr>
              <w:pStyle w:val="ParaAttribute2"/>
              <w:spacing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Establecer, con carácter de obligatoriedad, que todas las instituciones del Órgano Ejecutivo realicen ejercicios de rendición de cuentas.</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tc>
        <w:tc>
          <w:tcPr>
            <w:tcW w:w="3027"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Secretaría de Participación y Transparencia.</w:t>
            </w:r>
          </w:p>
        </w:tc>
        <w:tc>
          <w:tcPr>
            <w:tcW w:w="3697" w:type="dxa"/>
            <w:shd w:val="clear" w:color="auto" w:fill="FFFFFF"/>
          </w:tcPr>
          <w:p w:rsidR="009C32C7" w:rsidRPr="00A85DED" w:rsidRDefault="009C32C7" w:rsidP="00A25846">
            <w:pPr>
              <w:pStyle w:val="ParaAttribute2"/>
              <w:spacing w:after="0" w:line="276" w:lineRule="auto"/>
              <w:ind w:left="34"/>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Decreto Ejecutivo a través del cual se establezca la obligatoriedad de todas las instituciones del Órgano Ejecutivo a rendir cuentas</w:t>
            </w:r>
            <w:r w:rsidR="00FC28F7">
              <w:rPr>
                <w:rFonts w:asciiTheme="minorHAnsi" w:eastAsia="Calibri" w:hAnsiTheme="minorHAnsi" w:cstheme="minorHAnsi"/>
                <w:color w:val="000000"/>
                <w:sz w:val="22"/>
                <w:szCs w:val="22"/>
              </w:rPr>
              <w:t>, emitido.</w:t>
            </w:r>
          </w:p>
          <w:p w:rsidR="009C32C7" w:rsidRPr="00A85DED" w:rsidRDefault="009C32C7" w:rsidP="00A25846">
            <w:pPr>
              <w:pStyle w:val="ParaAttribute2"/>
              <w:spacing w:after="0" w:line="276" w:lineRule="auto"/>
              <w:ind w:left="34"/>
              <w:jc w:val="both"/>
              <w:rPr>
                <w:rFonts w:asciiTheme="minorHAnsi" w:hAnsiTheme="minorHAnsi" w:cstheme="minorHAnsi"/>
                <w:sz w:val="22"/>
                <w:szCs w:val="22"/>
              </w:rPr>
            </w:pPr>
          </w:p>
          <w:p w:rsidR="009C32C7" w:rsidRPr="00A85DED" w:rsidRDefault="00FC28F7" w:rsidP="00A25846">
            <w:pPr>
              <w:pStyle w:val="ParaAttribute2"/>
              <w:spacing w:after="0" w:line="276" w:lineRule="auto"/>
              <w:ind w:left="34"/>
              <w:jc w:val="both"/>
              <w:rPr>
                <w:rFonts w:asciiTheme="minorHAnsi" w:hAnsiTheme="minorHAnsi" w:cstheme="minorHAnsi"/>
                <w:sz w:val="22"/>
                <w:szCs w:val="22"/>
              </w:rPr>
            </w:pPr>
            <w:r>
              <w:rPr>
                <w:rFonts w:asciiTheme="minorHAnsi" w:eastAsia="Calibri" w:hAnsiTheme="minorHAnsi" w:cstheme="minorHAnsi"/>
                <w:color w:val="000000"/>
                <w:sz w:val="22"/>
                <w:szCs w:val="22"/>
              </w:rPr>
              <w:t>L</w:t>
            </w:r>
            <w:r w:rsidR="009C32C7" w:rsidRPr="00A85DED">
              <w:rPr>
                <w:rFonts w:asciiTheme="minorHAnsi" w:eastAsia="Calibri" w:hAnsiTheme="minorHAnsi" w:cstheme="minorHAnsi"/>
                <w:color w:val="000000"/>
                <w:sz w:val="22"/>
                <w:szCs w:val="22"/>
              </w:rPr>
              <w:t>ineamientos para garantizar que las rendiciones de cuentas realicen rendiciones de cuentas de calidad y basadas en una efectiva participación de la población</w:t>
            </w:r>
            <w:r>
              <w:rPr>
                <w:rFonts w:asciiTheme="minorHAnsi" w:eastAsia="Calibri" w:hAnsiTheme="minorHAnsi" w:cstheme="minorHAnsi"/>
                <w:color w:val="000000"/>
                <w:sz w:val="22"/>
                <w:szCs w:val="22"/>
              </w:rPr>
              <w:t>, emitidos</w:t>
            </w:r>
            <w:r w:rsidR="009C32C7" w:rsidRPr="00A85DED">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ind w:left="34"/>
              <w:jc w:val="both"/>
              <w:rPr>
                <w:rFonts w:asciiTheme="minorHAnsi" w:hAnsiTheme="minorHAnsi" w:cstheme="minorHAnsi"/>
                <w:sz w:val="22"/>
                <w:szCs w:val="22"/>
              </w:rPr>
            </w:pPr>
          </w:p>
          <w:p w:rsidR="009C32C7" w:rsidRPr="00A85DED" w:rsidRDefault="00FC28F7" w:rsidP="00A25846">
            <w:pPr>
              <w:pStyle w:val="ParaAttribute2"/>
              <w:spacing w:after="0" w:line="276" w:lineRule="auto"/>
              <w:ind w:left="34"/>
              <w:jc w:val="both"/>
              <w:rPr>
                <w:rFonts w:asciiTheme="minorHAnsi" w:hAnsiTheme="minorHAnsi" w:cstheme="minorHAnsi"/>
                <w:sz w:val="22"/>
                <w:szCs w:val="22"/>
              </w:rPr>
            </w:pPr>
            <w:r>
              <w:rPr>
                <w:rFonts w:asciiTheme="minorHAnsi" w:eastAsia="Calibri" w:hAnsiTheme="minorHAnsi" w:cstheme="minorHAnsi"/>
                <w:bCs/>
                <w:color w:val="000000"/>
                <w:sz w:val="22"/>
                <w:szCs w:val="22"/>
              </w:rPr>
              <w:t xml:space="preserve">Ejecución presupuestaria de las instituciones del Órgano Ejecutivo, publicada semestralmente, </w:t>
            </w:r>
            <w:r w:rsidR="009C32C7" w:rsidRPr="00A85DED">
              <w:rPr>
                <w:rFonts w:asciiTheme="minorHAnsi" w:eastAsia="Calibri" w:hAnsiTheme="minorHAnsi" w:cstheme="minorHAnsi"/>
                <w:bCs/>
                <w:color w:val="000000"/>
                <w:sz w:val="22"/>
                <w:szCs w:val="22"/>
              </w:rPr>
              <w:t>en formato de datos abiertos</w:t>
            </w:r>
            <w:r>
              <w:rPr>
                <w:rFonts w:asciiTheme="minorHAnsi" w:eastAsia="Calibri" w:hAnsiTheme="minorHAnsi" w:cstheme="minorHAnsi"/>
                <w:bCs/>
                <w:color w:val="000000"/>
                <w:sz w:val="22"/>
                <w:szCs w:val="22"/>
              </w:rPr>
              <w:t xml:space="preserve">, en el </w:t>
            </w:r>
            <w:r w:rsidR="009C32C7" w:rsidRPr="00A85DED">
              <w:rPr>
                <w:rFonts w:asciiTheme="minorHAnsi" w:eastAsia="Calibri" w:hAnsiTheme="minorHAnsi" w:cstheme="minorHAnsi"/>
                <w:bCs/>
                <w:color w:val="000000"/>
                <w:sz w:val="22"/>
                <w:szCs w:val="22"/>
              </w:rPr>
              <w:t>Portal Gobierno Abierto.</w:t>
            </w:r>
          </w:p>
          <w:p w:rsidR="009C32C7" w:rsidRPr="00A85DED" w:rsidRDefault="009C32C7" w:rsidP="00A25846">
            <w:pPr>
              <w:pStyle w:val="ParaAttribute2"/>
              <w:spacing w:after="0" w:line="276" w:lineRule="auto"/>
              <w:ind w:left="34"/>
              <w:jc w:val="both"/>
              <w:rPr>
                <w:rFonts w:asciiTheme="minorHAnsi" w:hAnsiTheme="minorHAnsi" w:cstheme="minorHAnsi"/>
                <w:sz w:val="22"/>
                <w:szCs w:val="22"/>
              </w:rPr>
            </w:pPr>
          </w:p>
          <w:p w:rsidR="00C35FDD" w:rsidRDefault="009C32C7" w:rsidP="00FC28F7">
            <w:pPr>
              <w:pStyle w:val="ParaAttribute2"/>
              <w:spacing w:after="0" w:line="276" w:lineRule="auto"/>
              <w:ind w:left="34"/>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p w:rsidR="00FC28F7" w:rsidRPr="00FC28F7" w:rsidRDefault="00FC28F7" w:rsidP="00FC28F7">
            <w:pPr>
              <w:pStyle w:val="ParaAttribute2"/>
              <w:spacing w:after="0" w:line="276" w:lineRule="auto"/>
              <w:ind w:left="34"/>
              <w:jc w:val="both"/>
              <w:rPr>
                <w:rFonts w:asciiTheme="minorHAnsi" w:eastAsia="Calibri" w:hAnsiTheme="minorHAnsi" w:cstheme="minorHAnsi"/>
                <w:color w:val="000000"/>
                <w:sz w:val="16"/>
                <w:szCs w:val="16"/>
              </w:rPr>
            </w:pP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OBSERVATORIO DE COMPRAS PÚBLICAS</w:t>
            </w:r>
          </w:p>
          <w:p w:rsidR="009C32C7" w:rsidRPr="00A85DED" w:rsidRDefault="009C32C7" w:rsidP="00A25846">
            <w:pPr>
              <w:spacing w:line="276" w:lineRule="auto"/>
              <w:jc w:val="both"/>
              <w:rPr>
                <w:rFonts w:asciiTheme="minorHAnsi" w:hAnsiTheme="minorHAnsi" w:cstheme="minorHAnsi"/>
              </w:rPr>
            </w:pPr>
          </w:p>
          <w:p w:rsidR="00FC28F7" w:rsidRDefault="009C32C7" w:rsidP="00A25846">
            <w:pPr>
              <w:spacing w:line="276" w:lineRule="auto"/>
              <w:jc w:val="both"/>
              <w:rPr>
                <w:rFonts w:asciiTheme="minorHAnsi" w:eastAsia="Calibri" w:hAnsiTheme="minorHAnsi" w:cstheme="minorHAnsi"/>
                <w:color w:val="000000"/>
                <w:lang w:eastAsia="es-SV"/>
              </w:rPr>
            </w:pPr>
            <w:r w:rsidRPr="00A85DED">
              <w:rPr>
                <w:rFonts w:asciiTheme="minorHAnsi" w:eastAsia="Calibri" w:hAnsiTheme="minorHAnsi" w:cstheme="minorHAnsi"/>
                <w:color w:val="000000"/>
                <w:lang w:eastAsia="es-SV"/>
              </w:rPr>
              <w:t>Promover la producción de información para el análisis sobre las contrataciones públicas que permitan elaborar propuestas de mejora de los procesos y el marco legal.</w:t>
            </w:r>
          </w:p>
          <w:p w:rsidR="00FC28F7" w:rsidRPr="00FC28F7" w:rsidRDefault="00FC28F7" w:rsidP="00A25846">
            <w:pPr>
              <w:spacing w:line="276" w:lineRule="auto"/>
              <w:jc w:val="both"/>
              <w:rPr>
                <w:rFonts w:asciiTheme="minorHAnsi" w:eastAsia="Calibri" w:hAnsiTheme="minorHAnsi" w:cstheme="minorHAnsi"/>
                <w:color w:val="000000"/>
                <w:sz w:val="10"/>
                <w:szCs w:val="10"/>
                <w:lang w:eastAsia="es-SV"/>
              </w:rPr>
            </w:pPr>
          </w:p>
        </w:tc>
        <w:tc>
          <w:tcPr>
            <w:tcW w:w="3027" w:type="dxa"/>
            <w:shd w:val="clear" w:color="auto" w:fill="FFFFFF"/>
          </w:tcPr>
          <w:p w:rsidR="009C32C7" w:rsidRPr="00A85DED" w:rsidRDefault="009C32C7" w:rsidP="00A85DED">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color w:val="000000"/>
                <w:sz w:val="22"/>
                <w:szCs w:val="22"/>
              </w:rPr>
              <w:t>Unidad Normativa de Adquisiciones y Contrataciones de la Administración Pública</w:t>
            </w:r>
            <w:r w:rsidRPr="00A85DED">
              <w:rPr>
                <w:rFonts w:asciiTheme="minorHAnsi" w:eastAsia="Calibri" w:hAnsiTheme="minorHAnsi" w:cstheme="minorHAnsi"/>
                <w:iCs/>
                <w:color w:val="000000"/>
                <w:sz w:val="22"/>
                <w:szCs w:val="22"/>
              </w:rPr>
              <w:t>, Secretaría de Participación y Transparencia, Organizaciones Sociales y Universidades.</w:t>
            </w:r>
          </w:p>
        </w:tc>
        <w:tc>
          <w:tcPr>
            <w:tcW w:w="3697" w:type="dxa"/>
            <w:shd w:val="clear" w:color="auto" w:fill="FFFFFF"/>
          </w:tcPr>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bCs/>
                <w:color w:val="000000"/>
                <w:lang w:eastAsia="es-SV"/>
              </w:rPr>
              <w:t xml:space="preserve">Habilitado el Observatorio de Compras Públicas en el Portal COMPRASAL. </w:t>
            </w:r>
          </w:p>
          <w:p w:rsidR="009C32C7" w:rsidRPr="00A85DED" w:rsidRDefault="009C32C7" w:rsidP="00A25846">
            <w:pPr>
              <w:spacing w:line="276" w:lineRule="auto"/>
              <w:ind w:left="177"/>
              <w:jc w:val="both"/>
              <w:rPr>
                <w:rFonts w:asciiTheme="minorHAnsi" w:hAnsiTheme="minorHAnsi" w:cstheme="minorHAnsi"/>
              </w:rPr>
            </w:pPr>
          </w:p>
          <w:p w:rsidR="009C32C7" w:rsidRPr="00A85DED" w:rsidRDefault="009C32C7" w:rsidP="00A25846">
            <w:pPr>
              <w:spacing w:line="276" w:lineRule="auto"/>
              <w:jc w:val="both"/>
              <w:rPr>
                <w:rFonts w:asciiTheme="minorHAnsi" w:eastAsia="Calibri" w:hAnsiTheme="minorHAnsi" w:cstheme="minorHAnsi"/>
                <w:color w:val="000000"/>
              </w:rPr>
            </w:pPr>
            <w:r w:rsidRPr="00A85DED">
              <w:rPr>
                <w:rFonts w:asciiTheme="minorHAnsi" w:eastAsia="Calibri" w:hAnsiTheme="minorHAnsi" w:cstheme="minorHAnsi"/>
                <w:bCs/>
                <w:color w:val="000000"/>
                <w:lang w:eastAsia="es-SV"/>
              </w:rPr>
              <w:t xml:space="preserve">Plazo: </w:t>
            </w:r>
            <w:r w:rsidR="00EF0C94">
              <w:rPr>
                <w:rFonts w:asciiTheme="minorHAnsi" w:eastAsia="Calibri" w:hAnsiTheme="minorHAnsi" w:cstheme="minorHAnsi"/>
                <w:bCs/>
                <w:color w:val="000000"/>
                <w:lang w:eastAsia="es-SV"/>
              </w:rPr>
              <w:t>Hasta junio 2016</w:t>
            </w:r>
          </w:p>
        </w:tc>
      </w:tr>
      <w:tr w:rsidR="009C32C7" w:rsidRPr="00A85DED" w:rsidTr="00C35FDD">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PUBLICACIÓN DEL ABASTECIMIENTO DE MEDICAMENTOS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Publica</w:t>
            </w:r>
            <w:r w:rsidR="00FC28F7">
              <w:rPr>
                <w:rFonts w:asciiTheme="minorHAnsi" w:eastAsia="Calibri" w:hAnsiTheme="minorHAnsi" w:cstheme="minorHAnsi"/>
                <w:color w:val="000000"/>
                <w:sz w:val="22"/>
                <w:szCs w:val="22"/>
              </w:rPr>
              <w:t>r</w:t>
            </w:r>
            <w:r w:rsidRPr="00A85DED">
              <w:rPr>
                <w:rFonts w:asciiTheme="minorHAnsi" w:eastAsia="Calibri" w:hAnsiTheme="minorHAnsi" w:cstheme="minorHAnsi"/>
                <w:color w:val="000000"/>
                <w:sz w:val="22"/>
                <w:szCs w:val="22"/>
              </w:rPr>
              <w:t xml:space="preserve"> mensual</w:t>
            </w:r>
            <w:r w:rsidR="00FC28F7">
              <w:rPr>
                <w:rFonts w:asciiTheme="minorHAnsi" w:eastAsia="Calibri" w:hAnsiTheme="minorHAnsi" w:cstheme="minorHAnsi"/>
                <w:color w:val="000000"/>
                <w:sz w:val="22"/>
                <w:szCs w:val="22"/>
              </w:rPr>
              <w:t xml:space="preserve">mente </w:t>
            </w:r>
            <w:r w:rsidRPr="00A85DED">
              <w:rPr>
                <w:rFonts w:asciiTheme="minorHAnsi" w:eastAsia="Calibri" w:hAnsiTheme="minorHAnsi" w:cstheme="minorHAnsi"/>
                <w:color w:val="000000"/>
                <w:sz w:val="22"/>
                <w:szCs w:val="22"/>
              </w:rPr>
              <w:t>el abastecimiento de  medicamentos en los  hospitales nacionales que conforman la red pública.</w:t>
            </w:r>
          </w:p>
          <w:p w:rsidR="002749B0" w:rsidRPr="00A85DED" w:rsidRDefault="002749B0" w:rsidP="00A25846">
            <w:pPr>
              <w:pStyle w:val="ParaAttribute2"/>
              <w:spacing w:after="0" w:line="276" w:lineRule="auto"/>
              <w:jc w:val="both"/>
              <w:rPr>
                <w:rFonts w:asciiTheme="minorHAnsi" w:hAnsiTheme="minorHAnsi" w:cstheme="minorHAnsi"/>
                <w:sz w:val="22"/>
                <w:szCs w:val="22"/>
              </w:rPr>
            </w:pPr>
          </w:p>
        </w:tc>
        <w:tc>
          <w:tcPr>
            <w:tcW w:w="3027"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Ministerio de Salud.</w:t>
            </w:r>
          </w:p>
        </w:tc>
        <w:tc>
          <w:tcPr>
            <w:tcW w:w="3697"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Reportes mensuales sobre el abastecimiento de medicamentos en los hospitales nacionales</w:t>
            </w:r>
            <w:r w:rsidR="00FC28F7">
              <w:rPr>
                <w:rFonts w:asciiTheme="minorHAnsi" w:eastAsia="Calibri" w:hAnsiTheme="minorHAnsi" w:cstheme="minorHAnsi"/>
                <w:color w:val="000000"/>
                <w:sz w:val="22"/>
                <w:szCs w:val="22"/>
              </w:rPr>
              <w:t>, publicados en formato de datos abiertos</w:t>
            </w:r>
            <w:r w:rsidRPr="00A85DED">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p w:rsidR="009C32C7" w:rsidRPr="00A85DED" w:rsidRDefault="009C32C7" w:rsidP="00A25846">
            <w:pPr>
              <w:pStyle w:val="ParaAttribute2"/>
              <w:spacing w:after="0" w:line="276" w:lineRule="auto"/>
              <w:ind w:left="720"/>
              <w:jc w:val="both"/>
              <w:rPr>
                <w:rFonts w:asciiTheme="minorHAnsi" w:hAnsiTheme="minorHAnsi" w:cstheme="minorHAnsi"/>
                <w:sz w:val="22"/>
                <w:szCs w:val="22"/>
              </w:rPr>
            </w:pPr>
          </w:p>
        </w:tc>
      </w:tr>
    </w:tbl>
    <w:p w:rsidR="00F16750" w:rsidRDefault="00F16750"/>
    <w:p w:rsidR="00F16750" w:rsidRDefault="00F16750"/>
    <w:p w:rsidR="003B35EC"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DESAFÍO 2: COMUNIDADES MÁS SEGURAS</w:t>
      </w:r>
    </w:p>
    <w:tbl>
      <w:tblPr>
        <w:tblW w:w="10021" w:type="dxa"/>
        <w:jc w:val="center"/>
        <w:tblInd w:w="321"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4A0"/>
      </w:tblPr>
      <w:tblGrid>
        <w:gridCol w:w="3261"/>
        <w:gridCol w:w="2976"/>
        <w:gridCol w:w="3784"/>
      </w:tblGrid>
      <w:tr w:rsidR="003B35EC" w:rsidRPr="00A85DED" w:rsidTr="00C35FDD">
        <w:trPr>
          <w:trHeight w:val="484"/>
          <w:jc w:val="center"/>
        </w:trPr>
        <w:tc>
          <w:tcPr>
            <w:tcW w:w="3261"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3B35EC" w:rsidRPr="00A85DED" w:rsidRDefault="003B35EC">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COMPROMISOS</w:t>
            </w:r>
          </w:p>
        </w:tc>
        <w:tc>
          <w:tcPr>
            <w:tcW w:w="2976"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F16750" w:rsidRPr="00A85DED" w:rsidRDefault="003B35EC">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3B35EC" w:rsidRPr="00A85DED" w:rsidRDefault="003B35EC">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784"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F16750" w:rsidRPr="00A85DED" w:rsidRDefault="003B35EC">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INDICADORES DE </w:t>
            </w:r>
          </w:p>
          <w:p w:rsidR="003B35EC" w:rsidRPr="00A85DED" w:rsidRDefault="003B35EC">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CUMPLIMIENTO</w:t>
            </w:r>
          </w:p>
        </w:tc>
      </w:tr>
      <w:tr w:rsidR="009C32C7" w:rsidRPr="00A85DED" w:rsidTr="00C35FDD">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PROGRAMA DE EDUCACIÓN TÉCNICA INTEGRAL</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sz w:val="22"/>
                <w:szCs w:val="22"/>
              </w:rPr>
            </w:pPr>
            <w:r w:rsidRPr="00A85DED">
              <w:rPr>
                <w:rFonts w:asciiTheme="minorHAnsi" w:eastAsia="Calibri" w:hAnsiTheme="minorHAnsi" w:cstheme="minorHAnsi"/>
                <w:sz w:val="22"/>
                <w:szCs w:val="22"/>
              </w:rPr>
              <w:t>Implementar el Programa de Educación Técnica Vocacional (Escuela Taller), dirigido prioritariamente a jóvenes que se encuentran fuera del Sistema Educativo formal, en municipios de alto riesgo delictivo, que les permita insertarse en el mercado laboral.</w:t>
            </w:r>
          </w:p>
          <w:p w:rsidR="002749B0" w:rsidRPr="00A85DED" w:rsidRDefault="002749B0" w:rsidP="00A25846">
            <w:pPr>
              <w:pStyle w:val="ParaAttribute2"/>
              <w:spacing w:after="0" w:line="276" w:lineRule="auto"/>
              <w:jc w:val="both"/>
              <w:rPr>
                <w:rFonts w:asciiTheme="minorHAnsi" w:eastAsia="Calibri" w:hAnsiTheme="minorHAnsi" w:cstheme="minorHAnsi"/>
                <w:sz w:val="22"/>
                <w:szCs w:val="22"/>
              </w:rPr>
            </w:pPr>
          </w:p>
        </w:tc>
        <w:tc>
          <w:tcPr>
            <w:tcW w:w="2976" w:type="dxa"/>
            <w:shd w:val="clear" w:color="auto" w:fill="FFFFFF"/>
          </w:tcPr>
          <w:p w:rsidR="009C32C7" w:rsidRPr="00A85DED" w:rsidRDefault="009C32C7" w:rsidP="001C1EDE">
            <w:pPr>
              <w:pStyle w:val="ParaAttribute2"/>
              <w:spacing w:after="0" w:line="276" w:lineRule="auto"/>
              <w:jc w:val="both"/>
              <w:rPr>
                <w:rFonts w:asciiTheme="minorHAnsi" w:eastAsia="Calibri" w:hAnsiTheme="minorHAnsi" w:cstheme="minorHAnsi"/>
                <w:sz w:val="22"/>
                <w:szCs w:val="22"/>
              </w:rPr>
            </w:pPr>
            <w:r w:rsidRPr="00A85DED">
              <w:rPr>
                <w:rFonts w:asciiTheme="minorHAnsi" w:eastAsia="Calibri" w:hAnsiTheme="minorHAnsi" w:cstheme="minorHAnsi"/>
                <w:sz w:val="22"/>
                <w:szCs w:val="22"/>
              </w:rPr>
              <w:t>Sub Gabinete de Prevención, dirigido por el Ministerio de Gobernación</w:t>
            </w:r>
            <w:r w:rsidR="009B3458">
              <w:rPr>
                <w:rFonts w:asciiTheme="minorHAnsi" w:eastAsia="Calibri" w:hAnsiTheme="minorHAnsi" w:cstheme="minorHAnsi"/>
                <w:sz w:val="22"/>
                <w:szCs w:val="22"/>
              </w:rPr>
              <w:t xml:space="preserve"> y</w:t>
            </w:r>
            <w:r w:rsidR="001C1EDE">
              <w:rPr>
                <w:rFonts w:asciiTheme="minorHAnsi" w:eastAsia="Calibri" w:hAnsiTheme="minorHAnsi" w:cstheme="minorHAnsi"/>
                <w:sz w:val="22"/>
                <w:szCs w:val="22"/>
              </w:rPr>
              <w:t xml:space="preserve"> </w:t>
            </w:r>
            <w:r w:rsidRPr="00A85DED">
              <w:rPr>
                <w:rFonts w:asciiTheme="minorHAnsi" w:eastAsia="Calibri" w:hAnsiTheme="minorHAnsi" w:cstheme="minorHAnsi"/>
                <w:sz w:val="22"/>
                <w:szCs w:val="22"/>
              </w:rPr>
              <w:t>Ministerio de Justicia y Seguridad Pública</w:t>
            </w:r>
            <w:r w:rsidR="001C1EDE">
              <w:rPr>
                <w:rFonts w:asciiTheme="minorHAnsi" w:eastAsia="Calibri" w:hAnsiTheme="minorHAnsi" w:cstheme="minorHAnsi"/>
                <w:sz w:val="22"/>
                <w:szCs w:val="22"/>
              </w:rPr>
              <w:t xml:space="preserve">. </w:t>
            </w:r>
            <w:r w:rsidR="001C1EDE" w:rsidRPr="00A85DED">
              <w:rPr>
                <w:rFonts w:asciiTheme="minorHAnsi" w:eastAsia="Calibri" w:hAnsiTheme="minorHAnsi" w:cstheme="minorHAnsi"/>
                <w:bCs/>
                <w:color w:val="000000"/>
                <w:sz w:val="22"/>
                <w:szCs w:val="22"/>
              </w:rPr>
              <w:t>Secretaría de Participación y Transparencia</w:t>
            </w:r>
            <w:r w:rsidRPr="00A85DED">
              <w:rPr>
                <w:rFonts w:asciiTheme="minorHAnsi" w:eastAsia="Calibri" w:hAnsiTheme="minorHAnsi" w:cstheme="minorHAnsi"/>
                <w:sz w:val="22"/>
                <w:szCs w:val="22"/>
              </w:rPr>
              <w:t xml:space="preserve">. </w:t>
            </w:r>
          </w:p>
        </w:tc>
        <w:tc>
          <w:tcPr>
            <w:tcW w:w="3784" w:type="dxa"/>
            <w:shd w:val="clear" w:color="auto" w:fill="FFFFFF"/>
          </w:tcPr>
          <w:p w:rsidR="009C32C7" w:rsidRDefault="009C32C7" w:rsidP="00A25846">
            <w:pPr>
              <w:pStyle w:val="ParaAttribute2"/>
              <w:spacing w:after="0" w:line="276" w:lineRule="auto"/>
              <w:jc w:val="both"/>
              <w:rPr>
                <w:rFonts w:asciiTheme="minorHAnsi" w:eastAsia="Calibri" w:hAnsiTheme="minorHAnsi" w:cstheme="minorHAnsi"/>
                <w:sz w:val="22"/>
                <w:szCs w:val="22"/>
              </w:rPr>
            </w:pPr>
            <w:r w:rsidRPr="00A85DED">
              <w:rPr>
                <w:rFonts w:asciiTheme="minorHAnsi" w:eastAsia="Calibri" w:hAnsiTheme="minorHAnsi" w:cstheme="minorHAnsi"/>
                <w:sz w:val="22"/>
                <w:szCs w:val="22"/>
              </w:rPr>
              <w:t xml:space="preserve">Programa Escuela Taller implementado en 16 Municipios catalogados de alto riesgo. </w:t>
            </w:r>
          </w:p>
          <w:p w:rsidR="00DA65CB" w:rsidRDefault="00DA65CB" w:rsidP="00A25846">
            <w:pPr>
              <w:pStyle w:val="ParaAttribute2"/>
              <w:spacing w:after="0" w:line="276" w:lineRule="auto"/>
              <w:jc w:val="both"/>
              <w:rPr>
                <w:rFonts w:asciiTheme="minorHAnsi" w:eastAsia="Calibri" w:hAnsiTheme="minorHAnsi" w:cstheme="minorHAnsi"/>
                <w:sz w:val="22"/>
                <w:szCs w:val="22"/>
              </w:rPr>
            </w:pPr>
          </w:p>
          <w:p w:rsidR="00DA65CB" w:rsidRDefault="002662BD" w:rsidP="00A25846">
            <w:pPr>
              <w:pStyle w:val="ParaAttribute2"/>
              <w:spacing w:after="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Contenidos sobre </w:t>
            </w:r>
            <w:r w:rsidRPr="00A85DED">
              <w:rPr>
                <w:rFonts w:asciiTheme="minorHAnsi" w:eastAsia="Calibri" w:hAnsiTheme="minorHAnsi" w:cstheme="minorHAnsi"/>
                <w:color w:val="000000"/>
                <w:sz w:val="22"/>
                <w:szCs w:val="22"/>
              </w:rPr>
              <w:t>transparencia, valores éticos, acceso a la información y rendición de cuentas</w:t>
            </w:r>
            <w:r>
              <w:rPr>
                <w:rFonts w:asciiTheme="minorHAnsi" w:eastAsia="Calibri" w:hAnsiTheme="minorHAnsi" w:cstheme="minorHAnsi"/>
                <w:color w:val="000000"/>
                <w:sz w:val="22"/>
                <w:szCs w:val="22"/>
              </w:rPr>
              <w:t>, diseñados para ser incorporados al programa de educación técnica integral</w:t>
            </w:r>
            <w:r w:rsidRPr="00A85DED">
              <w:rPr>
                <w:rFonts w:asciiTheme="minorHAnsi" w:eastAsia="Calibri" w:hAnsiTheme="minorHAnsi" w:cstheme="minorHAnsi"/>
                <w:color w:val="000000"/>
                <w:sz w:val="22"/>
                <w:szCs w:val="22"/>
              </w:rPr>
              <w:t>.</w:t>
            </w:r>
          </w:p>
          <w:p w:rsidR="00FC28F7" w:rsidRDefault="00FC28F7" w:rsidP="00A25846">
            <w:pPr>
              <w:pStyle w:val="ParaAttribute2"/>
              <w:spacing w:after="0" w:line="276" w:lineRule="auto"/>
              <w:jc w:val="both"/>
              <w:rPr>
                <w:rFonts w:asciiTheme="minorHAnsi" w:eastAsia="Calibri" w:hAnsiTheme="minorHAnsi" w:cstheme="minorHAnsi"/>
                <w:sz w:val="22"/>
                <w:szCs w:val="22"/>
              </w:rPr>
            </w:pPr>
          </w:p>
          <w:p w:rsidR="00FC28F7" w:rsidRPr="00A85DED" w:rsidRDefault="00FC28F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sz w:val="22"/>
                <w:szCs w:val="22"/>
              </w:rPr>
              <w:t xml:space="preserve">Plazo: </w:t>
            </w:r>
            <w:r w:rsidR="00EF0C94">
              <w:rPr>
                <w:rFonts w:asciiTheme="minorHAnsi" w:eastAsia="Calibri" w:hAnsiTheme="minorHAnsi" w:cstheme="minorHAnsi"/>
                <w:sz w:val="22"/>
                <w:szCs w:val="22"/>
              </w:rPr>
              <w:t>Hasta junio 2016</w:t>
            </w:r>
          </w:p>
        </w:tc>
      </w:tr>
      <w:tr w:rsidR="009C32C7" w:rsidRPr="00A85DED" w:rsidTr="00C35FDD">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TRANSPARENTAR LA IMPLEMENTACIÓN DEL PLAN POLICÍA COMUNITARIA</w:t>
            </w:r>
          </w:p>
          <w:p w:rsidR="009C32C7" w:rsidRPr="00A85DED" w:rsidRDefault="009C32C7" w:rsidP="00A25846">
            <w:pPr>
              <w:pStyle w:val="ParaAttribute2"/>
              <w:spacing w:after="0" w:line="276" w:lineRule="auto"/>
              <w:ind w:left="360"/>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Divulgar a la ciudadanía de forma semestral los resultados de la implementación del “Plan de Policía Comunitaria”,  a través de mecanismos que permitan la  publicación de información en formato de datos abiertos.</w:t>
            </w:r>
          </w:p>
          <w:p w:rsidR="002749B0" w:rsidRPr="00A85DED" w:rsidRDefault="002749B0" w:rsidP="00A25846">
            <w:pPr>
              <w:pStyle w:val="ParaAttribute2"/>
              <w:spacing w:after="0" w:line="276" w:lineRule="auto"/>
              <w:jc w:val="both"/>
              <w:rPr>
                <w:rFonts w:asciiTheme="minorHAnsi" w:eastAsia="Calibri" w:hAnsiTheme="minorHAnsi" w:cstheme="minorHAnsi"/>
                <w:color w:val="000000"/>
                <w:sz w:val="22"/>
                <w:szCs w:val="22"/>
              </w:rPr>
            </w:pP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Ministerio de Justicia y Seguridad Pública y Policía Nacional Civil.</w:t>
            </w:r>
          </w:p>
        </w:tc>
        <w:tc>
          <w:tcPr>
            <w:tcW w:w="3784" w:type="dxa"/>
            <w:shd w:val="clear" w:color="auto" w:fill="FFFFFF"/>
          </w:tcPr>
          <w:p w:rsidR="009C32C7" w:rsidRPr="00A85DED" w:rsidRDefault="00ED3C84"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A</w:t>
            </w:r>
            <w:r w:rsidR="009C32C7" w:rsidRPr="00A85DED">
              <w:rPr>
                <w:rFonts w:asciiTheme="minorHAnsi" w:eastAsia="Calibri" w:hAnsiTheme="minorHAnsi" w:cstheme="minorHAnsi"/>
                <w:color w:val="000000"/>
                <w:sz w:val="22"/>
                <w:szCs w:val="22"/>
              </w:rPr>
              <w:t>l menos dos informes, sobre los resultados de la implementación del Plan Policía Comunitaria</w:t>
            </w:r>
            <w:r>
              <w:rPr>
                <w:rFonts w:asciiTheme="minorHAnsi" w:eastAsia="Calibri" w:hAnsiTheme="minorHAnsi" w:cstheme="minorHAnsi"/>
                <w:color w:val="000000"/>
                <w:sz w:val="22"/>
                <w:szCs w:val="22"/>
              </w:rPr>
              <w:t>, publicados</w:t>
            </w:r>
            <w:r w:rsidR="009C32C7" w:rsidRPr="00A85DED">
              <w:rPr>
                <w:rFonts w:asciiTheme="minorHAnsi" w:eastAsia="Calibri" w:hAnsiTheme="minorHAnsi" w:cstheme="minorHAnsi"/>
                <w:color w:val="000000"/>
                <w:sz w:val="22"/>
                <w:szCs w:val="22"/>
              </w:rPr>
              <w:t xml:space="preserve">.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tc>
      </w:tr>
      <w:tr w:rsidR="009C32C7" w:rsidRPr="00A85DED" w:rsidTr="00C35FDD">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PROGRAMA DE REHABILITACIÓN Y REINSERCIÓN </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Impulsar el programa de rehabilitación y reinserción, estableciendo convenios con diferentes actores de la sociedad civil, con el fin de permitir a los privados y ex privados de libertad sumarse a la vida productiva del país.</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Ministerio de Justicia y Seguridad Pública, Fondo de Conservación Vial, Dirección General de Centros Penales y Empresa Privada.</w:t>
            </w:r>
          </w:p>
        </w:tc>
        <w:tc>
          <w:tcPr>
            <w:tcW w:w="3784" w:type="dxa"/>
            <w:shd w:val="clear" w:color="auto" w:fill="FFFFFF"/>
          </w:tcPr>
          <w:p w:rsidR="009C32C7"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El 50% de reos en fase de confianza y semi-libertad registrados en 2014, ingres</w:t>
            </w:r>
            <w:r w:rsidR="00ED3C84">
              <w:rPr>
                <w:rFonts w:asciiTheme="minorHAnsi" w:eastAsia="Calibri" w:hAnsiTheme="minorHAnsi" w:cstheme="minorHAnsi"/>
                <w:color w:val="000000"/>
                <w:sz w:val="22"/>
                <w:szCs w:val="22"/>
              </w:rPr>
              <w:t>ados</w:t>
            </w:r>
            <w:r w:rsidRPr="00A85DED">
              <w:rPr>
                <w:rFonts w:asciiTheme="minorHAnsi" w:eastAsia="Calibri" w:hAnsiTheme="minorHAnsi" w:cstheme="minorHAnsi"/>
                <w:color w:val="000000"/>
                <w:sz w:val="22"/>
                <w:szCs w:val="22"/>
              </w:rPr>
              <w:t xml:space="preserve"> al programa.</w:t>
            </w:r>
          </w:p>
          <w:p w:rsidR="009B3458" w:rsidRDefault="009B3458" w:rsidP="00A25846">
            <w:pPr>
              <w:pStyle w:val="ParaAttribute2"/>
              <w:spacing w:after="0" w:line="276" w:lineRule="auto"/>
              <w:jc w:val="both"/>
              <w:rPr>
                <w:rFonts w:asciiTheme="minorHAnsi" w:eastAsia="Calibri" w:hAnsiTheme="minorHAnsi" w:cstheme="minorHAnsi"/>
                <w:color w:val="000000"/>
                <w:sz w:val="22"/>
                <w:szCs w:val="22"/>
              </w:rPr>
            </w:pPr>
          </w:p>
          <w:p w:rsidR="009B3458" w:rsidRPr="00A85DED" w:rsidRDefault="009B3458"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 xml:space="preserve">Resultados del programa, publicados en la rendición de cuentas de las instancias participantes.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595959"/>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tc>
      </w:tr>
    </w:tbl>
    <w:p w:rsidR="003B35EC" w:rsidRDefault="003B35EC"/>
    <w:p w:rsidR="00F16750"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DESAFÍO 3:</w:t>
      </w:r>
      <w:r w:rsidR="002E6CD7">
        <w:rPr>
          <w:rStyle w:val="nfasisintenso"/>
          <w:color w:val="595959" w:themeColor="text1" w:themeTint="A6"/>
          <w:sz w:val="24"/>
          <w:szCs w:val="24"/>
        </w:rPr>
        <w:t xml:space="preserve"> </w:t>
      </w:r>
      <w:r w:rsidRPr="002E6CD7">
        <w:rPr>
          <w:rStyle w:val="nfasisintenso"/>
          <w:color w:val="595959" w:themeColor="text1" w:themeTint="A6"/>
          <w:sz w:val="24"/>
          <w:szCs w:val="24"/>
        </w:rPr>
        <w:t>INTEGRIDAD Y PROBIDAD PÚBLICA</w:t>
      </w:r>
    </w:p>
    <w:tbl>
      <w:tblPr>
        <w:tblW w:w="10019" w:type="dxa"/>
        <w:jc w:val="center"/>
        <w:tblInd w:w="313"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4A0"/>
      </w:tblPr>
      <w:tblGrid>
        <w:gridCol w:w="3215"/>
        <w:gridCol w:w="2976"/>
        <w:gridCol w:w="3828"/>
      </w:tblGrid>
      <w:tr w:rsidR="004938B5" w:rsidRPr="00A85DED" w:rsidTr="004938B5">
        <w:trPr>
          <w:trHeight w:val="484"/>
          <w:jc w:val="center"/>
        </w:trPr>
        <w:tc>
          <w:tcPr>
            <w:tcW w:w="3215"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COMPROMISOS</w:t>
            </w:r>
          </w:p>
        </w:tc>
        <w:tc>
          <w:tcPr>
            <w:tcW w:w="2976"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828"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INDICADORES DE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CUMPLIMIENTO</w:t>
            </w:r>
          </w:p>
        </w:tc>
      </w:tr>
      <w:tr w:rsidR="009C32C7" w:rsidRPr="00A85DED" w:rsidTr="004938B5">
        <w:tblPrEx>
          <w:tblLook w:val="0000"/>
        </w:tblPrEx>
        <w:trPr>
          <w:jc w:val="center"/>
        </w:trPr>
        <w:tc>
          <w:tcPr>
            <w:tcW w:w="3215"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FORTALECER LOS TEMAS DE ÉTICA Y TRANSPARENCIA EN LOS </w:t>
            </w:r>
            <w:r w:rsidR="004938B5">
              <w:rPr>
                <w:rFonts w:asciiTheme="minorHAnsi" w:eastAsia="Calibri" w:hAnsiTheme="minorHAnsi" w:cstheme="minorHAnsi"/>
                <w:b/>
                <w:color w:val="000000"/>
              </w:rPr>
              <w:t>PROGRAMAS</w:t>
            </w:r>
            <w:r w:rsidRPr="00C35FDD">
              <w:rPr>
                <w:rFonts w:asciiTheme="minorHAnsi" w:eastAsia="Calibri" w:hAnsiTheme="minorHAnsi" w:cstheme="minorHAnsi"/>
                <w:b/>
                <w:color w:val="000000"/>
              </w:rPr>
              <w:t xml:space="preserve"> DE ESTUDIO </w:t>
            </w:r>
            <w:r w:rsidR="004938B5">
              <w:rPr>
                <w:rFonts w:asciiTheme="minorHAnsi" w:eastAsia="Calibri" w:hAnsiTheme="minorHAnsi" w:cstheme="minorHAnsi"/>
                <w:b/>
                <w:color w:val="000000"/>
              </w:rPr>
              <w:t>PARA</w:t>
            </w:r>
            <w:r w:rsidRPr="00C35FDD">
              <w:rPr>
                <w:rFonts w:asciiTheme="minorHAnsi" w:eastAsia="Calibri" w:hAnsiTheme="minorHAnsi" w:cstheme="minorHAnsi"/>
                <w:b/>
                <w:color w:val="000000"/>
              </w:rPr>
              <w:t xml:space="preserve"> BÁSICA Y BACHILLERATO</w:t>
            </w:r>
          </w:p>
          <w:p w:rsidR="009C32C7" w:rsidRPr="00A85DED" w:rsidRDefault="009C32C7" w:rsidP="00A25846">
            <w:pPr>
              <w:pStyle w:val="ParaAttribute2"/>
              <w:spacing w:after="0" w:line="276" w:lineRule="auto"/>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Crear las herramientas metodológicas y material didáctico para que los docentes desarrollen los contenidos en materia de transparencia, valores éticos, acceso a la información y rendición de cuentas.</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Ministerio de Educación; Secretaría de Participación y Transparencia, Instituto de Acceso a la Información Pública y Universidades.</w:t>
            </w:r>
          </w:p>
        </w:tc>
        <w:tc>
          <w:tcPr>
            <w:tcW w:w="3828" w:type="dxa"/>
            <w:shd w:val="clear" w:color="auto" w:fill="FFFFFF"/>
          </w:tcPr>
          <w:p w:rsidR="009C32C7" w:rsidRPr="00A85DED" w:rsidRDefault="00ED3C84"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bCs/>
                <w:color w:val="000000"/>
                <w:sz w:val="22"/>
                <w:szCs w:val="22"/>
              </w:rPr>
              <w:t>M</w:t>
            </w:r>
            <w:r w:rsidR="009C32C7" w:rsidRPr="00A85DED">
              <w:rPr>
                <w:rFonts w:asciiTheme="minorHAnsi" w:eastAsia="Calibri" w:hAnsiTheme="minorHAnsi" w:cstheme="minorHAnsi"/>
                <w:bCs/>
                <w:color w:val="000000"/>
                <w:sz w:val="22"/>
                <w:szCs w:val="22"/>
              </w:rPr>
              <w:t>etodologías y material didáctico para la facilitación de los contenidos</w:t>
            </w:r>
            <w:r>
              <w:rPr>
                <w:rFonts w:asciiTheme="minorHAnsi" w:eastAsia="Calibri" w:hAnsiTheme="minorHAnsi" w:cstheme="minorHAnsi"/>
                <w:bCs/>
                <w:color w:val="000000"/>
                <w:sz w:val="22"/>
                <w:szCs w:val="22"/>
              </w:rPr>
              <w:t>, diseñados</w:t>
            </w:r>
            <w:r w:rsidR="009C32C7" w:rsidRPr="00A85DED">
              <w:rPr>
                <w:rFonts w:asciiTheme="minorHAnsi" w:eastAsia="Calibri" w:hAnsiTheme="minorHAnsi" w:cstheme="minorHAnsi"/>
                <w:bCs/>
                <w:color w:val="000000"/>
                <w:sz w:val="22"/>
                <w:szCs w:val="22"/>
              </w:rPr>
              <w:t>.</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ED3C84" w:rsidP="00A25846">
            <w:pPr>
              <w:pStyle w:val="ParaAttribute2"/>
              <w:spacing w:line="276" w:lineRule="auto"/>
              <w:jc w:val="both"/>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D</w:t>
            </w:r>
            <w:r w:rsidR="009C32C7" w:rsidRPr="00A85DED">
              <w:rPr>
                <w:rFonts w:asciiTheme="minorHAnsi" w:eastAsia="Calibri" w:hAnsiTheme="minorHAnsi" w:cstheme="minorHAnsi"/>
                <w:bCs/>
                <w:color w:val="000000"/>
                <w:sz w:val="22"/>
                <w:szCs w:val="22"/>
              </w:rPr>
              <w:t>ocentes en servicio que tienen asignado el desarrollo de estos contenidos curriculares</w:t>
            </w:r>
            <w:r>
              <w:rPr>
                <w:rFonts w:asciiTheme="minorHAnsi" w:eastAsia="Calibri" w:hAnsiTheme="minorHAnsi" w:cstheme="minorHAnsi"/>
                <w:bCs/>
                <w:color w:val="000000"/>
                <w:sz w:val="22"/>
                <w:szCs w:val="22"/>
              </w:rPr>
              <w:t>, capacitados</w:t>
            </w:r>
            <w:r w:rsidR="009C32C7" w:rsidRPr="00A85DED">
              <w:rPr>
                <w:rFonts w:asciiTheme="minorHAnsi" w:eastAsia="Calibri" w:hAnsiTheme="minorHAnsi" w:cstheme="minorHAnsi"/>
                <w:bCs/>
                <w:color w:val="000000"/>
                <w:sz w:val="22"/>
                <w:szCs w:val="22"/>
              </w:rPr>
              <w:t xml:space="preserve">. </w:t>
            </w: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bCs/>
                <w:color w:val="000000"/>
                <w:sz w:val="22"/>
                <w:szCs w:val="22"/>
              </w:rPr>
              <w:t xml:space="preserve">Plazo: </w:t>
            </w:r>
            <w:r w:rsidR="00EF0C94">
              <w:rPr>
                <w:rFonts w:asciiTheme="minorHAnsi" w:eastAsia="Calibri" w:hAnsiTheme="minorHAnsi" w:cstheme="minorHAnsi"/>
                <w:bCs/>
                <w:color w:val="000000"/>
                <w:sz w:val="22"/>
                <w:szCs w:val="22"/>
              </w:rPr>
              <w:t>Hasta junio 2016</w:t>
            </w:r>
          </w:p>
          <w:p w:rsidR="009C32C7" w:rsidRPr="00A85DED" w:rsidRDefault="009C32C7" w:rsidP="00A25846">
            <w:pPr>
              <w:pStyle w:val="ParaAttribute2"/>
              <w:spacing w:after="0" w:line="276" w:lineRule="auto"/>
              <w:ind w:left="720"/>
              <w:jc w:val="both"/>
              <w:rPr>
                <w:rFonts w:asciiTheme="minorHAnsi" w:hAnsiTheme="minorHAnsi" w:cstheme="minorHAnsi"/>
                <w:sz w:val="22"/>
                <w:szCs w:val="22"/>
              </w:rPr>
            </w:pPr>
          </w:p>
        </w:tc>
      </w:tr>
      <w:tr w:rsidR="009C32C7" w:rsidRPr="00A85DED" w:rsidTr="004938B5">
        <w:tblPrEx>
          <w:tblLook w:val="0000"/>
        </w:tblPrEx>
        <w:trPr>
          <w:jc w:val="center"/>
        </w:trPr>
        <w:tc>
          <w:tcPr>
            <w:tcW w:w="3215"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FORTALECER LA PROBIDAD PÚBLICA </w:t>
            </w:r>
          </w:p>
          <w:p w:rsidR="009C32C7" w:rsidRPr="00A85DED" w:rsidRDefault="009C32C7" w:rsidP="00A25846">
            <w:pPr>
              <w:pStyle w:val="ParaAttribute2"/>
              <w:spacing w:after="0" w:line="276" w:lineRule="auto"/>
              <w:ind w:left="360"/>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bCs/>
                <w:sz w:val="22"/>
                <w:szCs w:val="22"/>
              </w:rPr>
            </w:pPr>
            <w:r w:rsidRPr="00A85DED">
              <w:rPr>
                <w:rFonts w:asciiTheme="minorHAnsi" w:eastAsia="Calibri" w:hAnsiTheme="minorHAnsi" w:cstheme="minorHAnsi"/>
                <w:sz w:val="22"/>
                <w:szCs w:val="22"/>
              </w:rPr>
              <w:t xml:space="preserve">Promover en las instituciones del Órgano Ejecutivo el cumplimiento de la obligación de presentar la Declaración de Patrimonio  ante la Sección de Probidad de la Corte Suprema de Justicia. </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sz w:val="22"/>
                <w:szCs w:val="22"/>
              </w:rPr>
            </w:pPr>
            <w:r w:rsidRPr="00A85DED">
              <w:rPr>
                <w:rFonts w:asciiTheme="minorHAnsi" w:eastAsia="Calibri" w:hAnsiTheme="minorHAnsi" w:cstheme="minorHAnsi"/>
                <w:bCs/>
                <w:sz w:val="22"/>
                <w:szCs w:val="22"/>
              </w:rPr>
              <w:t>Sección de Probidad de la Corte Suprema de Justicia y Secretaría de Participación y Transparencia.</w:t>
            </w:r>
          </w:p>
        </w:tc>
        <w:tc>
          <w:tcPr>
            <w:tcW w:w="3828" w:type="dxa"/>
            <w:shd w:val="clear" w:color="auto" w:fill="FFFFFF"/>
          </w:tcPr>
          <w:p w:rsidR="009C32C7" w:rsidRPr="00A85DED" w:rsidRDefault="00ED3C84"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bCs/>
                <w:sz w:val="22"/>
                <w:szCs w:val="22"/>
              </w:rPr>
              <w:t>I</w:t>
            </w:r>
            <w:r w:rsidR="009C32C7" w:rsidRPr="00A85DED">
              <w:rPr>
                <w:rFonts w:asciiTheme="minorHAnsi" w:eastAsia="Calibri" w:hAnsiTheme="minorHAnsi" w:cstheme="minorHAnsi"/>
                <w:bCs/>
                <w:sz w:val="22"/>
                <w:szCs w:val="22"/>
              </w:rPr>
              <w:t>nforme del cumplimiento de la obligación de presentar su la Declaración de Patrimonio, en formato de datos abiertos</w:t>
            </w:r>
            <w:r>
              <w:rPr>
                <w:rFonts w:asciiTheme="minorHAnsi" w:eastAsia="Calibri" w:hAnsiTheme="minorHAnsi" w:cstheme="minorHAnsi"/>
                <w:bCs/>
                <w:sz w:val="22"/>
                <w:szCs w:val="22"/>
              </w:rPr>
              <w:t xml:space="preserve">, publicado </w:t>
            </w:r>
            <w:r w:rsidRPr="00A85DED">
              <w:rPr>
                <w:rFonts w:asciiTheme="minorHAnsi" w:eastAsia="Calibri" w:hAnsiTheme="minorHAnsi" w:cstheme="minorHAnsi"/>
                <w:bCs/>
                <w:sz w:val="22"/>
                <w:szCs w:val="22"/>
              </w:rPr>
              <w:t xml:space="preserve">trimestralmente </w:t>
            </w:r>
            <w:r>
              <w:rPr>
                <w:rFonts w:asciiTheme="minorHAnsi" w:eastAsia="Calibri" w:hAnsiTheme="minorHAnsi" w:cstheme="minorHAnsi"/>
                <w:bCs/>
                <w:sz w:val="22"/>
                <w:szCs w:val="22"/>
              </w:rPr>
              <w:t>por l</w:t>
            </w:r>
            <w:r w:rsidRPr="00A85DED">
              <w:rPr>
                <w:rFonts w:asciiTheme="minorHAnsi" w:eastAsia="Calibri" w:hAnsiTheme="minorHAnsi" w:cstheme="minorHAnsi"/>
                <w:bCs/>
                <w:sz w:val="22"/>
                <w:szCs w:val="22"/>
              </w:rPr>
              <w:t>a Sección de Probidad de la Corte Suprema de Justicia</w:t>
            </w:r>
            <w:r w:rsidR="009C32C7" w:rsidRPr="00A85DED">
              <w:rPr>
                <w:rFonts w:asciiTheme="minorHAnsi" w:eastAsia="Calibri" w:hAnsiTheme="minorHAnsi" w:cstheme="minorHAnsi"/>
                <w:bCs/>
                <w:sz w:val="22"/>
                <w:szCs w:val="22"/>
              </w:rPr>
              <w:t>. El mismo informe será publicado en el Portal de Gobierno Abierto.</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2749B0" w:rsidRPr="00C35FDD" w:rsidRDefault="009C32C7" w:rsidP="00A25846">
            <w:pPr>
              <w:pStyle w:val="ParaAttribute2"/>
              <w:spacing w:after="0" w:line="276" w:lineRule="auto"/>
              <w:jc w:val="both"/>
              <w:rPr>
                <w:rFonts w:asciiTheme="minorHAnsi" w:eastAsia="Calibri" w:hAnsiTheme="minorHAnsi" w:cstheme="minorHAnsi"/>
                <w:bCs/>
                <w:sz w:val="22"/>
                <w:szCs w:val="22"/>
              </w:rPr>
            </w:pPr>
            <w:r w:rsidRPr="00A85DED">
              <w:rPr>
                <w:rFonts w:asciiTheme="minorHAnsi" w:eastAsia="Calibri" w:hAnsiTheme="minorHAnsi" w:cstheme="minorHAnsi"/>
                <w:bCs/>
                <w:sz w:val="22"/>
                <w:szCs w:val="22"/>
              </w:rPr>
              <w:t xml:space="preserve">Plazo: </w:t>
            </w:r>
            <w:r w:rsidR="00EF0C94">
              <w:rPr>
                <w:rFonts w:asciiTheme="minorHAnsi" w:eastAsia="Calibri" w:hAnsiTheme="minorHAnsi" w:cstheme="minorHAnsi"/>
                <w:bCs/>
                <w:sz w:val="22"/>
                <w:szCs w:val="22"/>
              </w:rPr>
              <w:t>Hasta junio 2016</w:t>
            </w:r>
          </w:p>
        </w:tc>
      </w:tr>
      <w:tr w:rsidR="009C32C7" w:rsidRPr="00A85DED" w:rsidTr="004938B5">
        <w:tblPrEx>
          <w:tblLook w:val="0000"/>
        </w:tblPrEx>
        <w:trPr>
          <w:jc w:val="center"/>
        </w:trPr>
        <w:tc>
          <w:tcPr>
            <w:tcW w:w="3215"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TRANSPARENCIA EN LA CONTRATACIÓN DE RECURSOS HUMANOS</w:t>
            </w:r>
          </w:p>
          <w:p w:rsidR="009C32C7" w:rsidRPr="00A85DED" w:rsidRDefault="009C32C7" w:rsidP="00A25846">
            <w:pPr>
              <w:pStyle w:val="Textocomentario1"/>
              <w:spacing w:line="276" w:lineRule="auto"/>
              <w:jc w:val="both"/>
              <w:rPr>
                <w:rFonts w:asciiTheme="minorHAnsi" w:hAnsiTheme="minorHAnsi" w:cstheme="minorHAnsi"/>
                <w:sz w:val="22"/>
                <w:szCs w:val="22"/>
              </w:rPr>
            </w:pPr>
          </w:p>
          <w:p w:rsidR="009C32C7" w:rsidRPr="00A85DED" w:rsidRDefault="009C32C7" w:rsidP="004938B5">
            <w:pPr>
              <w:pStyle w:val="Textocomentario1"/>
              <w:spacing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lang w:val="es-SV" w:eastAsia="es-SV"/>
              </w:rPr>
              <w:t>Promover la transparencia en los procesos de selección, reclutamiento y contratación de personal mediante concursos internos y externos.</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Secretaría de Participación y Transparencia y Secretaría Técnica y de Planificación.</w:t>
            </w:r>
          </w:p>
        </w:tc>
        <w:tc>
          <w:tcPr>
            <w:tcW w:w="3828" w:type="dxa"/>
            <w:shd w:val="clear" w:color="auto" w:fill="FFFFFF"/>
          </w:tcPr>
          <w:p w:rsidR="009C32C7" w:rsidRPr="00A85DED" w:rsidRDefault="00ED3C84" w:rsidP="00A25846">
            <w:pPr>
              <w:spacing w:line="276" w:lineRule="auto"/>
              <w:jc w:val="both"/>
              <w:rPr>
                <w:rFonts w:asciiTheme="minorHAnsi" w:hAnsiTheme="minorHAnsi" w:cstheme="minorHAnsi"/>
              </w:rPr>
            </w:pPr>
            <w:r>
              <w:rPr>
                <w:rFonts w:asciiTheme="minorHAnsi" w:eastAsia="Calibri" w:hAnsiTheme="minorHAnsi" w:cstheme="minorHAnsi"/>
                <w:bCs/>
                <w:color w:val="000000"/>
                <w:lang w:eastAsia="es-SV"/>
              </w:rPr>
              <w:t>H</w:t>
            </w:r>
            <w:r w:rsidR="009C32C7" w:rsidRPr="00A85DED">
              <w:rPr>
                <w:rFonts w:asciiTheme="minorHAnsi" w:eastAsia="Calibri" w:hAnsiTheme="minorHAnsi" w:cstheme="minorHAnsi"/>
                <w:bCs/>
                <w:color w:val="000000"/>
                <w:lang w:eastAsia="es-SV"/>
              </w:rPr>
              <w:t xml:space="preserve">erramientas técnicas y tecnológicas para el </w:t>
            </w:r>
            <w:r>
              <w:rPr>
                <w:rFonts w:asciiTheme="minorHAnsi" w:eastAsia="Calibri" w:hAnsiTheme="minorHAnsi" w:cstheme="minorHAnsi"/>
                <w:bCs/>
                <w:color w:val="000000"/>
                <w:lang w:eastAsia="es-SV"/>
              </w:rPr>
              <w:t>proceso de dotación de personal, diseñadas.</w:t>
            </w:r>
            <w:r w:rsidR="009C32C7" w:rsidRPr="00A85DED">
              <w:rPr>
                <w:rFonts w:asciiTheme="minorHAnsi" w:eastAsia="Calibri" w:hAnsiTheme="minorHAnsi" w:cstheme="minorHAnsi"/>
                <w:bCs/>
                <w:color w:val="000000"/>
                <w:lang w:eastAsia="es-SV"/>
              </w:rPr>
              <w:t xml:space="preserve"> </w:t>
            </w:r>
          </w:p>
          <w:p w:rsidR="009C32C7" w:rsidRPr="00A85DED" w:rsidRDefault="00ED3C84" w:rsidP="00A25846">
            <w:pPr>
              <w:spacing w:line="276" w:lineRule="auto"/>
              <w:jc w:val="both"/>
              <w:rPr>
                <w:rFonts w:asciiTheme="minorHAnsi" w:hAnsiTheme="minorHAnsi" w:cstheme="minorHAnsi"/>
              </w:rPr>
            </w:pPr>
            <w:r>
              <w:rPr>
                <w:rFonts w:asciiTheme="minorHAnsi" w:eastAsia="Calibri" w:hAnsiTheme="minorHAnsi" w:cstheme="minorHAnsi"/>
                <w:bCs/>
                <w:color w:val="000000"/>
                <w:lang w:eastAsia="es-SV"/>
              </w:rPr>
              <w:t>Si</w:t>
            </w:r>
            <w:r w:rsidR="009C32C7" w:rsidRPr="00A85DED">
              <w:rPr>
                <w:rFonts w:asciiTheme="minorHAnsi" w:eastAsia="Calibri" w:hAnsiTheme="minorHAnsi" w:cstheme="minorHAnsi"/>
                <w:bCs/>
                <w:color w:val="000000"/>
                <w:lang w:eastAsia="es-SV"/>
              </w:rPr>
              <w:t>tio para la publicación de los procesos de selección, reclutamiento y contratación de personal</w:t>
            </w:r>
            <w:r>
              <w:rPr>
                <w:rFonts w:asciiTheme="minorHAnsi" w:eastAsia="Calibri" w:hAnsiTheme="minorHAnsi" w:cstheme="minorHAnsi"/>
                <w:bCs/>
                <w:color w:val="000000"/>
                <w:lang w:eastAsia="es-SV"/>
              </w:rPr>
              <w:t>, habilitado e</w:t>
            </w:r>
            <w:r w:rsidRPr="00A85DED">
              <w:rPr>
                <w:rFonts w:asciiTheme="minorHAnsi" w:eastAsia="Calibri" w:hAnsiTheme="minorHAnsi" w:cstheme="minorHAnsi"/>
                <w:bCs/>
                <w:color w:val="000000"/>
                <w:lang w:eastAsia="es-SV"/>
              </w:rPr>
              <w:t>n el Portal de Gobierno Abierto</w:t>
            </w:r>
            <w:r>
              <w:rPr>
                <w:rFonts w:asciiTheme="minorHAnsi" w:eastAsia="Calibri" w:hAnsiTheme="minorHAnsi" w:cstheme="minorHAnsi"/>
                <w:bCs/>
                <w:color w:val="000000"/>
                <w:lang w:eastAsia="es-SV"/>
              </w:rPr>
              <w:t>.</w:t>
            </w:r>
          </w:p>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bCs/>
                <w:color w:val="000000"/>
                <w:lang w:eastAsia="es-SV"/>
              </w:rPr>
              <w:t xml:space="preserve">Plaza:  </w:t>
            </w:r>
            <w:r w:rsidR="00EF0C94">
              <w:rPr>
                <w:rFonts w:asciiTheme="minorHAnsi" w:eastAsia="Calibri" w:hAnsiTheme="minorHAnsi" w:cstheme="minorHAnsi"/>
                <w:bCs/>
                <w:color w:val="000000"/>
                <w:lang w:eastAsia="es-SV"/>
              </w:rPr>
              <w:t>Hasta junio 2016</w:t>
            </w:r>
          </w:p>
        </w:tc>
      </w:tr>
      <w:tr w:rsidR="009C32C7" w:rsidRPr="00A85DED" w:rsidTr="004938B5">
        <w:tblPrEx>
          <w:tblLook w:val="0000"/>
        </w:tblPrEx>
        <w:trPr>
          <w:jc w:val="center"/>
        </w:trPr>
        <w:tc>
          <w:tcPr>
            <w:tcW w:w="3215"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TRANSPARENCIA EN LA OBRA PÚBLICA </w:t>
            </w:r>
          </w:p>
          <w:p w:rsidR="002749B0" w:rsidRPr="00A85DED" w:rsidRDefault="002749B0" w:rsidP="00A25846">
            <w:pPr>
              <w:spacing w:line="276" w:lineRule="auto"/>
              <w:jc w:val="both"/>
              <w:rPr>
                <w:rFonts w:asciiTheme="minorHAnsi" w:eastAsia="Calibri" w:hAnsiTheme="minorHAnsi" w:cstheme="minorHAnsi"/>
                <w:color w:val="000000"/>
                <w:lang w:eastAsia="es-SV"/>
              </w:rPr>
            </w:pPr>
          </w:p>
          <w:p w:rsidR="002749B0" w:rsidRPr="00A85DED" w:rsidRDefault="009C32C7" w:rsidP="00A25846">
            <w:pPr>
              <w:spacing w:line="276" w:lineRule="auto"/>
              <w:jc w:val="both"/>
              <w:rPr>
                <w:rFonts w:asciiTheme="minorHAnsi" w:eastAsia="Calibri" w:hAnsiTheme="minorHAnsi" w:cstheme="minorHAnsi"/>
                <w:color w:val="000000"/>
                <w:lang w:eastAsia="es-SV"/>
              </w:rPr>
            </w:pPr>
            <w:r w:rsidRPr="00A85DED">
              <w:rPr>
                <w:rFonts w:asciiTheme="minorHAnsi" w:eastAsia="Calibri" w:hAnsiTheme="minorHAnsi" w:cstheme="minorHAnsi"/>
                <w:color w:val="000000"/>
                <w:lang w:eastAsia="es-SV"/>
              </w:rPr>
              <w:t>Implementar la Iniciativa de Transparencia en el Sector Construcción a través del uso de técnicas e indicadores para fomentar la participación ciudadana, el acceso a la información y la lucha contra la corrupción en los proyectos de construcción de la infraestructura pública.</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color w:val="000000"/>
                <w:sz w:val="22"/>
                <w:szCs w:val="22"/>
              </w:rPr>
              <w:t xml:space="preserve">Grupo CoST El Salvador y </w:t>
            </w:r>
            <w:r w:rsidRPr="00A85DED">
              <w:rPr>
                <w:rFonts w:asciiTheme="minorHAnsi" w:eastAsia="Calibri" w:hAnsiTheme="minorHAnsi" w:cstheme="minorHAnsi"/>
                <w:bCs/>
                <w:color w:val="000000"/>
                <w:sz w:val="22"/>
                <w:szCs w:val="22"/>
              </w:rPr>
              <w:t>Secretaría de Participación y Transparencia.</w:t>
            </w:r>
          </w:p>
        </w:tc>
        <w:tc>
          <w:tcPr>
            <w:tcW w:w="3828" w:type="dxa"/>
            <w:shd w:val="clear" w:color="auto" w:fill="FFFFFF"/>
          </w:tcPr>
          <w:p w:rsidR="009C32C7" w:rsidRPr="00A85DED" w:rsidRDefault="00ED3C84" w:rsidP="00A25846">
            <w:pPr>
              <w:spacing w:line="276" w:lineRule="auto"/>
              <w:jc w:val="both"/>
              <w:rPr>
                <w:rFonts w:asciiTheme="minorHAnsi" w:hAnsiTheme="minorHAnsi" w:cstheme="minorHAnsi"/>
              </w:rPr>
            </w:pPr>
            <w:r>
              <w:rPr>
                <w:rFonts w:asciiTheme="minorHAnsi" w:eastAsia="Calibri" w:hAnsiTheme="minorHAnsi" w:cstheme="minorHAnsi"/>
                <w:bCs/>
                <w:color w:val="000000"/>
                <w:lang w:eastAsia="es-SV"/>
              </w:rPr>
              <w:t>A</w:t>
            </w:r>
            <w:r w:rsidR="009C32C7" w:rsidRPr="00A85DED">
              <w:rPr>
                <w:rFonts w:asciiTheme="minorHAnsi" w:eastAsia="Calibri" w:hAnsiTheme="minorHAnsi" w:cstheme="minorHAnsi"/>
                <w:bCs/>
                <w:color w:val="000000"/>
                <w:lang w:eastAsia="es-SV"/>
              </w:rPr>
              <w:t>l menos dos informe de monitoreo de proyectos de infraestructura pública</w:t>
            </w:r>
            <w:r>
              <w:rPr>
                <w:rFonts w:asciiTheme="minorHAnsi" w:eastAsia="Calibri" w:hAnsiTheme="minorHAnsi" w:cstheme="minorHAnsi"/>
                <w:bCs/>
                <w:color w:val="000000"/>
                <w:lang w:eastAsia="es-SV"/>
              </w:rPr>
              <w:t xml:space="preserve">, presentados por el </w:t>
            </w:r>
            <w:r w:rsidRPr="00A85DED">
              <w:rPr>
                <w:rFonts w:asciiTheme="minorHAnsi" w:eastAsia="Calibri" w:hAnsiTheme="minorHAnsi" w:cstheme="minorHAnsi"/>
                <w:color w:val="000000"/>
              </w:rPr>
              <w:t>Grupo CoST El Salvador</w:t>
            </w:r>
            <w:r w:rsidR="009C32C7" w:rsidRPr="00A85DED">
              <w:rPr>
                <w:rFonts w:asciiTheme="minorHAnsi" w:eastAsia="Calibri" w:hAnsiTheme="minorHAnsi" w:cstheme="minorHAnsi"/>
                <w:bCs/>
                <w:color w:val="000000"/>
                <w:lang w:eastAsia="es-SV"/>
              </w:rPr>
              <w:t>.</w:t>
            </w:r>
          </w:p>
          <w:p w:rsidR="009C32C7" w:rsidRPr="00A85DED" w:rsidRDefault="009C32C7" w:rsidP="00A25846">
            <w:pPr>
              <w:spacing w:line="276" w:lineRule="auto"/>
              <w:jc w:val="both"/>
              <w:rPr>
                <w:rFonts w:asciiTheme="minorHAnsi" w:hAnsiTheme="minorHAnsi" w:cstheme="minorHAnsi"/>
              </w:rPr>
            </w:pPr>
          </w:p>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bCs/>
                <w:color w:val="000000"/>
                <w:lang w:eastAsia="es-SV"/>
              </w:rPr>
              <w:t xml:space="preserve">Plazo: </w:t>
            </w:r>
            <w:r w:rsidR="00EF0C94">
              <w:rPr>
                <w:rFonts w:asciiTheme="minorHAnsi" w:eastAsia="Calibri" w:hAnsiTheme="minorHAnsi" w:cstheme="minorHAnsi"/>
                <w:bCs/>
                <w:color w:val="000000"/>
                <w:lang w:eastAsia="es-SV"/>
              </w:rPr>
              <w:t>Hasta junio 2016</w:t>
            </w:r>
          </w:p>
          <w:p w:rsidR="009C32C7" w:rsidRPr="00A85DED" w:rsidRDefault="009C32C7" w:rsidP="00A25846">
            <w:pPr>
              <w:spacing w:line="276" w:lineRule="auto"/>
              <w:jc w:val="both"/>
              <w:rPr>
                <w:rFonts w:asciiTheme="minorHAnsi" w:hAnsiTheme="minorHAnsi" w:cstheme="minorHAnsi"/>
              </w:rPr>
            </w:pPr>
          </w:p>
        </w:tc>
      </w:tr>
    </w:tbl>
    <w:p w:rsidR="00F16750" w:rsidRDefault="00F16750" w:rsidP="00F16750"/>
    <w:p w:rsidR="003B35EC"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DESAFÍO 4: MEJORA DE SERVICIOS PÚBLICOS</w:t>
      </w:r>
    </w:p>
    <w:tbl>
      <w:tblPr>
        <w:tblW w:w="10026" w:type="dxa"/>
        <w:jc w:val="center"/>
        <w:tblInd w:w="513"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4A0"/>
      </w:tblPr>
      <w:tblGrid>
        <w:gridCol w:w="3261"/>
        <w:gridCol w:w="2976"/>
        <w:gridCol w:w="3789"/>
      </w:tblGrid>
      <w:tr w:rsidR="00C35FDD" w:rsidRPr="00A85DED" w:rsidTr="004641CC">
        <w:trPr>
          <w:trHeight w:val="484"/>
          <w:jc w:val="center"/>
        </w:trPr>
        <w:tc>
          <w:tcPr>
            <w:tcW w:w="3261"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COMPROMISOS</w:t>
            </w:r>
          </w:p>
        </w:tc>
        <w:tc>
          <w:tcPr>
            <w:tcW w:w="2976"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789"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INDICADORES DE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CUMPLIMIENTO</w:t>
            </w:r>
          </w:p>
        </w:tc>
      </w:tr>
      <w:tr w:rsidR="009C32C7" w:rsidRPr="00A85DED" w:rsidTr="004641CC">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SIMPLIFICACIÓN DE TRÁMITES</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Impulsar en las instituciones del Órgano Ejecutivo la simplificación y automatización de trámites de los servicios públicos más demandados por la población</w:t>
            </w:r>
            <w:r w:rsidR="00ED3C84">
              <w:rPr>
                <w:rFonts w:asciiTheme="minorHAnsi" w:eastAsia="Calibri" w:hAnsiTheme="minorHAnsi" w:cstheme="minorHAnsi"/>
                <w:color w:val="000000"/>
                <w:sz w:val="22"/>
                <w:szCs w:val="22"/>
              </w:rPr>
              <w:t xml:space="preserve">, a hacerlos más eficientes y reducir los riesgos de corrupción.  </w:t>
            </w:r>
          </w:p>
          <w:p w:rsidR="009C32C7" w:rsidRPr="00A85DED" w:rsidRDefault="009C32C7" w:rsidP="00A25846">
            <w:pPr>
              <w:pStyle w:val="ParaAttribute2"/>
              <w:spacing w:after="0" w:line="276" w:lineRule="auto"/>
              <w:rPr>
                <w:rFonts w:asciiTheme="minorHAnsi" w:hAnsiTheme="minorHAnsi" w:cstheme="minorHAnsi"/>
                <w:sz w:val="22"/>
                <w:szCs w:val="22"/>
              </w:rPr>
            </w:pP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Style w:val="st"/>
                <w:rFonts w:asciiTheme="minorHAnsi" w:hAnsiTheme="minorHAnsi" w:cstheme="minorHAnsi"/>
                <w:color w:val="000000"/>
                <w:sz w:val="22"/>
                <w:szCs w:val="22"/>
              </w:rPr>
              <w:t>Dirección de Innovación Tecnológica e Informática; Secretaría Técnica y de Planificación; Secretaría de Participación y Transparencia.</w:t>
            </w:r>
          </w:p>
        </w:tc>
        <w:tc>
          <w:tcPr>
            <w:tcW w:w="3789"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Procesos sustantivos automatizados, o al menos modelados, de las Instituciones relacionadas directamente con la mejora de clima de negocios (MINEC, CNR, MH (Aduanas), ISSS, MINTRAB, MARN).</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Procesos sustantivos automatizados, o al menos modelados, de las Instituciones que entregan servicios críticos a la ciudadanía (MINSAL, PNC, MINED).</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1B171D"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A</w:t>
            </w:r>
            <w:r w:rsidR="009C32C7" w:rsidRPr="00A85DED">
              <w:rPr>
                <w:rFonts w:asciiTheme="minorHAnsi" w:eastAsia="Calibri" w:hAnsiTheme="minorHAnsi" w:cstheme="minorHAnsi"/>
                <w:color w:val="000000"/>
                <w:sz w:val="22"/>
                <w:szCs w:val="22"/>
              </w:rPr>
              <w:t xml:space="preserve">l menos dos monitoreos, sobre la mejora y transparencia </w:t>
            </w:r>
            <w:r w:rsidR="009C32C7" w:rsidRPr="00A85DED">
              <w:rPr>
                <w:rFonts w:asciiTheme="minorHAnsi" w:eastAsia="Calibri" w:hAnsiTheme="minorHAnsi" w:cstheme="minorHAnsi"/>
                <w:color w:val="000000"/>
                <w:sz w:val="22"/>
                <w:szCs w:val="22"/>
                <w:lang w:val="es-ES"/>
              </w:rPr>
              <w:t>los servicios intervenidos con esta iniciativa</w:t>
            </w:r>
            <w:r>
              <w:rPr>
                <w:rFonts w:asciiTheme="minorHAnsi" w:eastAsia="Calibri" w:hAnsiTheme="minorHAnsi" w:cstheme="minorHAnsi"/>
                <w:color w:val="000000"/>
                <w:sz w:val="22"/>
                <w:szCs w:val="22"/>
                <w:lang w:val="es-ES"/>
              </w:rPr>
              <w:t>, realizados</w:t>
            </w:r>
            <w:r w:rsidR="009C32C7" w:rsidRPr="00A85DED">
              <w:rPr>
                <w:rFonts w:asciiTheme="minorHAnsi" w:eastAsia="Calibri" w:hAnsiTheme="minorHAnsi" w:cstheme="minorHAnsi"/>
                <w:color w:val="000000"/>
                <w:sz w:val="22"/>
                <w:szCs w:val="22"/>
                <w:lang w:val="es-ES"/>
              </w:rPr>
              <w:t>.</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2749B0"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tc>
      </w:tr>
      <w:tr w:rsidR="009C32C7" w:rsidRPr="00A85DED" w:rsidTr="004641CC">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ESTRATEGIA PARA PROMOVER LA INVERSIÓN PRIVADA EN EL SISTEMA DE EDUCACIÓN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2749B0"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Implementar una estrategia conjunta con el sector privado, en el ámbito educativo, para que las empresas puedan canalizar su inversión de forma transparente y eficiente.</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Ministerio de Educación; Secretaría de Participación y Transparencia, empresa privada y gremiales.</w:t>
            </w:r>
          </w:p>
        </w:tc>
        <w:tc>
          <w:tcPr>
            <w:tcW w:w="3789" w:type="dxa"/>
            <w:shd w:val="clear" w:color="auto" w:fill="FFFFFF"/>
          </w:tcPr>
          <w:p w:rsidR="009C32C7" w:rsidRPr="00A85DED" w:rsidRDefault="00D43AB1"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color w:val="000000"/>
                <w:sz w:val="22"/>
                <w:szCs w:val="22"/>
              </w:rPr>
              <w:t>E</w:t>
            </w:r>
            <w:r w:rsidR="009C32C7" w:rsidRPr="00A85DED">
              <w:rPr>
                <w:rFonts w:asciiTheme="minorHAnsi" w:eastAsia="Calibri" w:hAnsiTheme="minorHAnsi" w:cstheme="minorHAnsi"/>
                <w:color w:val="000000"/>
                <w:sz w:val="22"/>
                <w:szCs w:val="22"/>
              </w:rPr>
              <w:t>strategia conjunta con el sector privado, en el ámbito educativo</w:t>
            </w:r>
            <w:r>
              <w:rPr>
                <w:rFonts w:asciiTheme="minorHAnsi" w:eastAsia="Calibri" w:hAnsiTheme="minorHAnsi" w:cstheme="minorHAnsi"/>
                <w:color w:val="000000"/>
                <w:sz w:val="22"/>
                <w:szCs w:val="22"/>
              </w:rPr>
              <w:t>, i</w:t>
            </w:r>
            <w:r w:rsidRPr="00A85DED">
              <w:rPr>
                <w:rFonts w:asciiTheme="minorHAnsi" w:eastAsia="Calibri" w:hAnsiTheme="minorHAnsi" w:cstheme="minorHAnsi"/>
                <w:color w:val="000000"/>
                <w:sz w:val="22"/>
                <w:szCs w:val="22"/>
              </w:rPr>
              <w:t>mplementada</w:t>
            </w:r>
            <w:r>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p>
        </w:tc>
      </w:tr>
      <w:tr w:rsidR="009C32C7" w:rsidRPr="00A85DED" w:rsidTr="004641CC">
        <w:tblPrEx>
          <w:tblLook w:val="0000"/>
        </w:tblPrEx>
        <w:trPr>
          <w:trHeight w:val="3540"/>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PROMOCIÓN DEL  SOFTWARE LIBRE DE UTILIDAD PÚBLICA Y SOCIAL</w:t>
            </w:r>
          </w:p>
          <w:p w:rsidR="009C32C7" w:rsidRPr="00A85DED" w:rsidRDefault="009C32C7" w:rsidP="00A25846">
            <w:pPr>
              <w:spacing w:line="276" w:lineRule="auto"/>
              <w:jc w:val="both"/>
              <w:rPr>
                <w:rFonts w:asciiTheme="minorHAnsi" w:hAnsiTheme="minorHAnsi" w:cstheme="minorHAnsi"/>
              </w:rPr>
            </w:pPr>
          </w:p>
          <w:p w:rsidR="002749B0" w:rsidRPr="00A85DED" w:rsidRDefault="009C32C7" w:rsidP="00A25846">
            <w:pPr>
              <w:spacing w:line="276" w:lineRule="auto"/>
              <w:jc w:val="both"/>
              <w:rPr>
                <w:rFonts w:asciiTheme="minorHAnsi" w:eastAsia="Calibri" w:hAnsiTheme="minorHAnsi" w:cstheme="minorHAnsi"/>
                <w:color w:val="000000"/>
                <w:lang w:eastAsia="es-SV"/>
              </w:rPr>
            </w:pPr>
            <w:r w:rsidRPr="00A85DED">
              <w:rPr>
                <w:rFonts w:asciiTheme="minorHAnsi" w:eastAsia="Calibri" w:hAnsiTheme="minorHAnsi" w:cstheme="minorHAnsi"/>
                <w:color w:val="000000"/>
                <w:lang w:eastAsia="es-SV"/>
              </w:rPr>
              <w:t xml:space="preserve">Promover el desarrollo de programa y aplicaciones de utilidad pública y social, mediante la integración del talento de profesionales que aporten a las instituciones públicas el desarrollo de software libre. </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Secretaría de Participación y Transparencia.</w:t>
            </w:r>
          </w:p>
        </w:tc>
        <w:tc>
          <w:tcPr>
            <w:tcW w:w="3789" w:type="dxa"/>
            <w:shd w:val="clear" w:color="auto" w:fill="FFFFFF"/>
          </w:tcPr>
          <w:p w:rsidR="009C32C7" w:rsidRPr="00A85DED" w:rsidRDefault="0086752A" w:rsidP="00A25846">
            <w:pPr>
              <w:spacing w:line="276" w:lineRule="auto"/>
              <w:jc w:val="both"/>
              <w:rPr>
                <w:rFonts w:asciiTheme="minorHAnsi" w:hAnsiTheme="minorHAnsi" w:cstheme="minorHAnsi"/>
              </w:rPr>
            </w:pPr>
            <w:r>
              <w:rPr>
                <w:rFonts w:asciiTheme="minorHAnsi" w:eastAsia="Calibri" w:hAnsiTheme="minorHAnsi" w:cstheme="minorHAnsi"/>
                <w:bCs/>
                <w:color w:val="000000"/>
                <w:lang w:eastAsia="es-SV"/>
              </w:rPr>
              <w:t>G</w:t>
            </w:r>
            <w:r w:rsidR="009C32C7" w:rsidRPr="00A85DED">
              <w:rPr>
                <w:rFonts w:asciiTheme="minorHAnsi" w:eastAsia="Calibri" w:hAnsiTheme="minorHAnsi" w:cstheme="minorHAnsi"/>
                <w:bCs/>
                <w:color w:val="000000"/>
                <w:lang w:eastAsia="es-SV"/>
              </w:rPr>
              <w:t>rupo de usuarios del software libre</w:t>
            </w:r>
            <w:r>
              <w:rPr>
                <w:rFonts w:asciiTheme="minorHAnsi" w:eastAsia="Calibri" w:hAnsiTheme="minorHAnsi" w:cstheme="minorHAnsi"/>
                <w:bCs/>
                <w:color w:val="000000"/>
                <w:lang w:eastAsia="es-SV"/>
              </w:rPr>
              <w:t xml:space="preserve"> creado. Estará integrado</w:t>
            </w:r>
            <w:r w:rsidR="009C32C7" w:rsidRPr="00A85DED">
              <w:rPr>
                <w:rFonts w:asciiTheme="minorHAnsi" w:eastAsia="Calibri" w:hAnsiTheme="minorHAnsi" w:cstheme="minorHAnsi"/>
                <w:bCs/>
                <w:color w:val="000000"/>
                <w:lang w:eastAsia="es-SV"/>
              </w:rPr>
              <w:t xml:space="preserve"> por desarrolladores del sector público y emprendedores privados que deseen aportar herramientas tecnológicas</w:t>
            </w:r>
            <w:r w:rsidR="00C4491D">
              <w:rPr>
                <w:rFonts w:asciiTheme="minorHAnsi" w:eastAsia="Calibri" w:hAnsiTheme="minorHAnsi" w:cstheme="minorHAnsi"/>
                <w:bCs/>
                <w:color w:val="000000"/>
                <w:lang w:eastAsia="es-SV"/>
              </w:rPr>
              <w:t xml:space="preserve"> como aplicaciones móviles y web</w:t>
            </w:r>
            <w:r>
              <w:rPr>
                <w:rFonts w:asciiTheme="minorHAnsi" w:eastAsia="Calibri" w:hAnsiTheme="minorHAnsi" w:cstheme="minorHAnsi"/>
                <w:bCs/>
                <w:color w:val="000000"/>
                <w:lang w:eastAsia="es-SV"/>
              </w:rPr>
              <w:t>,</w:t>
            </w:r>
            <w:r w:rsidR="00C4491D">
              <w:rPr>
                <w:rFonts w:asciiTheme="minorHAnsi" w:eastAsia="Calibri" w:hAnsiTheme="minorHAnsi" w:cstheme="minorHAnsi"/>
                <w:bCs/>
                <w:color w:val="000000"/>
                <w:lang w:eastAsia="es-SV"/>
              </w:rPr>
              <w:t xml:space="preserve"> </w:t>
            </w:r>
            <w:r>
              <w:rPr>
                <w:rFonts w:asciiTheme="minorHAnsi" w:eastAsia="Calibri" w:hAnsiTheme="minorHAnsi" w:cstheme="minorHAnsi"/>
                <w:bCs/>
                <w:color w:val="000000"/>
                <w:lang w:eastAsia="es-SV"/>
              </w:rPr>
              <w:t>útiles para</w:t>
            </w:r>
            <w:r w:rsidR="00C4491D">
              <w:rPr>
                <w:rFonts w:asciiTheme="minorHAnsi" w:eastAsia="Calibri" w:hAnsiTheme="minorHAnsi" w:cstheme="minorHAnsi"/>
                <w:bCs/>
                <w:color w:val="000000"/>
                <w:lang w:eastAsia="es-SV"/>
              </w:rPr>
              <w:t xml:space="preserve"> la mejora de servicios, </w:t>
            </w:r>
            <w:r>
              <w:rPr>
                <w:rFonts w:asciiTheme="minorHAnsi" w:eastAsia="Calibri" w:hAnsiTheme="minorHAnsi" w:cstheme="minorHAnsi"/>
                <w:bCs/>
                <w:color w:val="000000"/>
                <w:lang w:eastAsia="es-SV"/>
              </w:rPr>
              <w:t xml:space="preserve">promoción de la </w:t>
            </w:r>
            <w:r w:rsidR="00C4491D">
              <w:rPr>
                <w:rFonts w:asciiTheme="minorHAnsi" w:eastAsia="Calibri" w:hAnsiTheme="minorHAnsi" w:cstheme="minorHAnsi"/>
                <w:bCs/>
                <w:color w:val="000000"/>
                <w:lang w:eastAsia="es-SV"/>
              </w:rPr>
              <w:t>transparencia y participación ciudadana</w:t>
            </w:r>
            <w:r w:rsidR="009C32C7" w:rsidRPr="00A85DED">
              <w:rPr>
                <w:rFonts w:asciiTheme="minorHAnsi" w:eastAsia="Calibri" w:hAnsiTheme="minorHAnsi" w:cstheme="minorHAnsi"/>
                <w:bCs/>
                <w:color w:val="000000"/>
                <w:lang w:eastAsia="es-SV"/>
              </w:rPr>
              <w:t>.</w:t>
            </w:r>
          </w:p>
          <w:p w:rsidR="009C32C7" w:rsidRPr="00A85DED" w:rsidRDefault="009C32C7" w:rsidP="00A25846">
            <w:pPr>
              <w:spacing w:line="276" w:lineRule="auto"/>
              <w:jc w:val="both"/>
              <w:rPr>
                <w:rFonts w:asciiTheme="minorHAnsi" w:hAnsiTheme="minorHAnsi" w:cstheme="minorHAnsi"/>
              </w:rPr>
            </w:pPr>
          </w:p>
          <w:p w:rsidR="009C32C7" w:rsidRPr="00A85DED" w:rsidRDefault="009C32C7" w:rsidP="00A25846">
            <w:pPr>
              <w:spacing w:line="276" w:lineRule="auto"/>
              <w:jc w:val="both"/>
              <w:rPr>
                <w:rFonts w:asciiTheme="minorHAnsi" w:eastAsia="Calibri" w:hAnsiTheme="minorHAnsi" w:cstheme="minorHAnsi"/>
                <w:color w:val="000000"/>
              </w:rPr>
            </w:pPr>
            <w:r w:rsidRPr="00A85DED">
              <w:rPr>
                <w:rFonts w:asciiTheme="minorHAnsi" w:eastAsia="Calibri" w:hAnsiTheme="minorHAnsi" w:cstheme="minorHAnsi"/>
                <w:bCs/>
                <w:color w:val="000000"/>
                <w:lang w:eastAsia="es-SV"/>
              </w:rPr>
              <w:t xml:space="preserve">Plaza: </w:t>
            </w:r>
            <w:r w:rsidR="00EF0C94">
              <w:rPr>
                <w:rFonts w:asciiTheme="minorHAnsi" w:eastAsia="Calibri" w:hAnsiTheme="minorHAnsi" w:cstheme="minorHAnsi"/>
                <w:bCs/>
                <w:color w:val="000000"/>
                <w:lang w:eastAsia="es-SV"/>
              </w:rPr>
              <w:t>Hasta junio 2016</w:t>
            </w:r>
          </w:p>
        </w:tc>
      </w:tr>
      <w:tr w:rsidR="009C32C7" w:rsidRPr="00A85DED" w:rsidTr="004641CC">
        <w:tblPrEx>
          <w:tblLook w:val="0000"/>
        </w:tblPrEx>
        <w:trPr>
          <w:jc w:val="center"/>
        </w:trPr>
        <w:tc>
          <w:tcPr>
            <w:tcW w:w="326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POLÍTICA DATOS ABIERTOS </w:t>
            </w:r>
          </w:p>
          <w:p w:rsidR="009C32C7" w:rsidRPr="00A85DED" w:rsidRDefault="009C32C7" w:rsidP="00A25846">
            <w:pPr>
              <w:spacing w:line="276" w:lineRule="auto"/>
              <w:jc w:val="both"/>
              <w:rPr>
                <w:rFonts w:asciiTheme="minorHAnsi" w:hAnsiTheme="minorHAnsi" w:cstheme="minorHAnsi"/>
              </w:rPr>
            </w:pPr>
          </w:p>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color w:val="000000"/>
                <w:lang w:eastAsia="es-SV"/>
              </w:rPr>
              <w:t xml:space="preserve">Promover la generación y publicación de información pública en formato de datos abiertos bajo estándares internacionales. </w:t>
            </w:r>
          </w:p>
          <w:p w:rsidR="009C32C7" w:rsidRPr="00A85DED" w:rsidRDefault="009C32C7" w:rsidP="00A25846">
            <w:pPr>
              <w:spacing w:line="276" w:lineRule="auto"/>
              <w:jc w:val="both"/>
              <w:rPr>
                <w:rFonts w:asciiTheme="minorHAnsi" w:hAnsiTheme="minorHAnsi" w:cstheme="minorHAnsi"/>
              </w:rPr>
            </w:pP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Secretaría de Participación y Transparencia.</w:t>
            </w:r>
          </w:p>
        </w:tc>
        <w:tc>
          <w:tcPr>
            <w:tcW w:w="3789" w:type="dxa"/>
            <w:shd w:val="clear" w:color="auto" w:fill="FFFFFF"/>
          </w:tcPr>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bCs/>
                <w:color w:val="000000"/>
                <w:lang w:eastAsia="es-SV"/>
              </w:rPr>
              <w:t xml:space="preserve">Política de Datos Abiertos publicada para su implementación en las instituciones del Órgano Ejecutivo. </w:t>
            </w:r>
          </w:p>
          <w:p w:rsidR="009C32C7" w:rsidRPr="00A85DED" w:rsidRDefault="00D43AB1" w:rsidP="00A25846">
            <w:pPr>
              <w:spacing w:line="276" w:lineRule="auto"/>
              <w:jc w:val="both"/>
              <w:rPr>
                <w:rFonts w:asciiTheme="minorHAnsi" w:hAnsiTheme="minorHAnsi" w:cstheme="minorHAnsi"/>
              </w:rPr>
            </w:pPr>
            <w:r>
              <w:rPr>
                <w:rFonts w:asciiTheme="minorHAnsi" w:eastAsia="Calibri" w:hAnsiTheme="minorHAnsi" w:cstheme="minorHAnsi"/>
                <w:bCs/>
                <w:color w:val="000000"/>
                <w:lang w:eastAsia="es-SV"/>
              </w:rPr>
              <w:t>C</w:t>
            </w:r>
            <w:r w:rsidR="009C32C7" w:rsidRPr="00A85DED">
              <w:rPr>
                <w:rFonts w:asciiTheme="minorHAnsi" w:eastAsia="Calibri" w:hAnsiTheme="minorHAnsi" w:cstheme="minorHAnsi"/>
                <w:bCs/>
                <w:color w:val="000000"/>
                <w:lang w:eastAsia="es-SV"/>
              </w:rPr>
              <w:t>apacitaciones dirigidas a funcionario</w:t>
            </w:r>
            <w:r>
              <w:rPr>
                <w:rFonts w:asciiTheme="minorHAnsi" w:eastAsia="Calibri" w:hAnsiTheme="minorHAnsi" w:cstheme="minorHAnsi"/>
                <w:bCs/>
                <w:color w:val="000000"/>
                <w:lang w:eastAsia="es-SV"/>
              </w:rPr>
              <w:t>s públicos sobre Datos Abiertos, realizadas.</w:t>
            </w:r>
            <w:r w:rsidR="009C32C7" w:rsidRPr="00A85DED">
              <w:rPr>
                <w:rFonts w:asciiTheme="minorHAnsi" w:eastAsia="Calibri" w:hAnsiTheme="minorHAnsi" w:cstheme="minorHAnsi"/>
                <w:bCs/>
                <w:color w:val="000000"/>
                <w:lang w:eastAsia="es-SV"/>
              </w:rPr>
              <w:t xml:space="preserve"> </w:t>
            </w:r>
          </w:p>
          <w:p w:rsidR="009C32C7" w:rsidRPr="00A85DED" w:rsidRDefault="009C32C7" w:rsidP="00A25846">
            <w:pPr>
              <w:spacing w:line="276" w:lineRule="auto"/>
              <w:jc w:val="both"/>
              <w:rPr>
                <w:rFonts w:asciiTheme="minorHAnsi" w:hAnsiTheme="minorHAnsi" w:cstheme="minorHAnsi"/>
              </w:rPr>
            </w:pPr>
            <w:r w:rsidRPr="00A85DED">
              <w:rPr>
                <w:rFonts w:asciiTheme="minorHAnsi" w:eastAsia="Calibri" w:hAnsiTheme="minorHAnsi" w:cstheme="minorHAnsi"/>
                <w:bCs/>
                <w:color w:val="000000"/>
                <w:lang w:eastAsia="es-SV"/>
              </w:rPr>
              <w:t xml:space="preserve">Portal de Gobierno Abierto habilitado para la publicación de información en formato de datos abiertos </w:t>
            </w:r>
          </w:p>
          <w:p w:rsidR="009C32C7" w:rsidRPr="00A85DED" w:rsidRDefault="009C32C7" w:rsidP="00A25846">
            <w:pPr>
              <w:spacing w:line="276" w:lineRule="auto"/>
              <w:jc w:val="both"/>
              <w:rPr>
                <w:rFonts w:asciiTheme="minorHAnsi" w:eastAsia="Calibri" w:hAnsiTheme="minorHAnsi" w:cstheme="minorHAnsi"/>
                <w:color w:val="595959"/>
              </w:rPr>
            </w:pPr>
            <w:r w:rsidRPr="00A85DED">
              <w:rPr>
                <w:rFonts w:asciiTheme="minorHAnsi" w:eastAsia="Calibri" w:hAnsiTheme="minorHAnsi" w:cstheme="minorHAnsi"/>
                <w:bCs/>
                <w:color w:val="000000"/>
                <w:lang w:eastAsia="es-SV"/>
              </w:rPr>
              <w:t xml:space="preserve">Plazo: </w:t>
            </w:r>
            <w:r w:rsidR="00EF0C94">
              <w:rPr>
                <w:rFonts w:asciiTheme="minorHAnsi" w:eastAsia="Calibri" w:hAnsiTheme="minorHAnsi" w:cstheme="minorHAnsi"/>
                <w:bCs/>
                <w:color w:val="000000"/>
                <w:lang w:eastAsia="es-SV"/>
              </w:rPr>
              <w:t>Hasta junio 2016</w:t>
            </w:r>
          </w:p>
        </w:tc>
      </w:tr>
    </w:tbl>
    <w:p w:rsidR="003B35EC"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DESAFÍO 5: RESPONSABILIDAD SOCIAL EMPRESARIAL</w:t>
      </w:r>
    </w:p>
    <w:tbl>
      <w:tblPr>
        <w:tblW w:w="9992" w:type="dxa"/>
        <w:jc w:val="center"/>
        <w:tblInd w:w="31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4A0"/>
      </w:tblPr>
      <w:tblGrid>
        <w:gridCol w:w="3271"/>
        <w:gridCol w:w="2976"/>
        <w:gridCol w:w="3745"/>
      </w:tblGrid>
      <w:tr w:rsidR="00C35FDD" w:rsidRPr="00A85DED" w:rsidTr="004641CC">
        <w:trPr>
          <w:trHeight w:val="484"/>
          <w:jc w:val="center"/>
        </w:trPr>
        <w:tc>
          <w:tcPr>
            <w:tcW w:w="3271"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COMPROMISOS</w:t>
            </w:r>
          </w:p>
        </w:tc>
        <w:tc>
          <w:tcPr>
            <w:tcW w:w="2976"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745"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INDICADORES DE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CUMPLIMIENTO</w:t>
            </w:r>
          </w:p>
        </w:tc>
      </w:tr>
      <w:tr w:rsidR="009C32C7" w:rsidRPr="00A85DED" w:rsidTr="004641CC">
        <w:tblPrEx>
          <w:tblLook w:val="0000"/>
        </w:tblPrEx>
        <w:trPr>
          <w:jc w:val="center"/>
        </w:trPr>
        <w:tc>
          <w:tcPr>
            <w:tcW w:w="327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 xml:space="preserve">INCENTIVO A LA RESPONSABILIDAD SOCIAL </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2749B0" w:rsidRPr="00C35FDD" w:rsidRDefault="009C32C7" w:rsidP="00A25846">
            <w:pPr>
              <w:pStyle w:val="ParaAttribute2"/>
              <w:spacing w:after="0" w:line="276" w:lineRule="auto"/>
              <w:jc w:val="both"/>
              <w:rPr>
                <w:rStyle w:val="st"/>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Incentivar a las empresas privadas para que puedan implementar prácticas o mecanismos de Responsabilidad Social en materia de buen gobierno empresarial, transparencia y lucha contra la corrupción.</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Style w:val="st"/>
                <w:rFonts w:asciiTheme="minorHAnsi" w:hAnsiTheme="minorHAnsi" w:cstheme="minorHAnsi"/>
                <w:color w:val="000000"/>
                <w:sz w:val="22"/>
                <w:szCs w:val="22"/>
              </w:rPr>
              <w:t>Secretaría de Participación y Transparencia, Empresa Privada, Organizaciones Sociales y Academia.</w:t>
            </w:r>
          </w:p>
        </w:tc>
        <w:tc>
          <w:tcPr>
            <w:tcW w:w="3745"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Premio Nacional de Transparencia, para reconocer las mejores prácticas privadas en materia de transparencia y lucha contra la corrupción</w:t>
            </w:r>
            <w:r w:rsidR="00D43AB1">
              <w:rPr>
                <w:rFonts w:asciiTheme="minorHAnsi" w:eastAsia="Calibri" w:hAnsiTheme="minorHAnsi" w:cstheme="minorHAnsi"/>
                <w:color w:val="000000"/>
                <w:sz w:val="22"/>
                <w:szCs w:val="22"/>
              </w:rPr>
              <w:t>, establecido</w:t>
            </w:r>
            <w:r w:rsidRPr="00A85DED">
              <w:rPr>
                <w:rFonts w:asciiTheme="minorHAnsi" w:eastAsia="Calibri" w:hAnsiTheme="minorHAnsi" w:cstheme="minorHAnsi"/>
                <w:color w:val="000000"/>
                <w:sz w:val="22"/>
                <w:szCs w:val="22"/>
              </w:rPr>
              <w:t>.</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Plazo: </w:t>
            </w:r>
            <w:r w:rsidR="00EF0C94">
              <w:rPr>
                <w:rFonts w:asciiTheme="minorHAnsi" w:eastAsia="Calibri" w:hAnsiTheme="minorHAnsi" w:cstheme="minorHAnsi"/>
                <w:color w:val="000000"/>
                <w:sz w:val="22"/>
                <w:szCs w:val="22"/>
              </w:rPr>
              <w:t>Hasta junio 2016</w:t>
            </w:r>
            <w:r w:rsidRPr="00A85DED">
              <w:rPr>
                <w:rFonts w:asciiTheme="minorHAnsi" w:eastAsia="Calibri" w:hAnsiTheme="minorHAnsi" w:cstheme="minorHAnsi"/>
                <w:color w:val="000000"/>
                <w:sz w:val="22"/>
                <w:szCs w:val="22"/>
              </w:rPr>
              <w:t>.</w:t>
            </w:r>
          </w:p>
        </w:tc>
      </w:tr>
      <w:tr w:rsidR="009C32C7" w:rsidRPr="00A85DED" w:rsidTr="004641CC">
        <w:tblPrEx>
          <w:tblLook w:val="0000"/>
        </w:tblPrEx>
        <w:trPr>
          <w:jc w:val="center"/>
        </w:trPr>
        <w:tc>
          <w:tcPr>
            <w:tcW w:w="3271" w:type="dxa"/>
            <w:shd w:val="clear" w:color="auto" w:fill="FFFFFF"/>
          </w:tcPr>
          <w:p w:rsidR="009C32C7" w:rsidRPr="00C35FDD"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C35FDD">
              <w:rPr>
                <w:rFonts w:asciiTheme="minorHAnsi" w:eastAsia="Calibri" w:hAnsiTheme="minorHAnsi" w:cstheme="minorHAnsi"/>
                <w:b/>
                <w:color w:val="000000"/>
              </w:rPr>
              <w:t>ADHESIÓN AL PACTO GLOBAL DE LA ORGANIZACIÓN DE LAS NACIONES UNIDAS</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2749B0" w:rsidRPr="00C35FD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Promover la adhesión de entidades al Pacto Global (Global Compact) de la Organización de las Naciones Unidas, y que adopte los principios de Responsabilidad Social Empresarial en las áreas de derechos humanos, derechos laborales, protección del medioambiente y anticorrupción que el Pacto Global promulga.</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bCs/>
                <w:color w:val="000000"/>
                <w:sz w:val="22"/>
                <w:szCs w:val="22"/>
              </w:rPr>
            </w:pPr>
            <w:r w:rsidRPr="00A85DED">
              <w:rPr>
                <w:rFonts w:asciiTheme="minorHAnsi" w:eastAsia="Calibri" w:hAnsiTheme="minorHAnsi" w:cstheme="minorHAnsi"/>
                <w:bCs/>
                <w:color w:val="000000"/>
                <w:sz w:val="22"/>
                <w:szCs w:val="22"/>
              </w:rPr>
              <w:t>Ministerio de Relaciones Exteriores; Secretaría de Participación y Transparencia, Organizaciones de la Sociedad Civil que dan seguimiento a AGA.</w:t>
            </w:r>
          </w:p>
        </w:tc>
        <w:tc>
          <w:tcPr>
            <w:tcW w:w="3745" w:type="dxa"/>
            <w:shd w:val="clear" w:color="auto" w:fill="FFFFFF"/>
          </w:tcPr>
          <w:p w:rsidR="009C32C7" w:rsidRPr="00A85DED" w:rsidRDefault="00D43AB1" w:rsidP="00A25846">
            <w:pPr>
              <w:pStyle w:val="ParaAttribute2"/>
              <w:spacing w:after="0" w:line="276" w:lineRule="auto"/>
              <w:jc w:val="both"/>
              <w:rPr>
                <w:rFonts w:asciiTheme="minorHAnsi" w:hAnsiTheme="minorHAnsi" w:cstheme="minorHAnsi"/>
                <w:sz w:val="22"/>
                <w:szCs w:val="22"/>
              </w:rPr>
            </w:pPr>
            <w:r>
              <w:rPr>
                <w:rFonts w:asciiTheme="minorHAnsi" w:eastAsia="Calibri" w:hAnsiTheme="minorHAnsi" w:cstheme="minorHAnsi"/>
                <w:bCs/>
                <w:color w:val="000000"/>
                <w:sz w:val="22"/>
                <w:szCs w:val="22"/>
              </w:rPr>
              <w:t>A</w:t>
            </w:r>
            <w:r w:rsidR="009C32C7" w:rsidRPr="00A85DED">
              <w:rPr>
                <w:rFonts w:asciiTheme="minorHAnsi" w:eastAsia="Calibri" w:hAnsiTheme="minorHAnsi" w:cstheme="minorHAnsi"/>
                <w:bCs/>
                <w:color w:val="000000"/>
                <w:sz w:val="22"/>
                <w:szCs w:val="22"/>
              </w:rPr>
              <w:t>l menos cinco entidades, al Pacto Global de la Organización de las Naciones Unidas</w:t>
            </w:r>
            <w:r>
              <w:rPr>
                <w:rFonts w:asciiTheme="minorHAnsi" w:eastAsia="Calibri" w:hAnsiTheme="minorHAnsi" w:cstheme="minorHAnsi"/>
                <w:bCs/>
                <w:color w:val="000000"/>
                <w:sz w:val="22"/>
                <w:szCs w:val="22"/>
              </w:rPr>
              <w:t>, adheridas</w:t>
            </w:r>
            <w:r w:rsidR="009C32C7" w:rsidRPr="00A85DED">
              <w:rPr>
                <w:rFonts w:asciiTheme="minorHAnsi" w:eastAsia="Calibri" w:hAnsiTheme="minorHAnsi" w:cstheme="minorHAnsi"/>
                <w:bCs/>
                <w:color w:val="000000"/>
                <w:sz w:val="22"/>
                <w:szCs w:val="22"/>
              </w:rPr>
              <w:t>.</w:t>
            </w:r>
          </w:p>
          <w:p w:rsidR="009C32C7" w:rsidRPr="00A85DED" w:rsidRDefault="009C32C7" w:rsidP="00A25846">
            <w:pPr>
              <w:pStyle w:val="ParaAttribute2"/>
              <w:spacing w:after="0" w:line="276" w:lineRule="auto"/>
              <w:ind w:left="360"/>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595959"/>
                <w:sz w:val="22"/>
                <w:szCs w:val="22"/>
              </w:rPr>
            </w:pPr>
            <w:r w:rsidRPr="00A85DED">
              <w:rPr>
                <w:rFonts w:asciiTheme="minorHAnsi" w:eastAsia="Calibri" w:hAnsiTheme="minorHAnsi" w:cstheme="minorHAnsi"/>
                <w:bCs/>
                <w:color w:val="000000"/>
                <w:sz w:val="22"/>
                <w:szCs w:val="22"/>
              </w:rPr>
              <w:t xml:space="preserve">Plazo: </w:t>
            </w:r>
            <w:r w:rsidR="00EF0C94">
              <w:rPr>
                <w:rFonts w:asciiTheme="minorHAnsi" w:eastAsia="Calibri" w:hAnsiTheme="minorHAnsi" w:cstheme="minorHAnsi"/>
                <w:bCs/>
                <w:color w:val="000000"/>
                <w:sz w:val="22"/>
                <w:szCs w:val="22"/>
              </w:rPr>
              <w:t>Hasta junio 2016</w:t>
            </w:r>
            <w:r w:rsidRPr="00A85DED">
              <w:rPr>
                <w:rFonts w:asciiTheme="minorHAnsi" w:eastAsia="Calibri" w:hAnsiTheme="minorHAnsi" w:cstheme="minorHAnsi"/>
                <w:bCs/>
                <w:color w:val="000000"/>
                <w:sz w:val="22"/>
                <w:szCs w:val="22"/>
              </w:rPr>
              <w:t>.</w:t>
            </w:r>
          </w:p>
        </w:tc>
      </w:tr>
    </w:tbl>
    <w:p w:rsidR="00F16750" w:rsidRDefault="00F16750"/>
    <w:p w:rsidR="003B35EC" w:rsidRPr="002E6CD7" w:rsidRDefault="00F16750" w:rsidP="002E6CD7">
      <w:pPr>
        <w:pStyle w:val="Citadestacada"/>
        <w:pBdr>
          <w:top w:val="dotted" w:sz="4" w:space="1" w:color="auto"/>
          <w:bottom w:val="dotted" w:sz="4" w:space="4" w:color="auto"/>
        </w:pBdr>
        <w:shd w:val="clear" w:color="auto" w:fill="FFFFFF" w:themeFill="background1"/>
        <w:ind w:left="0" w:right="-518" w:hanging="567"/>
        <w:jc w:val="center"/>
        <w:rPr>
          <w:rStyle w:val="nfasisintenso"/>
          <w:color w:val="595959" w:themeColor="text1" w:themeTint="A6"/>
          <w:sz w:val="24"/>
          <w:szCs w:val="24"/>
        </w:rPr>
      </w:pPr>
      <w:r w:rsidRPr="002E6CD7">
        <w:rPr>
          <w:rStyle w:val="nfasisintenso"/>
          <w:color w:val="595959" w:themeColor="text1" w:themeTint="A6"/>
          <w:sz w:val="24"/>
          <w:szCs w:val="24"/>
        </w:rPr>
        <w:t>COMPROMISO TRANSVERSAL: SEGUIMIENTO AL PLAN DE ACCIÓN</w:t>
      </w:r>
    </w:p>
    <w:tbl>
      <w:tblPr>
        <w:tblW w:w="10031" w:type="dxa"/>
        <w:jc w:val="center"/>
        <w:tblInd w:w="252"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4A0"/>
      </w:tblPr>
      <w:tblGrid>
        <w:gridCol w:w="3261"/>
        <w:gridCol w:w="2976"/>
        <w:gridCol w:w="3794"/>
      </w:tblGrid>
      <w:tr w:rsidR="004938B5" w:rsidRPr="00A85DED" w:rsidTr="004641CC">
        <w:trPr>
          <w:trHeight w:val="484"/>
          <w:jc w:val="center"/>
        </w:trPr>
        <w:tc>
          <w:tcPr>
            <w:tcW w:w="3261"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COMPROMISOS</w:t>
            </w:r>
          </w:p>
        </w:tc>
        <w:tc>
          <w:tcPr>
            <w:tcW w:w="2976"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ENTIDADES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INVOLUCRADAS</w:t>
            </w:r>
          </w:p>
        </w:tc>
        <w:tc>
          <w:tcPr>
            <w:tcW w:w="3794" w:type="dxa"/>
            <w:tcBorders>
              <w:top w:val="single" w:sz="8" w:space="0" w:color="C0C0C0"/>
              <w:left w:val="single" w:sz="8" w:space="0" w:color="C0C0C0"/>
              <w:bottom w:val="single" w:sz="8" w:space="0" w:color="C0C0C0"/>
              <w:right w:val="single" w:sz="8" w:space="0" w:color="C0C0C0"/>
            </w:tcBorders>
            <w:shd w:val="clear" w:color="auto" w:fill="595959" w:themeFill="text1" w:themeFillTint="A6"/>
            <w:vAlign w:val="center"/>
            <w:hideMark/>
          </w:tcPr>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 xml:space="preserve">INDICADORES DE </w:t>
            </w:r>
          </w:p>
          <w:p w:rsidR="00A85DED" w:rsidRPr="00A85DED" w:rsidRDefault="00A85DED" w:rsidP="003B3D5E">
            <w:pPr>
              <w:pStyle w:val="ParaAttribute2"/>
              <w:spacing w:after="0" w:line="276" w:lineRule="auto"/>
              <w:jc w:val="center"/>
              <w:rPr>
                <w:rFonts w:asciiTheme="minorHAnsi" w:eastAsia="Calibri" w:hAnsiTheme="minorHAnsi" w:cstheme="minorHAnsi"/>
                <w:b/>
                <w:color w:val="FFFFFF" w:themeColor="background1"/>
              </w:rPr>
            </w:pPr>
            <w:r w:rsidRPr="00A85DED">
              <w:rPr>
                <w:rFonts w:asciiTheme="minorHAnsi" w:eastAsia="Calibri" w:hAnsiTheme="minorHAnsi" w:cstheme="minorHAnsi"/>
                <w:b/>
                <w:color w:val="FFFFFF" w:themeColor="background1"/>
              </w:rPr>
              <w:t>CUMPLIMIENTO</w:t>
            </w:r>
          </w:p>
        </w:tc>
      </w:tr>
      <w:tr w:rsidR="009C32C7" w:rsidRPr="00A85DED" w:rsidTr="004641CC">
        <w:tblPrEx>
          <w:tblLook w:val="0000"/>
        </w:tblPrEx>
        <w:trPr>
          <w:jc w:val="center"/>
        </w:trPr>
        <w:tc>
          <w:tcPr>
            <w:tcW w:w="3261" w:type="dxa"/>
            <w:shd w:val="clear" w:color="auto" w:fill="FFFFFF"/>
          </w:tcPr>
          <w:p w:rsidR="009C32C7" w:rsidRPr="003E1F5C" w:rsidRDefault="009C32C7" w:rsidP="00A25846">
            <w:pPr>
              <w:pStyle w:val="ParaAttribute2"/>
              <w:numPr>
                <w:ilvl w:val="0"/>
                <w:numId w:val="3"/>
              </w:numPr>
              <w:spacing w:after="0" w:line="276" w:lineRule="auto"/>
              <w:jc w:val="both"/>
              <w:rPr>
                <w:rFonts w:asciiTheme="minorHAnsi" w:eastAsia="Calibri" w:hAnsiTheme="minorHAnsi" w:cstheme="minorHAnsi"/>
                <w:b/>
                <w:color w:val="000000"/>
              </w:rPr>
            </w:pPr>
            <w:r w:rsidRPr="003E1F5C">
              <w:rPr>
                <w:rFonts w:asciiTheme="minorHAnsi" w:eastAsia="Calibri" w:hAnsiTheme="minorHAnsi" w:cstheme="minorHAnsi"/>
                <w:b/>
                <w:color w:val="000000"/>
              </w:rPr>
              <w:t>OBSERVATORIO DE GOBIERNO ABIERTO</w:t>
            </w:r>
          </w:p>
          <w:p w:rsidR="009C32C7" w:rsidRPr="00A85DED" w:rsidRDefault="009C32C7" w:rsidP="00A25846">
            <w:pPr>
              <w:pStyle w:val="ParaAttribute2"/>
              <w:spacing w:after="0" w:line="276" w:lineRule="auto"/>
              <w:jc w:val="both"/>
              <w:rPr>
                <w:rFonts w:asciiTheme="minorHAnsi" w:hAnsiTheme="minorHAnsi" w:cstheme="minorHAnsi"/>
                <w:sz w:val="22"/>
                <w:szCs w:val="22"/>
              </w:rPr>
            </w:pPr>
          </w:p>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Crear un espacio que permita a la sociedad civil, dar seguimiento y evaluación del cumplimiento del Gobierno a los planes de acción. </w:t>
            </w:r>
          </w:p>
        </w:tc>
        <w:tc>
          <w:tcPr>
            <w:tcW w:w="2976" w:type="dxa"/>
            <w:shd w:val="clear" w:color="auto" w:fill="FFFFFF"/>
          </w:tcPr>
          <w:p w:rsidR="009C32C7" w:rsidRPr="00A85DED" w:rsidRDefault="009C32C7" w:rsidP="00A25846">
            <w:pPr>
              <w:pStyle w:val="ParaAttribute2"/>
              <w:spacing w:after="0" w:line="276" w:lineRule="auto"/>
              <w:jc w:val="both"/>
              <w:rPr>
                <w:rFonts w:asciiTheme="minorHAnsi" w:eastAsia="Calibri" w:hAnsiTheme="minorHAnsi" w:cstheme="minorHAnsi"/>
                <w:color w:val="000000"/>
                <w:sz w:val="22"/>
                <w:szCs w:val="22"/>
              </w:rPr>
            </w:pPr>
            <w:r w:rsidRPr="00A85DED">
              <w:rPr>
                <w:rFonts w:asciiTheme="minorHAnsi" w:eastAsia="Calibri" w:hAnsiTheme="minorHAnsi" w:cstheme="minorHAnsi"/>
                <w:color w:val="000000"/>
                <w:sz w:val="22"/>
                <w:szCs w:val="22"/>
              </w:rPr>
              <w:t xml:space="preserve">Organizaciones de la sociedad civil; </w:t>
            </w:r>
            <w:r w:rsidRPr="00A85DED">
              <w:rPr>
                <w:rFonts w:asciiTheme="minorHAnsi" w:eastAsia="Calibri" w:hAnsiTheme="minorHAnsi" w:cstheme="minorHAnsi"/>
                <w:bCs/>
                <w:color w:val="000000"/>
                <w:sz w:val="22"/>
                <w:szCs w:val="22"/>
              </w:rPr>
              <w:t>Secretaría de Participación, Transparencia y otras instituciones públicas</w:t>
            </w:r>
            <w:r w:rsidRPr="00A85DED">
              <w:rPr>
                <w:rFonts w:asciiTheme="minorHAnsi" w:eastAsia="Calibri" w:hAnsiTheme="minorHAnsi" w:cstheme="minorHAnsi"/>
                <w:color w:val="000000"/>
                <w:sz w:val="22"/>
                <w:szCs w:val="22"/>
              </w:rPr>
              <w:t>.</w:t>
            </w:r>
          </w:p>
        </w:tc>
        <w:tc>
          <w:tcPr>
            <w:tcW w:w="3794" w:type="dxa"/>
            <w:shd w:val="clear" w:color="auto" w:fill="FFFFFF"/>
          </w:tcPr>
          <w:p w:rsidR="009C32C7" w:rsidRPr="00A85DED" w:rsidRDefault="009C32C7" w:rsidP="00A25846">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Observatorio como un espacio de diálogo, retroalimentación, seguimiento y evaluación sobre la participación del país en la Alianza para el Gobierno Abierto</w:t>
            </w:r>
            <w:r w:rsidR="001F2AF9">
              <w:rPr>
                <w:rFonts w:asciiTheme="minorHAnsi" w:eastAsia="Calibri" w:hAnsiTheme="minorHAnsi" w:cstheme="minorHAnsi"/>
                <w:color w:val="000000"/>
                <w:sz w:val="22"/>
                <w:szCs w:val="22"/>
              </w:rPr>
              <w:t>, creado</w:t>
            </w:r>
            <w:r w:rsidRPr="00A85DED">
              <w:rPr>
                <w:rFonts w:asciiTheme="minorHAnsi" w:eastAsia="Calibri" w:hAnsiTheme="minorHAnsi" w:cstheme="minorHAnsi"/>
                <w:color w:val="000000"/>
                <w:sz w:val="22"/>
                <w:szCs w:val="22"/>
              </w:rPr>
              <w:t>.</w:t>
            </w:r>
          </w:p>
          <w:p w:rsidR="009C32C7" w:rsidRPr="004938B5" w:rsidRDefault="009C32C7" w:rsidP="00A25846">
            <w:pPr>
              <w:pStyle w:val="ParaAttribute2"/>
              <w:spacing w:after="0" w:line="276" w:lineRule="auto"/>
              <w:ind w:left="360"/>
              <w:jc w:val="both"/>
              <w:rPr>
                <w:rFonts w:asciiTheme="minorHAnsi" w:hAnsiTheme="minorHAnsi" w:cstheme="minorHAnsi"/>
                <w:sz w:val="16"/>
                <w:szCs w:val="16"/>
              </w:rPr>
            </w:pPr>
          </w:p>
          <w:p w:rsidR="002749B0" w:rsidRPr="00A85DED" w:rsidRDefault="009C32C7" w:rsidP="004938B5">
            <w:pPr>
              <w:pStyle w:val="ParaAttribute2"/>
              <w:spacing w:after="0" w:line="276" w:lineRule="auto"/>
              <w:jc w:val="both"/>
              <w:rPr>
                <w:rFonts w:asciiTheme="minorHAnsi" w:hAnsiTheme="minorHAnsi" w:cstheme="minorHAnsi"/>
                <w:sz w:val="22"/>
                <w:szCs w:val="22"/>
              </w:rPr>
            </w:pPr>
            <w:r w:rsidRPr="00A85DED">
              <w:rPr>
                <w:rFonts w:asciiTheme="minorHAnsi" w:eastAsia="Calibri" w:hAnsiTheme="minorHAnsi" w:cstheme="minorHAnsi"/>
                <w:color w:val="000000"/>
                <w:sz w:val="22"/>
                <w:szCs w:val="22"/>
              </w:rPr>
              <w:t xml:space="preserve">Hasta </w:t>
            </w:r>
            <w:r w:rsidR="001F2AF9">
              <w:rPr>
                <w:rFonts w:asciiTheme="minorHAnsi" w:eastAsia="Calibri" w:hAnsiTheme="minorHAnsi" w:cstheme="minorHAnsi"/>
                <w:color w:val="000000"/>
                <w:sz w:val="22"/>
                <w:szCs w:val="22"/>
              </w:rPr>
              <w:t xml:space="preserve">mayo </w:t>
            </w:r>
            <w:r w:rsidRPr="00A85DED">
              <w:rPr>
                <w:rFonts w:asciiTheme="minorHAnsi" w:eastAsia="Calibri" w:hAnsiTheme="minorHAnsi" w:cstheme="minorHAnsi"/>
                <w:color w:val="000000"/>
                <w:sz w:val="22"/>
                <w:szCs w:val="22"/>
              </w:rPr>
              <w:t>2015</w:t>
            </w:r>
          </w:p>
        </w:tc>
      </w:tr>
    </w:tbl>
    <w:p w:rsidR="009C32C7" w:rsidRPr="00A25846" w:rsidRDefault="00A25846" w:rsidP="00A25846">
      <w:pPr>
        <w:pStyle w:val="Ttulo1"/>
        <w:pageBreakBefore/>
        <w:tabs>
          <w:tab w:val="clear" w:pos="432"/>
          <w:tab w:val="num" w:pos="0"/>
        </w:tabs>
        <w:spacing w:line="240" w:lineRule="auto"/>
        <w:ind w:left="0" w:firstLine="0"/>
        <w:rPr>
          <w:rFonts w:ascii="Impact" w:hAnsi="Impact" w:cs="Aharoni"/>
          <w:b w:val="0"/>
          <w:spacing w:val="40"/>
          <w:w w:val="90"/>
          <w:kern w:val="40"/>
          <w:sz w:val="44"/>
          <w:szCs w:val="44"/>
        </w:rPr>
      </w:pPr>
      <w:bookmarkStart w:id="37" w:name="_Toc404893853"/>
      <w:bookmarkStart w:id="38" w:name="_Toc405021447"/>
      <w:bookmarkStart w:id="39" w:name="_Toc404948497"/>
      <w:bookmarkStart w:id="40" w:name="_Toc404948860"/>
      <w:bookmarkEnd w:id="37"/>
      <w:r w:rsidRPr="00A25846">
        <w:rPr>
          <w:rFonts w:ascii="Impact" w:hAnsi="Impact" w:cs="Aharoni"/>
          <w:b w:val="0"/>
          <w:spacing w:val="40"/>
          <w:w w:val="90"/>
          <w:kern w:val="40"/>
          <w:sz w:val="44"/>
          <w:szCs w:val="44"/>
        </w:rPr>
        <w:t>ESTRATEGIA DE SEGUIMIENTO</w:t>
      </w:r>
      <w:bookmarkEnd w:id="38"/>
      <w:r w:rsidRPr="00A25846">
        <w:rPr>
          <w:rFonts w:ascii="Impact" w:hAnsi="Impact" w:cs="Aharoni"/>
          <w:b w:val="0"/>
          <w:spacing w:val="40"/>
          <w:w w:val="90"/>
          <w:kern w:val="40"/>
          <w:sz w:val="44"/>
          <w:szCs w:val="44"/>
        </w:rPr>
        <w:t xml:space="preserve"> </w:t>
      </w:r>
      <w:bookmarkEnd w:id="39"/>
      <w:bookmarkEnd w:id="40"/>
    </w:p>
    <w:p w:rsidR="00C35FDD" w:rsidRDefault="00C35FDD" w:rsidP="00CD5B88">
      <w:pPr>
        <w:pStyle w:val="Prrafodelista1"/>
        <w:spacing w:after="0" w:line="360" w:lineRule="auto"/>
        <w:ind w:left="0"/>
        <w:jc w:val="both"/>
        <w:rPr>
          <w:rFonts w:ascii="Arial" w:hAnsi="Arial" w:cs="Arial"/>
          <w:iCs/>
          <w:color w:val="404040"/>
          <w:sz w:val="24"/>
          <w:szCs w:val="24"/>
        </w:rPr>
      </w:pPr>
    </w:p>
    <w:p w:rsidR="009C32C7" w:rsidRPr="00C35FDD" w:rsidRDefault="004641CC" w:rsidP="00CD5B88">
      <w:pPr>
        <w:pStyle w:val="Prrafodelista1"/>
        <w:spacing w:after="0" w:line="360" w:lineRule="auto"/>
        <w:ind w:left="0"/>
        <w:jc w:val="both"/>
        <w:rPr>
          <w:rFonts w:asciiTheme="minorHAnsi" w:hAnsiTheme="minorHAnsi" w:cstheme="minorHAnsi"/>
          <w:iCs/>
          <w:color w:val="404040"/>
          <w:sz w:val="24"/>
          <w:szCs w:val="24"/>
        </w:rPr>
      </w:pPr>
      <w:r>
        <w:rPr>
          <w:rFonts w:asciiTheme="minorHAnsi" w:hAnsiTheme="minorHAnsi" w:cstheme="minorHAnsi"/>
          <w:iCs/>
          <w:color w:val="404040"/>
          <w:sz w:val="24"/>
          <w:szCs w:val="24"/>
        </w:rPr>
        <w:t xml:space="preserve">El señor </w:t>
      </w:r>
      <w:r w:rsidRPr="00C35FDD">
        <w:rPr>
          <w:rFonts w:asciiTheme="minorHAnsi" w:hAnsiTheme="minorHAnsi" w:cstheme="minorHAnsi"/>
          <w:iCs/>
          <w:color w:val="404040"/>
          <w:sz w:val="24"/>
          <w:szCs w:val="24"/>
        </w:rPr>
        <w:t xml:space="preserve">Presidente de la República </w:t>
      </w:r>
      <w:r>
        <w:rPr>
          <w:rFonts w:asciiTheme="minorHAnsi" w:hAnsiTheme="minorHAnsi" w:cstheme="minorHAnsi"/>
          <w:iCs/>
          <w:color w:val="404040"/>
          <w:sz w:val="24"/>
          <w:szCs w:val="24"/>
        </w:rPr>
        <w:t xml:space="preserve">ha girado instrucciones </w:t>
      </w:r>
      <w:r w:rsidRPr="00C35FDD">
        <w:rPr>
          <w:rFonts w:asciiTheme="minorHAnsi" w:hAnsiTheme="minorHAnsi" w:cstheme="minorHAnsi"/>
          <w:iCs/>
          <w:color w:val="404040"/>
          <w:sz w:val="24"/>
          <w:szCs w:val="24"/>
        </w:rPr>
        <w:t>para que la administración</w:t>
      </w:r>
      <w:r>
        <w:rPr>
          <w:rFonts w:asciiTheme="minorHAnsi" w:hAnsiTheme="minorHAnsi" w:cstheme="minorHAnsi"/>
          <w:iCs/>
          <w:color w:val="404040"/>
          <w:sz w:val="24"/>
          <w:szCs w:val="24"/>
        </w:rPr>
        <w:t xml:space="preserve"> d</w:t>
      </w:r>
      <w:r w:rsidR="00451F1F">
        <w:rPr>
          <w:rFonts w:asciiTheme="minorHAnsi" w:hAnsiTheme="minorHAnsi" w:cstheme="minorHAnsi"/>
          <w:iCs/>
          <w:color w:val="404040"/>
          <w:sz w:val="24"/>
          <w:szCs w:val="24"/>
        </w:rPr>
        <w:t>el</w:t>
      </w:r>
      <w:r>
        <w:rPr>
          <w:rFonts w:asciiTheme="minorHAnsi" w:hAnsiTheme="minorHAnsi" w:cstheme="minorHAnsi"/>
          <w:iCs/>
          <w:color w:val="404040"/>
          <w:sz w:val="24"/>
          <w:szCs w:val="24"/>
        </w:rPr>
        <w:t xml:space="preserve"> gobierno</w:t>
      </w:r>
      <w:r w:rsidRPr="00C35FDD">
        <w:rPr>
          <w:rFonts w:asciiTheme="minorHAnsi" w:hAnsiTheme="minorHAnsi" w:cstheme="minorHAnsi"/>
          <w:iCs/>
          <w:color w:val="404040"/>
          <w:sz w:val="24"/>
          <w:szCs w:val="24"/>
        </w:rPr>
        <w:t xml:space="preserve"> ejerza sus funciones con amplia participación ciudadana en los asuntos públicos</w:t>
      </w:r>
      <w:r w:rsidR="00451F1F">
        <w:rPr>
          <w:rFonts w:asciiTheme="minorHAnsi" w:hAnsiTheme="minorHAnsi" w:cstheme="minorHAnsi"/>
          <w:iCs/>
          <w:color w:val="404040"/>
          <w:sz w:val="24"/>
          <w:szCs w:val="24"/>
        </w:rPr>
        <w:t>, retomando esas orientaciones esta Secretaría trabajará por abrir los</w:t>
      </w:r>
      <w:r w:rsidR="009C32C7" w:rsidRPr="00C35FDD">
        <w:rPr>
          <w:rFonts w:asciiTheme="minorHAnsi" w:hAnsiTheme="minorHAnsi" w:cstheme="minorHAnsi"/>
          <w:iCs/>
          <w:color w:val="404040"/>
          <w:sz w:val="24"/>
          <w:szCs w:val="24"/>
        </w:rPr>
        <w:t xml:space="preserve"> espacios </w:t>
      </w:r>
      <w:r w:rsidR="00451F1F">
        <w:rPr>
          <w:rFonts w:asciiTheme="minorHAnsi" w:hAnsiTheme="minorHAnsi" w:cstheme="minorHAnsi"/>
          <w:iCs/>
          <w:color w:val="404040"/>
          <w:sz w:val="24"/>
          <w:szCs w:val="24"/>
        </w:rPr>
        <w:t xml:space="preserve">a la </w:t>
      </w:r>
      <w:r w:rsidR="009C32C7" w:rsidRPr="00C35FDD">
        <w:rPr>
          <w:rFonts w:asciiTheme="minorHAnsi" w:hAnsiTheme="minorHAnsi" w:cstheme="minorHAnsi"/>
          <w:iCs/>
          <w:color w:val="404040"/>
          <w:sz w:val="24"/>
          <w:szCs w:val="24"/>
        </w:rPr>
        <w:t xml:space="preserve">participación ciudadana en la implementación del presente </w:t>
      </w:r>
      <w:r>
        <w:rPr>
          <w:rFonts w:asciiTheme="minorHAnsi" w:hAnsiTheme="minorHAnsi" w:cstheme="minorHAnsi"/>
          <w:iCs/>
          <w:color w:val="404040"/>
          <w:sz w:val="24"/>
          <w:szCs w:val="24"/>
        </w:rPr>
        <w:t>P</w:t>
      </w:r>
      <w:r w:rsidR="009C32C7" w:rsidRPr="00C35FDD">
        <w:rPr>
          <w:rFonts w:asciiTheme="minorHAnsi" w:hAnsiTheme="minorHAnsi" w:cstheme="minorHAnsi"/>
          <w:iCs/>
          <w:color w:val="404040"/>
          <w:sz w:val="24"/>
          <w:szCs w:val="24"/>
        </w:rPr>
        <w:t xml:space="preserve">lan de </w:t>
      </w:r>
      <w:r>
        <w:rPr>
          <w:rFonts w:asciiTheme="minorHAnsi" w:hAnsiTheme="minorHAnsi" w:cstheme="minorHAnsi"/>
          <w:iCs/>
          <w:color w:val="404040"/>
          <w:sz w:val="24"/>
          <w:szCs w:val="24"/>
        </w:rPr>
        <w:t>A</w:t>
      </w:r>
      <w:r w:rsidR="009C32C7" w:rsidRPr="00C35FDD">
        <w:rPr>
          <w:rFonts w:asciiTheme="minorHAnsi" w:hAnsiTheme="minorHAnsi" w:cstheme="minorHAnsi"/>
          <w:iCs/>
          <w:color w:val="404040"/>
          <w:sz w:val="24"/>
          <w:szCs w:val="24"/>
        </w:rPr>
        <w:t xml:space="preserve">cción. </w:t>
      </w:r>
      <w:r w:rsidR="00451F1F">
        <w:rPr>
          <w:rFonts w:asciiTheme="minorHAnsi" w:hAnsiTheme="minorHAnsi" w:cstheme="minorHAnsi"/>
          <w:iCs/>
          <w:color w:val="404040"/>
          <w:sz w:val="24"/>
          <w:szCs w:val="24"/>
        </w:rPr>
        <w:t>Esta misión requiere del involucramiento de más sectores y actores que estén dispuestos a construir cada día un</w:t>
      </w:r>
      <w:r w:rsidR="009C32C7" w:rsidRPr="00C35FDD">
        <w:rPr>
          <w:rFonts w:asciiTheme="minorHAnsi" w:hAnsiTheme="minorHAnsi" w:cstheme="minorHAnsi"/>
          <w:iCs/>
          <w:color w:val="404040"/>
          <w:sz w:val="24"/>
          <w:szCs w:val="24"/>
        </w:rPr>
        <w:t xml:space="preserve"> gobierno </w:t>
      </w:r>
      <w:r w:rsidR="00451F1F">
        <w:rPr>
          <w:rFonts w:asciiTheme="minorHAnsi" w:hAnsiTheme="minorHAnsi" w:cstheme="minorHAnsi"/>
          <w:iCs/>
          <w:color w:val="404040"/>
          <w:sz w:val="24"/>
          <w:szCs w:val="24"/>
        </w:rPr>
        <w:t xml:space="preserve">más </w:t>
      </w:r>
      <w:r w:rsidR="009C32C7" w:rsidRPr="00C35FDD">
        <w:rPr>
          <w:rFonts w:asciiTheme="minorHAnsi" w:hAnsiTheme="minorHAnsi" w:cstheme="minorHAnsi"/>
          <w:iCs/>
          <w:color w:val="404040"/>
          <w:sz w:val="24"/>
          <w:szCs w:val="24"/>
        </w:rPr>
        <w:t>abierto.</w:t>
      </w: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Con base en lo anterior, el primer paso es iniciar una campaña de divulgación de la Alianza por un Gobierno Abierto, sus principios y el actual Plan de Acción, </w:t>
      </w:r>
      <w:r w:rsidR="00451F1F">
        <w:rPr>
          <w:rFonts w:asciiTheme="minorHAnsi" w:hAnsiTheme="minorHAnsi" w:cstheme="minorHAnsi"/>
          <w:iCs/>
          <w:color w:val="404040"/>
          <w:sz w:val="24"/>
          <w:szCs w:val="24"/>
        </w:rPr>
        <w:t xml:space="preserve">que más instituciones públicas y  organizaciones civiles sean partícipes del proceso de implementación. La campaña se </w:t>
      </w:r>
      <w:r w:rsidRPr="00C35FDD">
        <w:rPr>
          <w:rFonts w:asciiTheme="minorHAnsi" w:hAnsiTheme="minorHAnsi" w:cstheme="minorHAnsi"/>
          <w:iCs/>
          <w:color w:val="404040"/>
          <w:sz w:val="24"/>
          <w:szCs w:val="24"/>
        </w:rPr>
        <w:t>ejecutará haciendo uso de los medios que la SPCTA tenga a su alcance.</w:t>
      </w: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En el primer trimestre de 2015 se </w:t>
      </w:r>
      <w:r w:rsidR="003B3D5E">
        <w:rPr>
          <w:rFonts w:asciiTheme="minorHAnsi" w:hAnsiTheme="minorHAnsi" w:cstheme="minorHAnsi"/>
          <w:iCs/>
          <w:color w:val="404040"/>
          <w:sz w:val="24"/>
          <w:szCs w:val="24"/>
        </w:rPr>
        <w:t>diseñará</w:t>
      </w:r>
      <w:r w:rsidRPr="00C35FDD">
        <w:rPr>
          <w:rFonts w:asciiTheme="minorHAnsi" w:hAnsiTheme="minorHAnsi" w:cstheme="minorHAnsi"/>
          <w:iCs/>
          <w:color w:val="404040"/>
          <w:sz w:val="24"/>
          <w:szCs w:val="24"/>
        </w:rPr>
        <w:t xml:space="preserve"> e</w:t>
      </w:r>
      <w:r w:rsidR="003B3D5E">
        <w:rPr>
          <w:rFonts w:asciiTheme="minorHAnsi" w:hAnsiTheme="minorHAnsi" w:cstheme="minorHAnsi"/>
          <w:iCs/>
          <w:color w:val="404040"/>
          <w:sz w:val="24"/>
          <w:szCs w:val="24"/>
        </w:rPr>
        <w:t>l</w:t>
      </w:r>
      <w:r w:rsidRPr="00C35FDD">
        <w:rPr>
          <w:rFonts w:asciiTheme="minorHAnsi" w:hAnsiTheme="minorHAnsi" w:cstheme="minorHAnsi"/>
          <w:iCs/>
          <w:color w:val="404040"/>
          <w:sz w:val="24"/>
          <w:szCs w:val="24"/>
        </w:rPr>
        <w:t xml:space="preserve"> marco conceptual y metodológico para la puesta en</w:t>
      </w:r>
      <w:r w:rsidR="005C21A5" w:rsidRPr="00C35FDD">
        <w:rPr>
          <w:rFonts w:asciiTheme="minorHAnsi" w:hAnsiTheme="minorHAnsi" w:cstheme="minorHAnsi"/>
          <w:iCs/>
          <w:color w:val="404040"/>
          <w:sz w:val="24"/>
          <w:szCs w:val="24"/>
        </w:rPr>
        <w:t xml:space="preserve"> funcionamiento el </w:t>
      </w:r>
      <w:r w:rsidR="006F2B95" w:rsidRPr="00C35FDD">
        <w:rPr>
          <w:rFonts w:asciiTheme="minorHAnsi" w:hAnsiTheme="minorHAnsi" w:cstheme="minorHAnsi"/>
          <w:iCs/>
          <w:color w:val="404040"/>
          <w:sz w:val="24"/>
          <w:szCs w:val="24"/>
        </w:rPr>
        <w:t>O</w:t>
      </w:r>
      <w:r w:rsidR="005C21A5" w:rsidRPr="00C35FDD">
        <w:rPr>
          <w:rFonts w:asciiTheme="minorHAnsi" w:hAnsiTheme="minorHAnsi" w:cstheme="minorHAnsi"/>
          <w:iCs/>
          <w:color w:val="404040"/>
          <w:sz w:val="24"/>
          <w:szCs w:val="24"/>
        </w:rPr>
        <w:t xml:space="preserve">bservatorio </w:t>
      </w:r>
      <w:r w:rsidRPr="00C35FDD">
        <w:rPr>
          <w:rFonts w:asciiTheme="minorHAnsi" w:hAnsiTheme="minorHAnsi" w:cstheme="minorHAnsi"/>
          <w:iCs/>
          <w:color w:val="404040"/>
          <w:sz w:val="24"/>
          <w:szCs w:val="24"/>
        </w:rPr>
        <w:t xml:space="preserve">de </w:t>
      </w:r>
      <w:r w:rsidR="006F2B95" w:rsidRPr="00C35FDD">
        <w:rPr>
          <w:rFonts w:asciiTheme="minorHAnsi" w:hAnsiTheme="minorHAnsi" w:cstheme="minorHAnsi"/>
          <w:iCs/>
          <w:color w:val="404040"/>
          <w:sz w:val="24"/>
          <w:szCs w:val="24"/>
        </w:rPr>
        <w:t>G</w:t>
      </w:r>
      <w:r w:rsidRPr="00C35FDD">
        <w:rPr>
          <w:rFonts w:asciiTheme="minorHAnsi" w:hAnsiTheme="minorHAnsi" w:cstheme="minorHAnsi"/>
          <w:iCs/>
          <w:color w:val="404040"/>
          <w:sz w:val="24"/>
          <w:szCs w:val="24"/>
        </w:rPr>
        <w:t xml:space="preserve">obierno </w:t>
      </w:r>
      <w:r w:rsidR="006F2B95" w:rsidRPr="00C35FDD">
        <w:rPr>
          <w:rFonts w:asciiTheme="minorHAnsi" w:hAnsiTheme="minorHAnsi" w:cstheme="minorHAnsi"/>
          <w:iCs/>
          <w:color w:val="404040"/>
          <w:sz w:val="24"/>
          <w:szCs w:val="24"/>
        </w:rPr>
        <w:t>A</w:t>
      </w:r>
      <w:r w:rsidRPr="00C35FDD">
        <w:rPr>
          <w:rFonts w:asciiTheme="minorHAnsi" w:hAnsiTheme="minorHAnsi" w:cstheme="minorHAnsi"/>
          <w:iCs/>
          <w:color w:val="404040"/>
          <w:sz w:val="24"/>
          <w:szCs w:val="24"/>
        </w:rPr>
        <w:t>bierto (compromiso 20). En este espacio de intercambio con la sociedad civil se diseñará una estrategia de seguimiento que incluirá los cronogramas de trabajo para la implementación de las acciones.</w:t>
      </w: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r w:rsidRPr="00C35FDD">
        <w:rPr>
          <w:rFonts w:asciiTheme="minorHAnsi" w:hAnsiTheme="minorHAnsi" w:cstheme="minorHAnsi"/>
          <w:iCs/>
          <w:color w:val="404040"/>
          <w:sz w:val="24"/>
          <w:szCs w:val="24"/>
        </w:rPr>
        <w:t xml:space="preserve">La </w:t>
      </w:r>
      <w:r w:rsidR="00866D64">
        <w:rPr>
          <w:rFonts w:asciiTheme="minorHAnsi" w:hAnsiTheme="minorHAnsi" w:cstheme="minorHAnsi"/>
          <w:iCs/>
          <w:color w:val="404040"/>
          <w:sz w:val="24"/>
          <w:szCs w:val="24"/>
        </w:rPr>
        <w:t>SPCTA</w:t>
      </w:r>
      <w:r w:rsidRPr="00C35FDD">
        <w:rPr>
          <w:rFonts w:asciiTheme="minorHAnsi" w:hAnsiTheme="minorHAnsi" w:cstheme="minorHAnsi"/>
          <w:iCs/>
          <w:color w:val="404040"/>
          <w:sz w:val="24"/>
          <w:szCs w:val="24"/>
        </w:rPr>
        <w:t>, dará seguimiento directo al cumplimiento de los compromisos asumidos por cada institución, esto sin perjuicio del seguimiento que se acuerde con las organizaciones de sociedad civil participantes.</w:t>
      </w:r>
    </w:p>
    <w:p w:rsidR="009C32C7" w:rsidRPr="00C35FDD" w:rsidRDefault="009C32C7" w:rsidP="00CD5B88">
      <w:pPr>
        <w:pStyle w:val="Prrafodelista1"/>
        <w:spacing w:after="0" w:line="360" w:lineRule="auto"/>
        <w:ind w:left="0"/>
        <w:jc w:val="both"/>
        <w:rPr>
          <w:rFonts w:asciiTheme="minorHAnsi" w:hAnsiTheme="minorHAnsi" w:cstheme="minorHAnsi"/>
          <w:iCs/>
          <w:color w:val="404040"/>
          <w:sz w:val="24"/>
          <w:szCs w:val="24"/>
        </w:rPr>
      </w:pPr>
    </w:p>
    <w:p w:rsidR="007C4C7C" w:rsidRPr="00CD5B88" w:rsidRDefault="007C4C7C" w:rsidP="00CD5B88">
      <w:pPr>
        <w:spacing w:line="360" w:lineRule="auto"/>
        <w:rPr>
          <w:rFonts w:ascii="Arial" w:hAnsi="Arial" w:cs="Arial"/>
        </w:rPr>
      </w:pPr>
    </w:p>
    <w:sectPr w:rsidR="007C4C7C" w:rsidRPr="00CD5B88" w:rsidSect="00CD5B88">
      <w:headerReference w:type="default" r:id="rId13"/>
      <w:footerReference w:type="default" r:id="rId14"/>
      <w:pgSz w:w="12240" w:h="15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C18" w:rsidRDefault="00DA7C18" w:rsidP="00CD5B88">
      <w:pPr>
        <w:spacing w:after="0" w:line="240" w:lineRule="auto"/>
      </w:pPr>
      <w:r>
        <w:separator/>
      </w:r>
    </w:p>
  </w:endnote>
  <w:endnote w:type="continuationSeparator" w:id="1">
    <w:p w:rsidR="00DA7C18" w:rsidRDefault="00DA7C18" w:rsidP="00CD5B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enQuanYi Micro Hei">
    <w:altName w:val="Times New Roman"/>
    <w:charset w:val="00"/>
    <w:family w:val="auto"/>
    <w:pitch w:val="variable"/>
    <w:sig w:usb0="00000000" w:usb1="00000000" w:usb2="00000000" w:usb3="00000000" w:csb0="00000000" w:csb1="00000000"/>
  </w:font>
  <w:font w:name="font221">
    <w:altName w:val="MS Mincho"/>
    <w:charset w:val="8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513"/>
      <w:docPartObj>
        <w:docPartGallery w:val="Page Numbers (Bottom of Page)"/>
        <w:docPartUnique/>
      </w:docPartObj>
    </w:sdtPr>
    <w:sdtEndPr>
      <w:rPr>
        <w:color w:val="595959" w:themeColor="text1" w:themeTint="A6"/>
      </w:rPr>
    </w:sdtEndPr>
    <w:sdtContent>
      <w:p w:rsidR="00FC28F7" w:rsidRPr="004641CC" w:rsidRDefault="00FC28F7">
        <w:pPr>
          <w:pStyle w:val="Piedepgina"/>
          <w:jc w:val="center"/>
          <w:rPr>
            <w:color w:val="595959" w:themeColor="text1" w:themeTint="A6"/>
          </w:rPr>
        </w:pPr>
        <w:r w:rsidRPr="004641CC">
          <w:rPr>
            <w:color w:val="595959" w:themeColor="text1" w:themeTint="A6"/>
          </w:rPr>
          <w:fldChar w:fldCharType="begin"/>
        </w:r>
        <w:r w:rsidRPr="004641CC">
          <w:rPr>
            <w:color w:val="595959" w:themeColor="text1" w:themeTint="A6"/>
          </w:rPr>
          <w:instrText xml:space="preserve"> PAGE   \* MERGEFORMAT </w:instrText>
        </w:r>
        <w:r w:rsidRPr="004641CC">
          <w:rPr>
            <w:color w:val="595959" w:themeColor="text1" w:themeTint="A6"/>
          </w:rPr>
          <w:fldChar w:fldCharType="separate"/>
        </w:r>
        <w:r w:rsidR="00EB534F">
          <w:rPr>
            <w:noProof/>
            <w:color w:val="595959" w:themeColor="text1" w:themeTint="A6"/>
          </w:rPr>
          <w:t>22</w:t>
        </w:r>
        <w:r w:rsidRPr="004641CC">
          <w:rPr>
            <w:color w:val="595959" w:themeColor="text1" w:themeTint="A6"/>
          </w:rPr>
          <w:fldChar w:fldCharType="end"/>
        </w:r>
      </w:p>
    </w:sdtContent>
  </w:sdt>
  <w:p w:rsidR="00FC28F7" w:rsidRDefault="00FC28F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C18" w:rsidRDefault="00DA7C18" w:rsidP="00CD5B88">
      <w:pPr>
        <w:spacing w:after="0" w:line="240" w:lineRule="auto"/>
      </w:pPr>
      <w:r>
        <w:separator/>
      </w:r>
    </w:p>
  </w:footnote>
  <w:footnote w:type="continuationSeparator" w:id="1">
    <w:p w:rsidR="00DA7C18" w:rsidRDefault="00DA7C18" w:rsidP="00CD5B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8F7" w:rsidRDefault="00FC28F7">
    <w:pPr>
      <w:pStyle w:val="Encabezado"/>
    </w:pPr>
    <w:r>
      <w:rPr>
        <w:noProof/>
        <w:lang w:eastAsia="es-SV"/>
      </w:rPr>
      <w:drawing>
        <wp:anchor distT="0" distB="0" distL="114300" distR="114300" simplePos="0" relativeHeight="251658240" behindDoc="1" locked="0" layoutInCell="1" allowOverlap="1">
          <wp:simplePos x="0" y="0"/>
          <wp:positionH relativeFrom="column">
            <wp:posOffset>5798820</wp:posOffset>
          </wp:positionH>
          <wp:positionV relativeFrom="paragraph">
            <wp:posOffset>-480695</wp:posOffset>
          </wp:positionV>
          <wp:extent cx="8451215" cy="233680"/>
          <wp:effectExtent l="0" t="0" r="0" b="0"/>
          <wp:wrapThrough wrapText="bothSides">
            <wp:wrapPolygon edited="0">
              <wp:start x="0" y="0"/>
              <wp:lineTo x="0" y="19370"/>
              <wp:lineTo x="21569" y="19370"/>
              <wp:lineTo x="21569"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1215" cy="2336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Num2"/>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nsid w:val="00000004"/>
    <w:multiLevelType w:val="multilevel"/>
    <w:tmpl w:val="00000004"/>
    <w:name w:val="WWNum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000005"/>
    <w:multiLevelType w:val="multilevel"/>
    <w:tmpl w:val="00000005"/>
    <w:name w:val="WWNum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6"/>
    <w:multiLevelType w:val="multilevel"/>
    <w:tmpl w:val="00000006"/>
    <w:name w:val="WWNum5"/>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049"/>
  </w:hdrShapeDefaults>
  <w:footnotePr>
    <w:footnote w:id="0"/>
    <w:footnote w:id="1"/>
  </w:footnotePr>
  <w:endnotePr>
    <w:endnote w:id="0"/>
    <w:endnote w:id="1"/>
  </w:endnotePr>
  <w:compat/>
  <w:rsids>
    <w:rsidRoot w:val="009C32C7"/>
    <w:rsid w:val="000822A1"/>
    <w:rsid w:val="000A7C0C"/>
    <w:rsid w:val="00100A23"/>
    <w:rsid w:val="00156E65"/>
    <w:rsid w:val="001B171D"/>
    <w:rsid w:val="001C1EDE"/>
    <w:rsid w:val="001D6CCA"/>
    <w:rsid w:val="001F2AF9"/>
    <w:rsid w:val="00212928"/>
    <w:rsid w:val="002662BD"/>
    <w:rsid w:val="002749B0"/>
    <w:rsid w:val="002E6CD7"/>
    <w:rsid w:val="00315670"/>
    <w:rsid w:val="00325C0F"/>
    <w:rsid w:val="003430FE"/>
    <w:rsid w:val="003624D4"/>
    <w:rsid w:val="003B35EC"/>
    <w:rsid w:val="003B3D5E"/>
    <w:rsid w:val="003E1F5C"/>
    <w:rsid w:val="00451F1F"/>
    <w:rsid w:val="004641CC"/>
    <w:rsid w:val="004938B5"/>
    <w:rsid w:val="00493E3A"/>
    <w:rsid w:val="0052396E"/>
    <w:rsid w:val="00545ABC"/>
    <w:rsid w:val="0056621E"/>
    <w:rsid w:val="00571202"/>
    <w:rsid w:val="005C21A5"/>
    <w:rsid w:val="005F15B1"/>
    <w:rsid w:val="00615183"/>
    <w:rsid w:val="00631580"/>
    <w:rsid w:val="006721EC"/>
    <w:rsid w:val="006B2E9F"/>
    <w:rsid w:val="006C7E6B"/>
    <w:rsid w:val="006D1302"/>
    <w:rsid w:val="006F2B95"/>
    <w:rsid w:val="0071124D"/>
    <w:rsid w:val="007408AC"/>
    <w:rsid w:val="00784D50"/>
    <w:rsid w:val="007C4C7C"/>
    <w:rsid w:val="00802641"/>
    <w:rsid w:val="00866D64"/>
    <w:rsid w:val="0086752A"/>
    <w:rsid w:val="00877E3A"/>
    <w:rsid w:val="008B4125"/>
    <w:rsid w:val="008D273D"/>
    <w:rsid w:val="00912152"/>
    <w:rsid w:val="00955177"/>
    <w:rsid w:val="009B3458"/>
    <w:rsid w:val="009C32C7"/>
    <w:rsid w:val="00A25846"/>
    <w:rsid w:val="00A41568"/>
    <w:rsid w:val="00A85DED"/>
    <w:rsid w:val="00AD470E"/>
    <w:rsid w:val="00B34112"/>
    <w:rsid w:val="00C35FDD"/>
    <w:rsid w:val="00C4491D"/>
    <w:rsid w:val="00CD5B88"/>
    <w:rsid w:val="00D3726B"/>
    <w:rsid w:val="00D43AB1"/>
    <w:rsid w:val="00DA65CB"/>
    <w:rsid w:val="00DA7C18"/>
    <w:rsid w:val="00E404A4"/>
    <w:rsid w:val="00EB3C32"/>
    <w:rsid w:val="00EB534F"/>
    <w:rsid w:val="00ED3C84"/>
    <w:rsid w:val="00EF0C94"/>
    <w:rsid w:val="00F16750"/>
    <w:rsid w:val="00F6202F"/>
    <w:rsid w:val="00F6558C"/>
    <w:rsid w:val="00FC28F7"/>
    <w:rsid w:val="00FF2B03"/>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DED"/>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rsid w:val="009C32C7"/>
    <w:pPr>
      <w:spacing w:after="120"/>
    </w:pPr>
  </w:style>
  <w:style w:type="character" w:customStyle="1" w:styleId="TextoindependienteCar">
    <w:name w:val="Texto independiente Car"/>
    <w:basedOn w:val="Fuentedeprrafopredeter"/>
    <w:link w:val="Textoindependiente"/>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semiHidden/>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 w:type="table" w:customStyle="1" w:styleId="Sombreadoclaro-nfasis11">
    <w:name w:val="Sombreado claro - Énfasis 11"/>
    <w:basedOn w:val="Tablanormal"/>
    <w:uiPriority w:val="60"/>
    <w:rsid w:val="003B35E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3B35E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fasissutil">
    <w:name w:val="Subtle Emphasis"/>
    <w:basedOn w:val="Fuentedeprrafopredeter"/>
    <w:uiPriority w:val="19"/>
    <w:qFormat/>
    <w:rsid w:val="00F16750"/>
    <w:rPr>
      <w:i/>
      <w:iCs/>
      <w:color w:val="808080" w:themeColor="text1" w:themeTint="7F"/>
    </w:rPr>
  </w:style>
  <w:style w:type="paragraph" w:styleId="Citadestacada">
    <w:name w:val="Intense Quote"/>
    <w:basedOn w:val="Normal"/>
    <w:next w:val="Normal"/>
    <w:link w:val="CitadestacadaCar"/>
    <w:uiPriority w:val="30"/>
    <w:qFormat/>
    <w:rsid w:val="00F16750"/>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16750"/>
    <w:rPr>
      <w:rFonts w:ascii="Calibri" w:eastAsia="WenQuanYi Micro Hei" w:hAnsi="Calibri" w:cs="Calibri"/>
      <w:b/>
      <w:bCs/>
      <w:i/>
      <w:iCs/>
      <w:color w:val="4F81BD" w:themeColor="accent1"/>
      <w:kern w:val="1"/>
    </w:rPr>
  </w:style>
  <w:style w:type="character" w:styleId="nfasisintenso">
    <w:name w:val="Intense Emphasis"/>
    <w:basedOn w:val="Fuentedeprrafopredeter"/>
    <w:uiPriority w:val="21"/>
    <w:qFormat/>
    <w:rsid w:val="00F16750"/>
    <w:rPr>
      <w:b/>
      <w:bCs/>
      <w:i/>
      <w:iCs/>
      <w:color w:val="4F81BD" w:themeColor="accent1"/>
    </w:rPr>
  </w:style>
  <w:style w:type="paragraph" w:styleId="Prrafodelista">
    <w:name w:val="List Paragraph"/>
    <w:basedOn w:val="Normal"/>
    <w:uiPriority w:val="34"/>
    <w:qFormat/>
    <w:rsid w:val="00A415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B0"/>
    <w:pPr>
      <w:tabs>
        <w:tab w:val="left" w:pos="708"/>
      </w:tabs>
      <w:suppressAutoHyphens/>
      <w:spacing w:after="160" w:line="254" w:lineRule="auto"/>
    </w:pPr>
    <w:rPr>
      <w:rFonts w:ascii="Calibri" w:eastAsia="WenQuanYi Micro Hei" w:hAnsi="Calibri" w:cs="Calibri"/>
      <w:color w:val="00000A"/>
      <w:kern w:val="1"/>
    </w:rPr>
  </w:style>
  <w:style w:type="paragraph" w:styleId="Ttulo1">
    <w:name w:val="heading 1"/>
    <w:basedOn w:val="Normal"/>
    <w:next w:val="Textoindependiente"/>
    <w:link w:val="Ttulo1Car"/>
    <w:qFormat/>
    <w:rsid w:val="009C32C7"/>
    <w:pPr>
      <w:keepNext/>
      <w:keepLines/>
      <w:numPr>
        <w:numId w:val="1"/>
      </w:numPr>
      <w:spacing w:after="0" w:line="360" w:lineRule="auto"/>
      <w:outlineLvl w:val="0"/>
    </w:pPr>
    <w:rPr>
      <w:rFonts w:cs="font221"/>
      <w:b/>
      <w:bCs/>
      <w:color w:val="2E74B5"/>
      <w:sz w:val="28"/>
      <w:szCs w:val="32"/>
    </w:rPr>
  </w:style>
  <w:style w:type="paragraph" w:styleId="Ttulo2">
    <w:name w:val="heading 2"/>
    <w:basedOn w:val="Normal"/>
    <w:next w:val="Textoindependiente"/>
    <w:link w:val="Ttulo2Car"/>
    <w:qFormat/>
    <w:rsid w:val="009C32C7"/>
    <w:pPr>
      <w:keepNext/>
      <w:keepLines/>
      <w:numPr>
        <w:ilvl w:val="1"/>
        <w:numId w:val="1"/>
      </w:numPr>
      <w:spacing w:after="0" w:line="360" w:lineRule="auto"/>
      <w:outlineLvl w:val="1"/>
    </w:pPr>
    <w:rPr>
      <w:rFonts w:cs="font221"/>
      <w:b/>
      <w:bCs/>
      <w:i/>
      <w:iCs/>
      <w:color w:val="2E74B5"/>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32C7"/>
    <w:rPr>
      <w:rFonts w:ascii="Calibri" w:eastAsia="WenQuanYi Micro Hei" w:hAnsi="Calibri" w:cs="font221"/>
      <w:b/>
      <w:bCs/>
      <w:color w:val="2E74B5"/>
      <w:kern w:val="1"/>
      <w:sz w:val="28"/>
      <w:szCs w:val="32"/>
    </w:rPr>
  </w:style>
  <w:style w:type="character" w:customStyle="1" w:styleId="Ttulo2Car">
    <w:name w:val="Título 2 Car"/>
    <w:basedOn w:val="Fuentedeprrafopredeter"/>
    <w:link w:val="Ttulo2"/>
    <w:rsid w:val="009C32C7"/>
    <w:rPr>
      <w:rFonts w:ascii="Calibri" w:eastAsia="WenQuanYi Micro Hei" w:hAnsi="Calibri" w:cs="font221"/>
      <w:b/>
      <w:bCs/>
      <w:i/>
      <w:iCs/>
      <w:color w:val="2E74B5"/>
      <w:kern w:val="1"/>
      <w:sz w:val="28"/>
      <w:szCs w:val="26"/>
    </w:rPr>
  </w:style>
  <w:style w:type="character" w:styleId="Hipervnculo">
    <w:name w:val="Hyperlink"/>
    <w:basedOn w:val="Fuentedeprrafopredeter"/>
    <w:uiPriority w:val="99"/>
    <w:rsid w:val="009C32C7"/>
    <w:rPr>
      <w:color w:val="0000FF"/>
      <w:u w:val="single"/>
      <w:lang w:val="es-ES" w:eastAsia="es-ES" w:bidi="es-ES"/>
    </w:rPr>
  </w:style>
  <w:style w:type="character" w:customStyle="1" w:styleId="st">
    <w:name w:val="st"/>
    <w:basedOn w:val="Fuentedeprrafopredeter"/>
    <w:rsid w:val="009C32C7"/>
  </w:style>
  <w:style w:type="character" w:customStyle="1" w:styleId="nfasissutil1">
    <w:name w:val="Énfasis sutil1"/>
    <w:basedOn w:val="Fuentedeprrafopredeter"/>
    <w:rsid w:val="009C32C7"/>
    <w:rPr>
      <w:i/>
      <w:iCs/>
      <w:color w:val="808080"/>
    </w:rPr>
  </w:style>
  <w:style w:type="paragraph" w:styleId="Textoindependiente">
    <w:name w:val="Body Text"/>
    <w:basedOn w:val="Normal"/>
    <w:link w:val="TextoindependienteCar"/>
    <w:rsid w:val="009C32C7"/>
    <w:pPr>
      <w:spacing w:after="120"/>
    </w:pPr>
  </w:style>
  <w:style w:type="character" w:customStyle="1" w:styleId="TextoindependienteCar">
    <w:name w:val="Texto independiente Car"/>
    <w:basedOn w:val="Fuentedeprrafopredeter"/>
    <w:link w:val="Textoindependiente"/>
    <w:rsid w:val="009C32C7"/>
    <w:rPr>
      <w:rFonts w:ascii="Calibri" w:eastAsia="WenQuanYi Micro Hei" w:hAnsi="Calibri" w:cs="Calibri"/>
      <w:color w:val="00000A"/>
      <w:kern w:val="1"/>
    </w:rPr>
  </w:style>
  <w:style w:type="paragraph" w:customStyle="1" w:styleId="Prrafodelista1">
    <w:name w:val="Párrafo de lista1"/>
    <w:basedOn w:val="Normal"/>
    <w:rsid w:val="009C32C7"/>
    <w:pPr>
      <w:ind w:left="720"/>
    </w:pPr>
  </w:style>
  <w:style w:type="paragraph" w:customStyle="1" w:styleId="ParaAttribute2">
    <w:name w:val="ParaAttribute2"/>
    <w:rsid w:val="009C32C7"/>
    <w:pPr>
      <w:widowControl w:val="0"/>
      <w:tabs>
        <w:tab w:val="left" w:pos="708"/>
      </w:tabs>
      <w:suppressAutoHyphens/>
      <w:spacing w:after="200" w:line="100" w:lineRule="atLeast"/>
    </w:pPr>
    <w:rPr>
      <w:rFonts w:ascii="Times New Roman" w:eastAsia="Batang" w:hAnsi="Times New Roman" w:cs="Times New Roman"/>
      <w:color w:val="00000A"/>
      <w:kern w:val="1"/>
      <w:sz w:val="20"/>
      <w:szCs w:val="20"/>
      <w:lang w:eastAsia="es-SV"/>
    </w:rPr>
  </w:style>
  <w:style w:type="paragraph" w:customStyle="1" w:styleId="Estilo1">
    <w:name w:val="Estilo1"/>
    <w:basedOn w:val="Normal"/>
    <w:rsid w:val="009C32C7"/>
    <w:pPr>
      <w:spacing w:after="0" w:line="360" w:lineRule="auto"/>
      <w:jc w:val="both"/>
    </w:pPr>
    <w:rPr>
      <w:b/>
      <w:color w:val="1F4E79"/>
      <w:sz w:val="28"/>
      <w:szCs w:val="28"/>
    </w:rPr>
  </w:style>
  <w:style w:type="paragraph" w:customStyle="1" w:styleId="Ttulo21">
    <w:name w:val="Título 21"/>
    <w:basedOn w:val="Normal"/>
    <w:rsid w:val="009C32C7"/>
    <w:pPr>
      <w:keepNext/>
      <w:keepLines/>
      <w:tabs>
        <w:tab w:val="clear" w:pos="708"/>
        <w:tab w:val="left" w:pos="1152"/>
        <w:tab w:val="left" w:pos="1284"/>
      </w:tabs>
      <w:spacing w:before="200" w:after="0" w:line="276" w:lineRule="auto"/>
      <w:ind w:left="576" w:hanging="576"/>
    </w:pPr>
    <w:rPr>
      <w:rFonts w:ascii="Cambria" w:hAnsi="Cambria"/>
      <w:b/>
      <w:bCs/>
      <w:color w:val="4F81BD"/>
      <w:sz w:val="26"/>
      <w:szCs w:val="26"/>
    </w:rPr>
  </w:style>
  <w:style w:type="paragraph" w:customStyle="1" w:styleId="Textocomentario1">
    <w:name w:val="Texto comentario1"/>
    <w:basedOn w:val="Normal"/>
    <w:rsid w:val="009C32C7"/>
    <w:pPr>
      <w:spacing w:after="0" w:line="100" w:lineRule="atLeast"/>
    </w:pPr>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semiHidden/>
    <w:unhideWhenUsed/>
    <w:qFormat/>
    <w:rsid w:val="009C32C7"/>
    <w:pPr>
      <w:numPr>
        <w:numId w:val="0"/>
      </w:numPr>
      <w:tabs>
        <w:tab w:val="clear" w:pos="708"/>
      </w:tabs>
      <w:suppressAutoHyphens w:val="0"/>
      <w:spacing w:before="480" w:line="276" w:lineRule="auto"/>
      <w:outlineLvl w:val="9"/>
    </w:pPr>
    <w:rPr>
      <w:rFonts w:asciiTheme="majorHAnsi" w:eastAsiaTheme="majorEastAsia" w:hAnsiTheme="majorHAnsi" w:cstheme="majorBidi"/>
      <w:color w:val="365F91" w:themeColor="accent1" w:themeShade="BF"/>
      <w:kern w:val="0"/>
      <w:szCs w:val="28"/>
      <w:lang w:val="es-ES"/>
    </w:rPr>
  </w:style>
  <w:style w:type="paragraph" w:styleId="TDC1">
    <w:name w:val="toc 1"/>
    <w:basedOn w:val="Normal"/>
    <w:next w:val="Normal"/>
    <w:autoRedefine/>
    <w:uiPriority w:val="39"/>
    <w:unhideWhenUsed/>
    <w:rsid w:val="009C32C7"/>
    <w:pPr>
      <w:tabs>
        <w:tab w:val="clear" w:pos="708"/>
      </w:tabs>
      <w:spacing w:before="120" w:after="0"/>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9C32C7"/>
    <w:pPr>
      <w:tabs>
        <w:tab w:val="clear" w:pos="708"/>
      </w:tabs>
      <w:spacing w:before="120" w:after="0"/>
      <w:ind w:left="220"/>
    </w:pPr>
    <w:rPr>
      <w:rFonts w:asciiTheme="minorHAnsi" w:hAnsiTheme="minorHAnsi" w:cstheme="minorHAnsi"/>
      <w:b/>
      <w:bCs/>
    </w:rPr>
  </w:style>
  <w:style w:type="paragraph" w:styleId="Textodeglobo">
    <w:name w:val="Balloon Text"/>
    <w:basedOn w:val="Normal"/>
    <w:link w:val="TextodegloboCar"/>
    <w:uiPriority w:val="99"/>
    <w:semiHidden/>
    <w:unhideWhenUsed/>
    <w:rsid w:val="009C3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32C7"/>
    <w:rPr>
      <w:rFonts w:ascii="Tahoma" w:eastAsia="WenQuanYi Micro Hei" w:hAnsi="Tahoma" w:cs="Tahoma"/>
      <w:color w:val="00000A"/>
      <w:kern w:val="1"/>
      <w:sz w:val="16"/>
      <w:szCs w:val="16"/>
    </w:rPr>
  </w:style>
  <w:style w:type="paragraph" w:styleId="TDC3">
    <w:name w:val="toc 3"/>
    <w:basedOn w:val="Normal"/>
    <w:next w:val="Normal"/>
    <w:autoRedefine/>
    <w:uiPriority w:val="39"/>
    <w:unhideWhenUsed/>
    <w:rsid w:val="009C32C7"/>
    <w:pPr>
      <w:tabs>
        <w:tab w:val="clear" w:pos="708"/>
      </w:tabs>
      <w:spacing w:after="0"/>
      <w:ind w:left="440"/>
    </w:pPr>
    <w:rPr>
      <w:rFonts w:asciiTheme="minorHAnsi" w:hAnsiTheme="minorHAnsi" w:cstheme="minorHAnsi"/>
      <w:sz w:val="20"/>
      <w:szCs w:val="20"/>
    </w:rPr>
  </w:style>
  <w:style w:type="paragraph" w:styleId="TDC4">
    <w:name w:val="toc 4"/>
    <w:basedOn w:val="Normal"/>
    <w:next w:val="Normal"/>
    <w:autoRedefine/>
    <w:uiPriority w:val="39"/>
    <w:unhideWhenUsed/>
    <w:rsid w:val="009C32C7"/>
    <w:pPr>
      <w:tabs>
        <w:tab w:val="clear" w:pos="708"/>
      </w:tabs>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9C32C7"/>
    <w:pPr>
      <w:tabs>
        <w:tab w:val="clear" w:pos="708"/>
      </w:tabs>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9C32C7"/>
    <w:pPr>
      <w:tabs>
        <w:tab w:val="clear" w:pos="708"/>
      </w:tabs>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9C32C7"/>
    <w:pPr>
      <w:tabs>
        <w:tab w:val="clear" w:pos="708"/>
      </w:tabs>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9C32C7"/>
    <w:pPr>
      <w:tabs>
        <w:tab w:val="clear" w:pos="708"/>
      </w:tabs>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9C32C7"/>
    <w:pPr>
      <w:tabs>
        <w:tab w:val="clear" w:pos="708"/>
      </w:tabs>
      <w:spacing w:after="0"/>
      <w:ind w:left="1760"/>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545ABC"/>
    <w:rPr>
      <w:sz w:val="16"/>
      <w:szCs w:val="16"/>
    </w:rPr>
  </w:style>
  <w:style w:type="paragraph" w:styleId="Textocomentario">
    <w:name w:val="annotation text"/>
    <w:basedOn w:val="Normal"/>
    <w:link w:val="TextocomentarioCar"/>
    <w:uiPriority w:val="99"/>
    <w:semiHidden/>
    <w:unhideWhenUsed/>
    <w:rsid w:val="00545A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5ABC"/>
    <w:rPr>
      <w:rFonts w:ascii="Calibri" w:eastAsia="WenQuanYi Micro Hei" w:hAnsi="Calibri" w:cs="Calibri"/>
      <w:color w:val="00000A"/>
      <w:kern w:val="1"/>
      <w:sz w:val="20"/>
      <w:szCs w:val="20"/>
    </w:rPr>
  </w:style>
  <w:style w:type="paragraph" w:styleId="Asuntodelcomentario">
    <w:name w:val="annotation subject"/>
    <w:basedOn w:val="Textocomentario"/>
    <w:next w:val="Textocomentario"/>
    <w:link w:val="AsuntodelcomentarioCar"/>
    <w:uiPriority w:val="99"/>
    <w:semiHidden/>
    <w:unhideWhenUsed/>
    <w:rsid w:val="00545ABC"/>
    <w:rPr>
      <w:b/>
      <w:bCs/>
    </w:rPr>
  </w:style>
  <w:style w:type="character" w:customStyle="1" w:styleId="AsuntodelcomentarioCar">
    <w:name w:val="Asunto del comentario Car"/>
    <w:basedOn w:val="TextocomentarioCar"/>
    <w:link w:val="Asuntodelcomentario"/>
    <w:uiPriority w:val="99"/>
    <w:semiHidden/>
    <w:rsid w:val="00545ABC"/>
    <w:rPr>
      <w:rFonts w:ascii="Calibri" w:eastAsia="WenQuanYi Micro Hei" w:hAnsi="Calibri" w:cs="Calibri"/>
      <w:b/>
      <w:bCs/>
      <w:color w:val="00000A"/>
      <w:kern w:val="1"/>
      <w:sz w:val="20"/>
      <w:szCs w:val="20"/>
    </w:rPr>
  </w:style>
  <w:style w:type="paragraph" w:styleId="Encabezado">
    <w:name w:val="header"/>
    <w:basedOn w:val="Normal"/>
    <w:link w:val="EncabezadoCar"/>
    <w:uiPriority w:val="99"/>
    <w:unhideWhenUsed/>
    <w:rsid w:val="00CD5B88"/>
    <w:pPr>
      <w:tabs>
        <w:tab w:val="clear" w:pos="708"/>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B88"/>
    <w:rPr>
      <w:rFonts w:ascii="Calibri" w:eastAsia="WenQuanYi Micro Hei" w:hAnsi="Calibri" w:cs="Calibri"/>
      <w:color w:val="00000A"/>
      <w:kern w:val="1"/>
    </w:rPr>
  </w:style>
  <w:style w:type="paragraph" w:styleId="Piedepgina">
    <w:name w:val="footer"/>
    <w:basedOn w:val="Normal"/>
    <w:link w:val="PiedepginaCar"/>
    <w:uiPriority w:val="99"/>
    <w:unhideWhenUsed/>
    <w:rsid w:val="00CD5B88"/>
    <w:pPr>
      <w:tabs>
        <w:tab w:val="clear" w:pos="708"/>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B88"/>
    <w:rPr>
      <w:rFonts w:ascii="Calibri" w:eastAsia="WenQuanYi Micro Hei" w:hAnsi="Calibri" w:cs="Calibri"/>
      <w:color w:val="00000A"/>
      <w:kern w:val="1"/>
    </w:rPr>
  </w:style>
</w:styles>
</file>

<file path=word/webSettings.xml><?xml version="1.0" encoding="utf-8"?>
<w:webSettings xmlns:r="http://schemas.openxmlformats.org/officeDocument/2006/relationships" xmlns:w="http://schemas.openxmlformats.org/wordprocessingml/2006/main">
  <w:divs>
    <w:div w:id="732850736">
      <w:bodyDiv w:val="1"/>
      <w:marLeft w:val="0"/>
      <w:marRight w:val="0"/>
      <w:marTop w:val="0"/>
      <w:marBottom w:val="0"/>
      <w:divBdr>
        <w:top w:val="none" w:sz="0" w:space="0" w:color="auto"/>
        <w:left w:val="none" w:sz="0" w:space="0" w:color="auto"/>
        <w:bottom w:val="none" w:sz="0" w:space="0" w:color="auto"/>
        <w:right w:val="none" w:sz="0" w:space="0" w:color="auto"/>
      </w:divBdr>
    </w:div>
    <w:div w:id="827016607">
      <w:bodyDiv w:val="1"/>
      <w:marLeft w:val="0"/>
      <w:marRight w:val="0"/>
      <w:marTop w:val="0"/>
      <w:marBottom w:val="0"/>
      <w:divBdr>
        <w:top w:val="none" w:sz="0" w:space="0" w:color="auto"/>
        <w:left w:val="none" w:sz="0" w:space="0" w:color="auto"/>
        <w:bottom w:val="none" w:sz="0" w:space="0" w:color="auto"/>
        <w:right w:val="none" w:sz="0" w:space="0" w:color="auto"/>
      </w:divBdr>
    </w:div>
    <w:div w:id="912856488">
      <w:bodyDiv w:val="1"/>
      <w:marLeft w:val="0"/>
      <w:marRight w:val="0"/>
      <w:marTop w:val="0"/>
      <w:marBottom w:val="0"/>
      <w:divBdr>
        <w:top w:val="none" w:sz="0" w:space="0" w:color="auto"/>
        <w:left w:val="none" w:sz="0" w:space="0" w:color="auto"/>
        <w:bottom w:val="none" w:sz="0" w:space="0" w:color="auto"/>
        <w:right w:val="none" w:sz="0" w:space="0" w:color="auto"/>
      </w:divBdr>
    </w:div>
    <w:div w:id="1252665161">
      <w:bodyDiv w:val="1"/>
      <w:marLeft w:val="0"/>
      <w:marRight w:val="0"/>
      <w:marTop w:val="0"/>
      <w:marBottom w:val="0"/>
      <w:divBdr>
        <w:top w:val="none" w:sz="0" w:space="0" w:color="auto"/>
        <w:left w:val="none" w:sz="0" w:space="0" w:color="auto"/>
        <w:bottom w:val="none" w:sz="0" w:space="0" w:color="auto"/>
        <w:right w:val="none" w:sz="0" w:space="0" w:color="auto"/>
      </w:divBdr>
    </w:div>
    <w:div w:id="1496409675">
      <w:bodyDiv w:val="1"/>
      <w:marLeft w:val="0"/>
      <w:marRight w:val="0"/>
      <w:marTop w:val="0"/>
      <w:marBottom w:val="0"/>
      <w:divBdr>
        <w:top w:val="none" w:sz="0" w:space="0" w:color="auto"/>
        <w:left w:val="none" w:sz="0" w:space="0" w:color="auto"/>
        <w:bottom w:val="none" w:sz="0" w:space="0" w:color="auto"/>
        <w:right w:val="none" w:sz="0" w:space="0" w:color="auto"/>
      </w:divBdr>
    </w:div>
    <w:div w:id="1598907069">
      <w:bodyDiv w:val="1"/>
      <w:marLeft w:val="0"/>
      <w:marRight w:val="0"/>
      <w:marTop w:val="0"/>
      <w:marBottom w:val="0"/>
      <w:divBdr>
        <w:top w:val="none" w:sz="0" w:space="0" w:color="auto"/>
        <w:left w:val="none" w:sz="0" w:space="0" w:color="auto"/>
        <w:bottom w:val="none" w:sz="0" w:space="0" w:color="auto"/>
        <w:right w:val="none" w:sz="0" w:space="0" w:color="auto"/>
      </w:divBdr>
    </w:div>
    <w:div w:id="1701278053">
      <w:bodyDiv w:val="1"/>
      <w:marLeft w:val="0"/>
      <w:marRight w:val="0"/>
      <w:marTop w:val="0"/>
      <w:marBottom w:val="0"/>
      <w:divBdr>
        <w:top w:val="none" w:sz="0" w:space="0" w:color="auto"/>
        <w:left w:val="none" w:sz="0" w:space="0" w:color="auto"/>
        <w:bottom w:val="none" w:sz="0" w:space="0" w:color="auto"/>
        <w:right w:val="none" w:sz="0" w:space="0" w:color="auto"/>
      </w:divBdr>
    </w:div>
    <w:div w:id="1712683849">
      <w:bodyDiv w:val="1"/>
      <w:marLeft w:val="0"/>
      <w:marRight w:val="0"/>
      <w:marTop w:val="0"/>
      <w:marBottom w:val="0"/>
      <w:divBdr>
        <w:top w:val="none" w:sz="0" w:space="0" w:color="auto"/>
        <w:left w:val="none" w:sz="0" w:space="0" w:color="auto"/>
        <w:bottom w:val="none" w:sz="0" w:space="0" w:color="auto"/>
        <w:right w:val="none" w:sz="0" w:space="0" w:color="auto"/>
      </w:divBdr>
    </w:div>
    <w:div w:id="1825664332">
      <w:bodyDiv w:val="1"/>
      <w:marLeft w:val="0"/>
      <w:marRight w:val="0"/>
      <w:marTop w:val="0"/>
      <w:marBottom w:val="0"/>
      <w:divBdr>
        <w:top w:val="none" w:sz="0" w:space="0" w:color="auto"/>
        <w:left w:val="none" w:sz="0" w:space="0" w:color="auto"/>
        <w:bottom w:val="none" w:sz="0" w:space="0" w:color="auto"/>
        <w:right w:val="none" w:sz="0" w:space="0" w:color="auto"/>
      </w:divBdr>
    </w:div>
    <w:div w:id="1836843999">
      <w:bodyDiv w:val="1"/>
      <w:marLeft w:val="0"/>
      <w:marRight w:val="0"/>
      <w:marTop w:val="0"/>
      <w:marBottom w:val="0"/>
      <w:divBdr>
        <w:top w:val="none" w:sz="0" w:space="0" w:color="auto"/>
        <w:left w:val="none" w:sz="0" w:space="0" w:color="auto"/>
        <w:bottom w:val="none" w:sz="0" w:space="0" w:color="auto"/>
        <w:right w:val="none" w:sz="0" w:space="0" w:color="auto"/>
      </w:divBdr>
    </w:div>
    <w:div w:id="1879656817">
      <w:bodyDiv w:val="1"/>
      <w:marLeft w:val="0"/>
      <w:marRight w:val="0"/>
      <w:marTop w:val="0"/>
      <w:marBottom w:val="0"/>
      <w:divBdr>
        <w:top w:val="none" w:sz="0" w:space="0" w:color="auto"/>
        <w:left w:val="none" w:sz="0" w:space="0" w:color="auto"/>
        <w:bottom w:val="none" w:sz="0" w:space="0" w:color="auto"/>
        <w:right w:val="none" w:sz="0" w:space="0" w:color="auto"/>
      </w:divBdr>
    </w:div>
    <w:div w:id="1939556699">
      <w:bodyDiv w:val="1"/>
      <w:marLeft w:val="0"/>
      <w:marRight w:val="0"/>
      <w:marTop w:val="0"/>
      <w:marBottom w:val="0"/>
      <w:divBdr>
        <w:top w:val="none" w:sz="0" w:space="0" w:color="auto"/>
        <w:left w:val="none" w:sz="0" w:space="0" w:color="auto"/>
        <w:bottom w:val="none" w:sz="0" w:space="0" w:color="auto"/>
        <w:right w:val="none" w:sz="0" w:space="0" w:color="auto"/>
      </w:divBdr>
    </w:div>
    <w:div w:id="19630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gob.sv/"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biernoabierto.abiertoalpublico.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biernoabierto.gob.s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17231-651C-44C9-856C-247FE37F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5176</Words>
  <Characters>28473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20</cp:revision>
  <cp:lastPrinted>2014-11-28T03:51:00Z</cp:lastPrinted>
  <dcterms:created xsi:type="dcterms:W3CDTF">2014-11-29T16:29:00Z</dcterms:created>
  <dcterms:modified xsi:type="dcterms:W3CDTF">2014-12-02T00:08:00Z</dcterms:modified>
</cp:coreProperties>
</file>