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37" w:rsidRPr="00D24607" w:rsidRDefault="002F1E37" w:rsidP="006D24EE">
      <w:pPr>
        <w:rPr>
          <w:sz w:val="22"/>
          <w:lang w:val="en-GB"/>
        </w:rPr>
      </w:pPr>
      <w:bookmarkStart w:id="0" w:name="_GoBack"/>
      <w:bookmarkEnd w:id="0"/>
    </w:p>
    <w:p w:rsidR="009119D8" w:rsidRPr="00D24607" w:rsidRDefault="009119D8" w:rsidP="009119D8">
      <w:pPr>
        <w:rPr>
          <w:b/>
          <w:sz w:val="22"/>
        </w:rPr>
      </w:pPr>
      <w:r w:rsidRPr="00D24607">
        <w:rPr>
          <w:b/>
          <w:sz w:val="22"/>
        </w:rPr>
        <w:t>OGP Annual Summit Commitment Template</w:t>
      </w:r>
    </w:p>
    <w:p w:rsidR="009119D8" w:rsidRPr="00D24607" w:rsidRDefault="009119D8" w:rsidP="009119D8">
      <w:pPr>
        <w:rPr>
          <w:b/>
          <w:sz w:val="22"/>
        </w:rPr>
      </w:pPr>
    </w:p>
    <w:p w:rsidR="009119D8" w:rsidRPr="00D24607" w:rsidRDefault="009119D8" w:rsidP="009119D8">
      <w:pPr>
        <w:rPr>
          <w:sz w:val="22"/>
        </w:rPr>
      </w:pPr>
      <w:r w:rsidRPr="00D24607">
        <w:rPr>
          <w:sz w:val="22"/>
        </w:rPr>
        <w:t xml:space="preserve">It would be most helpful to us to have a brief description of all national commitments in the form below. This will ensure we accurately and clearly represent the commitment that your government had made in any final documents arising from the summit. </w:t>
      </w:r>
    </w:p>
    <w:p w:rsidR="009119D8" w:rsidRPr="00D24607" w:rsidRDefault="009119D8" w:rsidP="009119D8">
      <w:pPr>
        <w:rPr>
          <w:sz w:val="22"/>
        </w:rPr>
      </w:pPr>
    </w:p>
    <w:p w:rsidR="009119D8" w:rsidRPr="00D24607" w:rsidRDefault="009119D8" w:rsidP="009119D8">
      <w:pPr>
        <w:rPr>
          <w:sz w:val="22"/>
        </w:rPr>
      </w:pPr>
      <w:r w:rsidRPr="00D24607">
        <w:rPr>
          <w:sz w:val="22"/>
        </w:rPr>
        <w:t>COUNTRY</w:t>
      </w:r>
    </w:p>
    <w:p w:rsidR="009119D8" w:rsidRPr="00D24607" w:rsidRDefault="009119D8" w:rsidP="009119D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119D8" w:rsidRPr="00D24607" w:rsidTr="0058148B">
        <w:tc>
          <w:tcPr>
            <w:tcW w:w="9242" w:type="dxa"/>
          </w:tcPr>
          <w:p w:rsidR="009119D8" w:rsidRPr="00501F11" w:rsidRDefault="00F463E7" w:rsidP="0058148B">
            <w:pPr>
              <w:spacing w:line="240" w:lineRule="auto"/>
              <w:rPr>
                <w:b/>
                <w:sz w:val="22"/>
              </w:rPr>
            </w:pPr>
            <w:r w:rsidRPr="00501F11">
              <w:rPr>
                <w:b/>
                <w:sz w:val="22"/>
              </w:rPr>
              <w:t>LITHUANIA</w:t>
            </w:r>
          </w:p>
        </w:tc>
      </w:tr>
    </w:tbl>
    <w:p w:rsidR="009119D8" w:rsidRPr="00D24607" w:rsidRDefault="009119D8" w:rsidP="009119D8">
      <w:pPr>
        <w:rPr>
          <w:sz w:val="22"/>
        </w:rPr>
      </w:pPr>
    </w:p>
    <w:p w:rsidR="009119D8" w:rsidRPr="00D24607" w:rsidRDefault="009119D8" w:rsidP="009119D8">
      <w:pPr>
        <w:rPr>
          <w:sz w:val="22"/>
        </w:rPr>
      </w:pPr>
      <w:r w:rsidRPr="00D24607">
        <w:rPr>
          <w:sz w:val="22"/>
        </w:rPr>
        <w:t>TITLE OF COMMITMENT</w:t>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119D8" w:rsidRPr="00D24607" w:rsidTr="008C12E0">
        <w:trPr>
          <w:trHeight w:val="977"/>
        </w:trPr>
        <w:tc>
          <w:tcPr>
            <w:tcW w:w="9242" w:type="dxa"/>
          </w:tcPr>
          <w:p w:rsidR="00D24607" w:rsidRPr="00D24607" w:rsidRDefault="00D24607" w:rsidP="00584CA5">
            <w:pPr>
              <w:spacing w:after="200" w:line="240" w:lineRule="auto"/>
              <w:jc w:val="both"/>
              <w:rPr>
                <w:rFonts w:cs="Arial"/>
                <w:b/>
                <w:sz w:val="22"/>
                <w:lang w:val="lt-LT"/>
              </w:rPr>
            </w:pPr>
          </w:p>
          <w:p w:rsidR="009119D8" w:rsidRPr="00D24607" w:rsidRDefault="009C02B5" w:rsidP="00584CA5">
            <w:pPr>
              <w:spacing w:after="200" w:line="240" w:lineRule="auto"/>
              <w:jc w:val="both"/>
              <w:rPr>
                <w:rFonts w:cs="Arial"/>
                <w:b/>
                <w:sz w:val="22"/>
                <w:lang w:val="lt-LT"/>
              </w:rPr>
            </w:pPr>
            <w:r w:rsidRPr="00D24607">
              <w:rPr>
                <w:rFonts w:cs="Arial"/>
                <w:b/>
                <w:sz w:val="22"/>
                <w:lang w:val="lt-LT"/>
              </w:rPr>
              <w:t>Continiously improve public services for citizens using new technologies</w:t>
            </w:r>
            <w:r w:rsidR="00106CD8" w:rsidRPr="00D24607">
              <w:rPr>
                <w:rFonts w:cs="Arial"/>
                <w:b/>
                <w:sz w:val="22"/>
                <w:lang w:val="lt-LT"/>
              </w:rPr>
              <w:t xml:space="preserve">, best management and good governance practice  </w:t>
            </w:r>
            <w:r w:rsidRPr="00D24607">
              <w:rPr>
                <w:rFonts w:cs="Arial"/>
                <w:b/>
                <w:sz w:val="22"/>
                <w:lang w:val="lt-LT"/>
              </w:rPr>
              <w:t xml:space="preserve"> </w:t>
            </w:r>
          </w:p>
        </w:tc>
      </w:tr>
    </w:tbl>
    <w:p w:rsidR="009119D8" w:rsidRPr="00D24607" w:rsidRDefault="009119D8" w:rsidP="009119D8">
      <w:pPr>
        <w:rPr>
          <w:sz w:val="22"/>
        </w:rPr>
      </w:pPr>
    </w:p>
    <w:p w:rsidR="009119D8" w:rsidRPr="00D24607" w:rsidRDefault="009119D8" w:rsidP="009119D8">
      <w:pPr>
        <w:rPr>
          <w:sz w:val="22"/>
        </w:rPr>
      </w:pPr>
      <w:r w:rsidRPr="00D24607">
        <w:rPr>
          <w:sz w:val="22"/>
        </w:rPr>
        <w:t>DESCRIPTION (up to 200 words)</w:t>
      </w:r>
    </w:p>
    <w:p w:rsidR="009119D8" w:rsidRPr="00D24607" w:rsidRDefault="009119D8" w:rsidP="009119D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7"/>
      </w:tblGrid>
      <w:tr w:rsidR="009119D8" w:rsidRPr="00D24607" w:rsidTr="008C12E0">
        <w:trPr>
          <w:trHeight w:val="797"/>
        </w:trPr>
        <w:tc>
          <w:tcPr>
            <w:tcW w:w="9197" w:type="dxa"/>
          </w:tcPr>
          <w:p w:rsidR="00106CD8" w:rsidRPr="00D24607" w:rsidRDefault="00106CD8" w:rsidP="00106CD8">
            <w:pPr>
              <w:contextualSpacing/>
              <w:jc w:val="both"/>
              <w:rPr>
                <w:rFonts w:cs="Arial"/>
                <w:sz w:val="22"/>
              </w:rPr>
            </w:pPr>
          </w:p>
          <w:p w:rsidR="00106CD8" w:rsidRPr="00D24607" w:rsidRDefault="00106CD8" w:rsidP="00106CD8">
            <w:pPr>
              <w:contextualSpacing/>
              <w:jc w:val="both"/>
              <w:rPr>
                <w:rFonts w:cs="Arial"/>
                <w:sz w:val="22"/>
              </w:rPr>
            </w:pPr>
            <w:r w:rsidRPr="00D24607">
              <w:rPr>
                <w:rFonts w:cs="Arial"/>
                <w:sz w:val="22"/>
              </w:rPr>
              <w:t xml:space="preserve">The Government focuses on three main areas : </w:t>
            </w:r>
          </w:p>
          <w:p w:rsidR="00106CD8" w:rsidRPr="00D24607" w:rsidRDefault="00106CD8" w:rsidP="00106CD8">
            <w:pPr>
              <w:contextualSpacing/>
              <w:jc w:val="both"/>
              <w:rPr>
                <w:rFonts w:cs="Arial"/>
                <w:sz w:val="22"/>
              </w:rPr>
            </w:pPr>
          </w:p>
          <w:p w:rsidR="00106CD8" w:rsidRPr="008C12E0" w:rsidRDefault="00106CD8" w:rsidP="00106CD8">
            <w:pPr>
              <w:numPr>
                <w:ilvl w:val="0"/>
                <w:numId w:val="3"/>
              </w:numPr>
              <w:contextualSpacing/>
              <w:jc w:val="both"/>
              <w:rPr>
                <w:rFonts w:cs="Arial"/>
                <w:b/>
                <w:sz w:val="22"/>
              </w:rPr>
            </w:pPr>
            <w:r w:rsidRPr="008C12E0">
              <w:rPr>
                <w:rFonts w:cs="Arial"/>
                <w:b/>
                <w:sz w:val="22"/>
              </w:rPr>
              <w:t xml:space="preserve">ensuring the openness of public administration processes by implementing two projects: </w:t>
            </w:r>
          </w:p>
          <w:p w:rsidR="00106CD8" w:rsidRPr="00D24607" w:rsidRDefault="00501F11" w:rsidP="00106CD8">
            <w:pPr>
              <w:numPr>
                <w:ilvl w:val="0"/>
                <w:numId w:val="5"/>
              </w:numPr>
              <w:contextualSpacing/>
              <w:jc w:val="both"/>
              <w:rPr>
                <w:rFonts w:cs="Arial"/>
                <w:sz w:val="22"/>
              </w:rPr>
            </w:pPr>
            <w:r>
              <w:rPr>
                <w:rFonts w:cs="Arial"/>
                <w:sz w:val="22"/>
              </w:rPr>
              <w:t>E-</w:t>
            </w:r>
            <w:r w:rsidR="00106CD8" w:rsidRPr="00D24607">
              <w:rPr>
                <w:rFonts w:cs="Arial"/>
                <w:sz w:val="22"/>
              </w:rPr>
              <w:t xml:space="preserve">Gate which acts as a platform of data exchange among information systems of public institutions;     </w:t>
            </w:r>
          </w:p>
          <w:p w:rsidR="008C12E0" w:rsidRDefault="00106CD8" w:rsidP="00106CD8">
            <w:pPr>
              <w:numPr>
                <w:ilvl w:val="0"/>
                <w:numId w:val="5"/>
              </w:numPr>
              <w:contextualSpacing/>
              <w:jc w:val="both"/>
              <w:rPr>
                <w:rFonts w:cs="Arial"/>
                <w:sz w:val="22"/>
              </w:rPr>
            </w:pPr>
            <w:r w:rsidRPr="00D24607">
              <w:rPr>
                <w:rFonts w:cs="Arial"/>
                <w:sz w:val="22"/>
              </w:rPr>
              <w:t xml:space="preserve">E-Delivery which </w:t>
            </w:r>
            <w:r w:rsidR="00C842A9" w:rsidRPr="00D24607">
              <w:rPr>
                <w:rFonts w:cs="Arial"/>
                <w:sz w:val="22"/>
              </w:rPr>
              <w:t xml:space="preserve">implements a principle of “one window” in providing public services </w:t>
            </w:r>
            <w:r w:rsidR="00501F11">
              <w:rPr>
                <w:rFonts w:cs="Arial"/>
                <w:sz w:val="22"/>
              </w:rPr>
              <w:t>for the citizens and companies;</w:t>
            </w:r>
          </w:p>
          <w:p w:rsidR="00C842A9" w:rsidRPr="008C12E0" w:rsidRDefault="00C842A9" w:rsidP="00106CD8">
            <w:pPr>
              <w:numPr>
                <w:ilvl w:val="0"/>
                <w:numId w:val="5"/>
              </w:numPr>
              <w:contextualSpacing/>
              <w:jc w:val="both"/>
              <w:rPr>
                <w:rFonts w:cs="Arial"/>
                <w:sz w:val="22"/>
              </w:rPr>
            </w:pPr>
            <w:r w:rsidRPr="008C12E0">
              <w:rPr>
                <w:rFonts w:cs="Arial"/>
                <w:sz w:val="22"/>
              </w:rPr>
              <w:t xml:space="preserve">improvements will be finalized by the end of 2014. </w:t>
            </w:r>
          </w:p>
          <w:p w:rsidR="00106CD8" w:rsidRPr="00D24607" w:rsidRDefault="00106CD8" w:rsidP="00106CD8">
            <w:pPr>
              <w:numPr>
                <w:ilvl w:val="0"/>
                <w:numId w:val="4"/>
              </w:numPr>
              <w:contextualSpacing/>
              <w:jc w:val="both"/>
              <w:rPr>
                <w:rFonts w:cs="Arial"/>
                <w:sz w:val="22"/>
              </w:rPr>
            </w:pPr>
          </w:p>
          <w:p w:rsidR="00106CD8" w:rsidRPr="00501F11" w:rsidRDefault="00106CD8" w:rsidP="00C842A9">
            <w:pPr>
              <w:numPr>
                <w:ilvl w:val="0"/>
                <w:numId w:val="3"/>
              </w:numPr>
              <w:contextualSpacing/>
              <w:jc w:val="both"/>
              <w:rPr>
                <w:rFonts w:cs="Arial"/>
                <w:b/>
                <w:sz w:val="22"/>
              </w:rPr>
            </w:pPr>
            <w:r w:rsidRPr="00501F11">
              <w:rPr>
                <w:rFonts w:cs="Arial"/>
                <w:b/>
                <w:sz w:val="22"/>
              </w:rPr>
              <w:t>making the service</w:t>
            </w:r>
            <w:r w:rsidR="00501F11" w:rsidRPr="00501F11">
              <w:rPr>
                <w:rFonts w:cs="Arial"/>
                <w:b/>
                <w:sz w:val="22"/>
              </w:rPr>
              <w:t>s easily accessible and presented</w:t>
            </w:r>
            <w:r w:rsidRPr="00501F11">
              <w:rPr>
                <w:rFonts w:cs="Arial"/>
                <w:b/>
                <w:sz w:val="22"/>
              </w:rPr>
              <w:t xml:space="preserve"> to the public in a convenient manner</w:t>
            </w:r>
            <w:r w:rsidR="00C842A9" w:rsidRPr="00501F11">
              <w:rPr>
                <w:rFonts w:cs="Arial"/>
                <w:b/>
                <w:sz w:val="22"/>
              </w:rPr>
              <w:t xml:space="preserve"> by: </w:t>
            </w:r>
          </w:p>
          <w:p w:rsidR="00C842A9" w:rsidRPr="00D24607" w:rsidRDefault="00C842A9" w:rsidP="00C842A9">
            <w:pPr>
              <w:numPr>
                <w:ilvl w:val="0"/>
                <w:numId w:val="5"/>
              </w:numPr>
              <w:contextualSpacing/>
              <w:jc w:val="both"/>
              <w:rPr>
                <w:rFonts w:cs="Arial"/>
                <w:sz w:val="22"/>
              </w:rPr>
            </w:pPr>
            <w:r w:rsidRPr="00D24607">
              <w:rPr>
                <w:rFonts w:cs="Arial"/>
                <w:sz w:val="22"/>
              </w:rPr>
              <w:t xml:space="preserve">increasing e-services provided to the citizens and companies. In 2011 a level of e-services accounted for 81.5 per cent of the total public services; in 2012 – 87 per cent. </w:t>
            </w:r>
          </w:p>
          <w:p w:rsidR="00C842A9" w:rsidRPr="00D24607" w:rsidRDefault="00C842A9" w:rsidP="00C842A9">
            <w:pPr>
              <w:numPr>
                <w:ilvl w:val="0"/>
                <w:numId w:val="5"/>
              </w:numPr>
              <w:contextualSpacing/>
              <w:jc w:val="both"/>
              <w:rPr>
                <w:rFonts w:cs="Arial"/>
                <w:sz w:val="22"/>
              </w:rPr>
            </w:pPr>
            <w:r w:rsidRPr="00D24607">
              <w:rPr>
                <w:rFonts w:cs="Arial"/>
                <w:sz w:val="22"/>
              </w:rPr>
              <w:t>finalizing a project “Creating and implementing a centralised public and administrative services sytem using “one window” principle by the end of 2014.</w:t>
            </w:r>
            <w:r w:rsidR="00501F11">
              <w:rPr>
                <w:rFonts w:cs="Arial"/>
                <w:sz w:val="22"/>
              </w:rPr>
              <w:t>”</w:t>
            </w:r>
            <w:r w:rsidRPr="00D24607">
              <w:rPr>
                <w:rFonts w:cs="Arial"/>
                <w:sz w:val="22"/>
              </w:rPr>
              <w:t xml:space="preserve"> </w:t>
            </w:r>
          </w:p>
          <w:p w:rsidR="00C842A9" w:rsidRPr="00D24607" w:rsidRDefault="00C842A9" w:rsidP="00C842A9">
            <w:pPr>
              <w:contextualSpacing/>
              <w:jc w:val="both"/>
              <w:rPr>
                <w:rFonts w:cs="Arial"/>
                <w:sz w:val="22"/>
              </w:rPr>
            </w:pPr>
          </w:p>
          <w:p w:rsidR="009C02B5" w:rsidRPr="00501F11" w:rsidRDefault="00106CD8" w:rsidP="00D24607">
            <w:pPr>
              <w:numPr>
                <w:ilvl w:val="0"/>
                <w:numId w:val="3"/>
              </w:numPr>
              <w:contextualSpacing/>
              <w:jc w:val="both"/>
              <w:rPr>
                <w:rFonts w:cs="Arial"/>
                <w:b/>
                <w:sz w:val="22"/>
              </w:rPr>
            </w:pPr>
            <w:r w:rsidRPr="00501F11">
              <w:rPr>
                <w:rFonts w:cs="Arial"/>
                <w:b/>
                <w:sz w:val="22"/>
              </w:rPr>
              <w:t>encouraging innovative approach in public administration</w:t>
            </w:r>
            <w:r w:rsidR="00D24607" w:rsidRPr="00501F11">
              <w:rPr>
                <w:rFonts w:cs="Arial"/>
                <w:b/>
                <w:sz w:val="22"/>
              </w:rPr>
              <w:t xml:space="preserve">: </w:t>
            </w:r>
          </w:p>
          <w:p w:rsidR="00D24607" w:rsidRPr="00D24607" w:rsidRDefault="00585718" w:rsidP="00D24607">
            <w:pPr>
              <w:numPr>
                <w:ilvl w:val="0"/>
                <w:numId w:val="5"/>
              </w:numPr>
              <w:jc w:val="both"/>
              <w:rPr>
                <w:rFonts w:cs="Arial"/>
                <w:sz w:val="22"/>
              </w:rPr>
            </w:pPr>
            <w:r w:rsidRPr="00D24607">
              <w:rPr>
                <w:rFonts w:cs="Arial"/>
                <w:sz w:val="22"/>
              </w:rPr>
              <w:t>an information system for electronic signing of Government decisions (ELPAS)</w:t>
            </w:r>
            <w:r w:rsidR="00D24607" w:rsidRPr="00D24607">
              <w:rPr>
                <w:rFonts w:cs="Arial"/>
                <w:sz w:val="22"/>
              </w:rPr>
              <w:t xml:space="preserve"> </w:t>
            </w:r>
            <w:r w:rsidRPr="00D24607">
              <w:rPr>
                <w:rFonts w:cs="Arial"/>
                <w:sz w:val="22"/>
              </w:rPr>
              <w:t xml:space="preserve">has been successfully running </w:t>
            </w:r>
            <w:r w:rsidR="00D24607" w:rsidRPr="00D24607">
              <w:rPr>
                <w:rFonts w:cs="Arial"/>
                <w:sz w:val="22"/>
              </w:rPr>
              <w:t xml:space="preserve">since 2012. </w:t>
            </w:r>
            <w:r w:rsidRPr="00D24607">
              <w:rPr>
                <w:rFonts w:cs="Arial"/>
                <w:sz w:val="22"/>
              </w:rPr>
              <w:t xml:space="preserve">This system is designed for electronic signing of Government acts, resolutions and Prime Minister’s decrees, as well as for their registration, and placement in the Official Journal, also for sending draft legislation to the national Parliament and President’s </w:t>
            </w:r>
            <w:r w:rsidR="00D24607">
              <w:rPr>
                <w:rFonts w:cs="Arial"/>
                <w:sz w:val="22"/>
              </w:rPr>
              <w:t>office</w:t>
            </w:r>
            <w:r w:rsidRPr="00D24607">
              <w:rPr>
                <w:rFonts w:cs="Arial"/>
                <w:sz w:val="22"/>
              </w:rPr>
              <w:t xml:space="preserve">. </w:t>
            </w:r>
            <w:r w:rsidR="00D24607" w:rsidRPr="00D24607">
              <w:rPr>
                <w:rFonts w:cs="Arial"/>
                <w:sz w:val="22"/>
              </w:rPr>
              <w:t xml:space="preserve">The system </w:t>
            </w:r>
            <w:r w:rsidRPr="00D24607">
              <w:rPr>
                <w:rFonts w:cs="Arial"/>
                <w:sz w:val="22"/>
              </w:rPr>
              <w:t xml:space="preserve"> helps </w:t>
            </w:r>
            <w:r w:rsidR="000F709B" w:rsidRPr="00D24607">
              <w:rPr>
                <w:rFonts w:cs="Arial"/>
                <w:sz w:val="22"/>
              </w:rPr>
              <w:t>civil service</w:t>
            </w:r>
            <w:r w:rsidRPr="00D24607">
              <w:rPr>
                <w:rFonts w:cs="Arial"/>
                <w:sz w:val="22"/>
              </w:rPr>
              <w:t xml:space="preserve"> to be more efficient in terms of time and human resources, and ensures promptness and security in the delivery of the documents to relevant institutions.</w:t>
            </w:r>
          </w:p>
          <w:p w:rsidR="009119D8" w:rsidRDefault="00D24607" w:rsidP="00AF4F6E">
            <w:pPr>
              <w:numPr>
                <w:ilvl w:val="0"/>
                <w:numId w:val="5"/>
              </w:numPr>
              <w:jc w:val="both"/>
              <w:rPr>
                <w:rFonts w:cs="Arial"/>
                <w:sz w:val="22"/>
              </w:rPr>
            </w:pPr>
            <w:r w:rsidRPr="00D24607">
              <w:rPr>
                <w:rFonts w:cs="Arial"/>
                <w:sz w:val="22"/>
              </w:rPr>
              <w:t xml:space="preserve">implemented </w:t>
            </w:r>
            <w:r w:rsidR="00585718" w:rsidRPr="00D24607">
              <w:rPr>
                <w:rFonts w:cs="Arial"/>
                <w:sz w:val="22"/>
              </w:rPr>
              <w:t xml:space="preserve">successful </w:t>
            </w:r>
            <w:r>
              <w:rPr>
                <w:rFonts w:cs="Arial"/>
                <w:sz w:val="22"/>
              </w:rPr>
              <w:t>projects</w:t>
            </w:r>
            <w:r w:rsidR="00585718" w:rsidRPr="00D24607">
              <w:rPr>
                <w:rFonts w:cs="Arial"/>
                <w:sz w:val="22"/>
              </w:rPr>
              <w:t xml:space="preserve"> in Lithuania include: Tax Authority Information System with on-line tax declaration, On-line Reporting to the Police and further computerized case investigation, National Social Security Benefits System, Registry of Real Estate Property, etc.</w:t>
            </w:r>
            <w:r w:rsidRPr="00D24607">
              <w:rPr>
                <w:rFonts w:cs="Arial"/>
                <w:sz w:val="22"/>
              </w:rPr>
              <w:t xml:space="preserve"> </w:t>
            </w:r>
          </w:p>
          <w:p w:rsidR="00501F11" w:rsidRPr="008C12E0" w:rsidRDefault="00501F11" w:rsidP="00501F11">
            <w:pPr>
              <w:ind w:left="720"/>
              <w:jc w:val="both"/>
              <w:rPr>
                <w:rFonts w:cs="Arial"/>
                <w:sz w:val="22"/>
              </w:rPr>
            </w:pPr>
          </w:p>
        </w:tc>
      </w:tr>
    </w:tbl>
    <w:p w:rsidR="009119D8" w:rsidRPr="006024FB" w:rsidRDefault="009119D8" w:rsidP="00501F11">
      <w:pPr>
        <w:rPr>
          <w:b/>
          <w:sz w:val="24"/>
          <w:szCs w:val="24"/>
          <w:lang w:val="en-GB"/>
        </w:rPr>
      </w:pPr>
    </w:p>
    <w:sectPr w:rsidR="009119D8" w:rsidRPr="006024FB" w:rsidSect="00966958">
      <w:headerReference w:type="even" r:id="rId9"/>
      <w:headerReference w:type="default" r:id="rId10"/>
      <w:footerReference w:type="even" r:id="rId11"/>
      <w:footerReference w:type="default" r:id="rId12"/>
      <w:headerReference w:type="first" r:id="rId13"/>
      <w:footerReference w:type="first" r:id="rId14"/>
      <w:pgSz w:w="11907" w:h="16839" w:code="9"/>
      <w:pgMar w:top="1560" w:right="1276" w:bottom="1701" w:left="1276" w:header="79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389" w:rsidRDefault="00D87389" w:rsidP="0024317A">
      <w:pPr>
        <w:spacing w:line="240" w:lineRule="auto"/>
      </w:pPr>
      <w:r>
        <w:separator/>
      </w:r>
    </w:p>
  </w:endnote>
  <w:endnote w:type="continuationSeparator" w:id="0">
    <w:p w:rsidR="00D87389" w:rsidRDefault="00D87389" w:rsidP="00243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51" w:rsidRDefault="003C4C51" w:rsidP="00094CFE">
    <w:pPr>
      <w:pStyle w:val="Footer"/>
      <w:jc w:val="center"/>
    </w:pPr>
    <w:r>
      <w:fldChar w:fldCharType="begin"/>
    </w:r>
    <w:r w:rsidRPr="001115DB">
      <w:rPr>
        <w:rFonts w:ascii="Calibri" w:hAnsi="Calibri"/>
        <w:color w:val="000000"/>
        <w:sz w:val="22"/>
      </w:rPr>
      <w:instrText xml:space="preserve"> DOCPROPERTY  bjDocumentSecurityLabel"  \* MERGEFORMAT </w:instrText>
    </w:r>
    <w:r>
      <w:fldChar w:fldCharType="separate"/>
    </w:r>
    <w:r w:rsidR="009C02B5">
      <w:rPr>
        <w:rFonts w:ascii="Calibri" w:hAnsi="Calibri"/>
        <w:color w:val="000000"/>
        <w:sz w:val="22"/>
      </w:rPr>
      <w:t>UNCLASSIFIED</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51" w:rsidRDefault="002A64AF" w:rsidP="002A64AF">
    <w:pPr>
      <w:pStyle w:val="Footer"/>
      <w:jc w:val="center"/>
    </w:pPr>
    <w:r>
      <w:fldChar w:fldCharType="begin"/>
    </w:r>
    <w:r w:rsidRPr="001115DB">
      <w:rPr>
        <w:rFonts w:ascii="Calibri" w:hAnsi="Calibri"/>
        <w:color w:val="000000"/>
        <w:sz w:val="22"/>
      </w:rPr>
      <w:instrText xml:space="preserve"> DOCPROPERTY  bjDocumentSecurityLabel"  \* MERGEFORMAT </w:instrText>
    </w:r>
    <w:r>
      <w:fldChar w:fldCharType="separate"/>
    </w:r>
    <w:r w:rsidR="009C02B5">
      <w:rPr>
        <w:rFonts w:ascii="Calibri" w:hAnsi="Calibri"/>
        <w:color w:val="000000"/>
        <w:sz w:val="22"/>
      </w:rPr>
      <w:t>UNCLASSIFIED</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51" w:rsidRDefault="003C4C51" w:rsidP="001115D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389" w:rsidRDefault="00D87389" w:rsidP="0024317A">
      <w:pPr>
        <w:spacing w:line="240" w:lineRule="auto"/>
      </w:pPr>
      <w:r>
        <w:separator/>
      </w:r>
    </w:p>
  </w:footnote>
  <w:footnote w:type="continuationSeparator" w:id="0">
    <w:p w:rsidR="00D87389" w:rsidRDefault="00D87389" w:rsidP="002431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51" w:rsidRDefault="003C4C51" w:rsidP="00094CFE">
    <w:pPr>
      <w:pStyle w:val="Header"/>
      <w:jc w:val="center"/>
    </w:pPr>
    <w:r>
      <w:fldChar w:fldCharType="begin"/>
    </w:r>
    <w:r w:rsidRPr="001115DB">
      <w:rPr>
        <w:rFonts w:ascii="Calibri" w:hAnsi="Calibri"/>
        <w:color w:val="000000"/>
        <w:sz w:val="22"/>
      </w:rPr>
      <w:instrText xml:space="preserve"> DOCPROPERTY  bjDocumentSecurityLabel"  \* MERGEFORMAT </w:instrText>
    </w:r>
    <w:r>
      <w:fldChar w:fldCharType="separate"/>
    </w:r>
    <w:r w:rsidR="009C02B5">
      <w:rPr>
        <w:rFonts w:ascii="Calibri" w:hAnsi="Calibri"/>
        <w:color w:val="000000"/>
        <w:sz w:val="22"/>
      </w:rPr>
      <w:t>UNCLASSIFIED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FB" w:rsidRDefault="002A64AF" w:rsidP="002A64AF">
    <w:pPr>
      <w:pStyle w:val="Header"/>
      <w:jc w:val="center"/>
    </w:pPr>
    <w:r>
      <w:fldChar w:fldCharType="begin"/>
    </w:r>
    <w:r w:rsidRPr="001115DB">
      <w:rPr>
        <w:rFonts w:ascii="Calibri" w:hAnsi="Calibri"/>
        <w:color w:val="000000"/>
        <w:sz w:val="22"/>
      </w:rPr>
      <w:instrText xml:space="preserve"> DOCPROPERTY  bjDocumentSecurityLabel"  \* MERGEFORMAT </w:instrText>
    </w:r>
    <w:r>
      <w:fldChar w:fldCharType="separate"/>
    </w:r>
    <w:r w:rsidR="009C02B5">
      <w:rPr>
        <w:rFonts w:ascii="Calibri" w:hAnsi="Calibri"/>
        <w:color w:val="000000"/>
        <w:sz w:val="22"/>
      </w:rPr>
      <w:t>UNCLASSIFIED</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68" w:type="dxa"/>
      <w:tblBorders>
        <w:bottom w:val="single" w:sz="4" w:space="0" w:color="auto"/>
      </w:tblBorders>
      <w:tblLayout w:type="fixed"/>
      <w:tblCellMar>
        <w:left w:w="0" w:type="dxa"/>
        <w:right w:w="0" w:type="dxa"/>
      </w:tblCellMar>
      <w:tblLook w:val="04A0" w:firstRow="1" w:lastRow="0" w:firstColumn="1" w:lastColumn="0" w:noHBand="0" w:noVBand="1"/>
    </w:tblPr>
    <w:tblGrid>
      <w:gridCol w:w="2722"/>
      <w:gridCol w:w="3941"/>
      <w:gridCol w:w="48"/>
      <w:gridCol w:w="2957"/>
    </w:tblGrid>
    <w:tr w:rsidR="003C4C51" w:rsidRPr="006D24EE" w:rsidTr="009119D8">
      <w:trPr>
        <w:trHeight w:hRule="exact" w:val="1278"/>
      </w:trPr>
      <w:tc>
        <w:tcPr>
          <w:tcW w:w="2722" w:type="dxa"/>
          <w:vMerge w:val="restart"/>
          <w:tcBorders>
            <w:bottom w:val="nil"/>
          </w:tcBorders>
          <w:shd w:val="clear" w:color="auto" w:fill="auto"/>
          <w:tcMar>
            <w:left w:w="0" w:type="dxa"/>
            <w:right w:w="0" w:type="dxa"/>
          </w:tcMar>
        </w:tcPr>
        <w:p w:rsidR="006024FB" w:rsidRDefault="006024FB" w:rsidP="001115DB">
          <w:pPr>
            <w:pStyle w:val="Header"/>
            <w:jc w:val="center"/>
            <w:rPr>
              <w:rFonts w:cs="Arial"/>
            </w:rPr>
          </w:pPr>
        </w:p>
        <w:p w:rsidR="003C4C51" w:rsidRPr="00FC04D9" w:rsidRDefault="003C4C51" w:rsidP="001115DB">
          <w:pPr>
            <w:pStyle w:val="Header"/>
            <w:jc w:val="center"/>
            <w:rPr>
              <w:rFonts w:cs="Arial"/>
            </w:rPr>
          </w:pPr>
          <w:r w:rsidRPr="00FC04D9">
            <w:rPr>
              <w:rFonts w:cs="Arial"/>
            </w:rPr>
            <w:t xml:space="preserve"> </w:t>
          </w:r>
        </w:p>
      </w:tc>
      <w:tc>
        <w:tcPr>
          <w:tcW w:w="3941" w:type="dxa"/>
          <w:tcBorders>
            <w:bottom w:val="nil"/>
          </w:tcBorders>
          <w:shd w:val="clear" w:color="auto" w:fill="auto"/>
        </w:tcPr>
        <w:p w:rsidR="003C4C51" w:rsidRPr="00FC04D9" w:rsidRDefault="00095DA6" w:rsidP="001115DB">
          <w:pPr>
            <w:pStyle w:val="Header"/>
            <w:jc w:val="center"/>
            <w:rPr>
              <w:rFonts w:cs="Arial"/>
              <w:b/>
              <w:sz w:val="20"/>
              <w:szCs w:val="20"/>
            </w:rPr>
          </w:pPr>
          <w:r>
            <w:rPr>
              <w:rFonts w:cs="Arial"/>
              <w:noProof/>
              <w:lang w:val="en-GB" w:eastAsia="en-GB"/>
            </w:rPr>
            <w:drawing>
              <wp:anchor distT="0" distB="0" distL="114300" distR="114300" simplePos="0" relativeHeight="251657728" behindDoc="1" locked="0" layoutInCell="1" allowOverlap="1">
                <wp:simplePos x="0" y="0"/>
                <wp:positionH relativeFrom="column">
                  <wp:posOffset>549275</wp:posOffset>
                </wp:positionH>
                <wp:positionV relativeFrom="paragraph">
                  <wp:posOffset>-238125</wp:posOffset>
                </wp:positionV>
                <wp:extent cx="1233170" cy="1085215"/>
                <wp:effectExtent l="0" t="0" r="5080" b="635"/>
                <wp:wrapTight wrapText="bothSides">
                  <wp:wrapPolygon edited="0">
                    <wp:start x="0" y="0"/>
                    <wp:lineTo x="0" y="21233"/>
                    <wp:lineTo x="21355" y="21233"/>
                    <wp:lineTo x="21355" y="0"/>
                    <wp:lineTo x="0" y="0"/>
                  </wp:wrapPolygon>
                </wp:wrapTight>
                <wp:docPr id="2" name="Picture 0" descr="OG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GP logo.PNG"/>
                        <pic:cNvPicPr>
                          <a:picLocks noChangeAspect="1" noChangeArrowheads="1"/>
                        </pic:cNvPicPr>
                      </pic:nvPicPr>
                      <pic:blipFill>
                        <a:blip r:embed="rId1">
                          <a:extLst>
                            <a:ext uri="{28A0092B-C50C-407E-A947-70E740481C1C}">
                              <a14:useLocalDpi xmlns:a14="http://schemas.microsoft.com/office/drawing/2010/main" val="0"/>
                            </a:ext>
                          </a:extLst>
                        </a:blip>
                        <a:srcRect r="50958" b="30556"/>
                        <a:stretch>
                          <a:fillRect/>
                        </a:stretch>
                      </pic:blipFill>
                      <pic:spPr bwMode="auto">
                        <a:xfrm>
                          <a:off x="0" y="0"/>
                          <a:ext cx="1233170" cy="1085215"/>
                        </a:xfrm>
                        <a:prstGeom prst="rect">
                          <a:avLst/>
                        </a:prstGeom>
                        <a:noFill/>
                      </pic:spPr>
                    </pic:pic>
                  </a:graphicData>
                </a:graphic>
                <wp14:sizeRelH relativeFrom="page">
                  <wp14:pctWidth>0</wp14:pctWidth>
                </wp14:sizeRelH>
                <wp14:sizeRelV relativeFrom="page">
                  <wp14:pctHeight>0</wp14:pctHeight>
                </wp14:sizeRelV>
              </wp:anchor>
            </w:drawing>
          </w:r>
          <w:r w:rsidR="003C4C51" w:rsidRPr="00FC04D9">
            <w:rPr>
              <w:rFonts w:cs="Arial"/>
              <w:b/>
              <w:sz w:val="20"/>
              <w:szCs w:val="20"/>
            </w:rPr>
            <w:t xml:space="preserve"> </w:t>
          </w:r>
        </w:p>
        <w:p w:rsidR="003C4C51" w:rsidRPr="00FC04D9" w:rsidRDefault="003C4C51" w:rsidP="001115DB">
          <w:pPr>
            <w:pStyle w:val="Header"/>
            <w:jc w:val="center"/>
            <w:rPr>
              <w:rFonts w:cs="Arial"/>
            </w:rPr>
          </w:pPr>
          <w:r w:rsidRPr="00FC04D9">
            <w:rPr>
              <w:rFonts w:cs="Arial"/>
            </w:rPr>
            <w:t xml:space="preserve"> </w:t>
          </w:r>
        </w:p>
        <w:p w:rsidR="003C4C51" w:rsidRPr="00FC04D9" w:rsidRDefault="003C4C51" w:rsidP="001115DB">
          <w:pPr>
            <w:pStyle w:val="Header"/>
            <w:jc w:val="center"/>
            <w:rPr>
              <w:rFonts w:cs="Arial"/>
              <w:b/>
            </w:rPr>
          </w:pPr>
        </w:p>
        <w:p w:rsidR="003C4C51" w:rsidRPr="00FC04D9" w:rsidRDefault="003C4C51" w:rsidP="001115DB">
          <w:pPr>
            <w:pStyle w:val="Header"/>
            <w:jc w:val="center"/>
            <w:rPr>
              <w:rFonts w:cs="Arial"/>
              <w:b/>
            </w:rPr>
          </w:pPr>
        </w:p>
        <w:p w:rsidR="003C4C51" w:rsidRPr="00FC04D9" w:rsidRDefault="003C4C51" w:rsidP="001115DB">
          <w:pPr>
            <w:pStyle w:val="Header"/>
            <w:jc w:val="center"/>
            <w:rPr>
              <w:rFonts w:cs="Arial"/>
              <w:b/>
            </w:rPr>
          </w:pPr>
        </w:p>
        <w:p w:rsidR="003C4C51" w:rsidRPr="00FC04D9" w:rsidRDefault="003C4C51" w:rsidP="001115DB">
          <w:pPr>
            <w:pStyle w:val="Header"/>
            <w:jc w:val="center"/>
            <w:rPr>
              <w:rFonts w:cs="Arial"/>
            </w:rPr>
          </w:pPr>
        </w:p>
        <w:p w:rsidR="003C4C51" w:rsidRPr="00FC04D9" w:rsidRDefault="003C4C51" w:rsidP="001115DB">
          <w:pPr>
            <w:pStyle w:val="Header"/>
            <w:jc w:val="center"/>
            <w:rPr>
              <w:rFonts w:cs="Arial"/>
            </w:rPr>
          </w:pPr>
        </w:p>
      </w:tc>
      <w:tc>
        <w:tcPr>
          <w:tcW w:w="48" w:type="dxa"/>
          <w:tcBorders>
            <w:bottom w:val="nil"/>
          </w:tcBorders>
          <w:shd w:val="clear" w:color="auto" w:fill="auto"/>
        </w:tcPr>
        <w:p w:rsidR="003C4C51" w:rsidRPr="00FC04D9" w:rsidRDefault="003C4C51" w:rsidP="001115DB">
          <w:pPr>
            <w:pStyle w:val="Header"/>
            <w:jc w:val="center"/>
            <w:rPr>
              <w:rFonts w:cs="Arial"/>
              <w:color w:val="005ABB"/>
            </w:rPr>
          </w:pPr>
        </w:p>
      </w:tc>
      <w:tc>
        <w:tcPr>
          <w:tcW w:w="2957" w:type="dxa"/>
          <w:tcBorders>
            <w:bottom w:val="nil"/>
          </w:tcBorders>
          <w:shd w:val="clear" w:color="auto" w:fill="auto"/>
          <w:tcMar>
            <w:left w:w="0" w:type="dxa"/>
            <w:right w:w="0" w:type="dxa"/>
          </w:tcMar>
        </w:tcPr>
        <w:p w:rsidR="003C4C51" w:rsidRDefault="003C4C51" w:rsidP="001115DB">
          <w:pPr>
            <w:pStyle w:val="Header"/>
            <w:jc w:val="center"/>
            <w:rPr>
              <w:rFonts w:cs="Arial"/>
            </w:rPr>
          </w:pPr>
        </w:p>
        <w:p w:rsidR="006024FB" w:rsidRPr="00FC04D9" w:rsidRDefault="006024FB" w:rsidP="001115DB">
          <w:pPr>
            <w:pStyle w:val="Header"/>
            <w:jc w:val="center"/>
            <w:rPr>
              <w:rFonts w:cs="Arial"/>
            </w:rPr>
          </w:pPr>
        </w:p>
        <w:p w:rsidR="003C4C51" w:rsidRPr="00FC04D9" w:rsidRDefault="003C4C51" w:rsidP="00D0189A">
          <w:pPr>
            <w:pStyle w:val="Header"/>
            <w:jc w:val="center"/>
            <w:rPr>
              <w:rFonts w:cs="Arial"/>
              <w:color w:val="005ABB"/>
            </w:rPr>
          </w:pPr>
        </w:p>
      </w:tc>
    </w:tr>
    <w:tr w:rsidR="003C4C51" w:rsidRPr="006D24EE" w:rsidTr="009119D8">
      <w:trPr>
        <w:trHeight w:val="70"/>
      </w:trPr>
      <w:tc>
        <w:tcPr>
          <w:tcW w:w="2722" w:type="dxa"/>
          <w:vMerge/>
          <w:tcBorders>
            <w:top w:val="nil"/>
            <w:bottom w:val="nil"/>
          </w:tcBorders>
          <w:shd w:val="clear" w:color="auto" w:fill="auto"/>
          <w:tcMar>
            <w:left w:w="0" w:type="dxa"/>
            <w:right w:w="0" w:type="dxa"/>
          </w:tcMar>
        </w:tcPr>
        <w:p w:rsidR="003C4C51" w:rsidRPr="00FC04D9" w:rsidRDefault="003C4C51" w:rsidP="001115DB">
          <w:pPr>
            <w:pStyle w:val="Header"/>
            <w:jc w:val="center"/>
            <w:rPr>
              <w:rFonts w:cs="Arial"/>
            </w:rPr>
          </w:pPr>
        </w:p>
      </w:tc>
      <w:tc>
        <w:tcPr>
          <w:tcW w:w="3941" w:type="dxa"/>
          <w:tcBorders>
            <w:top w:val="nil"/>
            <w:bottom w:val="nil"/>
          </w:tcBorders>
          <w:shd w:val="clear" w:color="auto" w:fill="auto"/>
        </w:tcPr>
        <w:p w:rsidR="003C4C51" w:rsidRPr="00FC04D9" w:rsidRDefault="003C4C51" w:rsidP="001115DB">
          <w:pPr>
            <w:pStyle w:val="Header"/>
            <w:jc w:val="center"/>
            <w:rPr>
              <w:rFonts w:cs="Arial"/>
            </w:rPr>
          </w:pPr>
        </w:p>
      </w:tc>
      <w:tc>
        <w:tcPr>
          <w:tcW w:w="48" w:type="dxa"/>
          <w:tcBorders>
            <w:top w:val="nil"/>
          </w:tcBorders>
          <w:shd w:val="clear" w:color="auto" w:fill="auto"/>
        </w:tcPr>
        <w:p w:rsidR="003C4C51" w:rsidRPr="00FC04D9" w:rsidRDefault="003C4C51" w:rsidP="001115DB">
          <w:pPr>
            <w:pStyle w:val="Header"/>
            <w:jc w:val="center"/>
            <w:rPr>
              <w:rFonts w:cs="Arial"/>
            </w:rPr>
          </w:pPr>
        </w:p>
      </w:tc>
      <w:tc>
        <w:tcPr>
          <w:tcW w:w="2957" w:type="dxa"/>
          <w:tcBorders>
            <w:top w:val="nil"/>
            <w:bottom w:val="nil"/>
          </w:tcBorders>
          <w:shd w:val="clear" w:color="auto" w:fill="auto"/>
          <w:tcMar>
            <w:left w:w="0" w:type="dxa"/>
            <w:right w:w="0" w:type="dxa"/>
          </w:tcMar>
        </w:tcPr>
        <w:p w:rsidR="003C4C51" w:rsidRPr="00FC04D9" w:rsidRDefault="003C4C51" w:rsidP="001115DB">
          <w:pPr>
            <w:pStyle w:val="Header"/>
            <w:jc w:val="center"/>
            <w:rPr>
              <w:rFonts w:cs="Arial"/>
              <w:color w:val="005ABB"/>
            </w:rPr>
          </w:pPr>
        </w:p>
      </w:tc>
    </w:tr>
  </w:tbl>
  <w:p w:rsidR="003C4C51" w:rsidRPr="0098234C" w:rsidRDefault="003C4C51" w:rsidP="001115D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741"/>
    <w:multiLevelType w:val="hybridMultilevel"/>
    <w:tmpl w:val="33B29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A17C6"/>
    <w:multiLevelType w:val="hybridMultilevel"/>
    <w:tmpl w:val="657CE2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26210080"/>
    <w:multiLevelType w:val="hybridMultilevel"/>
    <w:tmpl w:val="954E57EC"/>
    <w:lvl w:ilvl="0" w:tplc="BDDC5A5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2F7349"/>
    <w:multiLevelType w:val="hybridMultilevel"/>
    <w:tmpl w:val="1BCA9AFE"/>
    <w:lvl w:ilvl="0" w:tplc="ED36F89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60252A"/>
    <w:multiLevelType w:val="hybridMultilevel"/>
    <w:tmpl w:val="A0A4599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NotTrackFormatting/>
  <w:documentProtection w:edit="readOnly" w:enforcement="0"/>
  <w:defaultTabStop w:val="720"/>
  <w:drawingGridHorizontalSpacing w:val="10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F47"/>
    <w:rsid w:val="0000621A"/>
    <w:rsid w:val="00015200"/>
    <w:rsid w:val="000174E2"/>
    <w:rsid w:val="000273D1"/>
    <w:rsid w:val="00041A3A"/>
    <w:rsid w:val="0004359E"/>
    <w:rsid w:val="00074FA4"/>
    <w:rsid w:val="00081E39"/>
    <w:rsid w:val="00086DB2"/>
    <w:rsid w:val="00094CFE"/>
    <w:rsid w:val="00095DA6"/>
    <w:rsid w:val="000A6B93"/>
    <w:rsid w:val="000C1072"/>
    <w:rsid w:val="000C2F84"/>
    <w:rsid w:val="000C68C5"/>
    <w:rsid w:val="000C6F28"/>
    <w:rsid w:val="000D2273"/>
    <w:rsid w:val="000F2D45"/>
    <w:rsid w:val="000F709B"/>
    <w:rsid w:val="001003C2"/>
    <w:rsid w:val="00106CD8"/>
    <w:rsid w:val="001115DB"/>
    <w:rsid w:val="00132B73"/>
    <w:rsid w:val="001331A2"/>
    <w:rsid w:val="00134A59"/>
    <w:rsid w:val="00160900"/>
    <w:rsid w:val="00163156"/>
    <w:rsid w:val="00176228"/>
    <w:rsid w:val="0018729E"/>
    <w:rsid w:val="00192A0D"/>
    <w:rsid w:val="001D1404"/>
    <w:rsid w:val="001D31AA"/>
    <w:rsid w:val="001F54E1"/>
    <w:rsid w:val="00204168"/>
    <w:rsid w:val="002107D2"/>
    <w:rsid w:val="00210F13"/>
    <w:rsid w:val="0021204C"/>
    <w:rsid w:val="0021389D"/>
    <w:rsid w:val="00230585"/>
    <w:rsid w:val="0024317A"/>
    <w:rsid w:val="00250DD5"/>
    <w:rsid w:val="002829F9"/>
    <w:rsid w:val="0029209E"/>
    <w:rsid w:val="00296CB6"/>
    <w:rsid w:val="002A109A"/>
    <w:rsid w:val="002A575F"/>
    <w:rsid w:val="002A64AF"/>
    <w:rsid w:val="002C0EF1"/>
    <w:rsid w:val="002C4183"/>
    <w:rsid w:val="002C61A0"/>
    <w:rsid w:val="002F1E37"/>
    <w:rsid w:val="002F2F18"/>
    <w:rsid w:val="002F672F"/>
    <w:rsid w:val="00301700"/>
    <w:rsid w:val="00302D25"/>
    <w:rsid w:val="0031316A"/>
    <w:rsid w:val="00347E40"/>
    <w:rsid w:val="003548D3"/>
    <w:rsid w:val="0035686D"/>
    <w:rsid w:val="003879AA"/>
    <w:rsid w:val="003913B6"/>
    <w:rsid w:val="003A57F1"/>
    <w:rsid w:val="003B5A3D"/>
    <w:rsid w:val="003C4C51"/>
    <w:rsid w:val="003E4EA1"/>
    <w:rsid w:val="003E634B"/>
    <w:rsid w:val="003F09F7"/>
    <w:rsid w:val="003F539D"/>
    <w:rsid w:val="003F65CC"/>
    <w:rsid w:val="004072EF"/>
    <w:rsid w:val="00436334"/>
    <w:rsid w:val="00450FFB"/>
    <w:rsid w:val="00456561"/>
    <w:rsid w:val="004614F4"/>
    <w:rsid w:val="00466039"/>
    <w:rsid w:val="0047130F"/>
    <w:rsid w:val="004822AC"/>
    <w:rsid w:val="004942F8"/>
    <w:rsid w:val="004D49BC"/>
    <w:rsid w:val="004E2E5E"/>
    <w:rsid w:val="00500250"/>
    <w:rsid w:val="00501F11"/>
    <w:rsid w:val="00503DC8"/>
    <w:rsid w:val="00510B5D"/>
    <w:rsid w:val="00546392"/>
    <w:rsid w:val="0058148B"/>
    <w:rsid w:val="00582C27"/>
    <w:rsid w:val="00584CA5"/>
    <w:rsid w:val="00585718"/>
    <w:rsid w:val="005859CA"/>
    <w:rsid w:val="005B11C6"/>
    <w:rsid w:val="005D0C59"/>
    <w:rsid w:val="005D2C5A"/>
    <w:rsid w:val="005E38CE"/>
    <w:rsid w:val="005F167A"/>
    <w:rsid w:val="006024FB"/>
    <w:rsid w:val="006059D5"/>
    <w:rsid w:val="006432FE"/>
    <w:rsid w:val="00644CFE"/>
    <w:rsid w:val="006655CF"/>
    <w:rsid w:val="006832F1"/>
    <w:rsid w:val="006935C9"/>
    <w:rsid w:val="006C505D"/>
    <w:rsid w:val="006D0F70"/>
    <w:rsid w:val="006D24EE"/>
    <w:rsid w:val="0070002E"/>
    <w:rsid w:val="00733001"/>
    <w:rsid w:val="007803BB"/>
    <w:rsid w:val="0078680F"/>
    <w:rsid w:val="00792F42"/>
    <w:rsid w:val="0079616B"/>
    <w:rsid w:val="007B1668"/>
    <w:rsid w:val="007C52F4"/>
    <w:rsid w:val="007E4CB7"/>
    <w:rsid w:val="007E6E7F"/>
    <w:rsid w:val="007F00A7"/>
    <w:rsid w:val="00824280"/>
    <w:rsid w:val="008305E9"/>
    <w:rsid w:val="00831C71"/>
    <w:rsid w:val="008378BB"/>
    <w:rsid w:val="00840087"/>
    <w:rsid w:val="00851429"/>
    <w:rsid w:val="00870FFC"/>
    <w:rsid w:val="00891DC9"/>
    <w:rsid w:val="00894C14"/>
    <w:rsid w:val="008A1F83"/>
    <w:rsid w:val="008C0B8A"/>
    <w:rsid w:val="008C12E0"/>
    <w:rsid w:val="009119D8"/>
    <w:rsid w:val="00912516"/>
    <w:rsid w:val="00921F9D"/>
    <w:rsid w:val="009329E6"/>
    <w:rsid w:val="00946BD7"/>
    <w:rsid w:val="00953F47"/>
    <w:rsid w:val="00966958"/>
    <w:rsid w:val="00972D81"/>
    <w:rsid w:val="0098234C"/>
    <w:rsid w:val="00983600"/>
    <w:rsid w:val="00984962"/>
    <w:rsid w:val="009B05A0"/>
    <w:rsid w:val="009C02B5"/>
    <w:rsid w:val="009F480F"/>
    <w:rsid w:val="009F4B00"/>
    <w:rsid w:val="009F7AC8"/>
    <w:rsid w:val="00A02994"/>
    <w:rsid w:val="00A11BD1"/>
    <w:rsid w:val="00A3046D"/>
    <w:rsid w:val="00A66C35"/>
    <w:rsid w:val="00A67B4B"/>
    <w:rsid w:val="00A77139"/>
    <w:rsid w:val="00A82E50"/>
    <w:rsid w:val="00AB00F3"/>
    <w:rsid w:val="00AC4ABE"/>
    <w:rsid w:val="00AD434B"/>
    <w:rsid w:val="00AE05B4"/>
    <w:rsid w:val="00AF0229"/>
    <w:rsid w:val="00AF4F6E"/>
    <w:rsid w:val="00AF5744"/>
    <w:rsid w:val="00B07855"/>
    <w:rsid w:val="00B07FF9"/>
    <w:rsid w:val="00B21711"/>
    <w:rsid w:val="00B2184B"/>
    <w:rsid w:val="00B4620C"/>
    <w:rsid w:val="00B54EDA"/>
    <w:rsid w:val="00B73118"/>
    <w:rsid w:val="00BB6407"/>
    <w:rsid w:val="00BE17B1"/>
    <w:rsid w:val="00C3788F"/>
    <w:rsid w:val="00C418F5"/>
    <w:rsid w:val="00C64923"/>
    <w:rsid w:val="00C759E8"/>
    <w:rsid w:val="00C842A9"/>
    <w:rsid w:val="00C91C4C"/>
    <w:rsid w:val="00CA65A1"/>
    <w:rsid w:val="00CB7E04"/>
    <w:rsid w:val="00CC05C1"/>
    <w:rsid w:val="00CF150A"/>
    <w:rsid w:val="00D0189A"/>
    <w:rsid w:val="00D06761"/>
    <w:rsid w:val="00D10A24"/>
    <w:rsid w:val="00D24607"/>
    <w:rsid w:val="00D26138"/>
    <w:rsid w:val="00D37C50"/>
    <w:rsid w:val="00D47258"/>
    <w:rsid w:val="00D749B4"/>
    <w:rsid w:val="00D76618"/>
    <w:rsid w:val="00D85E5F"/>
    <w:rsid w:val="00D87389"/>
    <w:rsid w:val="00DA449E"/>
    <w:rsid w:val="00DB4736"/>
    <w:rsid w:val="00DC57AA"/>
    <w:rsid w:val="00DF3D8C"/>
    <w:rsid w:val="00E2113F"/>
    <w:rsid w:val="00E645FF"/>
    <w:rsid w:val="00E65864"/>
    <w:rsid w:val="00E6708E"/>
    <w:rsid w:val="00E83B52"/>
    <w:rsid w:val="00E83F05"/>
    <w:rsid w:val="00E92D2E"/>
    <w:rsid w:val="00E942D7"/>
    <w:rsid w:val="00EA007F"/>
    <w:rsid w:val="00EB59EA"/>
    <w:rsid w:val="00EB661D"/>
    <w:rsid w:val="00ED02FE"/>
    <w:rsid w:val="00EE343C"/>
    <w:rsid w:val="00F06C70"/>
    <w:rsid w:val="00F133C4"/>
    <w:rsid w:val="00F17869"/>
    <w:rsid w:val="00F36C2A"/>
    <w:rsid w:val="00F463E7"/>
    <w:rsid w:val="00F53FA6"/>
    <w:rsid w:val="00F57526"/>
    <w:rsid w:val="00F638EF"/>
    <w:rsid w:val="00F727F2"/>
    <w:rsid w:val="00F77E63"/>
    <w:rsid w:val="00FA3D18"/>
    <w:rsid w:val="00FB1082"/>
    <w:rsid w:val="00FC04D9"/>
    <w:rsid w:val="00FD4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00"/>
    <w:pPr>
      <w:spacing w:line="240" w:lineRule="exact"/>
    </w:pPr>
    <w:rPr>
      <w:rFonts w:ascii="Arial" w:hAnsi="Arial"/>
      <w:szCs w:val="22"/>
      <w:lang w:val="en-US" w:eastAsia="en-US"/>
    </w:rPr>
  </w:style>
  <w:style w:type="paragraph" w:styleId="Heading1">
    <w:name w:val="heading 1"/>
    <w:basedOn w:val="Normal"/>
    <w:next w:val="Normal"/>
    <w:link w:val="Heading1Char"/>
    <w:uiPriority w:val="9"/>
    <w:qFormat/>
    <w:rsid w:val="00F133C4"/>
    <w:pPr>
      <w:keepNext/>
      <w:spacing w:before="240" w:after="60"/>
      <w:outlineLvl w:val="0"/>
    </w:pPr>
    <w:rPr>
      <w:rFonts w:eastAsia="Times New Roman"/>
      <w:bCs/>
      <w:kern w:val="32"/>
      <w:sz w:val="40"/>
      <w:szCs w:val="32"/>
      <w:lang w:val="en-GB"/>
    </w:rPr>
  </w:style>
  <w:style w:type="paragraph" w:styleId="Heading2">
    <w:name w:val="heading 2"/>
    <w:basedOn w:val="Heading1"/>
    <w:next w:val="Normal"/>
    <w:link w:val="Heading2Char"/>
    <w:uiPriority w:val="9"/>
    <w:semiHidden/>
    <w:unhideWhenUsed/>
    <w:qFormat/>
    <w:rsid w:val="00F133C4"/>
    <w:pPr>
      <w:outlineLvl w:val="1"/>
    </w:pPr>
    <w:rPr>
      <w:bCs w:val="0"/>
      <w:iCs/>
      <w:color w:val="00A4E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3C4"/>
    <w:rPr>
      <w:rFonts w:ascii="Arial" w:eastAsia="Times New Roman" w:hAnsi="Arial" w:cs="Times New Roman"/>
      <w:bCs/>
      <w:kern w:val="32"/>
      <w:sz w:val="40"/>
      <w:szCs w:val="32"/>
      <w:lang w:val="en-GB"/>
    </w:rPr>
  </w:style>
  <w:style w:type="character" w:customStyle="1" w:styleId="Heading2Char">
    <w:name w:val="Heading 2 Char"/>
    <w:link w:val="Heading2"/>
    <w:uiPriority w:val="9"/>
    <w:semiHidden/>
    <w:rsid w:val="00F133C4"/>
    <w:rPr>
      <w:rFonts w:ascii="Arial" w:eastAsia="Times New Roman"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sz w:val="16"/>
      <w:szCs w:val="16"/>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iPriority w:val="99"/>
    <w:unhideWhenUsed/>
    <w:rsid w:val="003548D3"/>
    <w:pPr>
      <w:spacing w:line="200" w:lineRule="exact"/>
    </w:pPr>
    <w:rPr>
      <w:sz w:val="16"/>
      <w:szCs w:val="16"/>
    </w:rPr>
  </w:style>
  <w:style w:type="character" w:customStyle="1" w:styleId="HeaderChar">
    <w:name w:val="Header Char"/>
    <w:link w:val="Header"/>
    <w:uiPriority w:val="99"/>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szCs w:val="20"/>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image">
    <w:name w:val="Header image"/>
    <w:qFormat/>
    <w:rsid w:val="003548D3"/>
    <w:pPr>
      <w:spacing w:after="200" w:line="276" w:lineRule="auto"/>
    </w:pPr>
    <w:rPr>
      <w:rFonts w:ascii="Arial" w:hAnsi="Arial"/>
      <w:noProof/>
      <w:szCs w:val="22"/>
      <w:lang w:val="en-US" w:eastAsia="en-US"/>
    </w:rPr>
  </w:style>
  <w:style w:type="character" w:styleId="Hyperlink">
    <w:name w:val="Hyperlink"/>
    <w:uiPriority w:val="99"/>
    <w:unhideWhenUsed/>
    <w:rsid w:val="00510B5D"/>
    <w:rPr>
      <w:color w:val="0000FF"/>
      <w:u w:val="single"/>
    </w:rPr>
  </w:style>
  <w:style w:type="paragraph" w:styleId="ListParagraph">
    <w:name w:val="List Paragraph"/>
    <w:basedOn w:val="Normal"/>
    <w:uiPriority w:val="34"/>
    <w:qFormat/>
    <w:rsid w:val="006024FB"/>
    <w:pPr>
      <w:ind w:left="720"/>
    </w:pPr>
  </w:style>
  <w:style w:type="character" w:customStyle="1" w:styleId="hps">
    <w:name w:val="hps"/>
    <w:rsid w:val="00EE3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00"/>
    <w:pPr>
      <w:spacing w:line="240" w:lineRule="exact"/>
    </w:pPr>
    <w:rPr>
      <w:rFonts w:ascii="Arial" w:hAnsi="Arial"/>
      <w:szCs w:val="22"/>
      <w:lang w:val="en-US" w:eastAsia="en-US"/>
    </w:rPr>
  </w:style>
  <w:style w:type="paragraph" w:styleId="Heading1">
    <w:name w:val="heading 1"/>
    <w:basedOn w:val="Normal"/>
    <w:next w:val="Normal"/>
    <w:link w:val="Heading1Char"/>
    <w:uiPriority w:val="9"/>
    <w:qFormat/>
    <w:rsid w:val="00F133C4"/>
    <w:pPr>
      <w:keepNext/>
      <w:spacing w:before="240" w:after="60"/>
      <w:outlineLvl w:val="0"/>
    </w:pPr>
    <w:rPr>
      <w:rFonts w:eastAsia="Times New Roman"/>
      <w:bCs/>
      <w:kern w:val="32"/>
      <w:sz w:val="40"/>
      <w:szCs w:val="32"/>
      <w:lang w:val="en-GB"/>
    </w:rPr>
  </w:style>
  <w:style w:type="paragraph" w:styleId="Heading2">
    <w:name w:val="heading 2"/>
    <w:basedOn w:val="Heading1"/>
    <w:next w:val="Normal"/>
    <w:link w:val="Heading2Char"/>
    <w:uiPriority w:val="9"/>
    <w:semiHidden/>
    <w:unhideWhenUsed/>
    <w:qFormat/>
    <w:rsid w:val="00F133C4"/>
    <w:pPr>
      <w:outlineLvl w:val="1"/>
    </w:pPr>
    <w:rPr>
      <w:bCs w:val="0"/>
      <w:iCs/>
      <w:color w:val="00A4E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3C4"/>
    <w:rPr>
      <w:rFonts w:ascii="Arial" w:eastAsia="Times New Roman" w:hAnsi="Arial" w:cs="Times New Roman"/>
      <w:bCs/>
      <w:kern w:val="32"/>
      <w:sz w:val="40"/>
      <w:szCs w:val="32"/>
      <w:lang w:val="en-GB"/>
    </w:rPr>
  </w:style>
  <w:style w:type="character" w:customStyle="1" w:styleId="Heading2Char">
    <w:name w:val="Heading 2 Char"/>
    <w:link w:val="Heading2"/>
    <w:uiPriority w:val="9"/>
    <w:semiHidden/>
    <w:rsid w:val="00F133C4"/>
    <w:rPr>
      <w:rFonts w:ascii="Arial" w:eastAsia="Times New Roman"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sz w:val="16"/>
      <w:szCs w:val="16"/>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iPriority w:val="99"/>
    <w:unhideWhenUsed/>
    <w:rsid w:val="003548D3"/>
    <w:pPr>
      <w:spacing w:line="200" w:lineRule="exact"/>
    </w:pPr>
    <w:rPr>
      <w:sz w:val="16"/>
      <w:szCs w:val="16"/>
    </w:rPr>
  </w:style>
  <w:style w:type="character" w:customStyle="1" w:styleId="HeaderChar">
    <w:name w:val="Header Char"/>
    <w:link w:val="Header"/>
    <w:uiPriority w:val="99"/>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szCs w:val="20"/>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image">
    <w:name w:val="Header image"/>
    <w:qFormat/>
    <w:rsid w:val="003548D3"/>
    <w:pPr>
      <w:spacing w:after="200" w:line="276" w:lineRule="auto"/>
    </w:pPr>
    <w:rPr>
      <w:rFonts w:ascii="Arial" w:hAnsi="Arial"/>
      <w:noProof/>
      <w:szCs w:val="22"/>
      <w:lang w:val="en-US" w:eastAsia="en-US"/>
    </w:rPr>
  </w:style>
  <w:style w:type="character" w:styleId="Hyperlink">
    <w:name w:val="Hyperlink"/>
    <w:uiPriority w:val="99"/>
    <w:unhideWhenUsed/>
    <w:rsid w:val="00510B5D"/>
    <w:rPr>
      <w:color w:val="0000FF"/>
      <w:u w:val="single"/>
    </w:rPr>
  </w:style>
  <w:style w:type="paragraph" w:styleId="ListParagraph">
    <w:name w:val="List Paragraph"/>
    <w:basedOn w:val="Normal"/>
    <w:uiPriority w:val="34"/>
    <w:qFormat/>
    <w:rsid w:val="006024FB"/>
    <w:pPr>
      <w:ind w:left="720"/>
    </w:pPr>
  </w:style>
  <w:style w:type="character" w:customStyle="1" w:styleId="hps">
    <w:name w:val="hps"/>
    <w:rsid w:val="00EE3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2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blholligan\AppData\Local\Microsoft\Windows\Temporary%20Internet%20Files\Content.Outlook\DP38FWH8\70WHletter2013%20do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D2059-18CF-4F2C-B128-80DF3795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70WHletter2013 doc (3)</Template>
  <TotalTime>1</TotalTime>
  <Pages>2</Pages>
  <Words>333</Words>
  <Characters>1903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OGP Annual Summit Commitment Template</vt:lpstr>
    </vt:vector>
  </TitlesOfParts>
  <Company>Flex</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OGP Annual Summit Commitment Template</dc:title>
  <dc:creator>Holligan, Louise - Cabinet Office [Restricted]</dc:creator>
  <cp:lastModifiedBy>Ailsa Logan</cp:lastModifiedBy>
  <cp:revision>2</cp:revision>
  <cp:lastPrinted>2013-10-21T13:16:00Z</cp:lastPrinted>
  <dcterms:created xsi:type="dcterms:W3CDTF">2013-11-07T15:29:00Z</dcterms:created>
  <dcterms:modified xsi:type="dcterms:W3CDTF">2013-11-07T15:29:00Z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85fbde76-6cf9-44ce-8bc0-6b319c53c004</vt:lpwstr>
  </property>
  <property fmtid="{D5CDD505-2E9C-101B-9397-08002B2CF9AE}" pid="15" name="GeographicalCoverage">
    <vt:lpwstr> </vt:lpwstr>
  </property>
  <property fmtid="{D5CDD505-2E9C-101B-9397-08002B2CF9AE}" pid="16" name="Privacy">
    <vt:lpwstr/>
  </property>
  <property fmtid="{D5CDD505-2E9C-101B-9397-08002B2CF9AE}" pid="17" name="Classification">
    <vt:lpwstr>UNCLASSIFIED</vt:lpwstr>
  </property>
  <property fmtid="{D5CDD505-2E9C-101B-9397-08002B2CF9AE}" pid="18" name="AlternativeTitle">
    <vt:lpwstr/>
  </property>
  <property fmtid="{D5CDD505-2E9C-101B-9397-08002B2CF9AE}" pid="19" name="BusinessUnit">
    <vt:lpwstr> </vt:lpwstr>
  </property>
  <property fmtid="{D5CDD505-2E9C-101B-9397-08002B2CF9AE}" pid="20" name="SubjectCode">
    <vt:lpwstr> </vt:lpwstr>
  </property>
  <property fmtid="{D5CDD505-2E9C-101B-9397-08002B2CF9AE}" pid="21" name="DocType">
    <vt:lpwstr>Normal</vt:lpwstr>
  </property>
  <property fmtid="{D5CDD505-2E9C-101B-9397-08002B2CF9AE}" pid="22" name="SourceSystem">
    <vt:lpwstr>IREC</vt:lpwstr>
  </property>
  <property fmtid="{D5CDD505-2E9C-101B-9397-08002B2CF9AE}" pid="23" name="Originator">
    <vt:lpwstr> </vt:lpwstr>
  </property>
  <property fmtid="{D5CDD505-2E9C-101B-9397-08002B2CF9AE}" pid="24" name="MaintainMarking">
    <vt:lpwstr>True</vt:lpwstr>
  </property>
  <property fmtid="{D5CDD505-2E9C-101B-9397-08002B2CF9AE}" pid="25" name="MaintainPath">
    <vt:lpwstr>True</vt:lpwstr>
  </property>
  <property fmtid="{D5CDD505-2E9C-101B-9397-08002B2CF9AE}" pid="26" name="Created">
    <vt:filetime>2013-10-07T23:00:00Z</vt:filetime>
  </property>
</Properties>
</file>