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5</w:t>
      </w:r>
      <w:r w:rsidDel="00000000" w:rsidR="00000000" w:rsidRPr="00000000">
        <w:rPr>
          <w:rtl w:val="0"/>
        </w:rPr>
        <w:t xml:space="preserve"> December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highlight w:val="white"/>
          <w:rtl w:val="0"/>
        </w:rPr>
        <w:t xml:space="preserve">Fayval Williams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Minister of State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Government of Jamaica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Dear Minister Williams,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We welcome the Government of Jamaica’s participation in the Open Government Partnership (OGP), which now has 74 countries and 15 subnational pioneers working to implement open government commitments to promote greater transparency, accountability, and engagement of citizens in policy making.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As you are aware, the OGP Articles of Governance state that all participating countries are expected to: </w:t>
      </w:r>
      <w:r w:rsidDel="00000000" w:rsidR="00000000" w:rsidRPr="00000000">
        <w:rPr>
          <w:i w:val="1"/>
          <w:rtl w:val="0"/>
        </w:rPr>
        <w:t xml:space="preserve">Make concrete commitments, as part of a country action plan, that are ambitious and go beyond a country’s current practice. All OGP participating governments are expected to develop National Action Plans that specify concrete commitments over a two-year period</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Countries that are more than four months late in submitting their National Action Plan (NAP) will be considered to have acted contrary to OGP process for that action plan cycle. As of October 31, 2017, the Government of Jamaica had not submitted </w:t>
      </w:r>
      <w:r w:rsidDel="00000000" w:rsidR="00000000" w:rsidRPr="00000000">
        <w:rPr>
          <w:rtl w:val="0"/>
        </w:rPr>
        <w:t xml:space="preserve">its new NAP</w:t>
      </w:r>
      <w:r w:rsidDel="00000000" w:rsidR="00000000" w:rsidRPr="00000000">
        <w:rPr>
          <w:rtl w:val="0"/>
        </w:rPr>
        <w:t xml:space="preserve">, four months after the deadline of June 30,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This letter is therefore to inform you that the Government of Jamaica has acted contrary to the OGP process for this action plan development cycle. We recommend that the Government of Jamaica publishes all future NAPs on </w:t>
      </w:r>
      <w:r w:rsidDel="00000000" w:rsidR="00000000" w:rsidRPr="00000000">
        <w:rPr>
          <w:rtl w:val="0"/>
        </w:rPr>
        <w:t xml:space="preserve">time</w:t>
      </w:r>
      <w:r w:rsidDel="00000000" w:rsidR="00000000" w:rsidRPr="00000000">
        <w:rPr>
          <w:rtl w:val="0"/>
        </w:rPr>
        <w:t xml:space="preserve"> in order to avoid review by the Criteria and Standards Subcommittee.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OGP Support Unit and Steering Committee stand ready to support you in whatever way would be useful to co-create a new action plan. Please do not hesitate to contact the OGP Support Unit if you require any assistance.</w:t>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Yours 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Sanjay Pradhan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Chief Executive Officer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Open Government Partnership</w:t>
      </w:r>
      <w:r w:rsidDel="00000000" w:rsidR="00000000" w:rsidRPr="00000000">
        <w:rPr>
          <w:rtl w:val="0"/>
        </w:rPr>
      </w:r>
    </w:p>
    <w:sectPr>
      <w:headerReference r:id="rId6" w:type="default"/>
      <w:footerReference r:id="rId7" w:type="default"/>
      <w:pgSz w:h="15840" w:w="12240"/>
      <w:pgMar w:bottom="1152"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color w:val="999999"/>
        <w:sz w:val="18"/>
        <w:szCs w:val="1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color w:val="999999"/>
        <w:sz w:val="18"/>
        <w:szCs w:val="18"/>
        <w:rtl w:val="0"/>
      </w:rPr>
      <w:t xml:space="preserve">1110 Vermont Avenue NW  Suite 500  Washington, DC  20005  |  +1 202 609 7859 | </w:t>
    </w:r>
    <w:hyperlink r:id="rId1">
      <w:r w:rsidDel="00000000" w:rsidR="00000000" w:rsidRPr="00000000">
        <w:rPr>
          <w:color w:val="999999"/>
          <w:sz w:val="18"/>
          <w:szCs w:val="18"/>
          <w:rtl w:val="0"/>
        </w:rPr>
        <w:t xml:space="preserve">opengovparntership.org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Fonts w:ascii="Calibri" w:cs="Calibri" w:eastAsia="Calibri" w:hAnsi="Calibri"/>
      </w:rPr>
      <w:drawing>
        <wp:inline distB="114300" distT="114300" distL="114300" distR="114300">
          <wp:extent cx="890588" cy="8905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0588" cy="890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gov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