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FD096" w14:textId="77777777" w:rsidR="00E6371E" w:rsidRPr="00E6371E" w:rsidRDefault="00E6371E" w:rsidP="00E6371E">
      <w:pPr>
        <w:pBdr>
          <w:top w:val="single" w:sz="4" w:space="1" w:color="auto"/>
          <w:left w:val="single" w:sz="4" w:space="4" w:color="auto"/>
          <w:bottom w:val="single" w:sz="4" w:space="1" w:color="auto"/>
          <w:right w:val="single" w:sz="4" w:space="4" w:color="auto"/>
        </w:pBdr>
        <w:spacing w:after="0"/>
        <w:jc w:val="center"/>
        <w:rPr>
          <w:b/>
        </w:rPr>
      </w:pPr>
      <w:bookmarkStart w:id="0" w:name="_GoBack"/>
      <w:bookmarkEnd w:id="0"/>
      <w:r w:rsidRPr="00E6371E">
        <w:rPr>
          <w:b/>
        </w:rPr>
        <w:t>Open Government Partnership</w:t>
      </w:r>
      <w:r w:rsidR="00601011">
        <w:rPr>
          <w:b/>
        </w:rPr>
        <w:t xml:space="preserve"> (OGP)</w:t>
      </w:r>
    </w:p>
    <w:p w14:paraId="67C1F7BC" w14:textId="77777777" w:rsidR="00E6371E" w:rsidRPr="00E6371E" w:rsidRDefault="00E6371E" w:rsidP="00E6371E">
      <w:pPr>
        <w:pBdr>
          <w:top w:val="single" w:sz="4" w:space="1" w:color="auto"/>
          <w:left w:val="single" w:sz="4" w:space="4" w:color="auto"/>
          <w:bottom w:val="single" w:sz="4" w:space="1" w:color="auto"/>
          <w:right w:val="single" w:sz="4" w:space="4" w:color="auto"/>
        </w:pBdr>
        <w:spacing w:after="0"/>
        <w:jc w:val="center"/>
        <w:rPr>
          <w:b/>
        </w:rPr>
      </w:pPr>
      <w:r w:rsidRPr="00E6371E">
        <w:rPr>
          <w:b/>
        </w:rPr>
        <w:t>Openness in Natural Resources Working Group - Work Plan</w:t>
      </w:r>
    </w:p>
    <w:p w14:paraId="1749E10F" w14:textId="77777777" w:rsidR="00E6371E" w:rsidRPr="00E6371E" w:rsidRDefault="00E6371E" w:rsidP="00E6371E">
      <w:pPr>
        <w:pBdr>
          <w:top w:val="single" w:sz="4" w:space="1" w:color="auto"/>
          <w:left w:val="single" w:sz="4" w:space="4" w:color="auto"/>
          <w:bottom w:val="single" w:sz="4" w:space="1" w:color="auto"/>
          <w:right w:val="single" w:sz="4" w:space="4" w:color="auto"/>
        </w:pBdr>
        <w:spacing w:after="0"/>
        <w:jc w:val="center"/>
        <w:rPr>
          <w:b/>
          <w:i/>
        </w:rPr>
      </w:pPr>
      <w:r w:rsidRPr="00E6371E">
        <w:rPr>
          <w:b/>
          <w:i/>
        </w:rPr>
        <w:t>June 2014</w:t>
      </w:r>
      <w:r w:rsidR="00601011">
        <w:rPr>
          <w:b/>
          <w:i/>
        </w:rPr>
        <w:t xml:space="preserve"> – August 2015</w:t>
      </w:r>
    </w:p>
    <w:p w14:paraId="084BB64C" w14:textId="77777777" w:rsidR="00E6371E" w:rsidRPr="00E6371E" w:rsidRDefault="00E6371E" w:rsidP="00E6371E">
      <w:pPr>
        <w:spacing w:after="0"/>
        <w:rPr>
          <w:b/>
        </w:rPr>
      </w:pPr>
    </w:p>
    <w:p w14:paraId="5B9D3DC7" w14:textId="77777777" w:rsidR="00E6371E" w:rsidRPr="00E6371E" w:rsidRDefault="00E6371E" w:rsidP="00E6371E">
      <w:pPr>
        <w:pBdr>
          <w:bottom w:val="single" w:sz="4" w:space="1" w:color="auto"/>
        </w:pBdr>
        <w:spacing w:after="0"/>
        <w:rPr>
          <w:b/>
        </w:rPr>
      </w:pPr>
      <w:r w:rsidRPr="00E6371E">
        <w:rPr>
          <w:b/>
        </w:rPr>
        <w:t>Rationale</w:t>
      </w:r>
    </w:p>
    <w:p w14:paraId="3A57CFAA" w14:textId="77777777" w:rsidR="00E6371E" w:rsidRPr="00E6371E" w:rsidRDefault="00E6371E" w:rsidP="00E6371E">
      <w:pPr>
        <w:spacing w:after="0"/>
        <w:rPr>
          <w:b/>
        </w:rPr>
      </w:pPr>
    </w:p>
    <w:p w14:paraId="55C67477" w14:textId="77777777" w:rsidR="00E6371E" w:rsidRPr="00E6371E" w:rsidRDefault="00E6371E" w:rsidP="00E6371E">
      <w:pPr>
        <w:spacing w:after="0"/>
      </w:pPr>
      <w:r w:rsidRPr="00E6371E">
        <w:t xml:space="preserve">This </w:t>
      </w:r>
      <w:r w:rsidR="000730CD">
        <w:t>W</w:t>
      </w:r>
      <w:r w:rsidRPr="00E6371E">
        <w:t xml:space="preserve">orking </w:t>
      </w:r>
      <w:r w:rsidR="000730CD">
        <w:t xml:space="preserve">Group </w:t>
      </w:r>
      <w:r w:rsidRPr="00E6371E">
        <w:t xml:space="preserve">is established in recognition that good governance in the natural resource sector </w:t>
      </w:r>
      <w:r w:rsidR="003529D0">
        <w:t>is critical to the welfare of the people and sustainability of the environment</w:t>
      </w:r>
      <w:r w:rsidRPr="00E6371E">
        <w:t xml:space="preserve">. </w:t>
      </w:r>
      <w:r w:rsidR="00601011" w:rsidRPr="00E6371E">
        <w:t>A wide array of countries ha</w:t>
      </w:r>
      <w:r w:rsidR="00601011">
        <w:t>s</w:t>
      </w:r>
      <w:r w:rsidR="00601011" w:rsidRPr="00E6371E">
        <w:t xml:space="preserve"> </w:t>
      </w:r>
      <w:r w:rsidRPr="00E6371E">
        <w:t xml:space="preserve">made significant advancements in transparency and accountability. By sharing lessons learned and good practice, we can leverage the OGP to advance our collective understanding of how greater openness can bring greater benefits to citizens and governments and encourage action at the </w:t>
      </w:r>
      <w:r w:rsidR="00601011">
        <w:t>national</w:t>
      </w:r>
      <w:r w:rsidRPr="00E6371E">
        <w:t xml:space="preserve"> level.</w:t>
      </w:r>
    </w:p>
    <w:p w14:paraId="396ECC8D" w14:textId="77777777" w:rsidR="00E6371E" w:rsidRPr="00E6371E" w:rsidRDefault="00E6371E" w:rsidP="00E6371E">
      <w:pPr>
        <w:spacing w:after="0"/>
        <w:rPr>
          <w:b/>
        </w:rPr>
      </w:pPr>
    </w:p>
    <w:p w14:paraId="6AAA1676" w14:textId="77777777" w:rsidR="00E6371E" w:rsidRPr="00E6371E" w:rsidRDefault="00E6371E" w:rsidP="00E6371E">
      <w:pPr>
        <w:pBdr>
          <w:bottom w:val="single" w:sz="4" w:space="1" w:color="auto"/>
        </w:pBdr>
        <w:spacing w:after="0"/>
        <w:rPr>
          <w:b/>
        </w:rPr>
      </w:pPr>
      <w:r w:rsidRPr="00E6371E">
        <w:rPr>
          <w:b/>
        </w:rPr>
        <w:t>Aim</w:t>
      </w:r>
    </w:p>
    <w:p w14:paraId="1A2C9386" w14:textId="77777777" w:rsidR="00E6371E" w:rsidRPr="00E6371E" w:rsidRDefault="00E6371E" w:rsidP="00E6371E">
      <w:pPr>
        <w:spacing w:after="0"/>
        <w:rPr>
          <w:b/>
        </w:rPr>
      </w:pPr>
    </w:p>
    <w:p w14:paraId="3B242950" w14:textId="77777777" w:rsidR="00E6371E" w:rsidRPr="00E6371E" w:rsidRDefault="00E6371E" w:rsidP="00E6371E">
      <w:pPr>
        <w:spacing w:after="0"/>
      </w:pPr>
      <w:r w:rsidRPr="00E6371E">
        <w:t xml:space="preserve">The </w:t>
      </w:r>
      <w:r w:rsidR="00A62E56">
        <w:t xml:space="preserve">Openness in Natural Resources (ONR) </w:t>
      </w:r>
      <w:r w:rsidRPr="00E6371E">
        <w:t xml:space="preserve">Working Group </w:t>
      </w:r>
      <w:r w:rsidR="003529D0">
        <w:t>aim</w:t>
      </w:r>
      <w:r w:rsidR="00601011">
        <w:t>s</w:t>
      </w:r>
      <w:r w:rsidR="003529D0">
        <w:t xml:space="preserve"> to</w:t>
      </w:r>
      <w:r w:rsidR="00601011" w:rsidRPr="00601011">
        <w:t xml:space="preserve"> </w:t>
      </w:r>
      <w:r w:rsidR="00601011">
        <w:t xml:space="preserve">advance the collective understanding of how greater openness </w:t>
      </w:r>
      <w:r w:rsidR="00601011" w:rsidRPr="009315C9">
        <w:t xml:space="preserve">and participation in decision-making can improve </w:t>
      </w:r>
      <w:r w:rsidR="00601011">
        <w:t xml:space="preserve">the management </w:t>
      </w:r>
      <w:r w:rsidR="00601011" w:rsidRPr="009315C9">
        <w:t>of natural resources</w:t>
      </w:r>
      <w:r w:rsidR="00601011">
        <w:t xml:space="preserve">, </w:t>
      </w:r>
      <w:r w:rsidR="003529D0">
        <w:t>transform quality of life of the people for the public good and mitigat</w:t>
      </w:r>
      <w:r w:rsidR="00384351">
        <w:t>e</w:t>
      </w:r>
      <w:r w:rsidR="003529D0">
        <w:t xml:space="preserve"> environmental and social impacts by:</w:t>
      </w:r>
    </w:p>
    <w:p w14:paraId="7551AD4A" w14:textId="77777777" w:rsidR="00E6371E" w:rsidRPr="00E6371E" w:rsidRDefault="003529D0" w:rsidP="00E6371E">
      <w:pPr>
        <w:numPr>
          <w:ilvl w:val="0"/>
          <w:numId w:val="2"/>
        </w:numPr>
        <w:spacing w:after="0"/>
      </w:pPr>
      <w:r w:rsidRPr="00E6371E">
        <w:t>Inspir</w:t>
      </w:r>
      <w:r>
        <w:t>ing</w:t>
      </w:r>
      <w:r w:rsidRPr="00E6371E">
        <w:t xml:space="preserve"> </w:t>
      </w:r>
      <w:r w:rsidR="00E6371E" w:rsidRPr="00E6371E">
        <w:t>governments to take up commitments in this critical sector</w:t>
      </w:r>
      <w:r>
        <w:t>;</w:t>
      </w:r>
      <w:r w:rsidR="00E6371E" w:rsidRPr="00E6371E">
        <w:t xml:space="preserve"> contributing to a global norm on openness in natural resource management.</w:t>
      </w:r>
    </w:p>
    <w:p w14:paraId="5971D7CF" w14:textId="77777777" w:rsidR="00E6371E" w:rsidRPr="00E6371E" w:rsidRDefault="00E6371E" w:rsidP="00E6371E">
      <w:pPr>
        <w:numPr>
          <w:ilvl w:val="0"/>
          <w:numId w:val="2"/>
        </w:numPr>
        <w:spacing w:after="0"/>
      </w:pPr>
      <w:r w:rsidRPr="00E6371E">
        <w:t>Support</w:t>
      </w:r>
      <w:r w:rsidR="003529D0">
        <w:t>ing</w:t>
      </w:r>
      <w:r w:rsidRPr="00E6371E">
        <w:t xml:space="preserve"> OGP participating</w:t>
      </w:r>
      <w:r w:rsidR="00601011">
        <w:t xml:space="preserve"> </w:t>
      </w:r>
      <w:r w:rsidRPr="00E6371E">
        <w:t xml:space="preserve">governments to design and implement commitments that are concrete, impactful, ambitious and targeted to the specific context. </w:t>
      </w:r>
    </w:p>
    <w:p w14:paraId="7F70F7A3" w14:textId="77777777" w:rsidR="00E6371E" w:rsidRPr="00E6371E" w:rsidRDefault="00DF4C13" w:rsidP="00E6371E">
      <w:pPr>
        <w:numPr>
          <w:ilvl w:val="0"/>
          <w:numId w:val="2"/>
        </w:numPr>
        <w:spacing w:after="0"/>
      </w:pPr>
      <w:r w:rsidRPr="00E6371E">
        <w:t>Shar</w:t>
      </w:r>
      <w:r>
        <w:t>ing</w:t>
      </w:r>
      <w:r w:rsidRPr="00E6371E">
        <w:t xml:space="preserve"> </w:t>
      </w:r>
      <w:r w:rsidR="00E6371E" w:rsidRPr="00E6371E">
        <w:t>information and technological and diagnostic tools such as the Resource Governance Index, the Environmental Democracy Index, The Environmental Performance Index, Global Forest Watch,</w:t>
      </w:r>
      <w:r w:rsidR="00601011">
        <w:t xml:space="preserve"> Aqueduct water platform, </w:t>
      </w:r>
      <w:r w:rsidR="00601011" w:rsidRPr="00E6371E">
        <w:t>the</w:t>
      </w:r>
      <w:r w:rsidR="00E6371E" w:rsidRPr="00E6371E">
        <w:t xml:space="preserve"> Natural Resource Charter, and Governance Indicator </w:t>
      </w:r>
      <w:r w:rsidR="00601011">
        <w:t>toolkits</w:t>
      </w:r>
      <w:r w:rsidR="00E6371E" w:rsidRPr="00E6371E">
        <w:t xml:space="preserve"> and expertise on key standards such as the Extractive Industries Transparency Initiative and the United Nations Environmental Program Principle 10 Bali Guidelines. </w:t>
      </w:r>
    </w:p>
    <w:p w14:paraId="2BD92772" w14:textId="77777777" w:rsidR="00E6371E" w:rsidRDefault="00E6371E" w:rsidP="00E6371E">
      <w:pPr>
        <w:numPr>
          <w:ilvl w:val="0"/>
          <w:numId w:val="2"/>
        </w:numPr>
        <w:spacing w:after="0"/>
      </w:pPr>
      <w:r w:rsidRPr="00E6371E">
        <w:t>Support</w:t>
      </w:r>
      <w:r w:rsidR="00DF4C13">
        <w:t>ing</w:t>
      </w:r>
      <w:r w:rsidRPr="00E6371E">
        <w:t xml:space="preserve"> participation and collaboration efforts between key stakeholders,</w:t>
      </w:r>
      <w:r w:rsidR="00384351">
        <w:t xml:space="preserve"> </w:t>
      </w:r>
      <w:r w:rsidRPr="00E6371E">
        <w:t xml:space="preserve">extractive </w:t>
      </w:r>
      <w:r w:rsidR="00384351">
        <w:t>i</w:t>
      </w:r>
      <w:r w:rsidRPr="00E6371E">
        <w:t>ndustry and environmental oversight agencies, networks, private sector partners</w:t>
      </w:r>
      <w:r w:rsidR="00DF4C13">
        <w:t>,</w:t>
      </w:r>
      <w:r w:rsidRPr="00E6371E">
        <w:t xml:space="preserve"> civil society</w:t>
      </w:r>
      <w:r w:rsidR="00B51263">
        <w:t xml:space="preserve"> and academics</w:t>
      </w:r>
      <w:r w:rsidRPr="00E6371E">
        <w:t xml:space="preserve"> in OGP Natural Resource and Extractive dialogues.</w:t>
      </w:r>
    </w:p>
    <w:p w14:paraId="44CB0460" w14:textId="77777777" w:rsidR="00E6371E" w:rsidRDefault="00E6371E" w:rsidP="00601011">
      <w:pPr>
        <w:numPr>
          <w:ilvl w:val="0"/>
          <w:numId w:val="2"/>
        </w:numPr>
        <w:spacing w:after="0"/>
      </w:pPr>
      <w:r w:rsidRPr="00E6371E">
        <w:t>Provid</w:t>
      </w:r>
      <w:r w:rsidR="00DF4C13">
        <w:t>ing</w:t>
      </w:r>
      <w:r w:rsidRPr="00E6371E">
        <w:t xml:space="preserve"> a forum for </w:t>
      </w:r>
      <w:r w:rsidR="00384351" w:rsidRPr="00E6371E">
        <w:t>peer-to-peer</w:t>
      </w:r>
      <w:r w:rsidRPr="00E6371E">
        <w:t xml:space="preserve"> sharing and learning on good practices and innovative approaches.</w:t>
      </w:r>
    </w:p>
    <w:p w14:paraId="3B73A70D" w14:textId="77777777" w:rsidR="003529D0" w:rsidRDefault="003529D0" w:rsidP="000730CD">
      <w:pPr>
        <w:spacing w:after="0"/>
        <w:ind w:left="720"/>
      </w:pPr>
    </w:p>
    <w:p w14:paraId="5EDC5ED5" w14:textId="77777777" w:rsidR="00260550" w:rsidRPr="00E6371E" w:rsidRDefault="00562532" w:rsidP="000730CD">
      <w:pPr>
        <w:spacing w:after="0"/>
      </w:pPr>
      <w:r>
        <w:t xml:space="preserve">This Working Group is successful when </w:t>
      </w:r>
      <w:r w:rsidR="00E742D2">
        <w:t>the quality and quantity of commitment</w:t>
      </w:r>
      <w:r w:rsidR="00601011">
        <w:t>s</w:t>
      </w:r>
      <w:r w:rsidR="00E742D2">
        <w:t xml:space="preserve"> in the area of national resources transparency</w:t>
      </w:r>
      <w:r w:rsidR="00C86053">
        <w:t xml:space="preserve"> of each member country</w:t>
      </w:r>
      <w:r w:rsidR="00E742D2">
        <w:t xml:space="preserve"> </w:t>
      </w:r>
      <w:r w:rsidR="00C86053">
        <w:t>is</w:t>
      </w:r>
      <w:r w:rsidR="00E742D2">
        <w:t xml:space="preserve"> improving</w:t>
      </w:r>
      <w:r w:rsidR="000730CD">
        <w:t xml:space="preserve"> and being implemented</w:t>
      </w:r>
      <w:r w:rsidR="00E742D2">
        <w:t>.</w:t>
      </w:r>
    </w:p>
    <w:p w14:paraId="472F0BA9" w14:textId="77777777" w:rsidR="00E6371E" w:rsidRDefault="00E6371E" w:rsidP="00E6371E">
      <w:pPr>
        <w:spacing w:after="0"/>
      </w:pPr>
    </w:p>
    <w:p w14:paraId="72DF3D04" w14:textId="77777777" w:rsidR="000730CD" w:rsidRDefault="000730CD" w:rsidP="00E6371E">
      <w:pPr>
        <w:spacing w:after="0"/>
      </w:pPr>
    </w:p>
    <w:p w14:paraId="7934AE7F" w14:textId="77777777" w:rsidR="000730CD" w:rsidRDefault="000730CD" w:rsidP="00E6371E">
      <w:pPr>
        <w:spacing w:after="0"/>
      </w:pPr>
    </w:p>
    <w:p w14:paraId="75173BA4" w14:textId="77777777" w:rsidR="000730CD" w:rsidRPr="00E6371E" w:rsidRDefault="000730CD" w:rsidP="00E6371E">
      <w:pPr>
        <w:spacing w:after="0"/>
      </w:pPr>
    </w:p>
    <w:p w14:paraId="1757E603" w14:textId="77777777" w:rsidR="00E6371E" w:rsidRPr="00E6371E" w:rsidRDefault="00E6371E" w:rsidP="00E6371E">
      <w:pPr>
        <w:pBdr>
          <w:bottom w:val="single" w:sz="4" w:space="1" w:color="auto"/>
        </w:pBdr>
        <w:spacing w:after="0"/>
        <w:rPr>
          <w:b/>
        </w:rPr>
      </w:pPr>
      <w:r w:rsidRPr="00E6371E">
        <w:rPr>
          <w:b/>
        </w:rPr>
        <w:lastRenderedPageBreak/>
        <w:t>Governance</w:t>
      </w:r>
    </w:p>
    <w:p w14:paraId="221FB611" w14:textId="77777777" w:rsidR="00E6371E" w:rsidRPr="00E6371E" w:rsidRDefault="00E6371E" w:rsidP="00E6371E">
      <w:pPr>
        <w:spacing w:after="0"/>
      </w:pPr>
    </w:p>
    <w:p w14:paraId="35986DC3" w14:textId="77777777" w:rsidR="00E6371E" w:rsidRPr="000730CD" w:rsidRDefault="00E6371E" w:rsidP="00E6371E">
      <w:pPr>
        <w:spacing w:after="0"/>
      </w:pPr>
      <w:r w:rsidRPr="00E6371E">
        <w:t xml:space="preserve">The </w:t>
      </w:r>
      <w:r w:rsidR="004D3D23">
        <w:t xml:space="preserve">co-anchors of the </w:t>
      </w:r>
      <w:r w:rsidR="000730CD">
        <w:t>W</w:t>
      </w:r>
      <w:r w:rsidRPr="00E6371E">
        <w:t xml:space="preserve">orking </w:t>
      </w:r>
      <w:r w:rsidR="000730CD">
        <w:t>G</w:t>
      </w:r>
      <w:r w:rsidRPr="00E6371E">
        <w:t>roup</w:t>
      </w:r>
      <w:r w:rsidR="004D3D23">
        <w:t xml:space="preserve"> </w:t>
      </w:r>
      <w:r w:rsidR="00384351">
        <w:t>are</w:t>
      </w:r>
      <w:r w:rsidR="004D3D23">
        <w:t xml:space="preserve"> currently the </w:t>
      </w:r>
      <w:r w:rsidRPr="00E6371E">
        <w:t xml:space="preserve">Government of Indonesia with the Natural Resource Governance Institute and the World Resources Institute. </w:t>
      </w:r>
      <w:r w:rsidR="004D3D23">
        <w:t xml:space="preserve">A second government co-anchor will be identified. </w:t>
      </w:r>
      <w:r w:rsidRPr="00E6371E">
        <w:t>The working group will constitut</w:t>
      </w:r>
      <w:r w:rsidR="00601011">
        <w:t>e</w:t>
      </w:r>
      <w:r w:rsidRPr="00E6371E">
        <w:t xml:space="preserve"> a </w:t>
      </w:r>
      <w:r w:rsidR="00601011">
        <w:t>membership</w:t>
      </w:r>
      <w:r w:rsidRPr="00E6371E">
        <w:t xml:space="preserve"> gr</w:t>
      </w:r>
      <w:r w:rsidR="004F7813">
        <w:t>oup</w:t>
      </w:r>
      <w:r w:rsidR="00601011">
        <w:t xml:space="preserve"> and task forces</w:t>
      </w:r>
      <w:r w:rsidR="004F7813">
        <w:t xml:space="preserve"> to promote and advance our </w:t>
      </w:r>
      <w:r w:rsidRPr="00E6371E">
        <w:t>objectives. Participat</w:t>
      </w:r>
      <w:r w:rsidR="000730CD">
        <w:t xml:space="preserve">ion will be open to governments, </w:t>
      </w:r>
      <w:r w:rsidRPr="00E6371E">
        <w:t xml:space="preserve">civil society </w:t>
      </w:r>
      <w:r w:rsidR="00601011" w:rsidRPr="00E6371E">
        <w:t>organizations</w:t>
      </w:r>
      <w:r w:rsidR="004D3D23">
        <w:t>, with</w:t>
      </w:r>
      <w:r w:rsidR="004D3D23" w:rsidRPr="00E6371E">
        <w:t xml:space="preserve"> an attention to balance across stakeholder groups</w:t>
      </w:r>
      <w:r w:rsidR="004D3D23">
        <w:t xml:space="preserve">. </w:t>
      </w:r>
      <w:r w:rsidRPr="00E6371E">
        <w:t xml:space="preserve">It will also benefit from the engagement of </w:t>
      </w:r>
      <w:r w:rsidR="004D3D23">
        <w:t xml:space="preserve">the private sector </w:t>
      </w:r>
      <w:r w:rsidRPr="00E6371E">
        <w:t>multila</w:t>
      </w:r>
      <w:r w:rsidR="004F7813">
        <w:t xml:space="preserve">teral institutions such as UNDP, UNEP </w:t>
      </w:r>
      <w:r w:rsidRPr="00E6371E">
        <w:t>and complementary multi-stakeholder initiatives such as EITI.</w:t>
      </w:r>
      <w:r w:rsidR="00B7361D">
        <w:t xml:space="preserve"> </w:t>
      </w:r>
      <w:r w:rsidR="00601011" w:rsidRPr="000730CD">
        <w:t xml:space="preserve">An interim governance framework will be adopted for the duration of this </w:t>
      </w:r>
      <w:r w:rsidR="000730CD" w:rsidRPr="000730CD">
        <w:t>Working Group</w:t>
      </w:r>
      <w:r w:rsidR="00601011" w:rsidRPr="000730CD">
        <w:t xml:space="preserve"> Plan. </w:t>
      </w:r>
    </w:p>
    <w:p w14:paraId="33B7A589" w14:textId="77777777" w:rsidR="00E6371E" w:rsidRPr="00E6371E" w:rsidRDefault="00E6371E" w:rsidP="00E6371E">
      <w:pPr>
        <w:spacing w:after="0"/>
      </w:pPr>
    </w:p>
    <w:p w14:paraId="27564E7D" w14:textId="77777777" w:rsidR="00E6371E" w:rsidRPr="00E6371E" w:rsidRDefault="00E6371E" w:rsidP="00E6371E">
      <w:pPr>
        <w:pBdr>
          <w:bottom w:val="single" w:sz="4" w:space="1" w:color="auto"/>
        </w:pBdr>
        <w:spacing w:after="0"/>
        <w:rPr>
          <w:b/>
        </w:rPr>
      </w:pPr>
      <w:r w:rsidRPr="00E6371E">
        <w:rPr>
          <w:b/>
        </w:rPr>
        <w:t>Work Plan</w:t>
      </w:r>
      <w:r w:rsidR="000730CD">
        <w:rPr>
          <w:b/>
        </w:rPr>
        <w:t>:</w:t>
      </w:r>
      <w:r w:rsidR="00601011">
        <w:rPr>
          <w:b/>
        </w:rPr>
        <w:t xml:space="preserve">  June 2014- August 2015</w:t>
      </w:r>
    </w:p>
    <w:p w14:paraId="350DE375" w14:textId="77777777" w:rsidR="00E6371E" w:rsidRPr="00E6371E" w:rsidRDefault="00E6371E" w:rsidP="00E6371E">
      <w:pPr>
        <w:spacing w:after="0"/>
        <w:rPr>
          <w:b/>
        </w:rPr>
      </w:pPr>
    </w:p>
    <w:p w14:paraId="3C957D7F" w14:textId="5DEAF41C" w:rsidR="00E6371E" w:rsidRPr="00E6371E" w:rsidRDefault="00E6371E" w:rsidP="00E6371E">
      <w:pPr>
        <w:spacing w:after="0"/>
        <w:rPr>
          <w:b/>
        </w:rPr>
      </w:pPr>
      <w:r w:rsidRPr="00E6371E">
        <w:rPr>
          <w:b/>
          <w:u w:val="single"/>
        </w:rPr>
        <w:t>Outcome:</w:t>
      </w:r>
      <w:r w:rsidR="00B51263" w:rsidRPr="00A53148">
        <w:rPr>
          <w:b/>
        </w:rPr>
        <w:t xml:space="preserve"> </w:t>
      </w:r>
      <w:r w:rsidRPr="00E6371E">
        <w:rPr>
          <w:b/>
        </w:rPr>
        <w:t xml:space="preserve">Increased and diversified participation in the working group. </w:t>
      </w:r>
    </w:p>
    <w:p w14:paraId="4DFC3ED6" w14:textId="77777777" w:rsidR="00E6371E" w:rsidRPr="00E6371E" w:rsidRDefault="00E6371E" w:rsidP="00E6371E">
      <w:pPr>
        <w:spacing w:after="0"/>
        <w:ind w:firstLine="360"/>
        <w:rPr>
          <w:b/>
        </w:rPr>
      </w:pPr>
      <w:r w:rsidRPr="00E6371E">
        <w:rPr>
          <w:b/>
        </w:rPr>
        <w:t>Outputs:</w:t>
      </w:r>
    </w:p>
    <w:p w14:paraId="61037F71" w14:textId="77777777" w:rsidR="00E6371E" w:rsidRPr="00E6371E" w:rsidRDefault="00E6371E" w:rsidP="00E6371E">
      <w:pPr>
        <w:numPr>
          <w:ilvl w:val="0"/>
          <w:numId w:val="3"/>
        </w:numPr>
        <w:spacing w:after="0"/>
      </w:pPr>
      <w:r w:rsidRPr="00E6371E">
        <w:t xml:space="preserve">TOR finalized for the working group. </w:t>
      </w:r>
    </w:p>
    <w:p w14:paraId="5E3CFAE0" w14:textId="77777777" w:rsidR="00E6371E" w:rsidRDefault="00E6371E" w:rsidP="00E6371E">
      <w:pPr>
        <w:numPr>
          <w:ilvl w:val="0"/>
          <w:numId w:val="3"/>
        </w:numPr>
        <w:spacing w:after="0"/>
      </w:pPr>
      <w:r w:rsidRPr="00E6371E">
        <w:t>Confirmation of the Steering Group.</w:t>
      </w:r>
    </w:p>
    <w:p w14:paraId="647141A2" w14:textId="77777777" w:rsidR="000730CD" w:rsidRPr="00E6371E" w:rsidRDefault="000730CD" w:rsidP="00E6371E">
      <w:pPr>
        <w:numPr>
          <w:ilvl w:val="0"/>
          <w:numId w:val="3"/>
        </w:numPr>
        <w:spacing w:after="0"/>
      </w:pPr>
      <w:r>
        <w:t>Creation of a membership Group and task forces as necessary.</w:t>
      </w:r>
    </w:p>
    <w:p w14:paraId="67EFD105" w14:textId="77777777" w:rsidR="00E6371E" w:rsidRDefault="00E6371E" w:rsidP="00E6371E">
      <w:pPr>
        <w:numPr>
          <w:ilvl w:val="0"/>
          <w:numId w:val="3"/>
        </w:numPr>
        <w:spacing w:after="0"/>
      </w:pPr>
      <w:r w:rsidRPr="00E6371E">
        <w:t xml:space="preserve">Mapping of engagement of existing civil society organizations as well as focal points for </w:t>
      </w:r>
      <w:r w:rsidR="000730CD">
        <w:t>natural resource governance</w:t>
      </w:r>
      <w:r w:rsidRPr="00E6371E">
        <w:t xml:space="preserve"> in relevant agencies for targeted outreach.</w:t>
      </w:r>
    </w:p>
    <w:p w14:paraId="76329F9B" w14:textId="77777777" w:rsidR="00B51263" w:rsidRPr="00E6371E" w:rsidRDefault="00B51263" w:rsidP="00E6371E">
      <w:pPr>
        <w:numPr>
          <w:ilvl w:val="0"/>
          <w:numId w:val="3"/>
        </w:numPr>
        <w:spacing w:after="0"/>
      </w:pPr>
      <w:r>
        <w:t xml:space="preserve">Mapping </w:t>
      </w:r>
      <w:r w:rsidR="004201EA">
        <w:t xml:space="preserve">and inviting </w:t>
      </w:r>
      <w:r>
        <w:t xml:space="preserve">champion countries </w:t>
      </w:r>
      <w:r w:rsidR="004201EA">
        <w:t>in</w:t>
      </w:r>
      <w:r>
        <w:t xml:space="preserve"> transparency and good governance </w:t>
      </w:r>
      <w:r w:rsidR="00C5358E">
        <w:t xml:space="preserve">for </w:t>
      </w:r>
      <w:r w:rsidR="00680306">
        <w:t>each</w:t>
      </w:r>
      <w:r>
        <w:t xml:space="preserve"> natural resource sector</w:t>
      </w:r>
      <w:r w:rsidR="004201EA">
        <w:t xml:space="preserve"> to participate in the Working Group</w:t>
      </w:r>
      <w:r w:rsidR="00680306">
        <w:t>.</w:t>
      </w:r>
    </w:p>
    <w:p w14:paraId="0F21E1A4" w14:textId="77777777" w:rsidR="00E6371E" w:rsidRPr="00E6371E" w:rsidRDefault="00E6371E" w:rsidP="00E6371E">
      <w:pPr>
        <w:numPr>
          <w:ilvl w:val="0"/>
          <w:numId w:val="3"/>
        </w:numPr>
        <w:spacing w:after="0"/>
      </w:pPr>
      <w:r w:rsidRPr="00E6371E">
        <w:t>Hosting of an in person meeting of Working Group</w:t>
      </w:r>
      <w:r w:rsidR="004D3D23">
        <w:t xml:space="preserve"> anchors</w:t>
      </w:r>
      <w:r w:rsidRPr="00E6371E">
        <w:t xml:space="preserve"> in September 2014 in New York. </w:t>
      </w:r>
    </w:p>
    <w:p w14:paraId="21DA0C73" w14:textId="77777777" w:rsidR="00E6371E" w:rsidRPr="00E6371E" w:rsidRDefault="00E6371E" w:rsidP="00E6371E">
      <w:pPr>
        <w:numPr>
          <w:ilvl w:val="0"/>
          <w:numId w:val="3"/>
        </w:numPr>
        <w:spacing w:after="0"/>
      </w:pPr>
      <w:r w:rsidRPr="00E6371E">
        <w:t>Side events announcing the expanded scope of the Working Group e.g. EITI Board meeting in Mexico in June 2014</w:t>
      </w:r>
      <w:r w:rsidR="004D3D23">
        <w:t xml:space="preserve"> (completed)</w:t>
      </w:r>
      <w:r w:rsidR="000730CD">
        <w:t>; Costa Rica Regional Meeting November 2014 and Environmental Democracy Index Launch in March 2015</w:t>
      </w:r>
      <w:r w:rsidRPr="00E6371E">
        <w:t>.</w:t>
      </w:r>
    </w:p>
    <w:p w14:paraId="451C5046" w14:textId="77777777" w:rsidR="00E6371E" w:rsidRPr="00E6371E" w:rsidRDefault="00E6371E" w:rsidP="00E6371E">
      <w:pPr>
        <w:spacing w:after="0"/>
        <w:rPr>
          <w:b/>
        </w:rPr>
      </w:pPr>
    </w:p>
    <w:p w14:paraId="6A40659E" w14:textId="77777777" w:rsidR="00E6371E" w:rsidRPr="00E6371E" w:rsidRDefault="00E6371E" w:rsidP="00E6371E">
      <w:pPr>
        <w:spacing w:after="0"/>
        <w:rPr>
          <w:b/>
        </w:rPr>
      </w:pPr>
      <w:r w:rsidRPr="00E6371E">
        <w:rPr>
          <w:b/>
          <w:u w:val="single"/>
        </w:rPr>
        <w:t>Outcome:</w:t>
      </w:r>
      <w:r w:rsidRPr="00E6371E">
        <w:rPr>
          <w:b/>
        </w:rPr>
        <w:t xml:space="preserve"> Increased understanding of the importance of commitments related to the natural resource governance. </w:t>
      </w:r>
    </w:p>
    <w:p w14:paraId="43875695" w14:textId="77777777" w:rsidR="00E6371E" w:rsidRPr="00E6371E" w:rsidRDefault="00E6371E" w:rsidP="00E6371E">
      <w:pPr>
        <w:spacing w:after="0"/>
        <w:ind w:firstLine="360"/>
        <w:rPr>
          <w:b/>
        </w:rPr>
      </w:pPr>
      <w:r w:rsidRPr="00E6371E">
        <w:rPr>
          <w:b/>
        </w:rPr>
        <w:t>Outputs:</w:t>
      </w:r>
    </w:p>
    <w:p w14:paraId="3A117975" w14:textId="77777777" w:rsidR="00E6371E" w:rsidRPr="00E6371E" w:rsidRDefault="00E6371E" w:rsidP="00E6371E">
      <w:pPr>
        <w:numPr>
          <w:ilvl w:val="0"/>
          <w:numId w:val="6"/>
        </w:numPr>
        <w:spacing w:after="0"/>
      </w:pPr>
      <w:r w:rsidRPr="00E6371E">
        <w:t>Preparation of blogs, presentations and capacity building events using online platforms  by working group partners that justify the importance of these types of commitments within OGP both for civil society and governments.</w:t>
      </w:r>
    </w:p>
    <w:p w14:paraId="4B6D437D" w14:textId="77777777" w:rsidR="00E6371E" w:rsidRPr="00E6371E" w:rsidRDefault="00E6371E" w:rsidP="00E6371E">
      <w:pPr>
        <w:numPr>
          <w:ilvl w:val="0"/>
          <w:numId w:val="6"/>
        </w:numPr>
        <w:spacing w:after="0"/>
      </w:pPr>
      <w:r w:rsidRPr="00E6371E">
        <w:t xml:space="preserve">Events promoting natural resource transparency at regional events, as well as informal working group meetings/representation by extractives and natural resource focused civil society. </w:t>
      </w:r>
    </w:p>
    <w:p w14:paraId="39C2DEEA" w14:textId="77777777" w:rsidR="00E6371E" w:rsidRPr="00E6371E" w:rsidRDefault="00E6371E" w:rsidP="00E6371E">
      <w:pPr>
        <w:numPr>
          <w:ilvl w:val="0"/>
          <w:numId w:val="6"/>
        </w:numPr>
        <w:spacing w:after="0"/>
      </w:pPr>
      <w:r w:rsidRPr="00E6371E">
        <w:t>Linkage to other working groups through participation in regular coordinating calls with the working group chairs and convening joint session with Open Data Working Group on promotion of open data and extractives and their impacts in standard setting and exploration of country best practice.</w:t>
      </w:r>
    </w:p>
    <w:p w14:paraId="03EE7BF2" w14:textId="77777777" w:rsidR="00E6371E" w:rsidRPr="00E6371E" w:rsidRDefault="00E6371E" w:rsidP="00E6371E">
      <w:pPr>
        <w:spacing w:after="0"/>
        <w:rPr>
          <w:b/>
        </w:rPr>
      </w:pPr>
    </w:p>
    <w:p w14:paraId="6F15AA95" w14:textId="77777777" w:rsidR="00E6371E" w:rsidRDefault="00E6371E" w:rsidP="00E6371E">
      <w:pPr>
        <w:spacing w:after="0"/>
        <w:rPr>
          <w:b/>
        </w:rPr>
      </w:pPr>
      <w:r w:rsidRPr="00E6371E">
        <w:rPr>
          <w:b/>
          <w:u w:val="single"/>
        </w:rPr>
        <w:t>Outcome:</w:t>
      </w:r>
      <w:r w:rsidRPr="00E6371E">
        <w:rPr>
          <w:b/>
        </w:rPr>
        <w:t xml:space="preserve"> Improved quality and quantity of natural resource related commitments in national action plans. </w:t>
      </w:r>
    </w:p>
    <w:p w14:paraId="2D3E14C2" w14:textId="77777777" w:rsidR="00E6371E" w:rsidRPr="00E6371E" w:rsidRDefault="00E6371E" w:rsidP="00E6371E">
      <w:pPr>
        <w:spacing w:after="0"/>
        <w:ind w:firstLine="360"/>
        <w:rPr>
          <w:b/>
          <w:u w:val="single"/>
        </w:rPr>
      </w:pPr>
      <w:r>
        <w:rPr>
          <w:b/>
        </w:rPr>
        <w:t>Outputs:</w:t>
      </w:r>
    </w:p>
    <w:p w14:paraId="41AF2F6B" w14:textId="77777777" w:rsidR="00E6371E" w:rsidRPr="00E6371E" w:rsidRDefault="00E6371E" w:rsidP="00E6371E">
      <w:pPr>
        <w:numPr>
          <w:ilvl w:val="0"/>
          <w:numId w:val="4"/>
        </w:numPr>
        <w:spacing w:after="0"/>
      </w:pPr>
      <w:r w:rsidRPr="00E6371E">
        <w:t xml:space="preserve">Forty-six countries </w:t>
      </w:r>
      <w:r w:rsidR="008114D3">
        <w:t>ha</w:t>
      </w:r>
      <w:r w:rsidR="000730CD">
        <w:t>d</w:t>
      </w:r>
      <w:r w:rsidR="008114D3">
        <w:t xml:space="preserve"> </w:t>
      </w:r>
      <w:r w:rsidRPr="00E6371E">
        <w:t xml:space="preserve">action plans that </w:t>
      </w:r>
      <w:r w:rsidR="000730CD">
        <w:t>were due to the OGP Secretariat and to be</w:t>
      </w:r>
      <w:r w:rsidRPr="00E6371E">
        <w:t xml:space="preserve"> published </w:t>
      </w:r>
      <w:r w:rsidR="008114D3">
        <w:t xml:space="preserve">and begin implementation between June and July this year. </w:t>
      </w:r>
      <w:r w:rsidRPr="00E6371E">
        <w:t xml:space="preserve"> Countries particularly relevant for extractives transparency are suggested in bold: </w:t>
      </w:r>
    </w:p>
    <w:p w14:paraId="78BAE6A5" w14:textId="77777777" w:rsidR="009535D5" w:rsidRDefault="009535D5" w:rsidP="009535D5">
      <w:pPr>
        <w:numPr>
          <w:ilvl w:val="1"/>
          <w:numId w:val="4"/>
        </w:numPr>
        <w:spacing w:after="0"/>
      </w:pPr>
      <w:r>
        <w:t xml:space="preserve">Cohort 1: </w:t>
      </w:r>
      <w:r w:rsidRPr="009535D5">
        <w:rPr>
          <w:b/>
        </w:rPr>
        <w:t>Brazil, Indonesia, Mexico, Norway, the Philippines, South Africa, United Kingdom, United States.</w:t>
      </w:r>
    </w:p>
    <w:p w14:paraId="352F52C9" w14:textId="77777777" w:rsidR="00E6371E" w:rsidRDefault="009535D5" w:rsidP="00E6371E">
      <w:pPr>
        <w:numPr>
          <w:ilvl w:val="1"/>
          <w:numId w:val="4"/>
        </w:numPr>
        <w:spacing w:after="0"/>
      </w:pPr>
      <w:r>
        <w:t>Cohort 2 (</w:t>
      </w:r>
      <w:r w:rsidR="00E6371E" w:rsidRPr="00E6371E">
        <w:t>second action plan</w:t>
      </w:r>
      <w:r>
        <w:t xml:space="preserve"> launching in July 2014</w:t>
      </w:r>
      <w:r w:rsidR="00E6371E" w:rsidRPr="00E6371E">
        <w:t xml:space="preserve">): Albania, Armenia, </w:t>
      </w:r>
      <w:r w:rsidR="00E6371E" w:rsidRPr="00E6371E">
        <w:rPr>
          <w:b/>
        </w:rPr>
        <w:t>Azerbaijan,</w:t>
      </w:r>
      <w:r w:rsidR="00E6371E" w:rsidRPr="00E6371E">
        <w:t xml:space="preserve"> Bulgaria,</w:t>
      </w:r>
      <w:r w:rsidR="00E6371E" w:rsidRPr="00E6371E">
        <w:rPr>
          <w:b/>
        </w:rPr>
        <w:t xml:space="preserve"> Canada,</w:t>
      </w:r>
      <w:r w:rsidR="00E6371E" w:rsidRPr="00E6371E">
        <w:t xml:space="preserve"> </w:t>
      </w:r>
      <w:r w:rsidR="00E6371E" w:rsidRPr="00E6371E">
        <w:rPr>
          <w:b/>
        </w:rPr>
        <w:t>Chile</w:t>
      </w:r>
      <w:r w:rsidR="00E6371E" w:rsidRPr="00E6371E">
        <w:t xml:space="preserve">, </w:t>
      </w:r>
      <w:r w:rsidR="00E6371E" w:rsidRPr="00E6371E">
        <w:rPr>
          <w:b/>
        </w:rPr>
        <w:t>Colombia,</w:t>
      </w:r>
      <w:r w:rsidR="00E6371E" w:rsidRPr="00E6371E">
        <w:t xml:space="preserve"> Croatia, Czech Republic, Denmark, </w:t>
      </w:r>
      <w:r w:rsidR="00E6371E" w:rsidRPr="00E6371E">
        <w:rPr>
          <w:b/>
        </w:rPr>
        <w:t>Dominican Republic</w:t>
      </w:r>
      <w:r w:rsidR="00E6371E" w:rsidRPr="00E6371E">
        <w:t xml:space="preserve">, </w:t>
      </w:r>
      <w:r w:rsidR="00E6371E" w:rsidRPr="00E6371E">
        <w:rPr>
          <w:b/>
        </w:rPr>
        <w:t>El Salvador</w:t>
      </w:r>
      <w:r w:rsidR="00E6371E" w:rsidRPr="00E6371E">
        <w:t xml:space="preserve">, Estonia, Georgia, Greece, Guatemala, Honduras, Italy, Israel, Jordan, </w:t>
      </w:r>
      <w:r w:rsidR="00E6371E" w:rsidRPr="00E6371E">
        <w:rPr>
          <w:b/>
        </w:rPr>
        <w:t>Kenya,</w:t>
      </w:r>
      <w:r w:rsidR="00E6371E" w:rsidRPr="00E6371E">
        <w:t xml:space="preserve"> Latvia, Lithuania, Macedonia, Malta, Moldova, Montenegro, Netherlands, </w:t>
      </w:r>
      <w:r w:rsidR="00E6371E" w:rsidRPr="00E6371E">
        <w:rPr>
          <w:b/>
        </w:rPr>
        <w:t>Paraguay</w:t>
      </w:r>
      <w:r w:rsidR="00E6371E" w:rsidRPr="00E6371E">
        <w:t xml:space="preserve">, </w:t>
      </w:r>
      <w:r w:rsidR="00E6371E" w:rsidRPr="00E6371E">
        <w:rPr>
          <w:b/>
        </w:rPr>
        <w:t>Peru,</w:t>
      </w:r>
      <w:r w:rsidR="00E6371E" w:rsidRPr="00E6371E">
        <w:t xml:space="preserve"> Romania, Slovak Republic, Spain, South Korea, Sweden, </w:t>
      </w:r>
      <w:r w:rsidR="00E6371E" w:rsidRPr="00E6371E">
        <w:rPr>
          <w:b/>
        </w:rPr>
        <w:t>Tanzania,</w:t>
      </w:r>
      <w:r w:rsidR="00E6371E" w:rsidRPr="00E6371E">
        <w:t xml:space="preserve"> Turkey, </w:t>
      </w:r>
      <w:r w:rsidR="00E6371E" w:rsidRPr="00E6371E">
        <w:rPr>
          <w:b/>
        </w:rPr>
        <w:t>Ukraine,</w:t>
      </w:r>
      <w:r w:rsidR="00E6371E" w:rsidRPr="00E6371E">
        <w:t xml:space="preserve"> and </w:t>
      </w:r>
      <w:r w:rsidR="00E6371E" w:rsidRPr="00E6371E">
        <w:rPr>
          <w:b/>
        </w:rPr>
        <w:t>Uruguay</w:t>
      </w:r>
      <w:r w:rsidR="00E6371E" w:rsidRPr="00E6371E">
        <w:t>.</w:t>
      </w:r>
    </w:p>
    <w:p w14:paraId="7387B2D2" w14:textId="77777777" w:rsidR="009535D5" w:rsidRPr="00E6371E" w:rsidRDefault="009535D5" w:rsidP="009535D5">
      <w:pPr>
        <w:numPr>
          <w:ilvl w:val="1"/>
          <w:numId w:val="4"/>
        </w:numPr>
        <w:spacing w:after="0"/>
      </w:pPr>
      <w:r>
        <w:t xml:space="preserve">Cohort 3: </w:t>
      </w:r>
      <w:r w:rsidRPr="009535D5">
        <w:t xml:space="preserve">Argentina, Costa Rica, Finland, </w:t>
      </w:r>
      <w:r w:rsidRPr="009535D5">
        <w:rPr>
          <w:b/>
        </w:rPr>
        <w:t>Ghana,</w:t>
      </w:r>
      <w:r>
        <w:t xml:space="preserve"> Hungary, </w:t>
      </w:r>
      <w:r w:rsidRPr="009535D5">
        <w:rPr>
          <w:b/>
        </w:rPr>
        <w:t>Liberia</w:t>
      </w:r>
      <w:r>
        <w:t xml:space="preserve"> and Panama.</w:t>
      </w:r>
    </w:p>
    <w:p w14:paraId="37E41F45" w14:textId="77777777" w:rsidR="00E6371E" w:rsidRPr="00E6371E" w:rsidRDefault="00E6371E" w:rsidP="00E6371E">
      <w:pPr>
        <w:numPr>
          <w:ilvl w:val="1"/>
          <w:numId w:val="4"/>
        </w:numPr>
        <w:spacing w:after="0"/>
      </w:pPr>
      <w:r w:rsidRPr="00E6371E">
        <w:t>Cohort 4 (first action plan</w:t>
      </w:r>
      <w:r w:rsidR="009535D5">
        <w:t xml:space="preserve"> launching in July 2014</w:t>
      </w:r>
      <w:r w:rsidRPr="00E6371E">
        <w:t xml:space="preserve">): </w:t>
      </w:r>
      <w:r w:rsidRPr="00E6371E">
        <w:rPr>
          <w:b/>
        </w:rPr>
        <w:t>Australia,</w:t>
      </w:r>
      <w:r w:rsidRPr="00E6371E">
        <w:t xml:space="preserve"> Ireland, Malawi, </w:t>
      </w:r>
      <w:r w:rsidRPr="00E6371E">
        <w:rPr>
          <w:b/>
        </w:rPr>
        <w:t xml:space="preserve">Mongolia, </w:t>
      </w:r>
      <w:r w:rsidRPr="00E6371E">
        <w:t xml:space="preserve">New Zealand, Serbia, </w:t>
      </w:r>
      <w:r w:rsidRPr="00E6371E">
        <w:rPr>
          <w:b/>
        </w:rPr>
        <w:t xml:space="preserve">Sierra Leone, </w:t>
      </w:r>
      <w:r w:rsidR="00D379B3" w:rsidRPr="00E6371E">
        <w:rPr>
          <w:b/>
        </w:rPr>
        <w:t>and Trinidad</w:t>
      </w:r>
      <w:r w:rsidRPr="00E6371E">
        <w:rPr>
          <w:b/>
        </w:rPr>
        <w:t xml:space="preserve"> and Tobago</w:t>
      </w:r>
      <w:r w:rsidR="009535D5">
        <w:rPr>
          <w:b/>
        </w:rPr>
        <w:t>.</w:t>
      </w:r>
    </w:p>
    <w:p w14:paraId="45907302" w14:textId="77777777" w:rsidR="00E6371E" w:rsidRPr="00E6371E" w:rsidRDefault="00E6371E" w:rsidP="00E6371E">
      <w:pPr>
        <w:numPr>
          <w:ilvl w:val="0"/>
          <w:numId w:val="4"/>
        </w:numPr>
        <w:spacing w:after="0"/>
      </w:pPr>
      <w:r w:rsidRPr="00E6371E">
        <w:t xml:space="preserve">Short policy notes on recommendations for country commitments produced by the working group members </w:t>
      </w:r>
      <w:r>
        <w:t>with national partners.</w:t>
      </w:r>
      <w:r w:rsidRPr="00E6371E">
        <w:t xml:space="preserve"> </w:t>
      </w:r>
    </w:p>
    <w:p w14:paraId="5198DE81" w14:textId="77777777" w:rsidR="00E6371E" w:rsidRDefault="00E6371E" w:rsidP="00E6371E">
      <w:pPr>
        <w:numPr>
          <w:ilvl w:val="1"/>
          <w:numId w:val="4"/>
        </w:numPr>
        <w:spacing w:after="0"/>
      </w:pPr>
      <w:r w:rsidRPr="00E6371E">
        <w:t>Working group members will</w:t>
      </w:r>
      <w:r w:rsidR="008114D3">
        <w:t xml:space="preserve"> provide advice on action plans as requested</w:t>
      </w:r>
      <w:r w:rsidRPr="00E6371E">
        <w:t xml:space="preserve"> based on the Resource Governance Index and the Environmental Democracy Index and other relevant resources and will conduct outreach through our regional offices and governance team to link up to local civil society partners</w:t>
      </w:r>
      <w:r w:rsidR="008114D3">
        <w:t xml:space="preserve"> in country</w:t>
      </w:r>
      <w:r w:rsidRPr="00E6371E">
        <w:t xml:space="preserve">. </w:t>
      </w:r>
    </w:p>
    <w:p w14:paraId="709CDF57" w14:textId="77777777" w:rsidR="00E860B1" w:rsidRPr="00E6371E" w:rsidRDefault="00E860B1" w:rsidP="00E6371E">
      <w:pPr>
        <w:numPr>
          <w:ilvl w:val="1"/>
          <w:numId w:val="4"/>
        </w:numPr>
        <w:spacing w:after="0"/>
      </w:pPr>
      <w:r>
        <w:t xml:space="preserve">Champion countries for each natural resource will </w:t>
      </w:r>
      <w:r w:rsidR="00840102">
        <w:t xml:space="preserve">be engaged to </w:t>
      </w:r>
      <w:r>
        <w:t>provide recommendation</w:t>
      </w:r>
      <w:r w:rsidR="00840102">
        <w:t xml:space="preserve"> to the action plan.</w:t>
      </w:r>
    </w:p>
    <w:p w14:paraId="4D30FCB3" w14:textId="77777777" w:rsidR="00E6371E" w:rsidRPr="00E6371E" w:rsidRDefault="00E6371E" w:rsidP="00E6371E">
      <w:pPr>
        <w:numPr>
          <w:ilvl w:val="0"/>
          <w:numId w:val="4"/>
        </w:numPr>
        <w:spacing w:after="0"/>
      </w:pPr>
      <w:r w:rsidRPr="00E6371E">
        <w:t xml:space="preserve">Serve as a resource on a demand basis to review draft action plans and provide feedback on relevant commitments. </w:t>
      </w:r>
    </w:p>
    <w:p w14:paraId="6B5B2EAC" w14:textId="77777777" w:rsidR="00E6371E" w:rsidRPr="00E6371E" w:rsidRDefault="000730CD" w:rsidP="00E6371E">
      <w:pPr>
        <w:numPr>
          <w:ilvl w:val="0"/>
          <w:numId w:val="4"/>
        </w:numPr>
        <w:spacing w:after="0"/>
      </w:pPr>
      <w:r w:rsidRPr="00E6371E">
        <w:t>Refinement,</w:t>
      </w:r>
      <w:r>
        <w:t xml:space="preserve"> reporting on and </w:t>
      </w:r>
      <w:r w:rsidRPr="00E6371E">
        <w:t xml:space="preserve">regular </w:t>
      </w:r>
      <w:r>
        <w:t xml:space="preserve">providing </w:t>
      </w:r>
      <w:r w:rsidR="00E6371E" w:rsidRPr="00E6371E">
        <w:t>updat</w:t>
      </w:r>
      <w:r>
        <w:t xml:space="preserve">es on the status </w:t>
      </w:r>
      <w:r w:rsidR="00E6371E" w:rsidRPr="00E6371E">
        <w:t>of natural resource and extractive commitments database</w:t>
      </w:r>
      <w:r>
        <w:t xml:space="preserve"> produced internally by the IRM and externally by partners</w:t>
      </w:r>
      <w:r w:rsidR="00E6371E" w:rsidRPr="00E6371E">
        <w:t>.</w:t>
      </w:r>
    </w:p>
    <w:p w14:paraId="241A7FE9" w14:textId="77777777" w:rsidR="00EB306A" w:rsidRDefault="00EB306A" w:rsidP="00EB306A">
      <w:pPr>
        <w:numPr>
          <w:ilvl w:val="0"/>
          <w:numId w:val="4"/>
        </w:numPr>
        <w:spacing w:after="0"/>
      </w:pPr>
      <w:r>
        <w:t xml:space="preserve">Publishing an </w:t>
      </w:r>
      <w:r w:rsidRPr="00EB306A">
        <w:t>anal</w:t>
      </w:r>
      <w:r>
        <w:t>ysis of</w:t>
      </w:r>
      <w:r w:rsidRPr="00EB306A">
        <w:t xml:space="preserve"> commitments coming out of the new action plans</w:t>
      </w:r>
      <w:r>
        <w:t xml:space="preserve"> with updates on implementation progress</w:t>
      </w:r>
      <w:r w:rsidR="000730CD">
        <w:t>.</w:t>
      </w:r>
    </w:p>
    <w:p w14:paraId="27A9D833" w14:textId="77777777" w:rsidR="00E6371E" w:rsidRPr="00E6371E" w:rsidRDefault="00E6371E" w:rsidP="00EB306A">
      <w:pPr>
        <w:numPr>
          <w:ilvl w:val="0"/>
          <w:numId w:val="4"/>
        </w:numPr>
        <w:spacing w:after="0"/>
      </w:pPr>
      <w:r w:rsidRPr="00E6371E">
        <w:t>Development of mechanisms to visualize commitments.</w:t>
      </w:r>
    </w:p>
    <w:p w14:paraId="39D7EC1A" w14:textId="77777777" w:rsidR="00E6371E" w:rsidRPr="00E6371E" w:rsidRDefault="00E6371E" w:rsidP="00E6371E">
      <w:pPr>
        <w:numPr>
          <w:ilvl w:val="0"/>
          <w:numId w:val="4"/>
        </w:numPr>
        <w:spacing w:after="0"/>
      </w:pPr>
      <w:r w:rsidRPr="00E6371E">
        <w:t xml:space="preserve">Ensure interoperability of </w:t>
      </w:r>
      <w:r w:rsidR="00384351" w:rsidRPr="00E6371E">
        <w:t>sectorial</w:t>
      </w:r>
      <w:r w:rsidRPr="00E6371E">
        <w:t xml:space="preserve"> commitments with the IRM database of commitments. </w:t>
      </w:r>
    </w:p>
    <w:p w14:paraId="34F4D61F" w14:textId="77777777" w:rsidR="00A53148" w:rsidRDefault="00A53148" w:rsidP="00E6371E">
      <w:pPr>
        <w:spacing w:after="0"/>
        <w:rPr>
          <w:b/>
        </w:rPr>
      </w:pPr>
    </w:p>
    <w:p w14:paraId="2FC72221" w14:textId="77777777" w:rsidR="00A53148" w:rsidRDefault="00A53148" w:rsidP="00E6371E">
      <w:pPr>
        <w:spacing w:after="0"/>
        <w:rPr>
          <w:b/>
        </w:rPr>
      </w:pPr>
    </w:p>
    <w:p w14:paraId="05750EAE" w14:textId="77777777" w:rsidR="00A53148" w:rsidRPr="00E6371E" w:rsidRDefault="00A53148" w:rsidP="00E6371E">
      <w:pPr>
        <w:spacing w:after="0"/>
        <w:rPr>
          <w:b/>
        </w:rPr>
      </w:pPr>
    </w:p>
    <w:p w14:paraId="53BBB7A8" w14:textId="77777777" w:rsidR="00384351" w:rsidRDefault="00384351" w:rsidP="00E6371E">
      <w:pPr>
        <w:spacing w:after="0"/>
        <w:rPr>
          <w:b/>
          <w:u w:val="single"/>
        </w:rPr>
      </w:pPr>
    </w:p>
    <w:p w14:paraId="63818FA8" w14:textId="77777777" w:rsidR="00E6371E" w:rsidRPr="00E6371E" w:rsidRDefault="00E6371E" w:rsidP="00E6371E">
      <w:pPr>
        <w:spacing w:after="0"/>
      </w:pPr>
      <w:r w:rsidRPr="00E6371E">
        <w:rPr>
          <w:b/>
          <w:u w:val="single"/>
        </w:rPr>
        <w:lastRenderedPageBreak/>
        <w:t>Outcome:</w:t>
      </w:r>
      <w:r w:rsidRPr="00E6371E">
        <w:t xml:space="preserve"> </w:t>
      </w:r>
      <w:r w:rsidRPr="00E6371E">
        <w:rPr>
          <w:b/>
        </w:rPr>
        <w:t>Improved understanding of how to advance openness in managing natural resources.</w:t>
      </w:r>
      <w:r w:rsidRPr="00E6371E">
        <w:t xml:space="preserve"> </w:t>
      </w:r>
    </w:p>
    <w:p w14:paraId="7C7101E2" w14:textId="77777777" w:rsidR="00E6371E" w:rsidRPr="00E6371E" w:rsidRDefault="00E6371E" w:rsidP="00E6371E">
      <w:pPr>
        <w:spacing w:after="0"/>
        <w:ind w:firstLine="360"/>
        <w:rPr>
          <w:b/>
        </w:rPr>
      </w:pPr>
      <w:r w:rsidRPr="00E6371E">
        <w:rPr>
          <w:b/>
        </w:rPr>
        <w:t>Outputs:</w:t>
      </w:r>
    </w:p>
    <w:p w14:paraId="166243D9" w14:textId="77777777" w:rsidR="00E6371E" w:rsidRPr="00E6371E" w:rsidRDefault="00E6371E" w:rsidP="00E6371E">
      <w:pPr>
        <w:numPr>
          <w:ilvl w:val="0"/>
          <w:numId w:val="1"/>
        </w:numPr>
        <w:spacing w:after="0"/>
      </w:pPr>
      <w:r w:rsidRPr="00E6371E">
        <w:rPr>
          <w:iCs/>
          <w:lang w:val="en-CA"/>
        </w:rPr>
        <w:t>Support open data efforts and proactive release of information in the use of natural resources and extractives to improve transparency and to increase the interoperability of open data across multiple jurisdictions.</w:t>
      </w:r>
      <w:r w:rsidRPr="00E6371E">
        <w:t xml:space="preserve"> </w:t>
      </w:r>
    </w:p>
    <w:p w14:paraId="52D1A257" w14:textId="77777777" w:rsidR="00E6371E" w:rsidRPr="00E6371E" w:rsidRDefault="00E6371E" w:rsidP="00E6371E">
      <w:pPr>
        <w:numPr>
          <w:ilvl w:val="0"/>
          <w:numId w:val="1"/>
        </w:numPr>
        <w:spacing w:after="0"/>
      </w:pPr>
      <w:r w:rsidRPr="00E6371E">
        <w:t>Updated Open the Government Guide and promotion of its use.</w:t>
      </w:r>
    </w:p>
    <w:p w14:paraId="4F4DBA86" w14:textId="77777777" w:rsidR="00E6371E" w:rsidRPr="00E6371E" w:rsidRDefault="00E6371E" w:rsidP="00E6371E">
      <w:pPr>
        <w:numPr>
          <w:ilvl w:val="0"/>
          <w:numId w:val="1"/>
        </w:numPr>
        <w:spacing w:after="0"/>
      </w:pPr>
      <w:r w:rsidRPr="00E6371E">
        <w:t>Webinars on key issues such as contract transparency, mandatory disclosure requirements, diagnostic tools, use of technology to increase transparency around the impact of extractives, etc. These can showcase the expertise of different members of the working group.</w:t>
      </w:r>
    </w:p>
    <w:p w14:paraId="73F97520" w14:textId="77777777" w:rsidR="00E6371E" w:rsidRPr="00E6371E" w:rsidRDefault="00E6371E" w:rsidP="00E6371E">
      <w:pPr>
        <w:numPr>
          <w:ilvl w:val="0"/>
          <w:numId w:val="1"/>
        </w:numPr>
        <w:spacing w:after="0"/>
        <w:rPr>
          <w:b/>
        </w:rPr>
      </w:pPr>
      <w:r w:rsidRPr="00E6371E">
        <w:t>Facilitate exchange visits between countries to learn about openness in natural resources and extractives along targeted areas including both governments and civil society representatives</w:t>
      </w:r>
      <w:r>
        <w:t>.</w:t>
      </w:r>
    </w:p>
    <w:p w14:paraId="440F53A5" w14:textId="77777777" w:rsidR="00E6371E" w:rsidRPr="00E6371E" w:rsidRDefault="00E6371E" w:rsidP="00E6371E">
      <w:pPr>
        <w:spacing w:after="0"/>
      </w:pPr>
    </w:p>
    <w:p w14:paraId="1B08C712" w14:textId="77777777" w:rsidR="00E6371E" w:rsidRPr="00E6371E" w:rsidRDefault="00E6371E" w:rsidP="00E6371E">
      <w:pPr>
        <w:spacing w:after="0"/>
        <w:rPr>
          <w:b/>
        </w:rPr>
      </w:pPr>
      <w:r w:rsidRPr="00E6371E">
        <w:rPr>
          <w:b/>
          <w:u w:val="single"/>
        </w:rPr>
        <w:t>Outcome:</w:t>
      </w:r>
      <w:r w:rsidRPr="00E6371E">
        <w:rPr>
          <w:b/>
        </w:rPr>
        <w:t xml:space="preserve"> Robust civil society and government monitoring of the natural resource sector. </w:t>
      </w:r>
    </w:p>
    <w:p w14:paraId="3AC9C71F" w14:textId="77777777" w:rsidR="00E6371E" w:rsidRPr="00E6371E" w:rsidRDefault="00E6371E" w:rsidP="00E6371E">
      <w:pPr>
        <w:spacing w:after="0"/>
        <w:ind w:firstLine="360"/>
        <w:rPr>
          <w:b/>
        </w:rPr>
      </w:pPr>
      <w:r w:rsidRPr="00E6371E">
        <w:rPr>
          <w:b/>
        </w:rPr>
        <w:t>Outputs:</w:t>
      </w:r>
    </w:p>
    <w:p w14:paraId="69E8B1F9" w14:textId="77777777" w:rsidR="00E6371E" w:rsidRPr="00E6371E" w:rsidRDefault="00E6371E" w:rsidP="00E6371E">
      <w:pPr>
        <w:numPr>
          <w:ilvl w:val="0"/>
          <w:numId w:val="1"/>
        </w:numPr>
        <w:spacing w:after="0"/>
      </w:pPr>
      <w:r w:rsidRPr="00E6371E">
        <w:t>Compilation of best practices related to extractives and natural resources monitoring including case studies (drawing on regional and country level observatories).</w:t>
      </w:r>
    </w:p>
    <w:p w14:paraId="1F0082C3" w14:textId="77777777" w:rsidR="00E6371E" w:rsidRPr="00E6371E" w:rsidRDefault="00E6371E" w:rsidP="00E6371E">
      <w:pPr>
        <w:numPr>
          <w:ilvl w:val="0"/>
          <w:numId w:val="1"/>
        </w:numPr>
        <w:spacing w:after="0"/>
      </w:pPr>
      <w:r w:rsidRPr="00E6371E">
        <w:t xml:space="preserve">Identifying support (financial and technical) for civil society and government to monitor the impact of commitments. </w:t>
      </w:r>
    </w:p>
    <w:p w14:paraId="71A53C7E" w14:textId="77777777" w:rsidR="00E6371E" w:rsidRPr="00E6371E" w:rsidRDefault="00E6371E" w:rsidP="00E6371E">
      <w:pPr>
        <w:numPr>
          <w:ilvl w:val="0"/>
          <w:numId w:val="1"/>
        </w:numPr>
        <w:spacing w:after="0"/>
      </w:pPr>
      <w:r w:rsidRPr="00E6371E">
        <w:t>Sharing best practices from existing OGP monitoring by government and civil society on sector related commitments.</w:t>
      </w:r>
    </w:p>
    <w:p w14:paraId="6B0E9CD1" w14:textId="77777777" w:rsidR="00E6371E" w:rsidRPr="00E6371E" w:rsidRDefault="00E6371E" w:rsidP="00E6371E">
      <w:pPr>
        <w:spacing w:after="0"/>
        <w:rPr>
          <w:b/>
        </w:rPr>
      </w:pPr>
    </w:p>
    <w:p w14:paraId="2AA2DF42" w14:textId="77777777" w:rsidR="00E6371E" w:rsidRPr="00E6371E" w:rsidRDefault="00E6371E" w:rsidP="00E6371E">
      <w:pPr>
        <w:spacing w:after="0"/>
        <w:rPr>
          <w:b/>
        </w:rPr>
      </w:pPr>
      <w:r w:rsidRPr="00E6371E">
        <w:rPr>
          <w:b/>
          <w:u w:val="single"/>
        </w:rPr>
        <w:t>Outcome:</w:t>
      </w:r>
      <w:r w:rsidR="009535D5">
        <w:rPr>
          <w:b/>
        </w:rPr>
        <w:t xml:space="preserve"> </w:t>
      </w:r>
      <w:r w:rsidRPr="00E6371E">
        <w:rPr>
          <w:b/>
        </w:rPr>
        <w:t>Strengthen civil society and government engagement</w:t>
      </w:r>
      <w:r w:rsidR="0006570E">
        <w:rPr>
          <w:b/>
        </w:rPr>
        <w:t xml:space="preserve"> within OGP on creating an enabling environment for civil society voice on openness and natural resources</w:t>
      </w:r>
      <w:r w:rsidRPr="00E6371E">
        <w:rPr>
          <w:b/>
        </w:rPr>
        <w:t xml:space="preserve">. </w:t>
      </w:r>
    </w:p>
    <w:p w14:paraId="455BBF04" w14:textId="77777777" w:rsidR="00E6371E" w:rsidRPr="00E6371E" w:rsidRDefault="00E6371E" w:rsidP="009535D5">
      <w:pPr>
        <w:spacing w:after="0"/>
        <w:ind w:firstLine="360"/>
        <w:rPr>
          <w:b/>
        </w:rPr>
      </w:pPr>
      <w:r w:rsidRPr="00E6371E">
        <w:rPr>
          <w:b/>
        </w:rPr>
        <w:t>Outputs:</w:t>
      </w:r>
    </w:p>
    <w:p w14:paraId="6BBBE6B3" w14:textId="77777777" w:rsidR="00E6371E" w:rsidRDefault="00E6371E" w:rsidP="00E6371E">
      <w:pPr>
        <w:pStyle w:val="ListParagraph"/>
        <w:numPr>
          <w:ilvl w:val="0"/>
          <w:numId w:val="7"/>
        </w:numPr>
        <w:spacing w:after="0"/>
      </w:pPr>
      <w:r>
        <w:t>Align</w:t>
      </w:r>
      <w:r w:rsidRPr="00E6371E">
        <w:t xml:space="preserve"> discussions that are underway in EITI and other human rights fora, the working group can contribute to dialogue around creating an enabling environment and civic space and ensure coordination between OGP on this front.</w:t>
      </w:r>
    </w:p>
    <w:p w14:paraId="228E5099" w14:textId="77777777" w:rsidR="00E6371E" w:rsidRPr="00E6371E" w:rsidRDefault="00E6371E" w:rsidP="00E6371E">
      <w:pPr>
        <w:pStyle w:val="ListParagraph"/>
        <w:numPr>
          <w:ilvl w:val="0"/>
          <w:numId w:val="1"/>
        </w:numPr>
        <w:spacing w:after="0"/>
      </w:pPr>
      <w:r w:rsidRPr="00E6371E">
        <w:t xml:space="preserve">Coordinate and share information between relevant initiatives, such as </w:t>
      </w:r>
      <w:r>
        <w:t xml:space="preserve">EITI; </w:t>
      </w:r>
      <w:r w:rsidR="0006570E">
        <w:t xml:space="preserve">and </w:t>
      </w:r>
      <w:r>
        <w:t>discussions on safeguarding environmental d</w:t>
      </w:r>
      <w:r w:rsidRPr="00E6371E">
        <w:t>efend</w:t>
      </w:r>
      <w:r>
        <w:t>ers in the Human Rights Council; a</w:t>
      </w:r>
      <w:r w:rsidRPr="00E6371E">
        <w:t>ctivating networks and encouraging engagement of national level coalitions in OGP processes</w:t>
      </w:r>
      <w:r w:rsidR="0006570E">
        <w:t xml:space="preserve"> on this issue</w:t>
      </w:r>
      <w:r w:rsidRPr="00E6371E">
        <w:t>.</w:t>
      </w:r>
    </w:p>
    <w:p w14:paraId="48B6C2E4" w14:textId="68C2DB2A" w:rsidR="00065656" w:rsidRDefault="00065656">
      <w:pPr>
        <w:rPr>
          <w:b/>
        </w:rPr>
      </w:pPr>
      <w:r>
        <w:rPr>
          <w:b/>
        </w:rPr>
        <w:br w:type="page"/>
      </w:r>
    </w:p>
    <w:p w14:paraId="68A31855" w14:textId="77777777" w:rsidR="00E6371E" w:rsidRPr="00E6371E" w:rsidRDefault="00E6371E" w:rsidP="009535D5">
      <w:pPr>
        <w:pBdr>
          <w:bottom w:val="single" w:sz="4" w:space="1" w:color="auto"/>
        </w:pBdr>
        <w:spacing w:after="0"/>
        <w:rPr>
          <w:b/>
        </w:rPr>
      </w:pPr>
      <w:r w:rsidRPr="00E6371E">
        <w:rPr>
          <w:b/>
        </w:rPr>
        <w:lastRenderedPageBreak/>
        <w:t>Budget</w:t>
      </w:r>
    </w:p>
    <w:p w14:paraId="1F3253BA" w14:textId="77777777" w:rsidR="00065656" w:rsidRDefault="00065656" w:rsidP="00E6371E">
      <w:pPr>
        <w:spacing w:after="0"/>
      </w:pPr>
    </w:p>
    <w:p w14:paraId="53E96ABD" w14:textId="6A180A38" w:rsidR="00E6371E" w:rsidRPr="00E6371E" w:rsidRDefault="00E6371E" w:rsidP="00E6371E">
      <w:pPr>
        <w:spacing w:after="0"/>
      </w:pPr>
      <w:r w:rsidRPr="00E6371E">
        <w:t xml:space="preserve">The </w:t>
      </w:r>
      <w:r w:rsidR="00A62E56">
        <w:t xml:space="preserve">OGP </w:t>
      </w:r>
      <w:r w:rsidR="00A53148" w:rsidRPr="00E6371E">
        <w:t>S</w:t>
      </w:r>
      <w:r w:rsidR="00A53148">
        <w:t>upport Unit</w:t>
      </w:r>
      <w:r w:rsidR="00A53148" w:rsidRPr="00E6371E">
        <w:t xml:space="preserve"> </w:t>
      </w:r>
      <w:r w:rsidRPr="00E6371E">
        <w:t xml:space="preserve">has limited funds to support </w:t>
      </w:r>
      <w:r w:rsidR="000730CD">
        <w:t>W</w:t>
      </w:r>
      <w:r w:rsidRPr="00E6371E">
        <w:t xml:space="preserve">orking </w:t>
      </w:r>
      <w:r w:rsidR="000730CD">
        <w:t>G</w:t>
      </w:r>
      <w:r w:rsidRPr="00E6371E">
        <w:t xml:space="preserve">roup engagement. </w:t>
      </w:r>
      <w:r w:rsidR="00A62E56">
        <w:t>NRG</w:t>
      </w:r>
      <w:r w:rsidRPr="00E6371E">
        <w:t>I and WRI will cost share activities and also carry out specific fund raising efforts</w:t>
      </w:r>
      <w:r w:rsidR="000730CD">
        <w:t xml:space="preserve"> including with the OGP Support Unit </w:t>
      </w:r>
      <w:r w:rsidRPr="00E6371E">
        <w:t>to support the activities proposed below:</w:t>
      </w:r>
    </w:p>
    <w:p w14:paraId="3CB0CA26" w14:textId="77777777" w:rsidR="00E6371E" w:rsidRPr="00E6371E" w:rsidRDefault="00E6371E" w:rsidP="00E6371E">
      <w:pPr>
        <w:spacing w:after="0"/>
      </w:pPr>
      <w:r w:rsidRPr="00E6371E">
        <w:t xml:space="preserve"> </w:t>
      </w:r>
    </w:p>
    <w:tbl>
      <w:tblPr>
        <w:tblStyle w:val="TableGrid"/>
        <w:tblW w:w="0" w:type="auto"/>
        <w:tblLook w:val="04A0" w:firstRow="1" w:lastRow="0" w:firstColumn="1" w:lastColumn="0" w:noHBand="0" w:noVBand="1"/>
      </w:tblPr>
      <w:tblGrid>
        <w:gridCol w:w="6950"/>
        <w:gridCol w:w="1906"/>
      </w:tblGrid>
      <w:tr w:rsidR="00E6371E" w:rsidRPr="009535D5" w14:paraId="22743EEC" w14:textId="77777777" w:rsidTr="003F5447">
        <w:tc>
          <w:tcPr>
            <w:tcW w:w="6950" w:type="dxa"/>
          </w:tcPr>
          <w:p w14:paraId="6547E673" w14:textId="77777777" w:rsidR="00E6371E" w:rsidRPr="009535D5" w:rsidRDefault="00E6371E" w:rsidP="009535D5">
            <w:pPr>
              <w:spacing w:line="276" w:lineRule="auto"/>
              <w:jc w:val="center"/>
              <w:rPr>
                <w:b/>
                <w:sz w:val="20"/>
                <w:szCs w:val="20"/>
              </w:rPr>
            </w:pPr>
            <w:r w:rsidRPr="009535D5">
              <w:rPr>
                <w:b/>
                <w:sz w:val="20"/>
                <w:szCs w:val="20"/>
              </w:rPr>
              <w:t>Description of activities</w:t>
            </w:r>
          </w:p>
        </w:tc>
        <w:tc>
          <w:tcPr>
            <w:tcW w:w="1906" w:type="dxa"/>
          </w:tcPr>
          <w:p w14:paraId="1260B108" w14:textId="77777777" w:rsidR="00E6371E" w:rsidRPr="009535D5" w:rsidRDefault="00E6371E" w:rsidP="009535D5">
            <w:pPr>
              <w:spacing w:line="276" w:lineRule="auto"/>
              <w:jc w:val="center"/>
              <w:rPr>
                <w:b/>
                <w:sz w:val="20"/>
                <w:szCs w:val="20"/>
              </w:rPr>
            </w:pPr>
            <w:r w:rsidRPr="009535D5">
              <w:rPr>
                <w:b/>
                <w:sz w:val="20"/>
                <w:szCs w:val="20"/>
              </w:rPr>
              <w:t>Amount</w:t>
            </w:r>
            <w:r w:rsidR="004D3D23">
              <w:rPr>
                <w:b/>
                <w:sz w:val="20"/>
                <w:szCs w:val="20"/>
              </w:rPr>
              <w:t xml:space="preserve"> and Source</w:t>
            </w:r>
          </w:p>
        </w:tc>
      </w:tr>
      <w:tr w:rsidR="00E6371E" w:rsidRPr="009535D5" w14:paraId="38450BBE" w14:textId="77777777" w:rsidTr="003F5447">
        <w:tc>
          <w:tcPr>
            <w:tcW w:w="6950" w:type="dxa"/>
          </w:tcPr>
          <w:p w14:paraId="609EB45B" w14:textId="77777777" w:rsidR="00E6371E" w:rsidRPr="009535D5" w:rsidRDefault="00E6371E" w:rsidP="00E6371E">
            <w:pPr>
              <w:spacing w:line="276" w:lineRule="auto"/>
              <w:rPr>
                <w:b/>
                <w:i/>
                <w:sz w:val="20"/>
                <w:szCs w:val="20"/>
              </w:rPr>
            </w:pPr>
            <w:r w:rsidRPr="009535D5">
              <w:rPr>
                <w:b/>
                <w:i/>
                <w:sz w:val="20"/>
                <w:szCs w:val="20"/>
              </w:rPr>
              <w:t>Activating the Working Group</w:t>
            </w:r>
          </w:p>
        </w:tc>
        <w:tc>
          <w:tcPr>
            <w:tcW w:w="1906" w:type="dxa"/>
          </w:tcPr>
          <w:p w14:paraId="4379F1FB" w14:textId="77777777" w:rsidR="00E6371E" w:rsidRPr="009535D5" w:rsidRDefault="00E6371E" w:rsidP="00E6371E">
            <w:pPr>
              <w:spacing w:line="276" w:lineRule="auto"/>
              <w:rPr>
                <w:b/>
                <w:i/>
                <w:sz w:val="20"/>
                <w:szCs w:val="20"/>
              </w:rPr>
            </w:pPr>
          </w:p>
        </w:tc>
      </w:tr>
      <w:tr w:rsidR="00E6371E" w:rsidRPr="009535D5" w14:paraId="4751449A" w14:textId="77777777" w:rsidTr="009535D5">
        <w:trPr>
          <w:trHeight w:val="557"/>
        </w:trPr>
        <w:tc>
          <w:tcPr>
            <w:tcW w:w="6950" w:type="dxa"/>
          </w:tcPr>
          <w:p w14:paraId="4BE03E88" w14:textId="77777777" w:rsidR="00E6371E" w:rsidRPr="009535D5" w:rsidRDefault="004D3D23" w:rsidP="00384351">
            <w:pPr>
              <w:spacing w:line="276" w:lineRule="auto"/>
              <w:rPr>
                <w:rFonts w:eastAsiaTheme="minorHAnsi"/>
                <w:b/>
                <w:i/>
                <w:sz w:val="20"/>
                <w:szCs w:val="20"/>
              </w:rPr>
            </w:pPr>
            <w:r>
              <w:rPr>
                <w:sz w:val="20"/>
                <w:szCs w:val="20"/>
              </w:rPr>
              <w:t xml:space="preserve">Meeting of co-anchors and participation in PLS Meeting in New York in </w:t>
            </w:r>
            <w:r w:rsidR="00E6371E" w:rsidRPr="009535D5">
              <w:rPr>
                <w:sz w:val="20"/>
                <w:szCs w:val="20"/>
              </w:rPr>
              <w:t>September 2014</w:t>
            </w:r>
            <w:r w:rsidR="000730CD">
              <w:rPr>
                <w:sz w:val="20"/>
                <w:szCs w:val="20"/>
              </w:rPr>
              <w:t>.</w:t>
            </w:r>
          </w:p>
        </w:tc>
        <w:tc>
          <w:tcPr>
            <w:tcW w:w="1906" w:type="dxa"/>
          </w:tcPr>
          <w:p w14:paraId="74CBBE52" w14:textId="77777777" w:rsidR="00E6371E" w:rsidRPr="009535D5" w:rsidRDefault="004D3D23" w:rsidP="009535D5">
            <w:pPr>
              <w:spacing w:line="276" w:lineRule="auto"/>
              <w:rPr>
                <w:b/>
                <w:i/>
                <w:sz w:val="20"/>
                <w:szCs w:val="20"/>
              </w:rPr>
            </w:pPr>
            <w:r>
              <w:rPr>
                <w:b/>
                <w:i/>
                <w:sz w:val="20"/>
                <w:szCs w:val="20"/>
              </w:rPr>
              <w:t>$1000 (Support Unit)</w:t>
            </w:r>
          </w:p>
        </w:tc>
      </w:tr>
      <w:tr w:rsidR="00E6371E" w:rsidRPr="009535D5" w14:paraId="109306A2" w14:textId="77777777" w:rsidTr="003F5447">
        <w:trPr>
          <w:trHeight w:val="276"/>
        </w:trPr>
        <w:tc>
          <w:tcPr>
            <w:tcW w:w="6950" w:type="dxa"/>
          </w:tcPr>
          <w:p w14:paraId="13C1A8AE" w14:textId="77777777" w:rsidR="00E6371E" w:rsidRPr="009535D5" w:rsidRDefault="009535D5" w:rsidP="00E6371E">
            <w:pPr>
              <w:spacing w:line="276" w:lineRule="auto"/>
              <w:rPr>
                <w:sz w:val="20"/>
                <w:szCs w:val="20"/>
              </w:rPr>
            </w:pPr>
            <w:r w:rsidRPr="009535D5">
              <w:rPr>
                <w:sz w:val="20"/>
                <w:szCs w:val="20"/>
              </w:rPr>
              <w:t>Webinars</w:t>
            </w:r>
            <w:r w:rsidR="00E6371E" w:rsidRPr="009535D5">
              <w:rPr>
                <w:sz w:val="20"/>
                <w:szCs w:val="20"/>
              </w:rPr>
              <w:t xml:space="preserve"> on diagnostic tools, implementation of commitments in this sector and highlighting the opening government guide and new scope of working group.</w:t>
            </w:r>
          </w:p>
        </w:tc>
        <w:tc>
          <w:tcPr>
            <w:tcW w:w="1906" w:type="dxa"/>
          </w:tcPr>
          <w:p w14:paraId="0770E1CC" w14:textId="77777777" w:rsidR="00E6371E" w:rsidRPr="009535D5" w:rsidRDefault="003F5447" w:rsidP="00E6371E">
            <w:pPr>
              <w:spacing w:line="276" w:lineRule="auto"/>
              <w:rPr>
                <w:b/>
                <w:i/>
                <w:sz w:val="20"/>
                <w:szCs w:val="20"/>
              </w:rPr>
            </w:pPr>
            <w:r w:rsidRPr="009535D5">
              <w:rPr>
                <w:b/>
                <w:i/>
                <w:sz w:val="20"/>
                <w:szCs w:val="20"/>
              </w:rPr>
              <w:t>Staff time</w:t>
            </w:r>
          </w:p>
        </w:tc>
      </w:tr>
      <w:tr w:rsidR="00E6371E" w:rsidRPr="009535D5" w14:paraId="5ECC638D" w14:textId="77777777" w:rsidTr="003F5447">
        <w:trPr>
          <w:trHeight w:val="359"/>
        </w:trPr>
        <w:tc>
          <w:tcPr>
            <w:tcW w:w="6950" w:type="dxa"/>
          </w:tcPr>
          <w:p w14:paraId="73723F2D" w14:textId="77777777" w:rsidR="00E6371E" w:rsidRPr="009535D5" w:rsidRDefault="00E6371E" w:rsidP="00E6371E">
            <w:pPr>
              <w:spacing w:line="276" w:lineRule="auto"/>
              <w:rPr>
                <w:b/>
                <w:i/>
                <w:sz w:val="20"/>
                <w:szCs w:val="20"/>
              </w:rPr>
            </w:pPr>
            <w:r w:rsidRPr="009535D5">
              <w:rPr>
                <w:b/>
                <w:i/>
                <w:sz w:val="20"/>
                <w:szCs w:val="20"/>
              </w:rPr>
              <w:t>Support National Action Plan Development</w:t>
            </w:r>
          </w:p>
        </w:tc>
        <w:tc>
          <w:tcPr>
            <w:tcW w:w="1906" w:type="dxa"/>
          </w:tcPr>
          <w:p w14:paraId="00EEA8BF" w14:textId="77777777" w:rsidR="00E6371E" w:rsidRPr="009535D5" w:rsidRDefault="00E6371E" w:rsidP="00E6371E">
            <w:pPr>
              <w:spacing w:line="276" w:lineRule="auto"/>
              <w:rPr>
                <w:b/>
                <w:i/>
                <w:sz w:val="20"/>
                <w:szCs w:val="20"/>
              </w:rPr>
            </w:pPr>
          </w:p>
        </w:tc>
      </w:tr>
      <w:tr w:rsidR="00E6371E" w:rsidRPr="009535D5" w14:paraId="28D04833" w14:textId="77777777" w:rsidTr="003F5447">
        <w:tc>
          <w:tcPr>
            <w:tcW w:w="6950" w:type="dxa"/>
          </w:tcPr>
          <w:p w14:paraId="621412F4" w14:textId="77777777" w:rsidR="00E6371E" w:rsidRPr="009535D5" w:rsidRDefault="00E6371E" w:rsidP="00E6371E">
            <w:pPr>
              <w:spacing w:line="276" w:lineRule="auto"/>
              <w:rPr>
                <w:sz w:val="20"/>
                <w:szCs w:val="20"/>
              </w:rPr>
            </w:pPr>
            <w:r w:rsidRPr="009535D5">
              <w:rPr>
                <w:sz w:val="20"/>
                <w:szCs w:val="20"/>
              </w:rPr>
              <w:t xml:space="preserve">Preparation of short policy notes, blogs etc. based on the Natural Resource Index and the Environmental Democracy Index </w:t>
            </w:r>
            <w:r w:rsidR="000730CD">
              <w:rPr>
                <w:sz w:val="20"/>
                <w:szCs w:val="20"/>
              </w:rPr>
              <w:t xml:space="preserve">etc. </w:t>
            </w:r>
            <w:r w:rsidRPr="009535D5">
              <w:rPr>
                <w:sz w:val="20"/>
                <w:szCs w:val="20"/>
              </w:rPr>
              <w:t>on commitments to be made in the OGP</w:t>
            </w:r>
            <w:r w:rsidR="000730CD">
              <w:rPr>
                <w:sz w:val="20"/>
                <w:szCs w:val="20"/>
              </w:rPr>
              <w:t>.</w:t>
            </w:r>
          </w:p>
        </w:tc>
        <w:tc>
          <w:tcPr>
            <w:tcW w:w="1906" w:type="dxa"/>
          </w:tcPr>
          <w:p w14:paraId="3728142D" w14:textId="77777777" w:rsidR="00E6371E" w:rsidRPr="009535D5" w:rsidRDefault="00E6371E" w:rsidP="00E6371E">
            <w:pPr>
              <w:spacing w:line="276" w:lineRule="auto"/>
              <w:rPr>
                <w:b/>
                <w:i/>
                <w:sz w:val="20"/>
                <w:szCs w:val="20"/>
              </w:rPr>
            </w:pPr>
          </w:p>
          <w:p w14:paraId="179ACDA7" w14:textId="77777777" w:rsidR="00E6371E" w:rsidRPr="009535D5" w:rsidRDefault="00E6371E" w:rsidP="00E6371E">
            <w:pPr>
              <w:spacing w:line="276" w:lineRule="auto"/>
              <w:rPr>
                <w:b/>
                <w:i/>
                <w:sz w:val="20"/>
                <w:szCs w:val="20"/>
              </w:rPr>
            </w:pPr>
            <w:r w:rsidRPr="009535D5">
              <w:rPr>
                <w:b/>
                <w:i/>
                <w:sz w:val="20"/>
                <w:szCs w:val="20"/>
              </w:rPr>
              <w:t>Staff time</w:t>
            </w:r>
          </w:p>
        </w:tc>
      </w:tr>
      <w:tr w:rsidR="00E6371E" w:rsidRPr="009535D5" w14:paraId="4C762C4D" w14:textId="77777777" w:rsidTr="003F5447">
        <w:trPr>
          <w:trHeight w:val="192"/>
        </w:trPr>
        <w:tc>
          <w:tcPr>
            <w:tcW w:w="6950" w:type="dxa"/>
          </w:tcPr>
          <w:p w14:paraId="596E9FC5" w14:textId="77777777" w:rsidR="00E6371E" w:rsidRPr="009535D5" w:rsidRDefault="00E6371E" w:rsidP="00E6371E">
            <w:pPr>
              <w:spacing w:line="276" w:lineRule="auto"/>
              <w:rPr>
                <w:b/>
                <w:i/>
                <w:sz w:val="20"/>
                <w:szCs w:val="20"/>
              </w:rPr>
            </w:pPr>
            <w:r w:rsidRPr="009535D5">
              <w:rPr>
                <w:b/>
                <w:i/>
                <w:sz w:val="20"/>
                <w:szCs w:val="20"/>
              </w:rPr>
              <w:t>Analysis and Mapping</w:t>
            </w:r>
          </w:p>
        </w:tc>
        <w:tc>
          <w:tcPr>
            <w:tcW w:w="1906" w:type="dxa"/>
          </w:tcPr>
          <w:p w14:paraId="03F44134" w14:textId="77777777" w:rsidR="00E6371E" w:rsidRPr="009535D5" w:rsidRDefault="00E6371E" w:rsidP="00E6371E">
            <w:pPr>
              <w:spacing w:line="276" w:lineRule="auto"/>
              <w:rPr>
                <w:b/>
                <w:sz w:val="20"/>
                <w:szCs w:val="20"/>
              </w:rPr>
            </w:pPr>
          </w:p>
        </w:tc>
      </w:tr>
      <w:tr w:rsidR="00E6371E" w:rsidRPr="009535D5" w14:paraId="79B60255" w14:textId="77777777" w:rsidTr="003F5447">
        <w:trPr>
          <w:trHeight w:val="1250"/>
        </w:trPr>
        <w:tc>
          <w:tcPr>
            <w:tcW w:w="6950" w:type="dxa"/>
          </w:tcPr>
          <w:p w14:paraId="6C8E5997" w14:textId="77777777" w:rsidR="00E6371E" w:rsidRPr="009535D5" w:rsidRDefault="00E6371E" w:rsidP="000730CD">
            <w:pPr>
              <w:spacing w:line="276" w:lineRule="auto"/>
              <w:rPr>
                <w:sz w:val="20"/>
                <w:szCs w:val="20"/>
              </w:rPr>
            </w:pPr>
            <w:r w:rsidRPr="009535D5">
              <w:rPr>
                <w:sz w:val="20"/>
                <w:szCs w:val="20"/>
              </w:rPr>
              <w:t xml:space="preserve">WRI and </w:t>
            </w:r>
            <w:r w:rsidR="00A62E56">
              <w:rPr>
                <w:sz w:val="20"/>
                <w:szCs w:val="20"/>
              </w:rPr>
              <w:t>NRGI</w:t>
            </w:r>
            <w:r w:rsidRPr="009535D5">
              <w:rPr>
                <w:sz w:val="20"/>
                <w:szCs w:val="20"/>
              </w:rPr>
              <w:t xml:space="preserve"> will work with working group members to continue to </w:t>
            </w:r>
            <w:r w:rsidR="000730CD">
              <w:rPr>
                <w:sz w:val="20"/>
                <w:szCs w:val="20"/>
              </w:rPr>
              <w:t>report on relevant</w:t>
            </w:r>
            <w:r w:rsidRPr="009535D5">
              <w:rPr>
                <w:sz w:val="20"/>
                <w:szCs w:val="20"/>
              </w:rPr>
              <w:t xml:space="preserve"> database</w:t>
            </w:r>
            <w:r w:rsidR="000730CD">
              <w:rPr>
                <w:sz w:val="20"/>
                <w:szCs w:val="20"/>
              </w:rPr>
              <w:t>s</w:t>
            </w:r>
            <w:r w:rsidRPr="009535D5">
              <w:rPr>
                <w:sz w:val="20"/>
                <w:szCs w:val="20"/>
              </w:rPr>
              <w:t xml:space="preserve"> of natural resource and extractive commitments and conduct an analysis of all national action plans to identify gaps in terms of commitments and key countries to enable targeted outreach.  This will include mapping the engagement of civil society organizations in relevant countries and conducting outreach to the extractives and natural resource management focal points for relevant countries.  The IRM database will be reviewed.</w:t>
            </w:r>
          </w:p>
        </w:tc>
        <w:tc>
          <w:tcPr>
            <w:tcW w:w="1906" w:type="dxa"/>
          </w:tcPr>
          <w:p w14:paraId="2C0FEAF8" w14:textId="77777777" w:rsidR="00E6371E" w:rsidRPr="009535D5" w:rsidRDefault="00E6371E" w:rsidP="00E6371E">
            <w:pPr>
              <w:spacing w:line="276" w:lineRule="auto"/>
              <w:rPr>
                <w:b/>
                <w:i/>
                <w:sz w:val="20"/>
                <w:szCs w:val="20"/>
              </w:rPr>
            </w:pPr>
            <w:r w:rsidRPr="009535D5">
              <w:rPr>
                <w:b/>
                <w:i/>
                <w:sz w:val="20"/>
                <w:szCs w:val="20"/>
              </w:rPr>
              <w:t>Staff time</w:t>
            </w:r>
          </w:p>
        </w:tc>
      </w:tr>
      <w:tr w:rsidR="00E6371E" w:rsidRPr="009535D5" w14:paraId="6511C746" w14:textId="77777777" w:rsidTr="003F5447">
        <w:trPr>
          <w:trHeight w:val="350"/>
        </w:trPr>
        <w:tc>
          <w:tcPr>
            <w:tcW w:w="6950" w:type="dxa"/>
          </w:tcPr>
          <w:p w14:paraId="568479B4" w14:textId="77777777" w:rsidR="00E6371E" w:rsidRPr="009535D5" w:rsidRDefault="00E6371E" w:rsidP="00E6371E">
            <w:pPr>
              <w:spacing w:line="276" w:lineRule="auto"/>
              <w:rPr>
                <w:i/>
                <w:sz w:val="20"/>
                <w:szCs w:val="20"/>
              </w:rPr>
            </w:pPr>
            <w:r w:rsidRPr="009535D5">
              <w:rPr>
                <w:b/>
                <w:i/>
                <w:sz w:val="20"/>
                <w:szCs w:val="20"/>
              </w:rPr>
              <w:t xml:space="preserve">Meetings </w:t>
            </w:r>
          </w:p>
        </w:tc>
        <w:tc>
          <w:tcPr>
            <w:tcW w:w="1906" w:type="dxa"/>
          </w:tcPr>
          <w:p w14:paraId="333DCDED" w14:textId="77777777" w:rsidR="00E6371E" w:rsidRPr="009535D5" w:rsidRDefault="00E6371E" w:rsidP="00E6371E">
            <w:pPr>
              <w:spacing w:line="276" w:lineRule="auto"/>
              <w:rPr>
                <w:b/>
                <w:sz w:val="20"/>
                <w:szCs w:val="20"/>
              </w:rPr>
            </w:pPr>
          </w:p>
        </w:tc>
      </w:tr>
      <w:tr w:rsidR="00E6371E" w:rsidRPr="009535D5" w14:paraId="75F473E8" w14:textId="77777777" w:rsidTr="003F5447">
        <w:tc>
          <w:tcPr>
            <w:tcW w:w="6950" w:type="dxa"/>
          </w:tcPr>
          <w:p w14:paraId="7616C1E3" w14:textId="77777777" w:rsidR="00E6371E" w:rsidRPr="009535D5" w:rsidRDefault="00E6371E" w:rsidP="000730CD">
            <w:pPr>
              <w:spacing w:line="276" w:lineRule="auto"/>
              <w:rPr>
                <w:b/>
                <w:sz w:val="20"/>
                <w:szCs w:val="20"/>
              </w:rPr>
            </w:pPr>
            <w:r w:rsidRPr="009535D5">
              <w:rPr>
                <w:sz w:val="20"/>
                <w:szCs w:val="20"/>
              </w:rPr>
              <w:t xml:space="preserve">Launch of the Environmental Democracy Index, Washington DC </w:t>
            </w:r>
            <w:r w:rsidR="000730CD">
              <w:rPr>
                <w:sz w:val="20"/>
                <w:szCs w:val="20"/>
              </w:rPr>
              <w:t>March</w:t>
            </w:r>
            <w:r w:rsidRPr="009535D5">
              <w:rPr>
                <w:sz w:val="20"/>
                <w:szCs w:val="20"/>
              </w:rPr>
              <w:t xml:space="preserve"> 201</w:t>
            </w:r>
            <w:r w:rsidR="000730CD">
              <w:rPr>
                <w:sz w:val="20"/>
                <w:szCs w:val="20"/>
              </w:rPr>
              <w:t>5</w:t>
            </w:r>
            <w:r w:rsidR="003F5447" w:rsidRPr="009535D5">
              <w:rPr>
                <w:sz w:val="20"/>
                <w:szCs w:val="20"/>
              </w:rPr>
              <w:t xml:space="preserve"> </w:t>
            </w:r>
            <w:r w:rsidRPr="009535D5">
              <w:rPr>
                <w:sz w:val="20"/>
                <w:szCs w:val="20"/>
              </w:rPr>
              <w:t>–</w:t>
            </w:r>
            <w:r w:rsidRPr="009535D5">
              <w:rPr>
                <w:b/>
                <w:sz w:val="20"/>
                <w:szCs w:val="20"/>
              </w:rPr>
              <w:t xml:space="preserve"> </w:t>
            </w:r>
            <w:r w:rsidRPr="009535D5">
              <w:rPr>
                <w:sz w:val="20"/>
                <w:szCs w:val="20"/>
              </w:rPr>
              <w:t>members of the OGP working group will be invited to attend and present on the importance of this tool</w:t>
            </w:r>
            <w:r w:rsidR="009A5F07">
              <w:rPr>
                <w:sz w:val="20"/>
                <w:szCs w:val="20"/>
              </w:rPr>
              <w:t xml:space="preserve"> and its relation with OGP.</w:t>
            </w:r>
          </w:p>
        </w:tc>
        <w:tc>
          <w:tcPr>
            <w:tcW w:w="1906" w:type="dxa"/>
          </w:tcPr>
          <w:p w14:paraId="62190C29" w14:textId="77777777" w:rsidR="00E6371E" w:rsidRPr="009535D5" w:rsidRDefault="000730CD" w:rsidP="00E6371E">
            <w:pPr>
              <w:spacing w:line="276" w:lineRule="auto"/>
              <w:rPr>
                <w:b/>
                <w:i/>
                <w:sz w:val="20"/>
                <w:szCs w:val="20"/>
              </w:rPr>
            </w:pPr>
            <w:r>
              <w:rPr>
                <w:b/>
                <w:i/>
                <w:sz w:val="20"/>
                <w:szCs w:val="20"/>
              </w:rPr>
              <w:t>$2000</w:t>
            </w:r>
            <w:r w:rsidR="004D3D23">
              <w:rPr>
                <w:b/>
                <w:i/>
                <w:sz w:val="20"/>
                <w:szCs w:val="20"/>
              </w:rPr>
              <w:t xml:space="preserve"> (Support Unit)</w:t>
            </w:r>
          </w:p>
        </w:tc>
      </w:tr>
      <w:tr w:rsidR="004D3D23" w:rsidRPr="009535D5" w14:paraId="77F8E524" w14:textId="77777777" w:rsidTr="003F5447">
        <w:tc>
          <w:tcPr>
            <w:tcW w:w="6950" w:type="dxa"/>
          </w:tcPr>
          <w:p w14:paraId="3E0F8484" w14:textId="77777777" w:rsidR="004D3D23" w:rsidRPr="009535D5" w:rsidRDefault="004D3D23" w:rsidP="00384351">
            <w:pPr>
              <w:rPr>
                <w:rFonts w:eastAsiaTheme="minorHAnsi"/>
                <w:sz w:val="20"/>
                <w:szCs w:val="20"/>
              </w:rPr>
            </w:pPr>
            <w:r>
              <w:rPr>
                <w:sz w:val="20"/>
                <w:szCs w:val="20"/>
              </w:rPr>
              <w:t xml:space="preserve">Latin America Regional OGP Meeting – support to panels and participants </w:t>
            </w:r>
          </w:p>
        </w:tc>
        <w:tc>
          <w:tcPr>
            <w:tcW w:w="1906" w:type="dxa"/>
          </w:tcPr>
          <w:p w14:paraId="745B91E5" w14:textId="77777777" w:rsidR="004D3D23" w:rsidRDefault="004D3D23" w:rsidP="00E6371E">
            <w:pPr>
              <w:rPr>
                <w:b/>
                <w:i/>
                <w:sz w:val="20"/>
                <w:szCs w:val="20"/>
              </w:rPr>
            </w:pPr>
            <w:r>
              <w:rPr>
                <w:b/>
                <w:i/>
                <w:sz w:val="20"/>
                <w:szCs w:val="20"/>
              </w:rPr>
              <w:t>$25,000 (NRGI)</w:t>
            </w:r>
          </w:p>
        </w:tc>
      </w:tr>
      <w:tr w:rsidR="004D3D23" w:rsidRPr="009535D5" w14:paraId="23223AE5" w14:textId="77777777" w:rsidTr="003F5447">
        <w:tc>
          <w:tcPr>
            <w:tcW w:w="6950" w:type="dxa"/>
          </w:tcPr>
          <w:p w14:paraId="227B8619" w14:textId="77777777" w:rsidR="004D3D23" w:rsidRDefault="004D3D23" w:rsidP="00384351">
            <w:pPr>
              <w:rPr>
                <w:rFonts w:eastAsiaTheme="minorHAnsi"/>
                <w:sz w:val="20"/>
                <w:szCs w:val="20"/>
              </w:rPr>
            </w:pPr>
            <w:r>
              <w:rPr>
                <w:sz w:val="20"/>
                <w:szCs w:val="20"/>
              </w:rPr>
              <w:t>Roundtable on EITI and OGP in Mexico in June (completed)</w:t>
            </w:r>
          </w:p>
        </w:tc>
        <w:tc>
          <w:tcPr>
            <w:tcW w:w="1906" w:type="dxa"/>
          </w:tcPr>
          <w:p w14:paraId="77D435D6" w14:textId="77777777" w:rsidR="004D3D23" w:rsidRDefault="004D3D23" w:rsidP="00E6371E">
            <w:pPr>
              <w:rPr>
                <w:b/>
                <w:i/>
                <w:sz w:val="20"/>
                <w:szCs w:val="20"/>
              </w:rPr>
            </w:pPr>
            <w:r>
              <w:rPr>
                <w:b/>
                <w:i/>
                <w:sz w:val="20"/>
                <w:szCs w:val="20"/>
              </w:rPr>
              <w:t>$2,000 (NRGI)</w:t>
            </w:r>
          </w:p>
        </w:tc>
      </w:tr>
      <w:tr w:rsidR="00E6371E" w:rsidRPr="009535D5" w14:paraId="45F82D2B" w14:textId="77777777" w:rsidTr="003F5447">
        <w:tc>
          <w:tcPr>
            <w:tcW w:w="6950" w:type="dxa"/>
          </w:tcPr>
          <w:p w14:paraId="733A293F" w14:textId="77777777" w:rsidR="00E6371E" w:rsidRPr="009535D5" w:rsidRDefault="00E6371E" w:rsidP="00E6371E">
            <w:pPr>
              <w:spacing w:line="276" w:lineRule="auto"/>
              <w:rPr>
                <w:i/>
                <w:sz w:val="20"/>
                <w:szCs w:val="20"/>
              </w:rPr>
            </w:pPr>
            <w:r w:rsidRPr="009535D5">
              <w:rPr>
                <w:b/>
                <w:i/>
                <w:sz w:val="20"/>
                <w:szCs w:val="20"/>
              </w:rPr>
              <w:t>Creating resources for OGP Countries</w:t>
            </w:r>
          </w:p>
        </w:tc>
        <w:tc>
          <w:tcPr>
            <w:tcW w:w="1906" w:type="dxa"/>
          </w:tcPr>
          <w:p w14:paraId="194D4FB9" w14:textId="77777777" w:rsidR="00E6371E" w:rsidRPr="009535D5" w:rsidRDefault="00E6371E" w:rsidP="00E6371E">
            <w:pPr>
              <w:spacing w:line="276" w:lineRule="auto"/>
              <w:rPr>
                <w:b/>
                <w:i/>
                <w:sz w:val="20"/>
                <w:szCs w:val="20"/>
              </w:rPr>
            </w:pPr>
          </w:p>
        </w:tc>
      </w:tr>
      <w:tr w:rsidR="00E6371E" w:rsidRPr="009535D5" w14:paraId="2FABF684" w14:textId="77777777" w:rsidTr="003F5447">
        <w:tc>
          <w:tcPr>
            <w:tcW w:w="6950" w:type="dxa"/>
          </w:tcPr>
          <w:p w14:paraId="5CE9B6F7" w14:textId="77777777" w:rsidR="00E6371E" w:rsidRPr="009535D5" w:rsidRDefault="00E6371E" w:rsidP="00E6371E">
            <w:pPr>
              <w:spacing w:line="276" w:lineRule="auto"/>
              <w:rPr>
                <w:sz w:val="20"/>
                <w:szCs w:val="20"/>
              </w:rPr>
            </w:pPr>
            <w:r w:rsidRPr="009535D5">
              <w:rPr>
                <w:sz w:val="20"/>
                <w:szCs w:val="20"/>
              </w:rPr>
              <w:t>Update the Opening Government Guide on extractives and natural resources building on initial content.</w:t>
            </w:r>
          </w:p>
        </w:tc>
        <w:tc>
          <w:tcPr>
            <w:tcW w:w="1906" w:type="dxa"/>
          </w:tcPr>
          <w:p w14:paraId="0D1D1499" w14:textId="77777777" w:rsidR="00E6371E" w:rsidRPr="009535D5" w:rsidRDefault="003F5447" w:rsidP="00E6371E">
            <w:pPr>
              <w:spacing w:line="276" w:lineRule="auto"/>
              <w:rPr>
                <w:b/>
                <w:i/>
                <w:sz w:val="20"/>
                <w:szCs w:val="20"/>
              </w:rPr>
            </w:pPr>
            <w:r w:rsidRPr="009535D5">
              <w:rPr>
                <w:b/>
                <w:i/>
                <w:sz w:val="20"/>
                <w:szCs w:val="20"/>
              </w:rPr>
              <w:t>Staff time</w:t>
            </w:r>
          </w:p>
        </w:tc>
      </w:tr>
      <w:tr w:rsidR="00E6371E" w:rsidRPr="009535D5" w14:paraId="0F4E6C4A" w14:textId="77777777" w:rsidTr="003F5447">
        <w:tc>
          <w:tcPr>
            <w:tcW w:w="6950" w:type="dxa"/>
          </w:tcPr>
          <w:p w14:paraId="731D03FC" w14:textId="77777777" w:rsidR="00E6371E" w:rsidRPr="009535D5" w:rsidRDefault="00E6371E" w:rsidP="00E6371E">
            <w:pPr>
              <w:spacing w:line="276" w:lineRule="auto"/>
              <w:rPr>
                <w:sz w:val="20"/>
                <w:szCs w:val="20"/>
              </w:rPr>
            </w:pPr>
            <w:r w:rsidRPr="009535D5">
              <w:rPr>
                <w:sz w:val="20"/>
                <w:szCs w:val="20"/>
              </w:rPr>
              <w:t xml:space="preserve">Presentation on the Open Government Partnership to new civil Society group at TAI networks Global Gathering </w:t>
            </w:r>
          </w:p>
        </w:tc>
        <w:tc>
          <w:tcPr>
            <w:tcW w:w="1906" w:type="dxa"/>
          </w:tcPr>
          <w:p w14:paraId="3B2ED92D" w14:textId="77777777" w:rsidR="00E6371E" w:rsidRPr="000730CD" w:rsidRDefault="000730CD" w:rsidP="00E6371E">
            <w:pPr>
              <w:spacing w:line="276" w:lineRule="auto"/>
              <w:rPr>
                <w:b/>
                <w:i/>
                <w:sz w:val="20"/>
                <w:szCs w:val="20"/>
              </w:rPr>
            </w:pPr>
            <w:r w:rsidRPr="000730CD">
              <w:rPr>
                <w:b/>
                <w:i/>
                <w:sz w:val="20"/>
                <w:szCs w:val="20"/>
              </w:rPr>
              <w:t>Staff time</w:t>
            </w:r>
          </w:p>
        </w:tc>
      </w:tr>
      <w:tr w:rsidR="00E6371E" w:rsidRPr="009535D5" w14:paraId="7EFF1B1A" w14:textId="77777777" w:rsidTr="003F5447">
        <w:tc>
          <w:tcPr>
            <w:tcW w:w="6950" w:type="dxa"/>
          </w:tcPr>
          <w:p w14:paraId="4E9D1DA9" w14:textId="77777777" w:rsidR="00E6371E" w:rsidRPr="009535D5" w:rsidRDefault="00E6371E" w:rsidP="00E6371E">
            <w:pPr>
              <w:spacing w:line="276" w:lineRule="auto"/>
              <w:rPr>
                <w:i/>
                <w:sz w:val="20"/>
                <w:szCs w:val="20"/>
              </w:rPr>
            </w:pPr>
            <w:r w:rsidRPr="009535D5">
              <w:rPr>
                <w:b/>
                <w:i/>
                <w:sz w:val="20"/>
                <w:szCs w:val="20"/>
              </w:rPr>
              <w:t xml:space="preserve">Peer Exchange </w:t>
            </w:r>
          </w:p>
        </w:tc>
        <w:tc>
          <w:tcPr>
            <w:tcW w:w="1906" w:type="dxa"/>
          </w:tcPr>
          <w:p w14:paraId="7C87C0DF" w14:textId="77777777" w:rsidR="00E6371E" w:rsidRPr="009535D5" w:rsidRDefault="00E6371E" w:rsidP="00E6371E">
            <w:pPr>
              <w:spacing w:line="276" w:lineRule="auto"/>
              <w:rPr>
                <w:b/>
                <w:sz w:val="20"/>
                <w:szCs w:val="20"/>
              </w:rPr>
            </w:pPr>
          </w:p>
        </w:tc>
      </w:tr>
      <w:tr w:rsidR="00E6371E" w:rsidRPr="009535D5" w14:paraId="182C8FF4" w14:textId="77777777" w:rsidTr="003F5447">
        <w:tc>
          <w:tcPr>
            <w:tcW w:w="6950" w:type="dxa"/>
          </w:tcPr>
          <w:p w14:paraId="1BBFAA76" w14:textId="77777777" w:rsidR="00E6371E" w:rsidRPr="009535D5" w:rsidRDefault="00E6371E" w:rsidP="00E6371E">
            <w:pPr>
              <w:spacing w:line="276" w:lineRule="auto"/>
              <w:rPr>
                <w:b/>
                <w:sz w:val="20"/>
                <w:szCs w:val="20"/>
              </w:rPr>
            </w:pPr>
            <w:r w:rsidRPr="009535D5">
              <w:rPr>
                <w:sz w:val="20"/>
                <w:szCs w:val="20"/>
              </w:rPr>
              <w:t>Anticipating travel costs for bilateral exchange on a demand-driven basis</w:t>
            </w:r>
          </w:p>
        </w:tc>
        <w:tc>
          <w:tcPr>
            <w:tcW w:w="1906" w:type="dxa"/>
          </w:tcPr>
          <w:p w14:paraId="22FB27A4" w14:textId="77777777" w:rsidR="00E6371E" w:rsidRPr="009535D5" w:rsidRDefault="003F5447" w:rsidP="00384351">
            <w:pPr>
              <w:spacing w:line="276" w:lineRule="auto"/>
              <w:rPr>
                <w:rFonts w:eastAsiaTheme="minorHAnsi"/>
                <w:b/>
                <w:i/>
                <w:sz w:val="20"/>
                <w:szCs w:val="20"/>
              </w:rPr>
            </w:pPr>
            <w:r w:rsidRPr="009535D5">
              <w:rPr>
                <w:b/>
                <w:i/>
                <w:sz w:val="20"/>
                <w:szCs w:val="20"/>
              </w:rPr>
              <w:t>$</w:t>
            </w:r>
            <w:r w:rsidR="004D3D23">
              <w:rPr>
                <w:b/>
                <w:i/>
                <w:sz w:val="20"/>
                <w:szCs w:val="20"/>
              </w:rPr>
              <w:t xml:space="preserve">4,000 (Support Unit) </w:t>
            </w:r>
          </w:p>
        </w:tc>
      </w:tr>
      <w:tr w:rsidR="00E6371E" w:rsidRPr="009535D5" w14:paraId="55A166C7" w14:textId="77777777" w:rsidTr="003F5447">
        <w:tc>
          <w:tcPr>
            <w:tcW w:w="6950" w:type="dxa"/>
          </w:tcPr>
          <w:p w14:paraId="009B4129" w14:textId="77777777" w:rsidR="00E6371E" w:rsidRPr="009535D5" w:rsidRDefault="00E6371E" w:rsidP="00E6371E">
            <w:pPr>
              <w:spacing w:line="276" w:lineRule="auto"/>
              <w:rPr>
                <w:i/>
                <w:sz w:val="20"/>
                <w:szCs w:val="20"/>
              </w:rPr>
            </w:pPr>
            <w:r w:rsidRPr="009535D5">
              <w:rPr>
                <w:b/>
                <w:i/>
                <w:sz w:val="20"/>
                <w:szCs w:val="20"/>
              </w:rPr>
              <w:t xml:space="preserve">Publications </w:t>
            </w:r>
          </w:p>
        </w:tc>
        <w:tc>
          <w:tcPr>
            <w:tcW w:w="1906" w:type="dxa"/>
          </w:tcPr>
          <w:p w14:paraId="5F1F7A3D" w14:textId="77777777" w:rsidR="00E6371E" w:rsidRPr="009535D5" w:rsidRDefault="00E6371E" w:rsidP="00E6371E">
            <w:pPr>
              <w:spacing w:line="276" w:lineRule="auto"/>
              <w:rPr>
                <w:b/>
                <w:i/>
                <w:sz w:val="20"/>
                <w:szCs w:val="20"/>
              </w:rPr>
            </w:pPr>
          </w:p>
        </w:tc>
      </w:tr>
      <w:tr w:rsidR="00E6371E" w:rsidRPr="009535D5" w14:paraId="4B885283" w14:textId="77777777" w:rsidTr="003F5447">
        <w:tc>
          <w:tcPr>
            <w:tcW w:w="6950" w:type="dxa"/>
          </w:tcPr>
          <w:p w14:paraId="2BF0C5D3" w14:textId="77777777" w:rsidR="00E6371E" w:rsidRPr="009535D5" w:rsidRDefault="00E6371E" w:rsidP="00E6371E">
            <w:pPr>
              <w:spacing w:line="276" w:lineRule="auto"/>
              <w:rPr>
                <w:b/>
                <w:sz w:val="20"/>
                <w:szCs w:val="20"/>
              </w:rPr>
            </w:pPr>
            <w:r w:rsidRPr="009535D5">
              <w:rPr>
                <w:sz w:val="20"/>
                <w:szCs w:val="20"/>
              </w:rPr>
              <w:t>Translation and creation of publications</w:t>
            </w:r>
            <w:r w:rsidR="003F5447" w:rsidRPr="009535D5">
              <w:rPr>
                <w:sz w:val="20"/>
                <w:szCs w:val="20"/>
              </w:rPr>
              <w:t xml:space="preserve"> and data visualizations</w:t>
            </w:r>
          </w:p>
        </w:tc>
        <w:tc>
          <w:tcPr>
            <w:tcW w:w="1906" w:type="dxa"/>
          </w:tcPr>
          <w:p w14:paraId="4EE1E7D9" w14:textId="7D7D9BE3" w:rsidR="00E6371E" w:rsidRPr="009535D5" w:rsidRDefault="00A53148" w:rsidP="000730CD">
            <w:pPr>
              <w:spacing w:line="276" w:lineRule="auto"/>
              <w:rPr>
                <w:b/>
                <w:i/>
                <w:sz w:val="20"/>
                <w:szCs w:val="20"/>
              </w:rPr>
            </w:pPr>
            <w:r>
              <w:rPr>
                <w:b/>
                <w:i/>
                <w:sz w:val="20"/>
                <w:szCs w:val="20"/>
              </w:rPr>
              <w:t>Subject to need</w:t>
            </w:r>
          </w:p>
        </w:tc>
      </w:tr>
      <w:tr w:rsidR="009A5F07" w:rsidRPr="009535D5" w14:paraId="175603E4" w14:textId="77777777" w:rsidTr="003F5447">
        <w:tc>
          <w:tcPr>
            <w:tcW w:w="6950" w:type="dxa"/>
          </w:tcPr>
          <w:p w14:paraId="47D24DE5" w14:textId="77777777" w:rsidR="009A5F07" w:rsidRPr="009535D5" w:rsidRDefault="009A5F07" w:rsidP="00E6371E">
            <w:pPr>
              <w:rPr>
                <w:sz w:val="20"/>
                <w:szCs w:val="20"/>
              </w:rPr>
            </w:pPr>
            <w:r>
              <w:rPr>
                <w:sz w:val="20"/>
                <w:szCs w:val="20"/>
              </w:rPr>
              <w:t>TOTAL</w:t>
            </w:r>
          </w:p>
        </w:tc>
        <w:tc>
          <w:tcPr>
            <w:tcW w:w="1906" w:type="dxa"/>
          </w:tcPr>
          <w:p w14:paraId="6A033004" w14:textId="56D25FF4" w:rsidR="009A5F07" w:rsidRPr="009535D5" w:rsidRDefault="009A5F07" w:rsidP="000730CD">
            <w:pPr>
              <w:rPr>
                <w:b/>
                <w:i/>
                <w:sz w:val="20"/>
                <w:szCs w:val="20"/>
              </w:rPr>
            </w:pPr>
            <w:r>
              <w:rPr>
                <w:b/>
                <w:i/>
                <w:sz w:val="20"/>
                <w:szCs w:val="20"/>
              </w:rPr>
              <w:t>$3</w:t>
            </w:r>
            <w:r w:rsidR="00A53148">
              <w:rPr>
                <w:b/>
                <w:i/>
                <w:sz w:val="20"/>
                <w:szCs w:val="20"/>
              </w:rPr>
              <w:t>4</w:t>
            </w:r>
            <w:r>
              <w:rPr>
                <w:b/>
                <w:i/>
                <w:sz w:val="20"/>
                <w:szCs w:val="20"/>
              </w:rPr>
              <w:t>,000.00</w:t>
            </w:r>
          </w:p>
        </w:tc>
      </w:tr>
    </w:tbl>
    <w:p w14:paraId="59DFEDA9" w14:textId="77777777" w:rsidR="00E6371E" w:rsidRPr="00E6371E" w:rsidRDefault="00E6371E" w:rsidP="00E6371E">
      <w:pPr>
        <w:spacing w:after="0"/>
        <w:rPr>
          <w:b/>
        </w:rPr>
      </w:pPr>
    </w:p>
    <w:p w14:paraId="59EA8C44" w14:textId="5FB803A8" w:rsidR="00260550" w:rsidRDefault="00E6371E" w:rsidP="00A53148">
      <w:pPr>
        <w:spacing w:after="0"/>
        <w:jc w:val="center"/>
      </w:pPr>
      <w:r w:rsidRPr="00E6371E">
        <w:rPr>
          <w:b/>
        </w:rPr>
        <w:t>***</w:t>
      </w:r>
    </w:p>
    <w:sectPr w:rsidR="00260550" w:rsidSect="0026055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9E73E" w14:textId="77777777" w:rsidR="002154C3" w:rsidRDefault="002154C3" w:rsidP="003D12B8">
      <w:pPr>
        <w:spacing w:after="0" w:line="240" w:lineRule="auto"/>
      </w:pPr>
      <w:r>
        <w:separator/>
      </w:r>
    </w:p>
  </w:endnote>
  <w:endnote w:type="continuationSeparator" w:id="0">
    <w:p w14:paraId="2A511752" w14:textId="77777777" w:rsidR="002154C3" w:rsidRDefault="002154C3" w:rsidP="003D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44732"/>
      <w:docPartObj>
        <w:docPartGallery w:val="Page Numbers (Bottom of Page)"/>
        <w:docPartUnique/>
      </w:docPartObj>
    </w:sdtPr>
    <w:sdtEndPr/>
    <w:sdtContent>
      <w:sdt>
        <w:sdtPr>
          <w:id w:val="-1669238322"/>
          <w:docPartObj>
            <w:docPartGallery w:val="Page Numbers (Top of Page)"/>
            <w:docPartUnique/>
          </w:docPartObj>
        </w:sdtPr>
        <w:sdtEndPr/>
        <w:sdtContent>
          <w:p w14:paraId="5C568143" w14:textId="77777777" w:rsidR="00B51263" w:rsidRDefault="00B512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64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64BD">
              <w:rPr>
                <w:b/>
                <w:bCs/>
                <w:noProof/>
              </w:rPr>
              <w:t>5</w:t>
            </w:r>
            <w:r>
              <w:rPr>
                <w:b/>
                <w:bCs/>
                <w:sz w:val="24"/>
                <w:szCs w:val="24"/>
              </w:rPr>
              <w:fldChar w:fldCharType="end"/>
            </w:r>
          </w:p>
        </w:sdtContent>
      </w:sdt>
    </w:sdtContent>
  </w:sdt>
  <w:p w14:paraId="7DA9D10F" w14:textId="77777777" w:rsidR="00B51263" w:rsidRDefault="00B51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51605" w14:textId="77777777" w:rsidR="002154C3" w:rsidRDefault="002154C3" w:rsidP="003D12B8">
      <w:pPr>
        <w:spacing w:after="0" w:line="240" w:lineRule="auto"/>
      </w:pPr>
      <w:r>
        <w:separator/>
      </w:r>
    </w:p>
  </w:footnote>
  <w:footnote w:type="continuationSeparator" w:id="0">
    <w:p w14:paraId="489C553C" w14:textId="77777777" w:rsidR="002154C3" w:rsidRDefault="002154C3" w:rsidP="003D1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D1AA4"/>
    <w:multiLevelType w:val="hybridMultilevel"/>
    <w:tmpl w:val="6960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F0F9E"/>
    <w:multiLevelType w:val="hybridMultilevel"/>
    <w:tmpl w:val="8E385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255BF"/>
    <w:multiLevelType w:val="hybridMultilevel"/>
    <w:tmpl w:val="B062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61438"/>
    <w:multiLevelType w:val="hybridMultilevel"/>
    <w:tmpl w:val="C344C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95574"/>
    <w:multiLevelType w:val="hybridMultilevel"/>
    <w:tmpl w:val="A39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57852"/>
    <w:multiLevelType w:val="hybridMultilevel"/>
    <w:tmpl w:val="660E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10BD4"/>
    <w:multiLevelType w:val="hybridMultilevel"/>
    <w:tmpl w:val="825C87FE"/>
    <w:lvl w:ilvl="0" w:tplc="0BC875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1E"/>
    <w:rsid w:val="000510A4"/>
    <w:rsid w:val="00065656"/>
    <w:rsid w:val="0006570E"/>
    <w:rsid w:val="000730CD"/>
    <w:rsid w:val="000946E1"/>
    <w:rsid w:val="00097B34"/>
    <w:rsid w:val="001910C8"/>
    <w:rsid w:val="001C7413"/>
    <w:rsid w:val="002154C3"/>
    <w:rsid w:val="00260550"/>
    <w:rsid w:val="002B1280"/>
    <w:rsid w:val="002F2E4A"/>
    <w:rsid w:val="00344CED"/>
    <w:rsid w:val="003529D0"/>
    <w:rsid w:val="00384351"/>
    <w:rsid w:val="003D12B8"/>
    <w:rsid w:val="003F5447"/>
    <w:rsid w:val="004201EA"/>
    <w:rsid w:val="0047061A"/>
    <w:rsid w:val="0049265B"/>
    <w:rsid w:val="004D3D23"/>
    <w:rsid w:val="004F7813"/>
    <w:rsid w:val="005422B0"/>
    <w:rsid w:val="00562532"/>
    <w:rsid w:val="00601011"/>
    <w:rsid w:val="00680306"/>
    <w:rsid w:val="006A769C"/>
    <w:rsid w:val="0074673B"/>
    <w:rsid w:val="008114D3"/>
    <w:rsid w:val="00840102"/>
    <w:rsid w:val="008E2820"/>
    <w:rsid w:val="00936766"/>
    <w:rsid w:val="00947717"/>
    <w:rsid w:val="009535D5"/>
    <w:rsid w:val="009A5F07"/>
    <w:rsid w:val="009B76E5"/>
    <w:rsid w:val="009F3B17"/>
    <w:rsid w:val="00A53148"/>
    <w:rsid w:val="00A62E56"/>
    <w:rsid w:val="00B20DDB"/>
    <w:rsid w:val="00B417E2"/>
    <w:rsid w:val="00B51263"/>
    <w:rsid w:val="00B7361D"/>
    <w:rsid w:val="00B81777"/>
    <w:rsid w:val="00C5358E"/>
    <w:rsid w:val="00C65D55"/>
    <w:rsid w:val="00C86053"/>
    <w:rsid w:val="00CE64BD"/>
    <w:rsid w:val="00D379B3"/>
    <w:rsid w:val="00D77218"/>
    <w:rsid w:val="00DD02E8"/>
    <w:rsid w:val="00DF4C13"/>
    <w:rsid w:val="00E5458E"/>
    <w:rsid w:val="00E6371E"/>
    <w:rsid w:val="00E742D2"/>
    <w:rsid w:val="00E857FC"/>
    <w:rsid w:val="00E860B1"/>
    <w:rsid w:val="00E95C4A"/>
    <w:rsid w:val="00EB3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69521"/>
  <w15:docId w15:val="{E5006823-6297-4A80-A1C3-6AD7275D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6371E"/>
    <w:pPr>
      <w:spacing w:line="240" w:lineRule="auto"/>
    </w:pPr>
    <w:rPr>
      <w:sz w:val="20"/>
      <w:szCs w:val="20"/>
    </w:rPr>
  </w:style>
  <w:style w:type="character" w:customStyle="1" w:styleId="CommentTextChar">
    <w:name w:val="Comment Text Char"/>
    <w:basedOn w:val="DefaultParagraphFont"/>
    <w:link w:val="CommentText"/>
    <w:uiPriority w:val="99"/>
    <w:semiHidden/>
    <w:rsid w:val="00E6371E"/>
    <w:rPr>
      <w:sz w:val="20"/>
      <w:szCs w:val="20"/>
    </w:rPr>
  </w:style>
  <w:style w:type="table" w:styleId="TableGrid">
    <w:name w:val="Table Grid"/>
    <w:basedOn w:val="TableNormal"/>
    <w:uiPriority w:val="59"/>
    <w:rsid w:val="00E6371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71E"/>
    <w:rPr>
      <w:sz w:val="18"/>
      <w:szCs w:val="18"/>
    </w:rPr>
  </w:style>
  <w:style w:type="paragraph" w:styleId="BalloonText">
    <w:name w:val="Balloon Text"/>
    <w:basedOn w:val="Normal"/>
    <w:link w:val="BalloonTextChar"/>
    <w:uiPriority w:val="99"/>
    <w:semiHidden/>
    <w:unhideWhenUsed/>
    <w:rsid w:val="00E63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71E"/>
    <w:rPr>
      <w:rFonts w:ascii="Tahoma" w:hAnsi="Tahoma" w:cs="Tahoma"/>
      <w:sz w:val="16"/>
      <w:szCs w:val="16"/>
    </w:rPr>
  </w:style>
  <w:style w:type="paragraph" w:styleId="ListParagraph">
    <w:name w:val="List Paragraph"/>
    <w:basedOn w:val="Normal"/>
    <w:uiPriority w:val="34"/>
    <w:qFormat/>
    <w:rsid w:val="00E6371E"/>
    <w:pPr>
      <w:ind w:left="720"/>
      <w:contextualSpacing/>
    </w:pPr>
  </w:style>
  <w:style w:type="paragraph" w:styleId="Header">
    <w:name w:val="header"/>
    <w:basedOn w:val="Normal"/>
    <w:link w:val="HeaderChar"/>
    <w:uiPriority w:val="99"/>
    <w:unhideWhenUsed/>
    <w:rsid w:val="003D1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2B8"/>
  </w:style>
  <w:style w:type="paragraph" w:styleId="Footer">
    <w:name w:val="footer"/>
    <w:basedOn w:val="Normal"/>
    <w:link w:val="FooterChar"/>
    <w:uiPriority w:val="99"/>
    <w:unhideWhenUsed/>
    <w:rsid w:val="003D1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2B8"/>
  </w:style>
  <w:style w:type="paragraph" w:styleId="CommentSubject">
    <w:name w:val="annotation subject"/>
    <w:basedOn w:val="CommentText"/>
    <w:next w:val="CommentText"/>
    <w:link w:val="CommentSubjectChar"/>
    <w:uiPriority w:val="99"/>
    <w:semiHidden/>
    <w:unhideWhenUsed/>
    <w:rsid w:val="004F7813"/>
    <w:rPr>
      <w:b/>
      <w:bCs/>
    </w:rPr>
  </w:style>
  <w:style w:type="character" w:customStyle="1" w:styleId="CommentSubjectChar">
    <w:name w:val="Comment Subject Char"/>
    <w:basedOn w:val="CommentTextChar"/>
    <w:link w:val="CommentSubject"/>
    <w:uiPriority w:val="99"/>
    <w:semiHidden/>
    <w:rsid w:val="004F7813"/>
    <w:rPr>
      <w:b/>
      <w:bCs/>
      <w:sz w:val="20"/>
      <w:szCs w:val="20"/>
    </w:rPr>
  </w:style>
  <w:style w:type="paragraph" w:styleId="Revision">
    <w:name w:val="Revision"/>
    <w:hidden/>
    <w:uiPriority w:val="99"/>
    <w:semiHidden/>
    <w:rsid w:val="00352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9510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WRI</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Suneeta Kaimal</dc:creator>
  <cp:lastModifiedBy>Christina Tecson</cp:lastModifiedBy>
  <cp:revision>2</cp:revision>
  <dcterms:created xsi:type="dcterms:W3CDTF">2015-11-05T20:53:00Z</dcterms:created>
  <dcterms:modified xsi:type="dcterms:W3CDTF">2015-11-05T20:53:00Z</dcterms:modified>
</cp:coreProperties>
</file>