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BC9" w:rsidRDefault="003D2BC9" w:rsidP="003D2BC9">
      <w:pPr>
        <w:autoSpaceDE w:val="0"/>
        <w:autoSpaceDN w:val="0"/>
        <w:jc w:val="center"/>
        <w:rPr>
          <w:rFonts w:ascii="Gotham Bold" w:hAnsi="Gotham Bold"/>
          <w:b/>
          <w:bCs/>
          <w:color w:val="000000"/>
          <w:sz w:val="96"/>
          <w:szCs w:val="96"/>
        </w:rPr>
      </w:pPr>
      <w:bookmarkStart w:id="0" w:name="_Toc431288968"/>
      <w:bookmarkStart w:id="1" w:name="_Toc428787069"/>
      <w:bookmarkStart w:id="2" w:name="_Toc428794289"/>
      <w:bookmarkStart w:id="3" w:name="_Toc428796076"/>
      <w:bookmarkStart w:id="4" w:name="_Toc428800183"/>
      <w:bookmarkStart w:id="5" w:name="_Toc428800412"/>
      <w:bookmarkStart w:id="6" w:name="_Toc428803014"/>
      <w:bookmarkStart w:id="7" w:name="_Toc431283340"/>
      <w:bookmarkStart w:id="8" w:name="_Toc431286911"/>
      <w:r>
        <w:rPr>
          <w:rFonts w:ascii="Gotham Bold" w:hAnsi="Gotham Bold"/>
          <w:b/>
          <w:bCs/>
          <w:noProof/>
          <w:color w:val="000000"/>
          <w:sz w:val="96"/>
          <w:szCs w:val="96"/>
          <w:lang w:val="es-PE" w:eastAsia="es-PE"/>
        </w:rPr>
        <w:drawing>
          <wp:anchor distT="0" distB="0" distL="114300" distR="114300" simplePos="0" relativeHeight="251661824" behindDoc="1" locked="0" layoutInCell="1" allowOverlap="1" wp14:anchorId="757D40BA" wp14:editId="61292325">
            <wp:simplePos x="0" y="0"/>
            <wp:positionH relativeFrom="margin">
              <wp:posOffset>3657031</wp:posOffset>
            </wp:positionH>
            <wp:positionV relativeFrom="paragraph">
              <wp:posOffset>13335</wp:posOffset>
            </wp:positionV>
            <wp:extent cx="2313305" cy="681355"/>
            <wp:effectExtent l="0" t="0" r="0" b="4445"/>
            <wp:wrapTight wrapText="bothSides">
              <wp:wrapPolygon edited="0">
                <wp:start x="0" y="0"/>
                <wp:lineTo x="0" y="21137"/>
                <wp:lineTo x="21345" y="21137"/>
                <wp:lineTo x="21345"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b. del Perú.JPG"/>
                    <pic:cNvPicPr/>
                  </pic:nvPicPr>
                  <pic:blipFill>
                    <a:blip r:embed="rId8">
                      <a:extLst>
                        <a:ext uri="{28A0092B-C50C-407E-A947-70E740481C1C}">
                          <a14:useLocalDpi xmlns:a14="http://schemas.microsoft.com/office/drawing/2010/main" val="0"/>
                        </a:ext>
                      </a:extLst>
                    </a:blip>
                    <a:stretch>
                      <a:fillRect/>
                    </a:stretch>
                  </pic:blipFill>
                  <pic:spPr>
                    <a:xfrm>
                      <a:off x="0" y="0"/>
                      <a:ext cx="2313305" cy="681355"/>
                    </a:xfrm>
                    <a:prstGeom prst="rect">
                      <a:avLst/>
                    </a:prstGeom>
                  </pic:spPr>
                </pic:pic>
              </a:graphicData>
            </a:graphic>
            <wp14:sizeRelH relativeFrom="margin">
              <wp14:pctWidth>0</wp14:pctWidth>
            </wp14:sizeRelH>
            <wp14:sizeRelV relativeFrom="margin">
              <wp14:pctHeight>0</wp14:pctHeight>
            </wp14:sizeRelV>
          </wp:anchor>
        </w:drawing>
      </w:r>
    </w:p>
    <w:p w:rsidR="003D2BC9" w:rsidRDefault="003D2BC9" w:rsidP="003D2BC9">
      <w:pPr>
        <w:autoSpaceDE w:val="0"/>
        <w:autoSpaceDN w:val="0"/>
        <w:jc w:val="center"/>
        <w:rPr>
          <w:rFonts w:ascii="Gotham Bold" w:hAnsi="Gotham Bold"/>
          <w:b/>
          <w:bCs/>
          <w:color w:val="000000"/>
          <w:sz w:val="96"/>
          <w:szCs w:val="96"/>
        </w:rPr>
      </w:pPr>
    </w:p>
    <w:p w:rsidR="003D2BC9" w:rsidRDefault="003D2BC9" w:rsidP="003D2BC9">
      <w:pPr>
        <w:autoSpaceDE w:val="0"/>
        <w:autoSpaceDN w:val="0"/>
        <w:rPr>
          <w:rFonts w:ascii="Gotham Bold" w:hAnsi="Gotham Bold"/>
          <w:b/>
          <w:bCs/>
          <w:color w:val="000000"/>
          <w:sz w:val="96"/>
          <w:szCs w:val="96"/>
        </w:rPr>
      </w:pPr>
    </w:p>
    <w:p w:rsidR="00627CC2" w:rsidRDefault="00627CC2" w:rsidP="003D2BC9">
      <w:pPr>
        <w:autoSpaceDE w:val="0"/>
        <w:autoSpaceDN w:val="0"/>
        <w:rPr>
          <w:rFonts w:ascii="Gotham Bold" w:hAnsi="Gotham Bold"/>
          <w:b/>
          <w:bCs/>
          <w:color w:val="000000"/>
          <w:sz w:val="96"/>
          <w:szCs w:val="96"/>
        </w:rPr>
      </w:pPr>
    </w:p>
    <w:p w:rsidR="003D2BC9" w:rsidRDefault="003D2BC9" w:rsidP="003D2BC9">
      <w:pPr>
        <w:autoSpaceDE w:val="0"/>
        <w:autoSpaceDN w:val="0"/>
        <w:rPr>
          <w:rFonts w:ascii="Gotham Bold" w:hAnsi="Gotham Bold"/>
          <w:b/>
          <w:bCs/>
          <w:color w:val="000000"/>
          <w:sz w:val="96"/>
          <w:szCs w:val="96"/>
        </w:rPr>
      </w:pPr>
      <w:r>
        <w:rPr>
          <w:rFonts w:ascii="Gotham Bold" w:hAnsi="Gotham Bold"/>
          <w:b/>
          <w:bCs/>
          <w:color w:val="000000"/>
          <w:sz w:val="96"/>
          <w:szCs w:val="96"/>
        </w:rPr>
        <w:t>PERÚ</w:t>
      </w:r>
    </w:p>
    <w:p w:rsidR="003D2BC9" w:rsidRDefault="003D2BC9" w:rsidP="003D2BC9">
      <w:pPr>
        <w:autoSpaceDE w:val="0"/>
        <w:autoSpaceDN w:val="0"/>
        <w:rPr>
          <w:rFonts w:ascii="Gotham Bold" w:hAnsi="Gotham Bold"/>
          <w:b/>
          <w:bCs/>
          <w:color w:val="000000"/>
          <w:sz w:val="32"/>
          <w:szCs w:val="32"/>
        </w:rPr>
      </w:pPr>
      <w:r>
        <w:rPr>
          <w:rFonts w:ascii="Gotham Bold" w:hAnsi="Gotham Bold"/>
          <w:b/>
          <w:bCs/>
          <w:noProof/>
          <w:color w:val="000000"/>
          <w:sz w:val="96"/>
          <w:szCs w:val="96"/>
          <w:lang w:val="es-PE" w:eastAsia="es-PE"/>
        </w:rPr>
        <w:drawing>
          <wp:anchor distT="0" distB="0" distL="114300" distR="114300" simplePos="0" relativeHeight="251658752" behindDoc="1" locked="0" layoutInCell="1" allowOverlap="1" wp14:anchorId="02361AC9" wp14:editId="70AE4A69">
            <wp:simplePos x="0" y="0"/>
            <wp:positionH relativeFrom="margin">
              <wp:align>left</wp:align>
            </wp:positionH>
            <wp:positionV relativeFrom="paragraph">
              <wp:posOffset>38090</wp:posOffset>
            </wp:positionV>
            <wp:extent cx="916940" cy="805180"/>
            <wp:effectExtent l="0" t="0" r="0" b="0"/>
            <wp:wrapTight wrapText="bothSides">
              <wp:wrapPolygon edited="0">
                <wp:start x="0" y="0"/>
                <wp:lineTo x="0" y="20953"/>
                <wp:lineTo x="21091" y="20953"/>
                <wp:lineTo x="21091"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G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6940" cy="805180"/>
                    </a:xfrm>
                    <a:prstGeom prst="rect">
                      <a:avLst/>
                    </a:prstGeom>
                  </pic:spPr>
                </pic:pic>
              </a:graphicData>
            </a:graphic>
            <wp14:sizeRelH relativeFrom="margin">
              <wp14:pctWidth>0</wp14:pctWidth>
            </wp14:sizeRelH>
            <wp14:sizeRelV relativeFrom="margin">
              <wp14:pctHeight>0</wp14:pctHeight>
            </wp14:sizeRelV>
          </wp:anchor>
        </w:drawing>
      </w:r>
    </w:p>
    <w:p w:rsidR="003D2BC9" w:rsidRDefault="003D2BC9" w:rsidP="003D2BC9">
      <w:pPr>
        <w:autoSpaceDE w:val="0"/>
        <w:autoSpaceDN w:val="0"/>
        <w:rPr>
          <w:rFonts w:ascii="Gotham Bold" w:hAnsi="Gotham Bold"/>
          <w:b/>
          <w:bCs/>
          <w:color w:val="000000"/>
          <w:sz w:val="32"/>
          <w:szCs w:val="32"/>
        </w:rPr>
      </w:pPr>
    </w:p>
    <w:p w:rsidR="003D2BC9" w:rsidRDefault="003D2BC9" w:rsidP="003D2BC9">
      <w:pPr>
        <w:autoSpaceDE w:val="0"/>
        <w:autoSpaceDN w:val="0"/>
        <w:rPr>
          <w:rFonts w:ascii="Gotham Bold" w:hAnsi="Gotham Bold"/>
          <w:b/>
          <w:bCs/>
          <w:color w:val="000000"/>
          <w:sz w:val="32"/>
          <w:szCs w:val="32"/>
        </w:rPr>
      </w:pPr>
    </w:p>
    <w:p w:rsidR="003D2BC9" w:rsidRDefault="003D2BC9" w:rsidP="003D2BC9">
      <w:pPr>
        <w:autoSpaceDE w:val="0"/>
        <w:autoSpaceDN w:val="0"/>
        <w:rPr>
          <w:rFonts w:ascii="Gotham Bold" w:hAnsi="Gotham Bold"/>
          <w:b/>
          <w:bCs/>
          <w:color w:val="000000"/>
          <w:sz w:val="32"/>
          <w:szCs w:val="32"/>
        </w:rPr>
      </w:pPr>
      <w:r>
        <w:rPr>
          <w:rFonts w:ascii="Gotham Bold" w:hAnsi="Gotham Bold"/>
          <w:b/>
          <w:bCs/>
          <w:color w:val="000000"/>
          <w:sz w:val="32"/>
          <w:szCs w:val="32"/>
        </w:rPr>
        <w:t>Informe de Autoevaluación de Medio Término</w:t>
      </w:r>
    </w:p>
    <w:p w:rsidR="003D2BC9" w:rsidRDefault="003D2BC9" w:rsidP="00627CC2">
      <w:pPr>
        <w:autoSpaceDE w:val="0"/>
        <w:autoSpaceDN w:val="0"/>
        <w:spacing w:after="0"/>
        <w:rPr>
          <w:rFonts w:ascii="Gotham Bold" w:hAnsi="Gotham Bold"/>
          <w:b/>
          <w:bCs/>
          <w:color w:val="000000"/>
          <w:sz w:val="32"/>
          <w:szCs w:val="32"/>
        </w:rPr>
      </w:pPr>
      <w:r>
        <w:rPr>
          <w:rFonts w:ascii="Gotham Bold" w:hAnsi="Gotham Bold"/>
          <w:b/>
          <w:bCs/>
          <w:color w:val="000000"/>
          <w:sz w:val="32"/>
          <w:szCs w:val="32"/>
        </w:rPr>
        <w:t>Plan de Acción Nacional</w:t>
      </w:r>
    </w:p>
    <w:p w:rsidR="003D2BC9" w:rsidRDefault="003D2BC9" w:rsidP="00627CC2">
      <w:pPr>
        <w:autoSpaceDE w:val="0"/>
        <w:autoSpaceDN w:val="0"/>
        <w:spacing w:after="0"/>
        <w:rPr>
          <w:rFonts w:ascii="Gotham Bold" w:hAnsi="Gotham Bold"/>
          <w:b/>
          <w:bCs/>
          <w:color w:val="000000"/>
          <w:sz w:val="32"/>
          <w:szCs w:val="32"/>
        </w:rPr>
      </w:pPr>
      <w:r>
        <w:rPr>
          <w:rFonts w:ascii="Gotham Bold" w:hAnsi="Gotham Bold"/>
          <w:b/>
          <w:bCs/>
          <w:color w:val="000000"/>
          <w:sz w:val="32"/>
          <w:szCs w:val="32"/>
        </w:rPr>
        <w:t>201</w:t>
      </w:r>
      <w:r w:rsidR="00627CC2">
        <w:rPr>
          <w:rFonts w:ascii="Gotham Bold" w:hAnsi="Gotham Bold"/>
          <w:b/>
          <w:bCs/>
          <w:color w:val="000000"/>
          <w:sz w:val="32"/>
          <w:szCs w:val="32"/>
        </w:rPr>
        <w:t>5</w:t>
      </w:r>
      <w:r>
        <w:rPr>
          <w:rFonts w:ascii="Gotham Bold" w:hAnsi="Gotham Bold"/>
          <w:b/>
          <w:bCs/>
          <w:color w:val="000000"/>
          <w:sz w:val="32"/>
          <w:szCs w:val="32"/>
        </w:rPr>
        <w:t>-</w:t>
      </w:r>
      <w:r w:rsidRPr="00EA13E6">
        <w:rPr>
          <w:rFonts w:ascii="Gotham Bold" w:hAnsi="Gotham Bold"/>
          <w:b/>
          <w:bCs/>
          <w:color w:val="000000"/>
          <w:sz w:val="32"/>
          <w:szCs w:val="32"/>
        </w:rPr>
        <w:t>201</w:t>
      </w:r>
      <w:r w:rsidR="00627CC2">
        <w:rPr>
          <w:rFonts w:ascii="Gotham Bold" w:hAnsi="Gotham Bold"/>
          <w:b/>
          <w:bCs/>
          <w:color w:val="000000"/>
          <w:sz w:val="32"/>
          <w:szCs w:val="32"/>
        </w:rPr>
        <w:t>6</w:t>
      </w:r>
    </w:p>
    <w:p w:rsidR="003D2BC9" w:rsidRDefault="003D2BC9" w:rsidP="003D2BC9">
      <w:pPr>
        <w:autoSpaceDE w:val="0"/>
        <w:autoSpaceDN w:val="0"/>
        <w:jc w:val="center"/>
        <w:rPr>
          <w:rFonts w:ascii="Gotham Bold" w:hAnsi="Gotham Bold"/>
          <w:b/>
          <w:bCs/>
          <w:color w:val="000000"/>
          <w:sz w:val="32"/>
          <w:szCs w:val="32"/>
        </w:rPr>
      </w:pPr>
      <w:r>
        <w:rPr>
          <w:rFonts w:ascii="Gotham Bold" w:hAnsi="Gotham Bold"/>
          <w:b/>
          <w:bCs/>
          <w:noProof/>
          <w:color w:val="000000"/>
          <w:sz w:val="32"/>
          <w:szCs w:val="32"/>
          <w:lang w:val="es-PE" w:eastAsia="es-PE"/>
        </w:rPr>
        <w:drawing>
          <wp:anchor distT="0" distB="0" distL="114300" distR="114300" simplePos="0" relativeHeight="251655680" behindDoc="1" locked="0" layoutInCell="1" allowOverlap="1" wp14:anchorId="6969A398" wp14:editId="14B5DBF5">
            <wp:simplePos x="0" y="0"/>
            <wp:positionH relativeFrom="page">
              <wp:align>left</wp:align>
            </wp:positionH>
            <wp:positionV relativeFrom="paragraph">
              <wp:posOffset>419716</wp:posOffset>
            </wp:positionV>
            <wp:extent cx="8099425" cy="271145"/>
            <wp:effectExtent l="0" t="0" r="0" b="0"/>
            <wp:wrapTight wrapText="bothSides">
              <wp:wrapPolygon edited="0">
                <wp:start x="0" y="0"/>
                <wp:lineTo x="0" y="19728"/>
                <wp:lineTo x="21541" y="19728"/>
                <wp:lineTo x="21541" y="0"/>
                <wp:lineTo x="0" y="0"/>
              </wp:wrapPolygon>
            </wp:wrapTight>
            <wp:docPr id="1" name="Imagen 1" descr="cid:image002.jpg@01D21359.D6CC0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21359.D6CC0E4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099425" cy="2711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D2BC9" w:rsidRDefault="003D2BC9" w:rsidP="003D2BC9">
      <w:pPr>
        <w:autoSpaceDE w:val="0"/>
        <w:autoSpaceDN w:val="0"/>
        <w:jc w:val="center"/>
        <w:rPr>
          <w:rFonts w:ascii="Gotham Bold" w:hAnsi="Gotham Bold"/>
          <w:b/>
          <w:bCs/>
          <w:color w:val="000000"/>
          <w:sz w:val="32"/>
          <w:szCs w:val="32"/>
        </w:rPr>
      </w:pPr>
    </w:p>
    <w:p w:rsidR="003D2BC9" w:rsidRDefault="003D2BC9" w:rsidP="003D2BC9">
      <w:pPr>
        <w:autoSpaceDE w:val="0"/>
        <w:autoSpaceDN w:val="0"/>
        <w:jc w:val="right"/>
        <w:rPr>
          <w:rFonts w:ascii="Gotham Bold" w:hAnsi="Gotham Bold"/>
          <w:b/>
          <w:bCs/>
          <w:color w:val="000000"/>
          <w:sz w:val="32"/>
          <w:szCs w:val="32"/>
        </w:rPr>
      </w:pPr>
      <w:r>
        <w:rPr>
          <w:rFonts w:ascii="Gotham Bold" w:hAnsi="Gotham Bold"/>
          <w:b/>
          <w:bCs/>
          <w:color w:val="000000"/>
          <w:sz w:val="32"/>
          <w:szCs w:val="32"/>
        </w:rPr>
        <w:t>Setiembre 201</w:t>
      </w:r>
      <w:r w:rsidR="00627CC2">
        <w:rPr>
          <w:rFonts w:ascii="Gotham Bold" w:hAnsi="Gotham Bold"/>
          <w:b/>
          <w:bCs/>
          <w:color w:val="000000"/>
          <w:sz w:val="32"/>
          <w:szCs w:val="32"/>
        </w:rPr>
        <w:t>6</w:t>
      </w:r>
    </w:p>
    <w:p w:rsidR="00F04869" w:rsidRPr="009620B4" w:rsidRDefault="00A56D20" w:rsidP="003A3ABE">
      <w:pPr>
        <w:numPr>
          <w:ilvl w:val="0"/>
          <w:numId w:val="5"/>
        </w:numPr>
        <w:autoSpaceDE w:val="0"/>
        <w:autoSpaceDN w:val="0"/>
        <w:adjustRightInd w:val="0"/>
        <w:spacing w:after="0" w:line="240" w:lineRule="auto"/>
        <w:ind w:left="284"/>
        <w:rPr>
          <w:i/>
          <w:sz w:val="28"/>
          <w:szCs w:val="28"/>
        </w:rPr>
      </w:pPr>
      <w:r w:rsidRPr="009620B4">
        <w:rPr>
          <w:rFonts w:cs="Gotham Bold"/>
          <w:b/>
          <w:i/>
          <w:color w:val="000000"/>
          <w:sz w:val="28"/>
          <w:szCs w:val="28"/>
          <w:lang w:val="es-PE"/>
        </w:rPr>
        <w:t>Introducción y antecedentes</w:t>
      </w:r>
      <w:bookmarkEnd w:id="0"/>
      <w:bookmarkEnd w:id="1"/>
      <w:bookmarkEnd w:id="2"/>
      <w:bookmarkEnd w:id="3"/>
      <w:bookmarkEnd w:id="4"/>
      <w:bookmarkEnd w:id="5"/>
      <w:bookmarkEnd w:id="6"/>
      <w:bookmarkEnd w:id="7"/>
      <w:bookmarkEnd w:id="8"/>
    </w:p>
    <w:p w:rsidR="009620B4" w:rsidRPr="009620B4" w:rsidRDefault="009620B4" w:rsidP="009620B4">
      <w:pPr>
        <w:autoSpaceDE w:val="0"/>
        <w:autoSpaceDN w:val="0"/>
        <w:adjustRightInd w:val="0"/>
        <w:spacing w:after="0" w:line="240" w:lineRule="auto"/>
        <w:ind w:left="284"/>
        <w:rPr>
          <w:i/>
          <w:sz w:val="28"/>
          <w:szCs w:val="28"/>
        </w:rPr>
      </w:pPr>
    </w:p>
    <w:p w:rsidR="003E0C45" w:rsidRDefault="003E0C45" w:rsidP="003E0C45">
      <w:pPr>
        <w:pStyle w:val="Prrafodelista"/>
        <w:spacing w:line="240" w:lineRule="auto"/>
        <w:ind w:left="284"/>
        <w:jc w:val="both"/>
        <w:rPr>
          <w:rFonts w:cs="Arial"/>
          <w:shd w:val="clear" w:color="auto" w:fill="FFFFFF"/>
        </w:rPr>
      </w:pPr>
      <w:r w:rsidRPr="00617CDE">
        <w:rPr>
          <w:rFonts w:cs="Arial"/>
          <w:shd w:val="clear" w:color="auto" w:fill="FFFFFF"/>
        </w:rPr>
        <w:t xml:space="preserve">La Alianza para el </w:t>
      </w:r>
      <w:r>
        <w:rPr>
          <w:rFonts w:cs="Arial"/>
          <w:shd w:val="clear" w:color="auto" w:fill="FFFFFF"/>
        </w:rPr>
        <w:t xml:space="preserve">Gobierno Abierto (Open </w:t>
      </w:r>
      <w:proofErr w:type="spellStart"/>
      <w:r>
        <w:rPr>
          <w:rFonts w:cs="Arial"/>
          <w:shd w:val="clear" w:color="auto" w:fill="FFFFFF"/>
        </w:rPr>
        <w:t>Government</w:t>
      </w:r>
      <w:proofErr w:type="spellEnd"/>
      <w:r>
        <w:rPr>
          <w:rFonts w:cs="Arial"/>
          <w:shd w:val="clear" w:color="auto" w:fill="FFFFFF"/>
        </w:rPr>
        <w:t xml:space="preserve"> </w:t>
      </w:r>
      <w:proofErr w:type="spellStart"/>
      <w:r>
        <w:rPr>
          <w:rFonts w:cs="Arial"/>
          <w:shd w:val="clear" w:color="auto" w:fill="FFFFFF"/>
        </w:rPr>
        <w:t>Partnership</w:t>
      </w:r>
      <w:proofErr w:type="spellEnd"/>
      <w:r>
        <w:rPr>
          <w:rFonts w:cs="Arial"/>
          <w:shd w:val="clear" w:color="auto" w:fill="FFFFFF"/>
        </w:rPr>
        <w:t>) es una iniciativa global que tiene como objetivo mejorar los niveles de transparencia mediante la apertura de datos que permita a la administración pública rendir cuentas, y a la ciudadanía ejercer un adecuado control social y participar en el diseño e implementación de las políticas públicas, favoreciendo de esta manera espacios de colaboración entre las entidades públicas y la sociedad civil.</w:t>
      </w:r>
    </w:p>
    <w:p w:rsidR="009620B4" w:rsidRDefault="009620B4" w:rsidP="009620B4">
      <w:pPr>
        <w:pStyle w:val="Prrafodelista"/>
        <w:spacing w:line="240" w:lineRule="auto"/>
        <w:ind w:left="284"/>
        <w:jc w:val="both"/>
        <w:rPr>
          <w:rFonts w:cs="Arial"/>
          <w:shd w:val="clear" w:color="auto" w:fill="FFFFFF"/>
        </w:rPr>
      </w:pPr>
    </w:p>
    <w:p w:rsidR="003E0C45" w:rsidRDefault="003E0C45" w:rsidP="003E0C45">
      <w:pPr>
        <w:pStyle w:val="Prrafodelista"/>
        <w:spacing w:line="240" w:lineRule="auto"/>
        <w:ind w:left="284"/>
        <w:jc w:val="both"/>
        <w:rPr>
          <w:rFonts w:cs="Arial"/>
          <w:shd w:val="clear" w:color="auto" w:fill="FFFFFF"/>
        </w:rPr>
      </w:pPr>
      <w:r>
        <w:rPr>
          <w:rFonts w:cs="Arial"/>
          <w:shd w:val="clear" w:color="auto" w:fill="FFFFFF"/>
        </w:rPr>
        <w:t xml:space="preserve">El Perú se incorporó como miembro pleno de la Alianza para el Gobierno Abierto en abril de 2012, lo que se concretaría con la elaboración de un Plan de Acción que incluiría compromisos en materia de transparencia y acceso a la información pública, integridad pública, gobierno electrónico y promoción del desarrollo de nuevas tecnologías, participación, rendición de cuentas. El 10 de abril de 2012 se aprobó el primer </w:t>
      </w:r>
      <w:r w:rsidR="003E084F">
        <w:rPr>
          <w:rFonts w:cs="Arial"/>
          <w:shd w:val="clear" w:color="auto" w:fill="FFFFFF"/>
        </w:rPr>
        <w:t>P</w:t>
      </w:r>
      <w:r>
        <w:rPr>
          <w:rFonts w:cs="Arial"/>
          <w:shd w:val="clear" w:color="auto" w:fill="FFFFFF"/>
        </w:rPr>
        <w:t xml:space="preserve">lan de </w:t>
      </w:r>
      <w:r w:rsidR="003E084F">
        <w:rPr>
          <w:rFonts w:cs="Arial"/>
          <w:shd w:val="clear" w:color="auto" w:fill="FFFFFF"/>
        </w:rPr>
        <w:t>A</w:t>
      </w:r>
      <w:r>
        <w:rPr>
          <w:rFonts w:cs="Arial"/>
          <w:shd w:val="clear" w:color="auto" w:fill="FFFFFF"/>
        </w:rPr>
        <w:t xml:space="preserve">cción 2012-2014 mediante Resolución Ministerial N° 085-2012-PCM, el cual fue elaborado de acuerdo con las exigencias de la Alianza, de manera participativa y favoreciendo la integración de los diversos sectores y representantes de la sociedad civil y de los gremios empresariales. </w:t>
      </w:r>
    </w:p>
    <w:p w:rsidR="009620B4" w:rsidRDefault="009620B4" w:rsidP="009620B4">
      <w:pPr>
        <w:pStyle w:val="Prrafodelista"/>
        <w:spacing w:line="240" w:lineRule="auto"/>
        <w:ind w:left="284"/>
        <w:jc w:val="both"/>
        <w:rPr>
          <w:rFonts w:cs="Arial"/>
          <w:shd w:val="clear" w:color="auto" w:fill="FFFFFF"/>
        </w:rPr>
      </w:pPr>
    </w:p>
    <w:p w:rsidR="00617CDE" w:rsidRDefault="00A27E2C" w:rsidP="009620B4">
      <w:pPr>
        <w:pStyle w:val="Prrafodelista"/>
        <w:spacing w:line="240" w:lineRule="auto"/>
        <w:ind w:left="284"/>
        <w:jc w:val="both"/>
        <w:rPr>
          <w:rFonts w:cs="Arial"/>
          <w:shd w:val="clear" w:color="auto" w:fill="FFFFFF"/>
        </w:rPr>
      </w:pPr>
      <w:r>
        <w:rPr>
          <w:rFonts w:cs="Arial"/>
          <w:shd w:val="clear" w:color="auto" w:fill="FFFFFF"/>
        </w:rPr>
        <w:t>Así, c</w:t>
      </w:r>
      <w:r w:rsidR="00617CDE">
        <w:rPr>
          <w:rFonts w:cs="Arial"/>
          <w:shd w:val="clear" w:color="auto" w:fill="FFFFFF"/>
        </w:rPr>
        <w:t>oncebimos el Gobierno Abierto como aquel que entabla un constante diálogo con los ciudadanos</w:t>
      </w:r>
      <w:r w:rsidR="003E084F">
        <w:rPr>
          <w:rFonts w:cs="Arial"/>
          <w:shd w:val="clear" w:color="auto" w:fill="FFFFFF"/>
        </w:rPr>
        <w:t xml:space="preserve">, </w:t>
      </w:r>
      <w:r w:rsidR="00617CDE">
        <w:rPr>
          <w:rFonts w:cs="Arial"/>
          <w:shd w:val="clear" w:color="auto" w:fill="FFFFFF"/>
        </w:rPr>
        <w:t>con el fin de escucharlos y tomar decisiones basadas en sus necesidades, facilitando</w:t>
      </w:r>
      <w:r w:rsidR="003E084F">
        <w:rPr>
          <w:rFonts w:cs="Arial"/>
          <w:shd w:val="clear" w:color="auto" w:fill="FFFFFF"/>
        </w:rPr>
        <w:t>, además,</w:t>
      </w:r>
      <w:r w:rsidR="00617CDE">
        <w:rPr>
          <w:rFonts w:cs="Arial"/>
          <w:shd w:val="clear" w:color="auto" w:fill="FFFFFF"/>
        </w:rPr>
        <w:t xml:space="preserve"> la colaboración entre los funcionarios y los ciudadanos en el desarrollo de los servicios que presta el Estado y rindiendo cuentas de los acuerdos tomados y de los compromisos asumidos, con el propósito de fortalecer la institucionalidad y la g</w:t>
      </w:r>
      <w:r w:rsidR="0091291D">
        <w:rPr>
          <w:rFonts w:cs="Arial"/>
          <w:shd w:val="clear" w:color="auto" w:fill="FFFFFF"/>
        </w:rPr>
        <w:t xml:space="preserve">estión de los asuntos públicos para la mejora de la </w:t>
      </w:r>
      <w:r w:rsidR="00617CDE">
        <w:rPr>
          <w:rFonts w:cs="Arial"/>
          <w:shd w:val="clear" w:color="auto" w:fill="FFFFFF"/>
        </w:rPr>
        <w:t>calidad de vida de los ciudadanos.</w:t>
      </w:r>
    </w:p>
    <w:p w:rsidR="009620B4" w:rsidRDefault="009620B4" w:rsidP="009620B4">
      <w:pPr>
        <w:pStyle w:val="Prrafodelista"/>
        <w:spacing w:line="240" w:lineRule="auto"/>
        <w:ind w:left="284"/>
        <w:jc w:val="both"/>
        <w:rPr>
          <w:rFonts w:cs="Arial"/>
          <w:shd w:val="clear" w:color="auto" w:fill="FFFFFF"/>
        </w:rPr>
      </w:pPr>
    </w:p>
    <w:p w:rsidR="00617CDE" w:rsidRDefault="00617CDE" w:rsidP="009620B4">
      <w:pPr>
        <w:pStyle w:val="Prrafodelista"/>
        <w:spacing w:line="240" w:lineRule="auto"/>
        <w:ind w:left="284"/>
        <w:jc w:val="both"/>
        <w:rPr>
          <w:rFonts w:cs="Arial"/>
          <w:shd w:val="clear" w:color="auto" w:fill="FFFFFF"/>
        </w:rPr>
      </w:pPr>
      <w:r>
        <w:rPr>
          <w:rFonts w:cs="Arial"/>
          <w:shd w:val="clear" w:color="auto" w:fill="FFFFFF"/>
        </w:rPr>
        <w:t>El Gobierno Abierto constituye un eje de la Política Nacional de Modernización de la Gestión Pública</w:t>
      </w:r>
      <w:r w:rsidR="003068B4">
        <w:rPr>
          <w:rFonts w:cs="Arial"/>
          <w:shd w:val="clear" w:color="auto" w:fill="FFFFFF"/>
        </w:rPr>
        <w:t xml:space="preserve">, aprobada por Decreto Supremo N° 004-2013-PCM, </w:t>
      </w:r>
      <w:r w:rsidR="0091291D">
        <w:rPr>
          <w:rFonts w:cs="Arial"/>
          <w:shd w:val="clear" w:color="auto" w:fill="FFFFFF"/>
        </w:rPr>
        <w:t>la cual</w:t>
      </w:r>
      <w:r w:rsidR="003068B4">
        <w:rPr>
          <w:rFonts w:cs="Arial"/>
          <w:shd w:val="clear" w:color="auto" w:fill="FFFFFF"/>
        </w:rPr>
        <w:t xml:space="preserve"> debe ser implementada por todas las entidades del Estado.</w:t>
      </w:r>
    </w:p>
    <w:p w:rsidR="009620B4" w:rsidRDefault="009620B4" w:rsidP="009620B4">
      <w:pPr>
        <w:pStyle w:val="Prrafodelista"/>
        <w:spacing w:line="240" w:lineRule="auto"/>
        <w:ind w:left="284"/>
        <w:jc w:val="both"/>
        <w:rPr>
          <w:rFonts w:cs="Arial"/>
          <w:shd w:val="clear" w:color="auto" w:fill="FFFFFF"/>
        </w:rPr>
      </w:pPr>
    </w:p>
    <w:p w:rsidR="002536E7" w:rsidRDefault="002536E7" w:rsidP="009620B4">
      <w:pPr>
        <w:pStyle w:val="Prrafodelista"/>
        <w:spacing w:line="240" w:lineRule="auto"/>
        <w:ind w:left="284"/>
        <w:jc w:val="both"/>
        <w:rPr>
          <w:rFonts w:cs="Arial"/>
          <w:shd w:val="clear" w:color="auto" w:fill="FFFFFF"/>
        </w:rPr>
      </w:pPr>
      <w:r>
        <w:rPr>
          <w:rFonts w:cs="Arial"/>
          <w:shd w:val="clear" w:color="auto" w:fill="FFFFFF"/>
        </w:rPr>
        <w:t>Para garantizar un efectivo cumplimiento de los compromisos del Plan de Acción</w:t>
      </w:r>
      <w:r w:rsidR="0091291D">
        <w:rPr>
          <w:rFonts w:cs="Arial"/>
          <w:shd w:val="clear" w:color="auto" w:fill="FFFFFF"/>
        </w:rPr>
        <w:t>,</w:t>
      </w:r>
      <w:r>
        <w:rPr>
          <w:rFonts w:cs="Arial"/>
          <w:shd w:val="clear" w:color="auto" w:fill="FFFFFF"/>
        </w:rPr>
        <w:t xml:space="preserve"> se conforma la Comisión Multisectorial de naturaleza Permanente para el seguimiento de la implementación del Plan de Acción de Gobierno Abierto, mediante Decreto Supremo N° 003-2013-PCM, adscrita a la Presidencia del Consejo de Ministros, integrada por:</w:t>
      </w:r>
    </w:p>
    <w:p w:rsidR="002536E7" w:rsidRDefault="002536E7" w:rsidP="009620B4">
      <w:pPr>
        <w:pStyle w:val="Prrafodelista"/>
        <w:spacing w:line="240" w:lineRule="auto"/>
        <w:ind w:left="284"/>
        <w:jc w:val="both"/>
        <w:rPr>
          <w:rFonts w:cs="Arial"/>
          <w:shd w:val="clear" w:color="auto" w:fill="FFFFFF"/>
        </w:rPr>
      </w:pPr>
      <w:r>
        <w:rPr>
          <w:noProof/>
          <w:lang w:val="es-PE" w:eastAsia="es-PE"/>
        </w:rPr>
        <w:drawing>
          <wp:inline distT="0" distB="0" distL="0" distR="0" wp14:anchorId="3DF39ECC" wp14:editId="461FBE2B">
            <wp:extent cx="5397984" cy="236281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6369" t="30305" r="7882" b="16794"/>
                    <a:stretch/>
                  </pic:blipFill>
                  <pic:spPr bwMode="auto">
                    <a:xfrm>
                      <a:off x="0" y="0"/>
                      <a:ext cx="5440371" cy="2381364"/>
                    </a:xfrm>
                    <a:prstGeom prst="rect">
                      <a:avLst/>
                    </a:prstGeom>
                    <a:ln>
                      <a:noFill/>
                    </a:ln>
                    <a:extLst>
                      <a:ext uri="{53640926-AAD7-44D8-BBD7-CCE9431645EC}">
                        <a14:shadowObscured xmlns:a14="http://schemas.microsoft.com/office/drawing/2010/main"/>
                      </a:ext>
                    </a:extLst>
                  </pic:spPr>
                </pic:pic>
              </a:graphicData>
            </a:graphic>
          </wp:inline>
        </w:drawing>
      </w:r>
    </w:p>
    <w:p w:rsidR="0005747A" w:rsidRDefault="00A27E2C" w:rsidP="009620B4">
      <w:pPr>
        <w:pStyle w:val="Prrafodelista"/>
        <w:spacing w:line="240" w:lineRule="auto"/>
        <w:ind w:left="284"/>
        <w:jc w:val="both"/>
        <w:rPr>
          <w:rFonts w:cs="Arial"/>
          <w:shd w:val="clear" w:color="auto" w:fill="FFFFFF"/>
        </w:rPr>
      </w:pPr>
      <w:r w:rsidRPr="00D115B9">
        <w:rPr>
          <w:rFonts w:cs="Arial"/>
          <w:shd w:val="clear" w:color="auto" w:fill="FFFFFF"/>
        </w:rPr>
        <w:t>Recogiendo la experiencia de la formulación e implementación del primer plan de acción, se aprobó el segundo plan de acción 2015-2016, mediante Resolución Ministerial N° 176-201</w:t>
      </w:r>
      <w:r w:rsidR="0091291D">
        <w:rPr>
          <w:rFonts w:cs="Arial"/>
          <w:shd w:val="clear" w:color="auto" w:fill="FFFFFF"/>
        </w:rPr>
        <w:t>5</w:t>
      </w:r>
      <w:r w:rsidRPr="00D115B9">
        <w:rPr>
          <w:rFonts w:cs="Arial"/>
          <w:shd w:val="clear" w:color="auto" w:fill="FFFFFF"/>
        </w:rPr>
        <w:t>-PCM, publicada el 17 de julio 2015.</w:t>
      </w:r>
      <w:r>
        <w:rPr>
          <w:rFonts w:cs="Arial"/>
          <w:shd w:val="clear" w:color="auto" w:fill="FFFFFF"/>
        </w:rPr>
        <w:t xml:space="preserve"> </w:t>
      </w:r>
      <w:r w:rsidR="0005747A" w:rsidRPr="00A27E2C">
        <w:rPr>
          <w:rFonts w:cs="Arial"/>
          <w:shd w:val="clear" w:color="auto" w:fill="FFFFFF"/>
        </w:rPr>
        <w:t xml:space="preserve">Los compromisos en materia de Transparencia y Acceso a la Información Pública establecidos en el segundo </w:t>
      </w:r>
      <w:r>
        <w:rPr>
          <w:rFonts w:cs="Arial"/>
          <w:shd w:val="clear" w:color="auto" w:fill="FFFFFF"/>
        </w:rPr>
        <w:t xml:space="preserve">Plan </w:t>
      </w:r>
      <w:r w:rsidR="0005747A" w:rsidRPr="00A27E2C">
        <w:rPr>
          <w:rFonts w:cs="Arial"/>
          <w:shd w:val="clear" w:color="auto" w:fill="FFFFFF"/>
        </w:rPr>
        <w:t>reflejan el interés del Perú en fortalecer el marco normativo, mejorar las herramientas facilitadoras y desarrollar las capacidades de los servidores civiles en  los tres niveles de gobierno; en particular sobre la destrucción y extravío de la información, infracciones y sanciones, la mejora del Portal de Transparencia Estándar y Sistema de Contrataciones</w:t>
      </w:r>
      <w:r w:rsidR="00740726">
        <w:rPr>
          <w:rFonts w:cs="Arial"/>
          <w:shd w:val="clear" w:color="auto" w:fill="FFFFFF"/>
        </w:rPr>
        <w:t>,</w:t>
      </w:r>
      <w:r w:rsidR="0005747A" w:rsidRPr="00A27E2C">
        <w:rPr>
          <w:rFonts w:cs="Arial"/>
          <w:shd w:val="clear" w:color="auto" w:fill="FFFFFF"/>
        </w:rPr>
        <w:t xml:space="preserve"> para facilitar el acceso y búsqueda de información y su reutilización. Asimismo, se busca promover una mayor transparencia en la gestión de los programas sociales e industrias extractivas a nivel de los gobiernos regionales.</w:t>
      </w:r>
    </w:p>
    <w:p w:rsidR="009620B4" w:rsidRPr="00A27E2C" w:rsidRDefault="009620B4" w:rsidP="009620B4">
      <w:pPr>
        <w:pStyle w:val="Prrafodelista"/>
        <w:spacing w:line="240" w:lineRule="auto"/>
        <w:ind w:left="284"/>
        <w:jc w:val="both"/>
        <w:rPr>
          <w:rFonts w:cs="Arial"/>
          <w:shd w:val="clear" w:color="auto" w:fill="FFFFFF"/>
        </w:rPr>
      </w:pPr>
    </w:p>
    <w:p w:rsidR="0005747A" w:rsidRDefault="0005747A" w:rsidP="009620B4">
      <w:pPr>
        <w:pStyle w:val="Prrafodelista"/>
        <w:spacing w:line="240" w:lineRule="auto"/>
        <w:ind w:left="284"/>
        <w:jc w:val="both"/>
        <w:rPr>
          <w:rFonts w:cs="Arial"/>
          <w:shd w:val="clear" w:color="auto" w:fill="FFFFFF"/>
        </w:rPr>
      </w:pPr>
      <w:r w:rsidRPr="00617CDE">
        <w:rPr>
          <w:rFonts w:cs="Arial"/>
          <w:shd w:val="clear" w:color="auto" w:fill="FFFFFF"/>
        </w:rPr>
        <w:t xml:space="preserve">Con respecto a la participación ciudadana, los compromisos apuntan a desarrollar un marco normativo que permita establecer lineamientos sobre la gestión de la participación ciudadana en las entidades públicas en los tres niveles de gobierno; y el desarrollo de capacidades en los servidores civiles y pueblos indígenas sobre la Ley de Consulta Previa. Asimismo, propone la participación de actores sociales en la vigilancia de la gestión del Programa Nacional de Alimentación Escolar y en los acuerdos plenarios de la Corte Suprema de la República. </w:t>
      </w:r>
    </w:p>
    <w:p w:rsidR="009620B4" w:rsidRPr="00617CDE" w:rsidRDefault="009620B4" w:rsidP="009620B4">
      <w:pPr>
        <w:pStyle w:val="Prrafodelista"/>
        <w:spacing w:line="240" w:lineRule="auto"/>
        <w:ind w:left="284"/>
        <w:jc w:val="both"/>
        <w:rPr>
          <w:rFonts w:cs="Arial"/>
          <w:shd w:val="clear" w:color="auto" w:fill="FFFFFF"/>
        </w:rPr>
      </w:pPr>
    </w:p>
    <w:p w:rsidR="0005747A" w:rsidRPr="00617CDE" w:rsidRDefault="0005747A" w:rsidP="009620B4">
      <w:pPr>
        <w:pStyle w:val="Prrafodelista"/>
        <w:spacing w:line="240" w:lineRule="auto"/>
        <w:ind w:left="284"/>
        <w:jc w:val="both"/>
        <w:rPr>
          <w:rFonts w:cs="Arial"/>
          <w:shd w:val="clear" w:color="auto" w:fill="FFFFFF"/>
        </w:rPr>
      </w:pPr>
      <w:r w:rsidRPr="00617CDE">
        <w:rPr>
          <w:rFonts w:cs="Arial"/>
          <w:shd w:val="clear" w:color="auto" w:fill="FFFFFF"/>
        </w:rPr>
        <w:t>En relación a la rendición de cuentas</w:t>
      </w:r>
      <w:r w:rsidR="00740726">
        <w:rPr>
          <w:rFonts w:cs="Arial"/>
          <w:shd w:val="clear" w:color="auto" w:fill="FFFFFF"/>
        </w:rPr>
        <w:t>,</w:t>
      </w:r>
      <w:r w:rsidRPr="00617CDE">
        <w:rPr>
          <w:rFonts w:cs="Arial"/>
          <w:shd w:val="clear" w:color="auto" w:fill="FFFFFF"/>
        </w:rPr>
        <w:t xml:space="preserve"> los compromisos del Estado Peruano apuntan a desarrollar el marco normativo y las herramientas que faciliten el proceso de rendición de cuentas de los titulares de las entidades públicas, y mejorar la calidad de las audiencias a nivel de los gobiernos regionales y locales. Asimismo, propone la publicación y rendición de cuentas de las entidades, programas o proyectos dirigidos a la niñez.</w:t>
      </w:r>
    </w:p>
    <w:p w:rsidR="009620B4" w:rsidRDefault="009620B4" w:rsidP="009620B4">
      <w:pPr>
        <w:pStyle w:val="Prrafodelista"/>
        <w:spacing w:line="240" w:lineRule="auto"/>
        <w:ind w:left="360"/>
        <w:jc w:val="both"/>
        <w:rPr>
          <w:rFonts w:cs="Arial"/>
          <w:shd w:val="clear" w:color="auto" w:fill="FFFFFF"/>
        </w:rPr>
      </w:pPr>
    </w:p>
    <w:p w:rsidR="0005747A" w:rsidRPr="00617CDE" w:rsidRDefault="009620B4" w:rsidP="009620B4">
      <w:pPr>
        <w:pStyle w:val="Prrafodelista"/>
        <w:spacing w:line="240" w:lineRule="auto"/>
        <w:ind w:left="284"/>
        <w:jc w:val="both"/>
        <w:rPr>
          <w:rFonts w:cs="Arial"/>
          <w:shd w:val="clear" w:color="auto" w:fill="FFFFFF"/>
        </w:rPr>
      </w:pPr>
      <w:r>
        <w:rPr>
          <w:rFonts w:cs="Arial"/>
          <w:shd w:val="clear" w:color="auto" w:fill="FFFFFF"/>
        </w:rPr>
        <w:t xml:space="preserve">El desafío definido por la Alianza y que es abordado en el plan de acción del Perú está referido a </w:t>
      </w:r>
      <w:r w:rsidR="0005747A" w:rsidRPr="00617CDE">
        <w:rPr>
          <w:rFonts w:cs="Arial"/>
          <w:shd w:val="clear" w:color="auto" w:fill="FFFFFF"/>
        </w:rPr>
        <w:t xml:space="preserve">la </w:t>
      </w:r>
      <w:r w:rsidR="0005747A" w:rsidRPr="009620B4">
        <w:rPr>
          <w:rFonts w:cs="Arial"/>
          <w:b/>
          <w:i/>
          <w:shd w:val="clear" w:color="auto" w:fill="FFFFFF"/>
        </w:rPr>
        <w:t>mejora de los servicios públicos</w:t>
      </w:r>
      <w:r w:rsidR="0005747A" w:rsidRPr="00617CDE">
        <w:rPr>
          <w:rFonts w:cs="Arial"/>
          <w:shd w:val="clear" w:color="auto" w:fill="FFFFFF"/>
        </w:rPr>
        <w:t>, se manifiesta el compromiso del Estado Peruano de establecer el marco normativo y desarrollar los instrumentos para implementar una estrategia nacional de apertura y reutilización de la información pública (datos abiertos)</w:t>
      </w:r>
      <w:r w:rsidR="00E521FA">
        <w:rPr>
          <w:rFonts w:cs="Arial"/>
          <w:shd w:val="clear" w:color="auto" w:fill="FFFFFF"/>
        </w:rPr>
        <w:t>,</w:t>
      </w:r>
      <w:r w:rsidR="0005747A" w:rsidRPr="00617CDE">
        <w:rPr>
          <w:rFonts w:cs="Arial"/>
          <w:shd w:val="clear" w:color="auto" w:fill="FFFFFF"/>
        </w:rPr>
        <w:t xml:space="preserve"> que promueva la innovación a través del uso de las nuevas tecnologías, y contribuya también al incremento del número de servicios en línea para la realización de trámites multicanal, con participación de la ciudadanía. Asimismo, incorpora la necesidad de desarrollar capacidades en los servidores civiles y en la apropiación de los servicios de parte de los ciudadanos.</w:t>
      </w:r>
    </w:p>
    <w:p w:rsidR="00016B8B" w:rsidRPr="009620B4" w:rsidRDefault="00016B8B" w:rsidP="00A56D20">
      <w:pPr>
        <w:autoSpaceDE w:val="0"/>
        <w:autoSpaceDN w:val="0"/>
        <w:adjustRightInd w:val="0"/>
        <w:spacing w:after="0" w:line="240" w:lineRule="auto"/>
        <w:rPr>
          <w:rFonts w:cs="Gotham Bold"/>
          <w:b/>
          <w:color w:val="000000"/>
          <w:sz w:val="28"/>
          <w:szCs w:val="28"/>
        </w:rPr>
      </w:pPr>
    </w:p>
    <w:p w:rsidR="00B26F9C" w:rsidRPr="009620B4" w:rsidRDefault="00A56D20" w:rsidP="003A3ABE">
      <w:pPr>
        <w:numPr>
          <w:ilvl w:val="0"/>
          <w:numId w:val="5"/>
        </w:numPr>
        <w:autoSpaceDE w:val="0"/>
        <w:autoSpaceDN w:val="0"/>
        <w:adjustRightInd w:val="0"/>
        <w:spacing w:after="0" w:line="240" w:lineRule="auto"/>
        <w:ind w:left="284"/>
        <w:rPr>
          <w:b/>
          <w:i/>
          <w:sz w:val="28"/>
          <w:szCs w:val="28"/>
          <w:u w:val="single"/>
        </w:rPr>
      </w:pPr>
      <w:bookmarkStart w:id="9" w:name="_Toc428787070"/>
      <w:bookmarkStart w:id="10" w:name="_Toc428794290"/>
      <w:bookmarkStart w:id="11" w:name="_Toc428796077"/>
      <w:bookmarkStart w:id="12" w:name="_Toc428800184"/>
      <w:bookmarkStart w:id="13" w:name="_Toc428800413"/>
      <w:bookmarkStart w:id="14" w:name="_Toc428803015"/>
      <w:bookmarkStart w:id="15" w:name="_Toc431283341"/>
      <w:bookmarkStart w:id="16" w:name="_Toc431286912"/>
      <w:bookmarkStart w:id="17" w:name="_Toc431288969"/>
      <w:r w:rsidRPr="009620B4">
        <w:rPr>
          <w:b/>
          <w:i/>
          <w:sz w:val="28"/>
          <w:szCs w:val="28"/>
        </w:rPr>
        <w:t>El proceso de</w:t>
      </w:r>
      <w:r w:rsidR="00FB45DB">
        <w:rPr>
          <w:b/>
          <w:i/>
          <w:sz w:val="28"/>
          <w:szCs w:val="28"/>
        </w:rPr>
        <w:t xml:space="preserve"> elaboración del</w:t>
      </w:r>
      <w:r w:rsidRPr="009620B4">
        <w:rPr>
          <w:b/>
          <w:i/>
          <w:sz w:val="28"/>
          <w:szCs w:val="28"/>
        </w:rPr>
        <w:t xml:space="preserve"> </w:t>
      </w:r>
      <w:r w:rsidR="009620B4" w:rsidRPr="009620B4">
        <w:rPr>
          <w:b/>
          <w:i/>
          <w:sz w:val="28"/>
          <w:szCs w:val="28"/>
        </w:rPr>
        <w:t>P</w:t>
      </w:r>
      <w:r w:rsidRPr="009620B4">
        <w:rPr>
          <w:b/>
          <w:i/>
          <w:sz w:val="28"/>
          <w:szCs w:val="28"/>
        </w:rPr>
        <w:t xml:space="preserve">lan de </w:t>
      </w:r>
      <w:r w:rsidR="009620B4" w:rsidRPr="009620B4">
        <w:rPr>
          <w:b/>
          <w:i/>
          <w:sz w:val="28"/>
          <w:szCs w:val="28"/>
        </w:rPr>
        <w:t>A</w:t>
      </w:r>
      <w:r w:rsidRPr="009620B4">
        <w:rPr>
          <w:b/>
          <w:i/>
          <w:sz w:val="28"/>
          <w:szCs w:val="28"/>
        </w:rPr>
        <w:t>cción</w:t>
      </w:r>
      <w:bookmarkEnd w:id="9"/>
      <w:bookmarkEnd w:id="10"/>
      <w:bookmarkEnd w:id="11"/>
      <w:bookmarkEnd w:id="12"/>
      <w:bookmarkEnd w:id="13"/>
      <w:bookmarkEnd w:id="14"/>
      <w:bookmarkEnd w:id="15"/>
      <w:bookmarkEnd w:id="16"/>
      <w:bookmarkEnd w:id="17"/>
      <w:r w:rsidR="008D79F2" w:rsidRPr="009620B4">
        <w:rPr>
          <w:b/>
          <w:i/>
          <w:sz w:val="28"/>
          <w:szCs w:val="28"/>
        </w:rPr>
        <w:t xml:space="preserve"> </w:t>
      </w:r>
      <w:r w:rsidR="009620B4" w:rsidRPr="009620B4">
        <w:rPr>
          <w:b/>
          <w:i/>
          <w:sz w:val="28"/>
          <w:szCs w:val="28"/>
        </w:rPr>
        <w:t>N</w:t>
      </w:r>
      <w:r w:rsidRPr="009620B4">
        <w:rPr>
          <w:b/>
          <w:i/>
          <w:sz w:val="28"/>
          <w:szCs w:val="28"/>
        </w:rPr>
        <w:t>acional</w:t>
      </w:r>
    </w:p>
    <w:p w:rsidR="002536E7" w:rsidRDefault="002536E7" w:rsidP="002536E7">
      <w:pPr>
        <w:pStyle w:val="Textoindependiente2"/>
        <w:spacing w:after="0" w:afterAutospacing="0"/>
        <w:rPr>
          <w:color w:val="auto"/>
          <w:u w:val="single"/>
        </w:rPr>
      </w:pPr>
    </w:p>
    <w:p w:rsidR="002536E7" w:rsidRDefault="002536E7" w:rsidP="002536E7">
      <w:pPr>
        <w:pStyle w:val="Textoindependiente2"/>
        <w:spacing w:after="0" w:afterAutospacing="0"/>
        <w:rPr>
          <w:color w:val="auto"/>
        </w:rPr>
      </w:pPr>
      <w:r w:rsidRPr="002536E7">
        <w:rPr>
          <w:color w:val="auto"/>
        </w:rPr>
        <w:t>El proceso d</w:t>
      </w:r>
      <w:r>
        <w:rPr>
          <w:color w:val="auto"/>
        </w:rPr>
        <w:t>e elaboración del Plan de Acción Nacional del Perú consideró los lineami</w:t>
      </w:r>
      <w:r w:rsidR="00E521FA">
        <w:rPr>
          <w:color w:val="auto"/>
        </w:rPr>
        <w:t>entos brindados por la Alianza. A</w:t>
      </w:r>
      <w:r>
        <w:rPr>
          <w:color w:val="auto"/>
        </w:rPr>
        <w:t>sí</w:t>
      </w:r>
      <w:r w:rsidR="00E521FA">
        <w:rPr>
          <w:color w:val="auto"/>
        </w:rPr>
        <w:t>,</w:t>
      </w:r>
      <w:r>
        <w:rPr>
          <w:color w:val="auto"/>
        </w:rPr>
        <w:t xml:space="preserve"> el 17 de diciembre del 2013 se presentó oficialmente el Plan y cronograma de trabajo ante la Comisión Multisectorial de naturaleza permanente para el seguimiento de la implementación del plan de acción de Gobierno Abierto</w:t>
      </w:r>
      <w:r w:rsidR="003F6EFB">
        <w:rPr>
          <w:color w:val="auto"/>
        </w:rPr>
        <w:t xml:space="preserve"> para su validación y dar inicio a la ejecución de las actividades programadas.</w:t>
      </w:r>
    </w:p>
    <w:p w:rsidR="006857C8" w:rsidRDefault="006857C8" w:rsidP="002536E7">
      <w:pPr>
        <w:pStyle w:val="Textoindependiente2"/>
        <w:spacing w:after="0" w:afterAutospacing="0"/>
        <w:rPr>
          <w:color w:val="auto"/>
        </w:rPr>
      </w:pPr>
    </w:p>
    <w:p w:rsidR="003F6EFB" w:rsidRDefault="003F6EFB" w:rsidP="002536E7">
      <w:pPr>
        <w:pStyle w:val="Textoindependiente2"/>
        <w:spacing w:after="0" w:afterAutospacing="0"/>
        <w:rPr>
          <w:color w:val="auto"/>
        </w:rPr>
      </w:pPr>
      <w:r>
        <w:rPr>
          <w:color w:val="auto"/>
        </w:rPr>
        <w:t>Se propuso una metodología participativa</w:t>
      </w:r>
      <w:r w:rsidR="00A353C5">
        <w:rPr>
          <w:color w:val="auto"/>
        </w:rPr>
        <w:t>,</w:t>
      </w:r>
      <w:r>
        <w:rPr>
          <w:color w:val="auto"/>
        </w:rPr>
        <w:t xml:space="preserve"> a través de talleres y reuniones para recoger los aportes y propuestas de las entidades públicas, organizaciones de la sociedad civil y gremios empresariales, respecto a los compromisos que se deberían incluir en el citado Plan.</w:t>
      </w:r>
    </w:p>
    <w:p w:rsidR="009973E7" w:rsidRDefault="009973E7" w:rsidP="002536E7">
      <w:pPr>
        <w:pStyle w:val="Textoindependiente2"/>
        <w:spacing w:after="0" w:afterAutospacing="0"/>
        <w:rPr>
          <w:color w:val="auto"/>
        </w:rPr>
      </w:pPr>
    </w:p>
    <w:p w:rsidR="009973E7" w:rsidRDefault="009973E7" w:rsidP="002536E7">
      <w:pPr>
        <w:pStyle w:val="Textoindependiente2"/>
        <w:spacing w:after="0" w:afterAutospacing="0"/>
        <w:rPr>
          <w:color w:val="auto"/>
        </w:rPr>
      </w:pPr>
    </w:p>
    <w:p w:rsidR="009973E7" w:rsidRPr="009973E7" w:rsidRDefault="009973E7" w:rsidP="002536E7">
      <w:pPr>
        <w:pStyle w:val="Textoindependiente2"/>
        <w:spacing w:after="0" w:afterAutospacing="0"/>
        <w:rPr>
          <w:b/>
          <w:i/>
          <w:color w:val="auto"/>
        </w:rPr>
      </w:pPr>
      <w:r w:rsidRPr="009973E7">
        <w:rPr>
          <w:b/>
          <w:i/>
          <w:color w:val="auto"/>
        </w:rPr>
        <w:t xml:space="preserve">Difusión del Proceso de elaboración </w:t>
      </w:r>
    </w:p>
    <w:p w:rsidR="003F6EFB" w:rsidRDefault="003F6EFB" w:rsidP="002536E7">
      <w:pPr>
        <w:pStyle w:val="Textoindependiente2"/>
        <w:spacing w:after="0" w:afterAutospacing="0"/>
        <w:rPr>
          <w:color w:val="auto"/>
        </w:rPr>
      </w:pPr>
      <w:r>
        <w:rPr>
          <w:color w:val="auto"/>
        </w:rPr>
        <w:t xml:space="preserve">Para la difusión del proceso de </w:t>
      </w:r>
      <w:r w:rsidR="006857C8">
        <w:rPr>
          <w:color w:val="auto"/>
        </w:rPr>
        <w:t>consulta</w:t>
      </w:r>
      <w:r w:rsidR="00A353C5">
        <w:rPr>
          <w:color w:val="auto"/>
        </w:rPr>
        <w:t>,</w:t>
      </w:r>
      <w:r w:rsidR="006857C8">
        <w:rPr>
          <w:rStyle w:val="Refdenotaalpie"/>
          <w:color w:val="auto"/>
        </w:rPr>
        <w:footnoteReference w:id="1"/>
      </w:r>
      <w:r w:rsidR="006857C8">
        <w:rPr>
          <w:color w:val="auto"/>
        </w:rPr>
        <w:t xml:space="preserve"> se</w:t>
      </w:r>
      <w:r>
        <w:rPr>
          <w:color w:val="auto"/>
        </w:rPr>
        <w:t xml:space="preserve"> </w:t>
      </w:r>
      <w:r w:rsidR="003E0C45">
        <w:rPr>
          <w:color w:val="auto"/>
        </w:rPr>
        <w:t>utilizaron</w:t>
      </w:r>
      <w:r>
        <w:rPr>
          <w:color w:val="auto"/>
        </w:rPr>
        <w:t xml:space="preserve"> las tecnologías de la información y comunicación-</w:t>
      </w:r>
      <w:proofErr w:type="spellStart"/>
      <w:r>
        <w:rPr>
          <w:color w:val="auto"/>
        </w:rPr>
        <w:t>TICs</w:t>
      </w:r>
      <w:proofErr w:type="spellEnd"/>
      <w:r w:rsidR="00A353C5">
        <w:rPr>
          <w:color w:val="auto"/>
        </w:rPr>
        <w:t>,</w:t>
      </w:r>
      <w:r>
        <w:rPr>
          <w:color w:val="auto"/>
        </w:rPr>
        <w:t xml:space="preserve"> a través de páginas web, redes sociales</w:t>
      </w:r>
      <w:r w:rsidR="00A353C5">
        <w:rPr>
          <w:color w:val="auto"/>
        </w:rPr>
        <w:t>, como el Facebook, T</w:t>
      </w:r>
      <w:r>
        <w:rPr>
          <w:color w:val="auto"/>
        </w:rPr>
        <w:t>witter</w:t>
      </w:r>
      <w:r w:rsidR="003E0C45">
        <w:rPr>
          <w:color w:val="auto"/>
        </w:rPr>
        <w:t xml:space="preserve"> y otros </w:t>
      </w:r>
      <w:r>
        <w:rPr>
          <w:color w:val="auto"/>
        </w:rPr>
        <w:t xml:space="preserve">canales </w:t>
      </w:r>
      <w:r w:rsidR="003E0C45">
        <w:rPr>
          <w:color w:val="auto"/>
        </w:rPr>
        <w:t xml:space="preserve">para facilitar </w:t>
      </w:r>
      <w:r>
        <w:rPr>
          <w:color w:val="auto"/>
        </w:rPr>
        <w:t xml:space="preserve">el recojo de los aportes y propuestas de las </w:t>
      </w:r>
      <w:r w:rsidR="006857C8">
        <w:rPr>
          <w:color w:val="auto"/>
        </w:rPr>
        <w:t>instituciones y</w:t>
      </w:r>
      <w:r>
        <w:rPr>
          <w:color w:val="auto"/>
        </w:rPr>
        <w:t xml:space="preserve"> ciuda</w:t>
      </w:r>
      <w:r w:rsidR="006857C8">
        <w:rPr>
          <w:color w:val="auto"/>
        </w:rPr>
        <w:t>d</w:t>
      </w:r>
      <w:r>
        <w:rPr>
          <w:color w:val="auto"/>
        </w:rPr>
        <w:t xml:space="preserve">anía en general que no pudieran </w:t>
      </w:r>
      <w:r w:rsidR="006857C8">
        <w:rPr>
          <w:color w:val="auto"/>
        </w:rPr>
        <w:t xml:space="preserve">participar de los talleres.  A </w:t>
      </w:r>
      <w:r w:rsidR="00A353C5">
        <w:rPr>
          <w:color w:val="auto"/>
        </w:rPr>
        <w:t>partir</w:t>
      </w:r>
      <w:r w:rsidR="006857C8">
        <w:rPr>
          <w:color w:val="auto"/>
        </w:rPr>
        <w:t xml:space="preserve"> de estos espacios y mecanismos</w:t>
      </w:r>
      <w:r w:rsidR="00A353C5">
        <w:rPr>
          <w:color w:val="auto"/>
        </w:rPr>
        <w:t>,</w:t>
      </w:r>
      <w:r w:rsidR="006857C8">
        <w:rPr>
          <w:color w:val="auto"/>
        </w:rPr>
        <w:t xml:space="preserve"> se buscó generar un encuentro entre los actores </w:t>
      </w:r>
      <w:r w:rsidR="004F01B9">
        <w:rPr>
          <w:color w:val="auto"/>
        </w:rPr>
        <w:t xml:space="preserve">para </w:t>
      </w:r>
      <w:r w:rsidR="006857C8">
        <w:rPr>
          <w:color w:val="auto"/>
        </w:rPr>
        <w:t>deliberar sobre los diferentes compromisos a incluirse en el segundo plan.</w:t>
      </w:r>
    </w:p>
    <w:p w:rsidR="006857C8" w:rsidRDefault="006857C8" w:rsidP="002536E7">
      <w:pPr>
        <w:pStyle w:val="Textoindependiente2"/>
        <w:spacing w:after="0" w:afterAutospacing="0"/>
        <w:rPr>
          <w:color w:val="auto"/>
        </w:rPr>
      </w:pPr>
    </w:p>
    <w:p w:rsidR="009973E7" w:rsidRPr="009973E7" w:rsidRDefault="009973E7" w:rsidP="002536E7">
      <w:pPr>
        <w:pStyle w:val="Textoindependiente2"/>
        <w:spacing w:after="0" w:afterAutospacing="0"/>
        <w:rPr>
          <w:b/>
          <w:i/>
          <w:color w:val="auto"/>
        </w:rPr>
      </w:pPr>
      <w:r w:rsidRPr="009973E7">
        <w:rPr>
          <w:b/>
          <w:i/>
          <w:color w:val="auto"/>
        </w:rPr>
        <w:t>Elaboración del Plan</w:t>
      </w:r>
    </w:p>
    <w:p w:rsidR="004B5C6B" w:rsidRDefault="00A353C5" w:rsidP="002536E7">
      <w:pPr>
        <w:pStyle w:val="Textoindependiente2"/>
        <w:spacing w:after="0" w:afterAutospacing="0"/>
        <w:rPr>
          <w:color w:val="auto"/>
        </w:rPr>
      </w:pPr>
      <w:r>
        <w:rPr>
          <w:color w:val="auto"/>
        </w:rPr>
        <w:t>Como se mencionó anteriormente,</w:t>
      </w:r>
      <w:r w:rsidR="006857C8">
        <w:rPr>
          <w:color w:val="auto"/>
        </w:rPr>
        <w:t xml:space="preserve"> se desarrollaron talleres de trabajo descentralizado en las Regiones de Ayacucho, Piura y San Martín y dos talleres en la ciudad de Lima</w:t>
      </w:r>
      <w:r w:rsidR="004B5C6B">
        <w:rPr>
          <w:color w:val="auto"/>
        </w:rPr>
        <w:t>.  Se sostuvieron</w:t>
      </w:r>
      <w:r>
        <w:rPr>
          <w:color w:val="auto"/>
        </w:rPr>
        <w:t>, además,</w:t>
      </w:r>
      <w:r w:rsidR="004B5C6B">
        <w:rPr>
          <w:color w:val="auto"/>
        </w:rPr>
        <w:t xml:space="preserve"> reuniones con representantes del Congreso de la República, a fin de informar sobre las actividades que se venían realizando para la elaboración del Plan.</w:t>
      </w:r>
      <w:r w:rsidR="00FB45DB">
        <w:rPr>
          <w:color w:val="auto"/>
        </w:rPr>
        <w:t xml:space="preserve">  El resultado final </w:t>
      </w:r>
      <w:r>
        <w:rPr>
          <w:color w:val="auto"/>
        </w:rPr>
        <w:t>presentó 1</w:t>
      </w:r>
      <w:r w:rsidR="00FB45DB">
        <w:rPr>
          <w:color w:val="auto"/>
        </w:rPr>
        <w:t>8 compromisos priorizados</w:t>
      </w:r>
      <w:r w:rsidR="00226F50">
        <w:rPr>
          <w:color w:val="auto"/>
        </w:rPr>
        <w:t>.</w:t>
      </w:r>
    </w:p>
    <w:p w:rsidR="004B5C6B" w:rsidRDefault="004B5C6B" w:rsidP="002536E7">
      <w:pPr>
        <w:pStyle w:val="Textoindependiente2"/>
        <w:spacing w:after="0" w:afterAutospacing="0"/>
        <w:rPr>
          <w:color w:val="auto"/>
        </w:rPr>
      </w:pPr>
    </w:p>
    <w:p w:rsidR="004F01B9" w:rsidRDefault="004F01B9" w:rsidP="004F01B9">
      <w:pPr>
        <w:pStyle w:val="Textoindependiente2"/>
        <w:spacing w:after="0" w:afterAutospacing="0"/>
        <w:rPr>
          <w:color w:val="auto"/>
        </w:rPr>
      </w:pPr>
      <w:r>
        <w:rPr>
          <w:color w:val="auto"/>
        </w:rPr>
        <w:t>Se priorizaron 49 compromisos como resultado de los talleres y las propuestas remitidas por escrito por los diferentes sectores del Poder Ejecutivo (170 propuestas), que fueron agrupadas de acuerdo con su contenido y alineadas a los compromisos no cumplidos del primer plan.</w:t>
      </w:r>
    </w:p>
    <w:p w:rsidR="00CE27FC" w:rsidRDefault="00CE27FC" w:rsidP="002536E7">
      <w:pPr>
        <w:pStyle w:val="Textoindependiente2"/>
        <w:spacing w:after="0" w:afterAutospacing="0"/>
        <w:rPr>
          <w:color w:val="auto"/>
        </w:rPr>
      </w:pPr>
    </w:p>
    <w:p w:rsidR="006857C8" w:rsidRDefault="00B64C0E" w:rsidP="002536E7">
      <w:pPr>
        <w:pStyle w:val="Textoindependiente2"/>
        <w:spacing w:after="0" w:afterAutospacing="0"/>
        <w:rPr>
          <w:color w:val="auto"/>
        </w:rPr>
      </w:pPr>
      <w:r>
        <w:rPr>
          <w:color w:val="auto"/>
        </w:rPr>
        <w:t>Sobre el trabajo desarrollado</w:t>
      </w:r>
      <w:r w:rsidR="00226F50">
        <w:rPr>
          <w:color w:val="auto"/>
        </w:rPr>
        <w:t>,</w:t>
      </w:r>
      <w:r>
        <w:rPr>
          <w:color w:val="auto"/>
        </w:rPr>
        <w:t xml:space="preserve"> se establecieron los componentes en </w:t>
      </w:r>
      <w:r w:rsidR="00226F50">
        <w:rPr>
          <w:color w:val="auto"/>
        </w:rPr>
        <w:t>los que</w:t>
      </w:r>
      <w:r>
        <w:rPr>
          <w:color w:val="auto"/>
        </w:rPr>
        <w:t xml:space="preserve"> se agruparon los compromisos priorizados siendo: 1) </w:t>
      </w:r>
      <w:r w:rsidRPr="00B64C0E">
        <w:rPr>
          <w:b/>
          <w:i/>
          <w:color w:val="auto"/>
        </w:rPr>
        <w:t>Transparencia y Acceso a la información pública</w:t>
      </w:r>
      <w:r>
        <w:rPr>
          <w:color w:val="auto"/>
        </w:rPr>
        <w:t xml:space="preserve">, 2) </w:t>
      </w:r>
      <w:r w:rsidRPr="00B64C0E">
        <w:rPr>
          <w:b/>
          <w:i/>
          <w:color w:val="auto"/>
        </w:rPr>
        <w:t>rendición de cuentas</w:t>
      </w:r>
      <w:r>
        <w:rPr>
          <w:color w:val="auto"/>
        </w:rPr>
        <w:t xml:space="preserve">, 3) </w:t>
      </w:r>
      <w:r w:rsidRPr="00B64C0E">
        <w:rPr>
          <w:b/>
          <w:i/>
          <w:color w:val="auto"/>
        </w:rPr>
        <w:t>mejora de los servicios públicos</w:t>
      </w:r>
      <w:r>
        <w:rPr>
          <w:color w:val="auto"/>
        </w:rPr>
        <w:t xml:space="preserve"> y 4) </w:t>
      </w:r>
      <w:r w:rsidRPr="00B64C0E">
        <w:rPr>
          <w:b/>
          <w:i/>
          <w:color w:val="auto"/>
        </w:rPr>
        <w:t>participación ciudadana</w:t>
      </w:r>
      <w:r>
        <w:rPr>
          <w:b/>
          <w:i/>
          <w:color w:val="auto"/>
        </w:rPr>
        <w:t>.</w:t>
      </w:r>
      <w:r w:rsidR="004B5C6B">
        <w:rPr>
          <w:color w:val="auto"/>
        </w:rPr>
        <w:t xml:space="preserve">  </w:t>
      </w:r>
      <w:r w:rsidR="00CE27FC">
        <w:rPr>
          <w:color w:val="auto"/>
        </w:rPr>
        <w:t>Se estableci</w:t>
      </w:r>
      <w:r w:rsidR="004F01B9">
        <w:rPr>
          <w:color w:val="auto"/>
        </w:rPr>
        <w:t>eron</w:t>
      </w:r>
      <w:r w:rsidR="00CE27FC">
        <w:rPr>
          <w:color w:val="auto"/>
        </w:rPr>
        <w:t xml:space="preserve"> las siguientes acciones para su aprobación</w:t>
      </w:r>
      <w:r w:rsidR="00226F50">
        <w:rPr>
          <w:color w:val="auto"/>
        </w:rPr>
        <w:t>,</w:t>
      </w:r>
      <w:r w:rsidR="00CE27FC">
        <w:rPr>
          <w:color w:val="auto"/>
        </w:rPr>
        <w:t xml:space="preserve"> contemplando la conformación del grupo de redacción, sistematización de fichas con los compromisos </w:t>
      </w:r>
      <w:r w:rsidR="00621383">
        <w:rPr>
          <w:color w:val="auto"/>
        </w:rPr>
        <w:t>priorizados,</w:t>
      </w:r>
      <w:r w:rsidR="00CE27FC">
        <w:rPr>
          <w:color w:val="auto"/>
        </w:rPr>
        <w:t xml:space="preserve"> redacción del borrador del plan, realización de taller para afinar con los sectores y la Comisión los ajustes a realizarse, consulta pública por la web, sistematización de los aportes y la aprobación de la versión final del plan.</w:t>
      </w:r>
    </w:p>
    <w:p w:rsidR="00CE27FC" w:rsidRDefault="00CE27FC" w:rsidP="002536E7">
      <w:pPr>
        <w:pStyle w:val="Textoindependiente2"/>
        <w:spacing w:after="0" w:afterAutospacing="0"/>
        <w:rPr>
          <w:color w:val="auto"/>
        </w:rPr>
      </w:pPr>
    </w:p>
    <w:p w:rsidR="009973E7" w:rsidRDefault="009973E7" w:rsidP="002536E7">
      <w:pPr>
        <w:pStyle w:val="Textoindependiente2"/>
        <w:spacing w:after="0" w:afterAutospacing="0"/>
        <w:rPr>
          <w:b/>
          <w:i/>
          <w:color w:val="auto"/>
        </w:rPr>
      </w:pPr>
      <w:r w:rsidRPr="009973E7">
        <w:rPr>
          <w:b/>
          <w:i/>
          <w:color w:val="auto"/>
        </w:rPr>
        <w:t>Aprobación del Plan</w:t>
      </w:r>
    </w:p>
    <w:p w:rsidR="00C1649A" w:rsidRPr="009973E7" w:rsidRDefault="00C1649A" w:rsidP="002536E7">
      <w:pPr>
        <w:pStyle w:val="Textoindependiente2"/>
        <w:spacing w:after="0" w:afterAutospacing="0"/>
        <w:rPr>
          <w:b/>
          <w:i/>
          <w:color w:val="auto"/>
        </w:rPr>
      </w:pPr>
    </w:p>
    <w:p w:rsidR="006D20EF" w:rsidRPr="00276384" w:rsidRDefault="006D20EF" w:rsidP="006D20EF">
      <w:pPr>
        <w:pStyle w:val="Textoindependiente2"/>
        <w:spacing w:after="0" w:afterAutospacing="0"/>
        <w:rPr>
          <w:color w:val="auto"/>
        </w:rPr>
      </w:pPr>
      <w:r w:rsidRPr="00276384">
        <w:rPr>
          <w:color w:val="auto"/>
        </w:rPr>
        <w:t xml:space="preserve">Debido al cambio de gestión en la Presidencia del Consejo de Ministros, la aprobación del plan consensuado –programado para junio de 2014- se retrasó y fue aprobado en julio de 2015, en atención a la comunicación enviada por la Alianza de Gobierno Abierto recomendando al Gobierno del Perú su aprobación antes del 1 de enero de 2015. En diciembre de 2014 las organizaciones que representan a la sociedad civil comunicaron a la Presidencia del Consejo de Ministros su decisión de suspender el acompañamiento en el proceso del PLAN AGA.  </w:t>
      </w:r>
    </w:p>
    <w:p w:rsidR="006D20EF" w:rsidRPr="00276384" w:rsidRDefault="006D20EF" w:rsidP="00C1649A">
      <w:pPr>
        <w:pStyle w:val="Textoindependiente2"/>
        <w:spacing w:after="0" w:afterAutospacing="0"/>
        <w:rPr>
          <w:color w:val="auto"/>
        </w:rPr>
      </w:pPr>
    </w:p>
    <w:p w:rsidR="008D79F2" w:rsidRPr="00276384" w:rsidRDefault="00C1649A" w:rsidP="0080368D">
      <w:pPr>
        <w:pStyle w:val="Textoindependiente2"/>
        <w:spacing w:after="0" w:afterAutospacing="0"/>
        <w:rPr>
          <w:color w:val="auto"/>
        </w:rPr>
      </w:pPr>
      <w:r w:rsidRPr="00276384">
        <w:rPr>
          <w:color w:val="auto"/>
        </w:rPr>
        <w:t>Este segundo plan recogió 17 de los 18 compromisos y dejó para evaluación la propuesta normativa para la creación de la Autoridad Nacional para la Transparencia y el Acceso a la Información Pública, lo que generó que los representantes de la sociedad civil condicionaran su rein</w:t>
      </w:r>
      <w:r w:rsidR="006D20EF" w:rsidRPr="00276384">
        <w:rPr>
          <w:color w:val="auto"/>
        </w:rPr>
        <w:t xml:space="preserve">corporación </w:t>
      </w:r>
      <w:r w:rsidRPr="00276384">
        <w:rPr>
          <w:color w:val="auto"/>
        </w:rPr>
        <w:t>a la Comisión</w:t>
      </w:r>
      <w:r w:rsidR="006D20EF" w:rsidRPr="00276384">
        <w:rPr>
          <w:color w:val="auto"/>
        </w:rPr>
        <w:t>,</w:t>
      </w:r>
      <w:r w:rsidRPr="00276384">
        <w:rPr>
          <w:color w:val="auto"/>
        </w:rPr>
        <w:t xml:space="preserve"> a la inclusión de</w:t>
      </w:r>
      <w:r w:rsidR="006D20EF" w:rsidRPr="00276384">
        <w:rPr>
          <w:color w:val="auto"/>
        </w:rPr>
        <w:t>l compromiso de la creación de</w:t>
      </w:r>
      <w:r w:rsidRPr="00276384">
        <w:rPr>
          <w:color w:val="auto"/>
        </w:rPr>
        <w:t xml:space="preserve"> la autoridad de transparencia. Sin perjuicio a ello</w:t>
      </w:r>
      <w:r w:rsidR="006D20EF" w:rsidRPr="00276384">
        <w:rPr>
          <w:color w:val="auto"/>
        </w:rPr>
        <w:t>,</w:t>
      </w:r>
      <w:r w:rsidRPr="00276384">
        <w:rPr>
          <w:color w:val="auto"/>
        </w:rPr>
        <w:t xml:space="preserve"> y a través de reiteradas comunicaciones, el Estado solicitó a la sociedad civil que reconsiderara retomar la</w:t>
      </w:r>
      <w:r w:rsidR="00011808" w:rsidRPr="00276384">
        <w:rPr>
          <w:color w:val="auto"/>
        </w:rPr>
        <w:t>s coordinaciones y comunicación, así como han sido invitados a todas las actividades desarrolladas para la implementación de los compromisos en materia de transparencia y acceso a la información pública y datos abiertos.</w:t>
      </w:r>
      <w:r w:rsidR="00FB45DB" w:rsidRPr="00276384">
        <w:rPr>
          <w:color w:val="auto"/>
        </w:rPr>
        <w:t xml:space="preserve">  Adicionalmente, la creación de la Autoridad Autónoma fue </w:t>
      </w:r>
      <w:proofErr w:type="gramStart"/>
      <w:r w:rsidR="00FB45DB" w:rsidRPr="00276384">
        <w:rPr>
          <w:color w:val="auto"/>
        </w:rPr>
        <w:t>abordado</w:t>
      </w:r>
      <w:proofErr w:type="gramEnd"/>
      <w:r w:rsidR="00FB45DB" w:rsidRPr="00276384">
        <w:rPr>
          <w:color w:val="auto"/>
        </w:rPr>
        <w:t xml:space="preserve"> en la Comisión de Alto Nivel Anticorrupción, espacio donde también participa la sociedad civil.</w:t>
      </w:r>
    </w:p>
    <w:p w:rsidR="00453003" w:rsidRPr="00272BDF" w:rsidRDefault="00A56D20" w:rsidP="003A3ABE">
      <w:pPr>
        <w:numPr>
          <w:ilvl w:val="0"/>
          <w:numId w:val="5"/>
        </w:numPr>
        <w:autoSpaceDE w:val="0"/>
        <w:autoSpaceDN w:val="0"/>
        <w:adjustRightInd w:val="0"/>
        <w:spacing w:after="0" w:line="240" w:lineRule="auto"/>
        <w:ind w:left="284"/>
        <w:rPr>
          <w:b/>
          <w:i/>
          <w:sz w:val="28"/>
          <w:szCs w:val="28"/>
        </w:rPr>
      </w:pPr>
      <w:bookmarkStart w:id="18" w:name="_Toc428787071"/>
      <w:bookmarkStart w:id="19" w:name="_Toc428794291"/>
      <w:bookmarkStart w:id="20" w:name="_Toc428796078"/>
      <w:bookmarkStart w:id="21" w:name="_Toc428800185"/>
      <w:bookmarkStart w:id="22" w:name="_Toc428800414"/>
      <w:bookmarkStart w:id="23" w:name="_Toc428803016"/>
      <w:bookmarkStart w:id="24" w:name="_Toc431283342"/>
      <w:bookmarkStart w:id="25" w:name="_Toc431286913"/>
      <w:bookmarkStart w:id="26" w:name="_Toc431288970"/>
      <w:r w:rsidRPr="00272BDF">
        <w:rPr>
          <w:rFonts w:ascii="Gotham Bold" w:hAnsi="Gotham Bold" w:cs="Gotham Bold"/>
          <w:b/>
          <w:i/>
          <w:color w:val="000000"/>
          <w:sz w:val="28"/>
          <w:szCs w:val="28"/>
          <w:lang w:val="es-PE"/>
        </w:rPr>
        <w:t>Recomendaciones del mecanismo de revisión independiente</w:t>
      </w:r>
      <w:r w:rsidR="00F27589" w:rsidRPr="00272BDF">
        <w:rPr>
          <w:b/>
          <w:i/>
          <w:sz w:val="28"/>
          <w:szCs w:val="28"/>
        </w:rPr>
        <w:t xml:space="preserve"> </w:t>
      </w:r>
      <w:bookmarkEnd w:id="18"/>
      <w:bookmarkEnd w:id="19"/>
      <w:bookmarkEnd w:id="20"/>
      <w:bookmarkEnd w:id="21"/>
      <w:bookmarkEnd w:id="22"/>
      <w:bookmarkEnd w:id="23"/>
      <w:bookmarkEnd w:id="24"/>
      <w:bookmarkEnd w:id="25"/>
      <w:bookmarkEnd w:id="26"/>
    </w:p>
    <w:p w:rsidR="0056200A" w:rsidRDefault="0056200A" w:rsidP="00A56D20">
      <w:pPr>
        <w:spacing w:after="0" w:line="240" w:lineRule="auto"/>
        <w:jc w:val="both"/>
        <w:rPr>
          <w:b/>
        </w:rPr>
      </w:pPr>
    </w:p>
    <w:p w:rsidR="00FB45DB" w:rsidRDefault="00FB45DB" w:rsidP="00A56D20">
      <w:pPr>
        <w:spacing w:after="0" w:line="240" w:lineRule="auto"/>
        <w:jc w:val="both"/>
      </w:pPr>
      <w:r w:rsidRPr="00FB45DB">
        <w:t>Considerando las recomendaciones del reporte de evaluación correspondiente al primer plan, se identificaron una serie de mejoras para la formulación del segundo plan</w:t>
      </w:r>
      <w:r>
        <w:t>.</w:t>
      </w:r>
    </w:p>
    <w:p w:rsidR="00FB45DB" w:rsidRPr="00FB45DB" w:rsidRDefault="00FB45DB" w:rsidP="00A56D20">
      <w:pPr>
        <w:spacing w:after="0" w:line="240" w:lineRule="auto"/>
        <w:jc w:val="both"/>
      </w:pPr>
    </w:p>
    <w:p w:rsidR="0062249D" w:rsidRPr="00D115B9" w:rsidRDefault="0062249D" w:rsidP="00A56D20">
      <w:pPr>
        <w:spacing w:after="0" w:line="240" w:lineRule="auto"/>
        <w:jc w:val="both"/>
        <w:rPr>
          <w:b/>
          <w:i/>
          <w:u w:val="single"/>
        </w:rPr>
      </w:pPr>
      <w:r w:rsidRPr="00D115B9">
        <w:rPr>
          <w:b/>
          <w:i/>
          <w:u w:val="single"/>
        </w:rPr>
        <w:t>Recomendaciones Generales</w:t>
      </w:r>
    </w:p>
    <w:p w:rsidR="0062249D" w:rsidRPr="00D115B9" w:rsidRDefault="0062249D" w:rsidP="00D115B9">
      <w:pPr>
        <w:pStyle w:val="Prrafodelista"/>
        <w:numPr>
          <w:ilvl w:val="0"/>
          <w:numId w:val="37"/>
        </w:numPr>
        <w:spacing w:after="0" w:line="240" w:lineRule="auto"/>
        <w:jc w:val="both"/>
        <w:rPr>
          <w:b/>
          <w:i/>
        </w:rPr>
      </w:pPr>
      <w:r w:rsidRPr="00D115B9">
        <w:rPr>
          <w:b/>
          <w:i/>
        </w:rPr>
        <w:t xml:space="preserve">Conectar </w:t>
      </w:r>
      <w:r w:rsidR="00FB45DB">
        <w:rPr>
          <w:b/>
          <w:i/>
        </w:rPr>
        <w:t xml:space="preserve">el </w:t>
      </w:r>
      <w:r w:rsidRPr="00D115B9">
        <w:rPr>
          <w:b/>
          <w:i/>
        </w:rPr>
        <w:t>acceso a la información pública con el proceso de participación ciudadana en la toma de decisiones</w:t>
      </w:r>
    </w:p>
    <w:p w:rsidR="0062249D" w:rsidRDefault="004F01B9" w:rsidP="00A56D20">
      <w:pPr>
        <w:spacing w:after="0" w:line="240" w:lineRule="auto"/>
        <w:jc w:val="both"/>
      </w:pPr>
      <w:r>
        <w:t>A</w:t>
      </w:r>
      <w:r w:rsidR="0062249D">
        <w:t>l segundo plan</w:t>
      </w:r>
      <w:r w:rsidR="0062249D">
        <w:rPr>
          <w:b/>
        </w:rPr>
        <w:t xml:space="preserve"> </w:t>
      </w:r>
      <w:r w:rsidR="0062249D">
        <w:t>de acción</w:t>
      </w:r>
      <w:r w:rsidR="00465D73">
        <w:t>,</w:t>
      </w:r>
      <w:r w:rsidR="0062249D">
        <w:t xml:space="preserve"> se incorpora</w:t>
      </w:r>
      <w:r>
        <w:t>ron</w:t>
      </w:r>
      <w:r w:rsidR="0062249D">
        <w:t xml:space="preserve"> </w:t>
      </w:r>
      <w:r>
        <w:t xml:space="preserve">los </w:t>
      </w:r>
      <w:r w:rsidR="0062249D">
        <w:t>compromisos para fortalecer la gestión de la participación ciuda</w:t>
      </w:r>
      <w:r w:rsidR="00465D73">
        <w:t>dana en las entidades públicas. A</w:t>
      </w:r>
      <w:r w:rsidR="0062249D">
        <w:t>simismo, consider</w:t>
      </w:r>
      <w:r>
        <w:t>ó el fortalecimiento de</w:t>
      </w:r>
      <w:r w:rsidR="0062249D">
        <w:t xml:space="preserve"> las capacidades de los servidores civiles en materia de transparencia y acceso a la información pública, lo cual está alineada a la recomendación formulada.</w:t>
      </w:r>
    </w:p>
    <w:p w:rsidR="0062249D" w:rsidRDefault="0062249D" w:rsidP="00A56D20">
      <w:pPr>
        <w:spacing w:after="0" w:line="240" w:lineRule="auto"/>
        <w:jc w:val="both"/>
      </w:pPr>
    </w:p>
    <w:p w:rsidR="0062249D" w:rsidRPr="00D115B9" w:rsidRDefault="0062249D" w:rsidP="00D115B9">
      <w:pPr>
        <w:pStyle w:val="Prrafodelista"/>
        <w:numPr>
          <w:ilvl w:val="0"/>
          <w:numId w:val="37"/>
        </w:numPr>
        <w:spacing w:after="0" w:line="240" w:lineRule="auto"/>
        <w:jc w:val="both"/>
        <w:rPr>
          <w:b/>
          <w:i/>
        </w:rPr>
      </w:pPr>
      <w:r w:rsidRPr="00D115B9">
        <w:rPr>
          <w:b/>
          <w:i/>
        </w:rPr>
        <w:t>Evaluación anual de los pedidos de información atendidos y no atendidos</w:t>
      </w:r>
    </w:p>
    <w:p w:rsidR="00FB45DB" w:rsidRDefault="00FB45DB" w:rsidP="00A56D20">
      <w:pPr>
        <w:spacing w:after="0" w:line="240" w:lineRule="auto"/>
        <w:jc w:val="both"/>
      </w:pPr>
      <w:r>
        <w:t>La PCM, a través de la Secretaría de Coordinación</w:t>
      </w:r>
      <w:r w:rsidR="00465D73">
        <w:t>,</w:t>
      </w:r>
      <w:r>
        <w:t xml:space="preserve"> elabora un informe anual en base a los reportes de atención a los pedidos de información de las entidades públicas, la cual a su vez es presentada al Congreso de la República</w:t>
      </w:r>
      <w:r w:rsidR="00465D73">
        <w:t>.</w:t>
      </w:r>
    </w:p>
    <w:p w:rsidR="00EE593E" w:rsidRDefault="00EE593E" w:rsidP="00A56D20">
      <w:pPr>
        <w:spacing w:after="0" w:line="240" w:lineRule="auto"/>
        <w:jc w:val="both"/>
      </w:pPr>
    </w:p>
    <w:p w:rsidR="0062249D" w:rsidRDefault="00FB45DB" w:rsidP="00A56D20">
      <w:pPr>
        <w:spacing w:after="0" w:line="240" w:lineRule="auto"/>
        <w:jc w:val="both"/>
      </w:pPr>
      <w:r>
        <w:t>Sin embargo, s</w:t>
      </w:r>
      <w:r w:rsidR="0062249D" w:rsidRPr="0062249D">
        <w:t>i</w:t>
      </w:r>
      <w:r w:rsidR="0062249D">
        <w:t xml:space="preserve"> bien no se consideró dentro de los compromisos la recomendación formulada, </w:t>
      </w:r>
      <w:r>
        <w:t xml:space="preserve">la Secretaría de Gestión Pública </w:t>
      </w:r>
      <w:r w:rsidR="0062249D">
        <w:t xml:space="preserve">viene trabajando una iniciativa para contar con un sistema informático de registro de solicitudes de acceso a la información pública, lo que permitirá evaluar la incorporación del factor multicultural </w:t>
      </w:r>
      <w:r w:rsidR="0056200A">
        <w:t>y otros factores que puedan presentarse</w:t>
      </w:r>
      <w:r>
        <w:t xml:space="preserve"> en la atención de las solicitudes de acceso a la información pública</w:t>
      </w:r>
      <w:r w:rsidR="00465D73">
        <w:t>.</w:t>
      </w:r>
    </w:p>
    <w:p w:rsidR="0056200A" w:rsidRDefault="0056200A" w:rsidP="00A56D20">
      <w:pPr>
        <w:spacing w:after="0" w:line="240" w:lineRule="auto"/>
        <w:jc w:val="both"/>
      </w:pPr>
    </w:p>
    <w:p w:rsidR="0056200A" w:rsidRPr="00D115B9" w:rsidRDefault="0056200A" w:rsidP="00D115B9">
      <w:pPr>
        <w:pStyle w:val="Prrafodelista"/>
        <w:numPr>
          <w:ilvl w:val="0"/>
          <w:numId w:val="37"/>
        </w:numPr>
        <w:spacing w:after="0" w:line="240" w:lineRule="auto"/>
        <w:jc w:val="both"/>
        <w:rPr>
          <w:b/>
          <w:i/>
        </w:rPr>
      </w:pPr>
      <w:r w:rsidRPr="00D115B9">
        <w:rPr>
          <w:b/>
          <w:i/>
        </w:rPr>
        <w:t>Medir el fortalecimiento institucional y calidad de los instrumentos de transparencia</w:t>
      </w:r>
    </w:p>
    <w:p w:rsidR="0062249D" w:rsidRDefault="0056200A" w:rsidP="00A56D20">
      <w:pPr>
        <w:spacing w:after="0" w:line="240" w:lineRule="auto"/>
        <w:jc w:val="both"/>
      </w:pPr>
      <w:r>
        <w:t>El segundo plan de acción contempla un compromiso que recoge la recomendación referida a la calidad de los instrumentos de transparencia, al considerar la mejora de la accesibilidad e interoperabilidad de los Portales de Transparencia Estándar fomentando la reutilización de los datos.</w:t>
      </w:r>
    </w:p>
    <w:p w:rsidR="0056200A" w:rsidRPr="0056200A" w:rsidRDefault="0056200A" w:rsidP="00A56D20">
      <w:pPr>
        <w:spacing w:after="0" w:line="240" w:lineRule="auto"/>
        <w:jc w:val="both"/>
      </w:pPr>
    </w:p>
    <w:p w:rsidR="00790122" w:rsidRPr="00D115B9" w:rsidRDefault="0056200A" w:rsidP="00A56D20">
      <w:pPr>
        <w:spacing w:after="0" w:line="240" w:lineRule="auto"/>
        <w:jc w:val="both"/>
        <w:rPr>
          <w:b/>
          <w:i/>
          <w:u w:val="single"/>
        </w:rPr>
      </w:pPr>
      <w:r w:rsidRPr="00D115B9">
        <w:rPr>
          <w:b/>
          <w:i/>
          <w:u w:val="single"/>
        </w:rPr>
        <w:t>Elaboración del Plan de Acción</w:t>
      </w:r>
    </w:p>
    <w:p w:rsidR="00790122" w:rsidRDefault="00465D73" w:rsidP="0056200A">
      <w:pPr>
        <w:spacing w:after="0" w:line="240" w:lineRule="auto"/>
        <w:jc w:val="both"/>
      </w:pPr>
      <w:r>
        <w:rPr>
          <w:i/>
        </w:rPr>
        <w:t>Se realizaron ajustes a</w:t>
      </w:r>
      <w:r w:rsidR="0056200A" w:rsidRPr="00795B4F">
        <w:rPr>
          <w:i/>
        </w:rPr>
        <w:t xml:space="preserve">l primer Plan de Acción, </w:t>
      </w:r>
      <w:r>
        <w:rPr>
          <w:i/>
        </w:rPr>
        <w:t>a fin de</w:t>
      </w:r>
      <w:r w:rsidR="0056200A" w:rsidRPr="00795B4F">
        <w:rPr>
          <w:i/>
        </w:rPr>
        <w:t xml:space="preserve"> someterlo a un proceso de racionalización y ordenamiento</w:t>
      </w:r>
      <w:r>
        <w:rPr>
          <w:i/>
        </w:rPr>
        <w:t>,</w:t>
      </w:r>
      <w:r w:rsidR="00790122" w:rsidRPr="00795B4F">
        <w:rPr>
          <w:i/>
        </w:rPr>
        <w:t xml:space="preserve"> quedando 12 compromisos para su evaluación.</w:t>
      </w:r>
      <w:r w:rsidR="00790122" w:rsidRPr="00790122">
        <w:t xml:space="preserve">  Esto conllevó a que en la formulación del segundo plan, </w:t>
      </w:r>
      <w:r>
        <w:t xml:space="preserve">se </w:t>
      </w:r>
      <w:r w:rsidR="00FB45DB">
        <w:t>contemplara la metodología SMART para r</w:t>
      </w:r>
      <w:r>
        <w:t xml:space="preserve">educir el número de compromisos, priorizando, a detalle, la </w:t>
      </w:r>
      <w:r w:rsidR="0056200A">
        <w:t xml:space="preserve">formulación y </w:t>
      </w:r>
      <w:r w:rsidR="00790122" w:rsidRPr="00790122">
        <w:t>redacción</w:t>
      </w:r>
      <w:r w:rsidR="00790122">
        <w:t xml:space="preserve"> del compromiso</w:t>
      </w:r>
      <w:r w:rsidR="00790122" w:rsidRPr="00790122">
        <w:t xml:space="preserve">, </w:t>
      </w:r>
      <w:r>
        <w:t xml:space="preserve">así como la identificación de </w:t>
      </w:r>
      <w:r w:rsidR="00790122" w:rsidRPr="00790122">
        <w:t>actividades</w:t>
      </w:r>
      <w:r>
        <w:t xml:space="preserve"> que puedan ser evaluadas, a efectos d</w:t>
      </w:r>
      <w:r w:rsidR="00790122" w:rsidRPr="00790122">
        <w:t>el cumplimiento de</w:t>
      </w:r>
      <w:r w:rsidR="0056200A">
        <w:t xml:space="preserve"> </w:t>
      </w:r>
      <w:r w:rsidR="00790122" w:rsidRPr="00790122">
        <w:t>l</w:t>
      </w:r>
      <w:r w:rsidR="0056200A">
        <w:t>os</w:t>
      </w:r>
      <w:r w:rsidR="00790122" w:rsidRPr="00790122">
        <w:t xml:space="preserve"> compromiso</w:t>
      </w:r>
      <w:r w:rsidR="0056200A">
        <w:t>s</w:t>
      </w:r>
      <w:r>
        <w:t>.</w:t>
      </w:r>
    </w:p>
    <w:p w:rsidR="00A819C8" w:rsidRDefault="00A819C8" w:rsidP="0056200A">
      <w:pPr>
        <w:spacing w:after="0" w:line="240" w:lineRule="auto"/>
        <w:jc w:val="both"/>
      </w:pPr>
    </w:p>
    <w:p w:rsidR="00133B92" w:rsidRPr="00D115B9" w:rsidRDefault="00A819C8" w:rsidP="00A56D20">
      <w:pPr>
        <w:spacing w:after="0" w:line="240" w:lineRule="auto"/>
        <w:jc w:val="both"/>
        <w:rPr>
          <w:b/>
          <w:i/>
          <w:u w:val="single"/>
        </w:rPr>
      </w:pPr>
      <w:r w:rsidRPr="00D115B9">
        <w:rPr>
          <w:b/>
          <w:i/>
          <w:u w:val="single"/>
        </w:rPr>
        <w:t>Monitoreo de la implementación</w:t>
      </w:r>
    </w:p>
    <w:p w:rsidR="00133B92" w:rsidRDefault="00A819C8" w:rsidP="00A56D20">
      <w:pPr>
        <w:spacing w:after="0" w:line="240" w:lineRule="auto"/>
        <w:jc w:val="both"/>
        <w:rPr>
          <w:i/>
        </w:rPr>
      </w:pPr>
      <w:r w:rsidRPr="00795B4F">
        <w:rPr>
          <w:i/>
        </w:rPr>
        <w:t>El control de la implementación del Plan de Acción no debería agotarse en el espacio de la Comisión Multisectorial de naturaleza Permanente para el seguimiento de la implementación del Plan de Acción de Gobierno abierto</w:t>
      </w:r>
      <w:r w:rsidR="00465D73">
        <w:rPr>
          <w:i/>
        </w:rPr>
        <w:t>,</w:t>
      </w:r>
      <w:r w:rsidRPr="00795B4F">
        <w:rPr>
          <w:i/>
        </w:rPr>
        <w:t xml:space="preserve"> </w:t>
      </w:r>
      <w:r w:rsidR="004F01B9">
        <w:rPr>
          <w:i/>
        </w:rPr>
        <w:t xml:space="preserve">pues su existencia </w:t>
      </w:r>
      <w:r w:rsidRPr="00795B4F">
        <w:rPr>
          <w:i/>
        </w:rPr>
        <w:t xml:space="preserve">es una buena señal que genera confianza sobre el proceso de implementación. </w:t>
      </w:r>
    </w:p>
    <w:p w:rsidR="00EE593E" w:rsidRPr="00795B4F" w:rsidRDefault="00EE593E" w:rsidP="00A56D20">
      <w:pPr>
        <w:spacing w:after="0" w:line="240" w:lineRule="auto"/>
        <w:jc w:val="both"/>
        <w:rPr>
          <w:i/>
        </w:rPr>
      </w:pPr>
    </w:p>
    <w:p w:rsidR="00A819C8" w:rsidRDefault="00465D73" w:rsidP="00A56D20">
      <w:pPr>
        <w:spacing w:after="0" w:line="240" w:lineRule="auto"/>
        <w:jc w:val="both"/>
      </w:pPr>
      <w:r>
        <w:t>Al respecto, s</w:t>
      </w:r>
      <w:r w:rsidR="008E646B">
        <w:t>e cuenta con otros espacios ya institucionalizados que podría incorporar la recomendación</w:t>
      </w:r>
      <w:r>
        <w:t xml:space="preserve">, </w:t>
      </w:r>
      <w:r w:rsidR="008E646B">
        <w:t xml:space="preserve"> como </w:t>
      </w:r>
      <w:r>
        <w:t>el</w:t>
      </w:r>
      <w:r w:rsidR="008E646B">
        <w:t xml:space="preserve"> Acuerdo Nacional, que es un espacio tripartito de diálogo y construcción de consensos, conformado por el Gobierno en sus tres niveles y principales instituciones políticas y sociales del país, mayor información en </w:t>
      </w:r>
      <w:hyperlink r:id="rId13" w:history="1">
        <w:r w:rsidR="008E646B" w:rsidRPr="001A65E2">
          <w:rPr>
            <w:rStyle w:val="Hipervnculo"/>
          </w:rPr>
          <w:t>http://acuerdonacional.pe/</w:t>
        </w:r>
      </w:hyperlink>
      <w:r w:rsidR="008E646B">
        <w:t xml:space="preserve"> .</w:t>
      </w:r>
    </w:p>
    <w:p w:rsidR="00EE593E" w:rsidRDefault="00EE593E" w:rsidP="00A56D20">
      <w:pPr>
        <w:spacing w:after="0" w:line="240" w:lineRule="auto"/>
        <w:jc w:val="both"/>
      </w:pPr>
    </w:p>
    <w:p w:rsidR="008E646B" w:rsidRDefault="008E646B" w:rsidP="00A56D20">
      <w:pPr>
        <w:spacing w:after="0" w:line="240" w:lineRule="auto"/>
        <w:jc w:val="both"/>
      </w:pPr>
      <w:r>
        <w:t>A</w:t>
      </w:r>
      <w:r w:rsidR="003B56D1">
        <w:t>simismo</w:t>
      </w:r>
      <w:r>
        <w:t>, otro espacio es la Oficina Nacional de Diálogo y Sostenibilidad, encargad</w:t>
      </w:r>
      <w:r w:rsidR="003B56D1">
        <w:t>a</w:t>
      </w:r>
      <w:r>
        <w:t xml:space="preserve"> de dirigir, en el ámbito de sus competencias, el proceso de diálogo con los diversos actores sociales, representantes de instituciones privadas y funcionarios públicos, con el objeto de prevenir controversias, diferencias y conflictos sociales. La Oficina facilita además la mediación y/o negociación para solucionarlos, mayor información </w:t>
      </w:r>
      <w:hyperlink r:id="rId14" w:history="1">
        <w:r w:rsidRPr="001A65E2">
          <w:rPr>
            <w:rStyle w:val="Hipervnculo"/>
          </w:rPr>
          <w:t>http://onds.pcm.gob.pe/objetivos-y-funciones/</w:t>
        </w:r>
      </w:hyperlink>
      <w:r>
        <w:t>.</w:t>
      </w:r>
    </w:p>
    <w:p w:rsidR="00EE593E" w:rsidRDefault="00EE593E" w:rsidP="00A56D20">
      <w:pPr>
        <w:spacing w:after="0" w:line="240" w:lineRule="auto"/>
        <w:jc w:val="both"/>
      </w:pPr>
    </w:p>
    <w:p w:rsidR="00EE593E" w:rsidRDefault="00EE593E" w:rsidP="00A56D20">
      <w:pPr>
        <w:spacing w:after="0" w:line="240" w:lineRule="auto"/>
        <w:jc w:val="both"/>
      </w:pPr>
      <w:r>
        <w:t>Otro de los espacios que convoca la participación de otros actores, lo constituye la Comisión para el Desarrollo de la Sociedad de la Información (CODESI) donde puede abordarse los temas referidos a la mejora de servicios, innovación, datos abiertos, etc.</w:t>
      </w:r>
    </w:p>
    <w:p w:rsidR="00EE593E" w:rsidRDefault="00EE593E" w:rsidP="00A56D20">
      <w:pPr>
        <w:spacing w:after="0" w:line="240" w:lineRule="auto"/>
        <w:jc w:val="both"/>
      </w:pPr>
    </w:p>
    <w:p w:rsidR="008E646B" w:rsidRDefault="003B56D1" w:rsidP="00A56D20">
      <w:pPr>
        <w:spacing w:after="0" w:line="240" w:lineRule="auto"/>
        <w:jc w:val="both"/>
      </w:pPr>
      <w:r>
        <w:t>Por último, s</w:t>
      </w:r>
      <w:r w:rsidR="008E646B">
        <w:t xml:space="preserve">e </w:t>
      </w:r>
      <w:r w:rsidR="004F01B9">
        <w:t>está</w:t>
      </w:r>
      <w:r w:rsidR="008E646B">
        <w:t xml:space="preserve"> evaluando la coordinación de la Comisión de seguimiento de la implementación del Plan de Acción con ambos espacios a fin de que puedan contribuir a efectivizar la recomendación. </w:t>
      </w:r>
    </w:p>
    <w:p w:rsidR="008E646B" w:rsidRDefault="008E646B" w:rsidP="00A56D20">
      <w:pPr>
        <w:spacing w:after="0" w:line="240" w:lineRule="auto"/>
        <w:jc w:val="both"/>
      </w:pPr>
    </w:p>
    <w:p w:rsidR="008E646B" w:rsidRPr="00D115B9" w:rsidRDefault="008E646B" w:rsidP="00A56D20">
      <w:pPr>
        <w:spacing w:after="0" w:line="240" w:lineRule="auto"/>
        <w:jc w:val="both"/>
        <w:rPr>
          <w:b/>
          <w:i/>
          <w:u w:val="single"/>
        </w:rPr>
      </w:pPr>
      <w:r w:rsidRPr="00D115B9">
        <w:rPr>
          <w:b/>
          <w:i/>
          <w:u w:val="single"/>
        </w:rPr>
        <w:t>Ente Estatal Autónomo</w:t>
      </w:r>
    </w:p>
    <w:p w:rsidR="008E646B" w:rsidRPr="00BF42B5" w:rsidRDefault="00795B4F" w:rsidP="00A56D20">
      <w:pPr>
        <w:spacing w:after="0" w:line="240" w:lineRule="auto"/>
        <w:jc w:val="both"/>
        <w:rPr>
          <w:b/>
          <w:i/>
        </w:rPr>
      </w:pPr>
      <w:r w:rsidRPr="00BF42B5">
        <w:rPr>
          <w:b/>
          <w:i/>
        </w:rPr>
        <w:t>Necesidad de contar con una autoridad autónoma que vele por la transparencia.</w:t>
      </w:r>
    </w:p>
    <w:p w:rsidR="00795B4F" w:rsidRPr="00795B4F" w:rsidRDefault="003B56D1" w:rsidP="00A56D20">
      <w:pPr>
        <w:spacing w:after="0" w:line="240" w:lineRule="auto"/>
        <w:jc w:val="both"/>
      </w:pPr>
      <w:r w:rsidRPr="00BF42B5">
        <w:t>Si bien esta recomendación</w:t>
      </w:r>
      <w:r w:rsidR="00D115B9" w:rsidRPr="00BF42B5">
        <w:t xml:space="preserve"> fue contemplada como un compromiso en el proceso de el</w:t>
      </w:r>
      <w:r w:rsidRPr="00BF42B5">
        <w:t>aboración del segundo plan, no fue considerada en el contenido del documento aprobado</w:t>
      </w:r>
      <w:r w:rsidR="00D115B9" w:rsidRPr="00BF42B5">
        <w:t xml:space="preserve">. Sin embargo, a la fecha, </w:t>
      </w:r>
      <w:r w:rsidR="001C574F" w:rsidRPr="00BF42B5">
        <w:t xml:space="preserve">y </w:t>
      </w:r>
      <w:r w:rsidR="00D115B9" w:rsidRPr="00BF42B5">
        <w:t>m</w:t>
      </w:r>
      <w:r w:rsidR="00795B4F" w:rsidRPr="00BF42B5">
        <w:t>ediante Resolución Ministerial N° 0268-2016-JUS, publicada el 13 de setiembre 2016, se constituye el Grupo de Trabajo encargado de elaborar un informe técnico que contenga la propuesta normativa para la creación de una Autoridad Nacional de Transparencia, acceso a la información y protección de datos personales, crear un sistema de sanciones y otras funciones</w:t>
      </w:r>
      <w:r w:rsidR="00D115B9" w:rsidRPr="00BF42B5">
        <w:t>.</w:t>
      </w:r>
    </w:p>
    <w:p w:rsidR="00A56D20" w:rsidRDefault="00A56D20" w:rsidP="00A56D20">
      <w:pPr>
        <w:spacing w:line="240" w:lineRule="auto"/>
        <w:jc w:val="both"/>
      </w:pPr>
    </w:p>
    <w:p w:rsidR="00A56D20" w:rsidRPr="00272BDF" w:rsidRDefault="00A56D20" w:rsidP="00272BDF">
      <w:pPr>
        <w:numPr>
          <w:ilvl w:val="0"/>
          <w:numId w:val="5"/>
        </w:numPr>
        <w:autoSpaceDE w:val="0"/>
        <w:autoSpaceDN w:val="0"/>
        <w:adjustRightInd w:val="0"/>
        <w:spacing w:after="0" w:line="240" w:lineRule="auto"/>
        <w:ind w:left="284"/>
        <w:jc w:val="both"/>
        <w:rPr>
          <w:i/>
          <w:sz w:val="28"/>
          <w:szCs w:val="28"/>
        </w:rPr>
      </w:pPr>
      <w:r w:rsidRPr="00272BDF">
        <w:rPr>
          <w:rFonts w:ascii="Gotham Bold" w:hAnsi="Gotham Bold"/>
          <w:b/>
          <w:bCs/>
          <w:i/>
          <w:sz w:val="28"/>
          <w:szCs w:val="28"/>
          <w:lang w:val="es-PE"/>
        </w:rPr>
        <w:t>Implementación de los compromisos del Plan de Acción Nacional</w:t>
      </w:r>
    </w:p>
    <w:p w:rsidR="00D115B9" w:rsidRDefault="00D115B9" w:rsidP="00A56D20">
      <w:pPr>
        <w:spacing w:after="0" w:line="240" w:lineRule="auto"/>
        <w:jc w:val="both"/>
        <w:rPr>
          <w:color w:val="FF0000"/>
        </w:rPr>
      </w:pPr>
    </w:p>
    <w:p w:rsidR="004F01B9" w:rsidRPr="00D115B9" w:rsidRDefault="004F01B9" w:rsidP="004F01B9">
      <w:pPr>
        <w:spacing w:after="0" w:line="240" w:lineRule="auto"/>
        <w:jc w:val="both"/>
      </w:pPr>
      <w:r w:rsidRPr="00D115B9">
        <w:t>Se presenta a continuación el nivel de avance de cumplimiento de los compromisos asumidos por el Perú</w:t>
      </w:r>
      <w:r w:rsidR="001C574F">
        <w:t>,</w:t>
      </w:r>
      <w:r w:rsidRPr="00D115B9">
        <w:t xml:space="preserve"> en el marco del Plan de Acción Nacional 2015-2016, considerando el formato de ficha de cumplimiento sugerido por la OGP. </w:t>
      </w:r>
      <w:r w:rsidR="001C574F">
        <w:t>Cabe precisar que l</w:t>
      </w:r>
      <w:r w:rsidRPr="00D115B9">
        <w:t>a implementación de los compromisos es responsabilidad de las entidades señaladas como Responsables en cada ficha.</w:t>
      </w:r>
    </w:p>
    <w:p w:rsidR="00942DA5" w:rsidRDefault="00942DA5"/>
    <w:p w:rsidR="002C2EAC" w:rsidRDefault="002C2EAC"/>
    <w:p w:rsidR="002C2EAC" w:rsidRDefault="002C2EAC"/>
    <w:p w:rsidR="002C2EAC" w:rsidRDefault="002C2EAC"/>
    <w:p w:rsidR="002C2EAC" w:rsidRDefault="002C2EAC"/>
    <w:p w:rsidR="002C2EAC" w:rsidRDefault="002C2EAC"/>
    <w:p w:rsidR="002C2EAC" w:rsidRDefault="002C2EAC"/>
    <w:p w:rsidR="002C2EAC" w:rsidRDefault="002C2EAC"/>
    <w:p w:rsidR="002C2EAC" w:rsidRDefault="002C2EAC"/>
    <w:tbl>
      <w:tblPr>
        <w:tblStyle w:val="Tablaconcuadrcula"/>
        <w:tblW w:w="9039" w:type="dxa"/>
        <w:tblLayout w:type="fixed"/>
        <w:tblLook w:val="04A0" w:firstRow="1" w:lastRow="0" w:firstColumn="1" w:lastColumn="0" w:noHBand="0" w:noVBand="1"/>
      </w:tblPr>
      <w:tblGrid>
        <w:gridCol w:w="2109"/>
        <w:gridCol w:w="409"/>
        <w:gridCol w:w="1701"/>
        <w:gridCol w:w="1729"/>
        <w:gridCol w:w="1644"/>
        <w:gridCol w:w="1447"/>
      </w:tblGrid>
      <w:tr w:rsidR="00EB66E2" w:rsidRPr="00295641" w:rsidTr="004F01B9">
        <w:tc>
          <w:tcPr>
            <w:tcW w:w="9039" w:type="dxa"/>
            <w:gridSpan w:val="6"/>
            <w:shd w:val="clear" w:color="auto" w:fill="548DD4" w:themeFill="text2" w:themeFillTint="99"/>
          </w:tcPr>
          <w:p w:rsidR="00EB66E2" w:rsidRPr="00295641" w:rsidRDefault="00F8353E" w:rsidP="00003D89">
            <w:pPr>
              <w:ind w:left="720"/>
              <w:jc w:val="center"/>
              <w:rPr>
                <w:b/>
              </w:rPr>
            </w:pPr>
            <w:r>
              <w:rPr>
                <w:b/>
              </w:rPr>
              <w:t>Componente: Transparencia y Acceso a la Información Pública</w:t>
            </w:r>
          </w:p>
        </w:tc>
      </w:tr>
      <w:tr w:rsidR="00F8353E" w:rsidRPr="00295641" w:rsidTr="004F01B9">
        <w:tc>
          <w:tcPr>
            <w:tcW w:w="9039" w:type="dxa"/>
            <w:gridSpan w:val="6"/>
            <w:shd w:val="clear" w:color="auto" w:fill="548DD4" w:themeFill="text2" w:themeFillTint="99"/>
          </w:tcPr>
          <w:p w:rsidR="00F8353E" w:rsidRDefault="005E32C3" w:rsidP="005E32C3">
            <w:pPr>
              <w:ind w:left="360"/>
              <w:jc w:val="center"/>
              <w:rPr>
                <w:b/>
              </w:rPr>
            </w:pPr>
            <w:r>
              <w:rPr>
                <w:b/>
              </w:rPr>
              <w:t xml:space="preserve">Compromiso 1. </w:t>
            </w:r>
            <w:r w:rsidR="00F8353E">
              <w:rPr>
                <w:b/>
              </w:rPr>
              <w:t>Modificación de la Ley de Transparencia y Acceso a la Información Pública</w:t>
            </w:r>
          </w:p>
        </w:tc>
      </w:tr>
      <w:tr w:rsidR="00EB66E2" w:rsidRPr="00295641" w:rsidTr="004F01B9">
        <w:tc>
          <w:tcPr>
            <w:tcW w:w="4219" w:type="dxa"/>
            <w:gridSpan w:val="3"/>
            <w:shd w:val="clear" w:color="auto" w:fill="C6D9F1" w:themeFill="text2" w:themeFillTint="33"/>
            <w:vAlign w:val="center"/>
          </w:tcPr>
          <w:p w:rsidR="00EB66E2" w:rsidRPr="00295641" w:rsidRDefault="00EB66E2" w:rsidP="00EB66E2">
            <w:pPr>
              <w:autoSpaceDE w:val="0"/>
              <w:autoSpaceDN w:val="0"/>
              <w:adjustRightInd w:val="0"/>
              <w:rPr>
                <w:rFonts w:cs="Gotham-Book"/>
                <w:b/>
                <w:color w:val="000000" w:themeColor="text1"/>
              </w:rPr>
            </w:pPr>
            <w:r w:rsidRPr="00295641">
              <w:rPr>
                <w:rFonts w:cs="Gotham-Book"/>
                <w:b/>
                <w:color w:val="000000" w:themeColor="text1"/>
              </w:rPr>
              <w:t>Secretaría/Ministerio</w:t>
            </w:r>
          </w:p>
          <w:p w:rsidR="00EB66E2" w:rsidRPr="00295641" w:rsidRDefault="00EB66E2" w:rsidP="00EB66E2">
            <w:pPr>
              <w:rPr>
                <w:b/>
                <w:color w:val="000000" w:themeColor="text1"/>
              </w:rPr>
            </w:pPr>
            <w:r w:rsidRPr="00295641">
              <w:rPr>
                <w:rFonts w:cs="Gotham-Book"/>
                <w:b/>
                <w:color w:val="000000" w:themeColor="text1"/>
              </w:rPr>
              <w:t>Responsable</w:t>
            </w:r>
          </w:p>
        </w:tc>
        <w:tc>
          <w:tcPr>
            <w:tcW w:w="4820" w:type="dxa"/>
            <w:gridSpan w:val="3"/>
          </w:tcPr>
          <w:p w:rsidR="00EB66E2" w:rsidRPr="00295641" w:rsidRDefault="00F8353E" w:rsidP="00EB66E2">
            <w:pPr>
              <w:jc w:val="both"/>
              <w:rPr>
                <w:color w:val="000000" w:themeColor="text1"/>
              </w:rPr>
            </w:pPr>
            <w:r>
              <w:rPr>
                <w:color w:val="000000" w:themeColor="text1"/>
              </w:rPr>
              <w:t>Presidencia del Consejo de Ministros</w:t>
            </w:r>
            <w:r w:rsidR="004A6FB0">
              <w:rPr>
                <w:color w:val="000000" w:themeColor="text1"/>
              </w:rPr>
              <w:t>,</w:t>
            </w:r>
            <w:r>
              <w:rPr>
                <w:color w:val="000000" w:themeColor="text1"/>
              </w:rPr>
              <w:t xml:space="preserve"> a través de la Secretaría de Gestión Pública</w:t>
            </w:r>
          </w:p>
        </w:tc>
      </w:tr>
      <w:tr w:rsidR="00EB66E2" w:rsidRPr="00295641" w:rsidTr="004F01B9">
        <w:tc>
          <w:tcPr>
            <w:tcW w:w="4219" w:type="dxa"/>
            <w:gridSpan w:val="3"/>
            <w:shd w:val="clear" w:color="auto" w:fill="C6D9F1" w:themeFill="text2" w:themeFillTint="33"/>
            <w:vAlign w:val="center"/>
          </w:tcPr>
          <w:p w:rsidR="00EB66E2" w:rsidRPr="00295641" w:rsidRDefault="00EB66E2" w:rsidP="00EB66E2">
            <w:pPr>
              <w:autoSpaceDE w:val="0"/>
              <w:autoSpaceDN w:val="0"/>
              <w:adjustRightInd w:val="0"/>
              <w:rPr>
                <w:rFonts w:cs="Gotham-Book"/>
                <w:b/>
                <w:color w:val="000000" w:themeColor="text1"/>
              </w:rPr>
            </w:pPr>
            <w:r w:rsidRPr="00295641">
              <w:rPr>
                <w:rFonts w:cs="Gotham-Book"/>
                <w:b/>
                <w:color w:val="000000" w:themeColor="text1"/>
              </w:rPr>
              <w:t>Nombre de la persona  responsable</w:t>
            </w:r>
          </w:p>
        </w:tc>
        <w:tc>
          <w:tcPr>
            <w:tcW w:w="4820" w:type="dxa"/>
            <w:gridSpan w:val="3"/>
          </w:tcPr>
          <w:p w:rsidR="00EB66E2" w:rsidRPr="00295641" w:rsidRDefault="00F8353E" w:rsidP="00EB66E2">
            <w:pPr>
              <w:jc w:val="both"/>
              <w:rPr>
                <w:color w:val="000000" w:themeColor="text1"/>
              </w:rPr>
            </w:pPr>
            <w:r>
              <w:rPr>
                <w:color w:val="000000" w:themeColor="text1"/>
              </w:rPr>
              <w:t>Fernando Zavala Lombardi</w:t>
            </w:r>
          </w:p>
        </w:tc>
      </w:tr>
      <w:tr w:rsidR="00EB66E2" w:rsidRPr="00295641" w:rsidTr="004F01B9">
        <w:tc>
          <w:tcPr>
            <w:tcW w:w="4219" w:type="dxa"/>
            <w:gridSpan w:val="3"/>
            <w:shd w:val="clear" w:color="auto" w:fill="C6D9F1" w:themeFill="text2" w:themeFillTint="33"/>
            <w:vAlign w:val="center"/>
          </w:tcPr>
          <w:p w:rsidR="00EB66E2" w:rsidRPr="00295641" w:rsidRDefault="00EB66E2" w:rsidP="00EB66E2">
            <w:pPr>
              <w:rPr>
                <w:b/>
                <w:color w:val="000000" w:themeColor="text1"/>
              </w:rPr>
            </w:pPr>
            <w:r w:rsidRPr="00295641">
              <w:rPr>
                <w:rFonts w:cs="Gotham-Book"/>
                <w:b/>
                <w:color w:val="000000" w:themeColor="text1"/>
              </w:rPr>
              <w:t>Puesto</w:t>
            </w:r>
          </w:p>
        </w:tc>
        <w:tc>
          <w:tcPr>
            <w:tcW w:w="4820" w:type="dxa"/>
            <w:gridSpan w:val="3"/>
          </w:tcPr>
          <w:p w:rsidR="00EB66E2" w:rsidRPr="00295641" w:rsidRDefault="00F8353E" w:rsidP="00EB66E2">
            <w:pPr>
              <w:jc w:val="both"/>
              <w:rPr>
                <w:color w:val="000000" w:themeColor="text1"/>
              </w:rPr>
            </w:pPr>
            <w:r>
              <w:rPr>
                <w:color w:val="000000" w:themeColor="text1"/>
              </w:rPr>
              <w:t>Presidente del Consejo de Ministros</w:t>
            </w:r>
          </w:p>
        </w:tc>
      </w:tr>
      <w:tr w:rsidR="00EB66E2" w:rsidRPr="00295641" w:rsidTr="004F01B9">
        <w:tc>
          <w:tcPr>
            <w:tcW w:w="4219" w:type="dxa"/>
            <w:gridSpan w:val="3"/>
            <w:shd w:val="clear" w:color="auto" w:fill="C6D9F1" w:themeFill="text2" w:themeFillTint="33"/>
            <w:vAlign w:val="center"/>
          </w:tcPr>
          <w:p w:rsidR="00EB66E2" w:rsidRPr="00295641" w:rsidRDefault="00EB66E2" w:rsidP="00EB66E2">
            <w:pPr>
              <w:autoSpaceDE w:val="0"/>
              <w:autoSpaceDN w:val="0"/>
              <w:adjustRightInd w:val="0"/>
              <w:rPr>
                <w:rFonts w:cs="Gotham-Book"/>
                <w:b/>
                <w:color w:val="000000" w:themeColor="text1"/>
              </w:rPr>
            </w:pPr>
            <w:r w:rsidRPr="00295641">
              <w:rPr>
                <w:rFonts w:cs="Gotham-Book"/>
                <w:b/>
                <w:color w:val="000000" w:themeColor="text1"/>
              </w:rPr>
              <w:t>Correo electrónico</w:t>
            </w:r>
          </w:p>
        </w:tc>
        <w:tc>
          <w:tcPr>
            <w:tcW w:w="4820" w:type="dxa"/>
            <w:gridSpan w:val="3"/>
          </w:tcPr>
          <w:p w:rsidR="00EB66E2" w:rsidRPr="00295641" w:rsidRDefault="002F3E0D" w:rsidP="00EB66E2">
            <w:pPr>
              <w:jc w:val="both"/>
              <w:rPr>
                <w:rFonts w:cs="Arial"/>
                <w:color w:val="0000FF"/>
                <w:u w:val="single"/>
              </w:rPr>
            </w:pPr>
            <w:hyperlink r:id="rId15" w:history="1">
              <w:r w:rsidR="00F8353E" w:rsidRPr="002977A0">
                <w:rPr>
                  <w:rStyle w:val="Hipervnculo"/>
                  <w:rFonts w:cs="Arial"/>
                </w:rPr>
                <w:t>fzavala@pcm.gob.pe</w:t>
              </w:r>
            </w:hyperlink>
          </w:p>
        </w:tc>
      </w:tr>
      <w:tr w:rsidR="00EB66E2" w:rsidRPr="00295641" w:rsidTr="004F01B9">
        <w:tc>
          <w:tcPr>
            <w:tcW w:w="4219" w:type="dxa"/>
            <w:gridSpan w:val="3"/>
            <w:shd w:val="clear" w:color="auto" w:fill="C6D9F1" w:themeFill="text2" w:themeFillTint="33"/>
            <w:vAlign w:val="center"/>
          </w:tcPr>
          <w:p w:rsidR="00EB66E2" w:rsidRPr="00295641" w:rsidRDefault="00EB66E2" w:rsidP="00EB66E2">
            <w:pPr>
              <w:rPr>
                <w:b/>
                <w:color w:val="000000" w:themeColor="text1"/>
              </w:rPr>
            </w:pPr>
            <w:r w:rsidRPr="00295641">
              <w:rPr>
                <w:rFonts w:cs="Gotham-Book"/>
                <w:b/>
                <w:color w:val="000000" w:themeColor="text1"/>
              </w:rPr>
              <w:t>Teléfono</w:t>
            </w:r>
          </w:p>
        </w:tc>
        <w:tc>
          <w:tcPr>
            <w:tcW w:w="4820" w:type="dxa"/>
            <w:gridSpan w:val="3"/>
          </w:tcPr>
          <w:p w:rsidR="00EB66E2" w:rsidRPr="00295641" w:rsidRDefault="00F8353E" w:rsidP="00EB66E2">
            <w:pPr>
              <w:jc w:val="both"/>
              <w:rPr>
                <w:color w:val="000000" w:themeColor="text1"/>
              </w:rPr>
            </w:pPr>
            <w:r>
              <w:rPr>
                <w:color w:val="000000" w:themeColor="text1"/>
              </w:rPr>
              <w:t>51-1-2197000</w:t>
            </w:r>
          </w:p>
        </w:tc>
      </w:tr>
      <w:tr w:rsidR="00EB66E2" w:rsidRPr="00295641" w:rsidTr="004F01B9">
        <w:tc>
          <w:tcPr>
            <w:tcW w:w="2109" w:type="dxa"/>
            <w:vMerge w:val="restart"/>
            <w:shd w:val="clear" w:color="auto" w:fill="C6D9F1" w:themeFill="text2" w:themeFillTint="33"/>
            <w:vAlign w:val="center"/>
          </w:tcPr>
          <w:p w:rsidR="00EB66E2" w:rsidRPr="00295641" w:rsidRDefault="00EB66E2" w:rsidP="00EB66E2">
            <w:pPr>
              <w:rPr>
                <w:rFonts w:cs="Gotham-Book"/>
                <w:b/>
                <w:color w:val="000000" w:themeColor="text1"/>
              </w:rPr>
            </w:pPr>
            <w:r>
              <w:rPr>
                <w:rFonts w:cs="Gotham-Book"/>
                <w:b/>
                <w:color w:val="000000" w:themeColor="text1"/>
              </w:rPr>
              <w:t>Otros actores involucrados</w:t>
            </w:r>
          </w:p>
        </w:tc>
        <w:tc>
          <w:tcPr>
            <w:tcW w:w="2110" w:type="dxa"/>
            <w:gridSpan w:val="2"/>
            <w:shd w:val="clear" w:color="auto" w:fill="C6D9F1" w:themeFill="text2" w:themeFillTint="33"/>
            <w:vAlign w:val="center"/>
          </w:tcPr>
          <w:p w:rsidR="00EB66E2" w:rsidRPr="00295641" w:rsidRDefault="00EB66E2" w:rsidP="00EB66E2">
            <w:pPr>
              <w:rPr>
                <w:rFonts w:cs="Gotham-Book"/>
                <w:b/>
                <w:color w:val="000000" w:themeColor="text1"/>
              </w:rPr>
            </w:pPr>
            <w:r>
              <w:rPr>
                <w:rFonts w:cs="Gotham-Book"/>
                <w:b/>
                <w:color w:val="000000" w:themeColor="text1"/>
              </w:rPr>
              <w:t>Gobierno</w:t>
            </w:r>
          </w:p>
        </w:tc>
        <w:tc>
          <w:tcPr>
            <w:tcW w:w="4820" w:type="dxa"/>
            <w:gridSpan w:val="3"/>
          </w:tcPr>
          <w:p w:rsidR="00EB66E2" w:rsidRPr="00295641" w:rsidRDefault="00727C09" w:rsidP="00EB66E2">
            <w:pPr>
              <w:jc w:val="both"/>
              <w:rPr>
                <w:color w:val="000000" w:themeColor="text1"/>
              </w:rPr>
            </w:pPr>
            <w:r>
              <w:rPr>
                <w:color w:val="000000" w:themeColor="text1"/>
              </w:rPr>
              <w:t>Ministerio de Justicia, Contraloría General de la República y Comisión de Alto Nivel Anticorrupción.</w:t>
            </w:r>
          </w:p>
        </w:tc>
      </w:tr>
      <w:tr w:rsidR="00EB66E2" w:rsidRPr="00295641" w:rsidTr="004F01B9">
        <w:tc>
          <w:tcPr>
            <w:tcW w:w="2109" w:type="dxa"/>
            <w:vMerge/>
            <w:shd w:val="clear" w:color="auto" w:fill="C6D9F1" w:themeFill="text2" w:themeFillTint="33"/>
            <w:vAlign w:val="center"/>
          </w:tcPr>
          <w:p w:rsidR="00EB66E2" w:rsidRPr="00295641" w:rsidRDefault="00EB66E2" w:rsidP="00EB66E2">
            <w:pPr>
              <w:rPr>
                <w:rFonts w:cs="Gotham-Book"/>
                <w:b/>
                <w:color w:val="000000" w:themeColor="text1"/>
              </w:rPr>
            </w:pPr>
          </w:p>
        </w:tc>
        <w:tc>
          <w:tcPr>
            <w:tcW w:w="2110" w:type="dxa"/>
            <w:gridSpan w:val="2"/>
            <w:shd w:val="clear" w:color="auto" w:fill="C6D9F1" w:themeFill="text2" w:themeFillTint="33"/>
            <w:vAlign w:val="center"/>
          </w:tcPr>
          <w:p w:rsidR="00EB66E2" w:rsidRPr="00295641" w:rsidRDefault="00EB66E2" w:rsidP="00EB66E2">
            <w:pPr>
              <w:rPr>
                <w:rFonts w:cs="Gotham-Book"/>
                <w:b/>
                <w:color w:val="000000" w:themeColor="text1"/>
              </w:rPr>
            </w:pPr>
            <w:r>
              <w:rPr>
                <w:rFonts w:cs="Gotham-Book"/>
                <w:b/>
                <w:color w:val="000000" w:themeColor="text1"/>
              </w:rPr>
              <w:t>Sociedad civil, iniciativa privada, grupos de trabajo o multilaterales</w:t>
            </w:r>
          </w:p>
        </w:tc>
        <w:tc>
          <w:tcPr>
            <w:tcW w:w="4820" w:type="dxa"/>
            <w:gridSpan w:val="3"/>
          </w:tcPr>
          <w:p w:rsidR="00EB66E2" w:rsidRPr="00295641" w:rsidRDefault="004A6FB0" w:rsidP="00EB66E2">
            <w:pPr>
              <w:jc w:val="both"/>
              <w:rPr>
                <w:color w:val="000000" w:themeColor="text1"/>
              </w:rPr>
            </w:pPr>
            <w:r>
              <w:rPr>
                <w:color w:val="000000" w:themeColor="text1"/>
              </w:rPr>
              <w:t>Proé</w:t>
            </w:r>
            <w:r w:rsidR="00727C09">
              <w:rPr>
                <w:color w:val="000000" w:themeColor="text1"/>
              </w:rPr>
              <w:t xml:space="preserve">tica, Ciudadanos al Día, Consejo de la Prensa Peruana. </w:t>
            </w:r>
          </w:p>
        </w:tc>
      </w:tr>
      <w:tr w:rsidR="00EB66E2" w:rsidRPr="00295641" w:rsidTr="004F01B9">
        <w:tc>
          <w:tcPr>
            <w:tcW w:w="4219" w:type="dxa"/>
            <w:gridSpan w:val="3"/>
            <w:shd w:val="clear" w:color="auto" w:fill="C6D9F1" w:themeFill="text2" w:themeFillTint="33"/>
            <w:vAlign w:val="center"/>
          </w:tcPr>
          <w:p w:rsidR="00EB66E2" w:rsidRPr="00295641" w:rsidRDefault="00EB66E2" w:rsidP="00EB66E2">
            <w:pPr>
              <w:rPr>
                <w:rFonts w:cs="Gotham-Book"/>
                <w:b/>
                <w:color w:val="000000" w:themeColor="text1"/>
              </w:rPr>
            </w:pPr>
            <w:r>
              <w:rPr>
                <w:rFonts w:cs="Gotham-Book"/>
                <w:b/>
                <w:color w:val="000000" w:themeColor="text1"/>
              </w:rPr>
              <w:t>Status quo o problema/</w:t>
            </w:r>
            <w:r>
              <w:rPr>
                <w:rFonts w:cs="Gotham-Book"/>
                <w:b/>
                <w:color w:val="000000" w:themeColor="text1"/>
              </w:rPr>
              <w:br/>
              <w:t>desafío que será atendido</w:t>
            </w:r>
          </w:p>
        </w:tc>
        <w:tc>
          <w:tcPr>
            <w:tcW w:w="4820" w:type="dxa"/>
            <w:gridSpan w:val="3"/>
          </w:tcPr>
          <w:p w:rsidR="00EB66E2" w:rsidRPr="00295641" w:rsidRDefault="00727C09" w:rsidP="004A6FB0">
            <w:pPr>
              <w:jc w:val="both"/>
              <w:rPr>
                <w:color w:val="000000" w:themeColor="text1"/>
              </w:rPr>
            </w:pPr>
            <w:r>
              <w:rPr>
                <w:color w:val="000000" w:themeColor="text1"/>
              </w:rPr>
              <w:t>Se han identificado los siguientes vacíos de la Ley de Transparencia y Acceso a la Información Pública-LTAIP que inciden en su aplicación:</w:t>
            </w:r>
            <w:r w:rsidR="004A6FB0">
              <w:rPr>
                <w:color w:val="000000" w:themeColor="text1"/>
              </w:rPr>
              <w:t xml:space="preserve"> Al respecto, n</w:t>
            </w:r>
            <w:r>
              <w:rPr>
                <w:color w:val="000000" w:themeColor="text1"/>
              </w:rPr>
              <w:t>o cuenta con un glosario de términos que oriente a los funcionarios públicos en</w:t>
            </w:r>
            <w:r w:rsidR="004A6FB0">
              <w:rPr>
                <w:color w:val="000000" w:themeColor="text1"/>
              </w:rPr>
              <w:t xml:space="preserve"> la interpretación de dicha ley.</w:t>
            </w:r>
            <w:r>
              <w:rPr>
                <w:color w:val="000000" w:themeColor="text1"/>
              </w:rPr>
              <w:t xml:space="preserve"> No contiene disposiciones que regulen las consecuencias sobre el extravío y destrucción indebida de la información en poder de las entidades públicas.  Las entidades públicas tienen dificultad para aplicar sanciones a los funcionarios y servidores públicos que incumplen la LTAIP, debido a que ésta establece de manera general que el incumplimiento de sus disposiciones conlleva a la sanción por falta grave, sin establecer un catálogo </w:t>
            </w:r>
            <w:r w:rsidR="007B6A82">
              <w:rPr>
                <w:color w:val="000000" w:themeColor="text1"/>
              </w:rPr>
              <w:t>de infracciones con su correspondiente sanción.</w:t>
            </w:r>
          </w:p>
        </w:tc>
      </w:tr>
      <w:tr w:rsidR="00EB66E2" w:rsidRPr="00295641" w:rsidTr="004F01B9">
        <w:tc>
          <w:tcPr>
            <w:tcW w:w="4219" w:type="dxa"/>
            <w:gridSpan w:val="3"/>
            <w:shd w:val="clear" w:color="auto" w:fill="C6D9F1" w:themeFill="text2" w:themeFillTint="33"/>
            <w:vAlign w:val="center"/>
          </w:tcPr>
          <w:p w:rsidR="00EB66E2" w:rsidRPr="00295641" w:rsidRDefault="00EB66E2" w:rsidP="00EB66E2">
            <w:pPr>
              <w:rPr>
                <w:b/>
                <w:color w:val="000000" w:themeColor="text1"/>
              </w:rPr>
            </w:pPr>
            <w:r w:rsidRPr="00295641">
              <w:rPr>
                <w:rFonts w:cs="Gotham-Book"/>
                <w:b/>
                <w:color w:val="000000" w:themeColor="text1"/>
              </w:rPr>
              <w:t>Objetivo principal</w:t>
            </w:r>
          </w:p>
        </w:tc>
        <w:tc>
          <w:tcPr>
            <w:tcW w:w="4820" w:type="dxa"/>
            <w:gridSpan w:val="3"/>
          </w:tcPr>
          <w:p w:rsidR="00EB66E2" w:rsidRPr="007B6A82" w:rsidRDefault="007B6A82" w:rsidP="00EB66E2">
            <w:pPr>
              <w:jc w:val="both"/>
              <w:rPr>
                <w:bCs/>
              </w:rPr>
            </w:pPr>
            <w:r w:rsidRPr="007B6A82">
              <w:rPr>
                <w:bCs/>
              </w:rPr>
              <w:t>Orientar a los funcionarios</w:t>
            </w:r>
            <w:r>
              <w:rPr>
                <w:bCs/>
              </w:rPr>
              <w:t xml:space="preserve"> públicos en la interpretación de las disposiciones de la LTAIP, así como establecer una adecuada regulación de las infracciones y sanciones en caso de incumplimiento de dicha ley.</w:t>
            </w:r>
          </w:p>
        </w:tc>
      </w:tr>
      <w:tr w:rsidR="00EB66E2" w:rsidRPr="00295641" w:rsidTr="004F01B9">
        <w:tc>
          <w:tcPr>
            <w:tcW w:w="4219" w:type="dxa"/>
            <w:gridSpan w:val="3"/>
            <w:shd w:val="clear" w:color="auto" w:fill="C6D9F1" w:themeFill="text2" w:themeFillTint="33"/>
            <w:vAlign w:val="center"/>
          </w:tcPr>
          <w:p w:rsidR="00EB66E2" w:rsidRPr="00295641" w:rsidRDefault="00EB66E2" w:rsidP="00EB66E2">
            <w:pPr>
              <w:autoSpaceDE w:val="0"/>
              <w:autoSpaceDN w:val="0"/>
              <w:adjustRightInd w:val="0"/>
              <w:rPr>
                <w:rFonts w:cs="Gotham-Book"/>
                <w:b/>
                <w:color w:val="000000" w:themeColor="text1"/>
              </w:rPr>
            </w:pPr>
            <w:r>
              <w:rPr>
                <w:rFonts w:cs="Gotham-Book"/>
                <w:b/>
                <w:color w:val="000000" w:themeColor="text1"/>
              </w:rPr>
              <w:t xml:space="preserve">Breve </w:t>
            </w:r>
            <w:r w:rsidRPr="00295641">
              <w:rPr>
                <w:rFonts w:cs="Gotham-Book"/>
                <w:b/>
                <w:color w:val="000000" w:themeColor="text1"/>
              </w:rPr>
              <w:t>Descripción del</w:t>
            </w:r>
          </w:p>
          <w:p w:rsidR="00EB66E2" w:rsidRPr="00295641" w:rsidRDefault="00EB66E2" w:rsidP="00EB66E2">
            <w:pPr>
              <w:autoSpaceDE w:val="0"/>
              <w:autoSpaceDN w:val="0"/>
              <w:adjustRightInd w:val="0"/>
              <w:rPr>
                <w:rFonts w:cs="Gotham-Book"/>
                <w:b/>
                <w:color w:val="000000" w:themeColor="text1"/>
              </w:rPr>
            </w:pPr>
            <w:r w:rsidRPr="00295641">
              <w:rPr>
                <w:rFonts w:cs="Gotham-Book"/>
                <w:b/>
                <w:color w:val="000000" w:themeColor="text1"/>
              </w:rPr>
              <w:t>Compromiso</w:t>
            </w:r>
          </w:p>
        </w:tc>
        <w:tc>
          <w:tcPr>
            <w:tcW w:w="4820" w:type="dxa"/>
            <w:gridSpan w:val="3"/>
          </w:tcPr>
          <w:p w:rsidR="00EB66E2" w:rsidRPr="00D55406" w:rsidRDefault="007B6A82" w:rsidP="00EB66E2">
            <w:pPr>
              <w:jc w:val="both"/>
              <w:rPr>
                <w:color w:val="FF0000"/>
                <w:szCs w:val="20"/>
                <w:lang w:val="es-PE"/>
              </w:rPr>
            </w:pPr>
            <w:r w:rsidRPr="007B6A82">
              <w:rPr>
                <w:szCs w:val="20"/>
                <w:lang w:val="es-PE"/>
              </w:rPr>
              <w:t>Formular una propuesta normativa para la modificación de la Ley de Transparencia y Acceso a la información pública, a fin de incluir un glosario de términos, regular lo concerniente a la destrucción y extravío de la información e incorporar un capítulo de infracciones y sanciones.</w:t>
            </w:r>
          </w:p>
        </w:tc>
      </w:tr>
      <w:tr w:rsidR="00EB66E2" w:rsidRPr="00295641" w:rsidTr="004F01B9">
        <w:tc>
          <w:tcPr>
            <w:tcW w:w="4219" w:type="dxa"/>
            <w:gridSpan w:val="3"/>
            <w:shd w:val="clear" w:color="auto" w:fill="C6D9F1" w:themeFill="text2" w:themeFillTint="33"/>
            <w:vAlign w:val="center"/>
          </w:tcPr>
          <w:p w:rsidR="00EB66E2" w:rsidRPr="00295641" w:rsidRDefault="00EB66E2" w:rsidP="00EB66E2">
            <w:pPr>
              <w:autoSpaceDE w:val="0"/>
              <w:autoSpaceDN w:val="0"/>
              <w:adjustRightInd w:val="0"/>
              <w:rPr>
                <w:rFonts w:cs="Gotham-Book"/>
                <w:b/>
                <w:color w:val="000000" w:themeColor="text1"/>
              </w:rPr>
            </w:pPr>
            <w:r w:rsidRPr="00295641">
              <w:rPr>
                <w:rFonts w:cs="Gotham-Book"/>
                <w:b/>
                <w:color w:val="000000" w:themeColor="text1"/>
              </w:rPr>
              <w:t>Relevancia</w:t>
            </w:r>
          </w:p>
          <w:p w:rsidR="00EB66E2" w:rsidRPr="00295641" w:rsidRDefault="00EB66E2" w:rsidP="00EB66E2">
            <w:pPr>
              <w:autoSpaceDE w:val="0"/>
              <w:autoSpaceDN w:val="0"/>
              <w:adjustRightInd w:val="0"/>
              <w:rPr>
                <w:b/>
                <w:color w:val="000000" w:themeColor="text1"/>
              </w:rPr>
            </w:pPr>
          </w:p>
        </w:tc>
        <w:tc>
          <w:tcPr>
            <w:tcW w:w="4820" w:type="dxa"/>
            <w:gridSpan w:val="3"/>
          </w:tcPr>
          <w:p w:rsidR="00EB66E2" w:rsidRPr="00D55406" w:rsidRDefault="00A227EF" w:rsidP="004A6FB0">
            <w:pPr>
              <w:jc w:val="both"/>
              <w:rPr>
                <w:color w:val="FF0000"/>
                <w:szCs w:val="20"/>
                <w:lang w:val="es-PE"/>
              </w:rPr>
            </w:pPr>
            <w:r w:rsidRPr="00891F42">
              <w:rPr>
                <w:szCs w:val="20"/>
                <w:lang w:val="es-PE"/>
              </w:rPr>
              <w:t>Formular el proyecto de modificación de la Ley de Transparencia y Acceso a la Información Pública</w:t>
            </w:r>
            <w:r w:rsidR="00891F42" w:rsidRPr="00891F42">
              <w:rPr>
                <w:szCs w:val="20"/>
                <w:lang w:val="es-PE"/>
              </w:rPr>
              <w:t xml:space="preserve">, </w:t>
            </w:r>
            <w:r w:rsidR="004A6FB0">
              <w:rPr>
                <w:szCs w:val="20"/>
                <w:lang w:val="es-PE"/>
              </w:rPr>
              <w:t>permitirá</w:t>
            </w:r>
            <w:r w:rsidR="00891F42" w:rsidRPr="00891F42">
              <w:rPr>
                <w:szCs w:val="20"/>
                <w:lang w:val="es-PE"/>
              </w:rPr>
              <w:t xml:space="preserve"> contar con la actualización de una norma que data desde el año 2002 y permitirá efectivizar su cumplimiento al establecer un capítulo de </w:t>
            </w:r>
            <w:r w:rsidR="004A6FB0">
              <w:rPr>
                <w:szCs w:val="20"/>
                <w:lang w:val="es-PE"/>
              </w:rPr>
              <w:t>infracciones y sanciones, lo cual</w:t>
            </w:r>
            <w:r w:rsidR="00891F42" w:rsidRPr="00891F42">
              <w:rPr>
                <w:szCs w:val="20"/>
                <w:lang w:val="es-PE"/>
              </w:rPr>
              <w:t xml:space="preserve"> contribuye a </w:t>
            </w:r>
            <w:r w:rsidR="00EB66E2" w:rsidRPr="00891F42">
              <w:rPr>
                <w:szCs w:val="20"/>
                <w:lang w:val="es-PE"/>
              </w:rPr>
              <w:t xml:space="preserve">fortalecer los valores </w:t>
            </w:r>
            <w:r w:rsidR="00891F42" w:rsidRPr="00891F42">
              <w:rPr>
                <w:szCs w:val="20"/>
                <w:lang w:val="es-PE"/>
              </w:rPr>
              <w:t xml:space="preserve">que </w:t>
            </w:r>
            <w:r w:rsidR="00EB66E2" w:rsidRPr="00891F42">
              <w:rPr>
                <w:szCs w:val="20"/>
                <w:lang w:val="es-PE"/>
              </w:rPr>
              <w:t xml:space="preserve">OGP </w:t>
            </w:r>
            <w:r w:rsidR="00891F42" w:rsidRPr="00891F42">
              <w:rPr>
                <w:szCs w:val="20"/>
                <w:lang w:val="es-PE"/>
              </w:rPr>
              <w:t xml:space="preserve">promueve en materia de </w:t>
            </w:r>
            <w:r w:rsidR="00EB66E2" w:rsidRPr="00891F42">
              <w:rPr>
                <w:szCs w:val="20"/>
                <w:lang w:val="es-PE"/>
              </w:rPr>
              <w:t>transparencia y acceso a la información</w:t>
            </w:r>
            <w:r w:rsidR="00891F42" w:rsidRPr="00891F42">
              <w:rPr>
                <w:szCs w:val="20"/>
                <w:lang w:val="es-PE"/>
              </w:rPr>
              <w:t xml:space="preserve"> pública.</w:t>
            </w:r>
            <w:r w:rsidR="00EB66E2" w:rsidRPr="00D55406">
              <w:rPr>
                <w:color w:val="FF0000"/>
                <w:szCs w:val="20"/>
                <w:lang w:val="es-PE"/>
              </w:rPr>
              <w:t xml:space="preserve"> </w:t>
            </w:r>
          </w:p>
        </w:tc>
      </w:tr>
      <w:tr w:rsidR="00EB66E2" w:rsidRPr="00295641" w:rsidTr="004F01B9">
        <w:tc>
          <w:tcPr>
            <w:tcW w:w="4219" w:type="dxa"/>
            <w:gridSpan w:val="3"/>
            <w:shd w:val="clear" w:color="auto" w:fill="C6D9F1" w:themeFill="text2" w:themeFillTint="33"/>
            <w:vAlign w:val="center"/>
          </w:tcPr>
          <w:p w:rsidR="00EB66E2" w:rsidRPr="00295641" w:rsidRDefault="00EB66E2" w:rsidP="00EB66E2">
            <w:pPr>
              <w:autoSpaceDE w:val="0"/>
              <w:autoSpaceDN w:val="0"/>
              <w:adjustRightInd w:val="0"/>
              <w:rPr>
                <w:rFonts w:cs="Gotham-Book"/>
                <w:b/>
                <w:color w:val="000000" w:themeColor="text1"/>
              </w:rPr>
            </w:pPr>
            <w:r w:rsidRPr="00295641">
              <w:rPr>
                <w:rFonts w:cs="Gotham-Book"/>
                <w:b/>
                <w:color w:val="000000" w:themeColor="text1"/>
              </w:rPr>
              <w:t>Ambición</w:t>
            </w:r>
          </w:p>
          <w:p w:rsidR="00EB66E2" w:rsidRPr="00295641" w:rsidRDefault="00EB66E2" w:rsidP="00EB66E2">
            <w:pPr>
              <w:autoSpaceDE w:val="0"/>
              <w:autoSpaceDN w:val="0"/>
              <w:adjustRightInd w:val="0"/>
              <w:rPr>
                <w:rFonts w:cs="Gotham-BookItalic"/>
                <w:b/>
                <w:iCs/>
                <w:color w:val="000000" w:themeColor="text1"/>
              </w:rPr>
            </w:pPr>
          </w:p>
        </w:tc>
        <w:tc>
          <w:tcPr>
            <w:tcW w:w="4820" w:type="dxa"/>
            <w:gridSpan w:val="3"/>
          </w:tcPr>
          <w:p w:rsidR="00EB66E2" w:rsidRPr="00D55406" w:rsidRDefault="00891F42" w:rsidP="003F04D3">
            <w:pPr>
              <w:jc w:val="both"/>
              <w:rPr>
                <w:color w:val="FF0000"/>
                <w:szCs w:val="20"/>
                <w:lang w:val="es-PE"/>
              </w:rPr>
            </w:pPr>
            <w:r w:rsidRPr="00891F42">
              <w:rPr>
                <w:szCs w:val="20"/>
                <w:lang w:val="es-PE"/>
              </w:rPr>
              <w:t xml:space="preserve">Es necesario </w:t>
            </w:r>
            <w:r w:rsidR="003F04D3">
              <w:rPr>
                <w:szCs w:val="20"/>
                <w:lang w:val="es-PE"/>
              </w:rPr>
              <w:t>fortalecer</w:t>
            </w:r>
            <w:r w:rsidRPr="00891F42">
              <w:rPr>
                <w:szCs w:val="20"/>
                <w:lang w:val="es-PE"/>
              </w:rPr>
              <w:t xml:space="preserve"> la transparencia de la gestión pública y garantizar el derecho de los ciudadanos y ciudadanas a acceder a información pública</w:t>
            </w:r>
            <w:r w:rsidR="003F04D3">
              <w:rPr>
                <w:szCs w:val="20"/>
                <w:lang w:val="es-PE"/>
              </w:rPr>
              <w:t>,</w:t>
            </w:r>
            <w:r w:rsidRPr="00891F42">
              <w:rPr>
                <w:szCs w:val="20"/>
                <w:lang w:val="es-PE"/>
              </w:rPr>
              <w:t xml:space="preserve"> referida a </w:t>
            </w:r>
            <w:r>
              <w:rPr>
                <w:szCs w:val="20"/>
                <w:lang w:val="es-PE"/>
              </w:rPr>
              <w:t xml:space="preserve">la </w:t>
            </w:r>
            <w:r w:rsidRPr="00891F42">
              <w:rPr>
                <w:szCs w:val="20"/>
                <w:lang w:val="es-PE"/>
              </w:rPr>
              <w:t>toma de decisiones y m</w:t>
            </w:r>
            <w:r w:rsidR="003F04D3">
              <w:rPr>
                <w:szCs w:val="20"/>
                <w:lang w:val="es-PE"/>
              </w:rPr>
              <w:t xml:space="preserve">anejo de los recursos público. Esto </w:t>
            </w:r>
            <w:r w:rsidRPr="00891F42">
              <w:rPr>
                <w:szCs w:val="20"/>
                <w:lang w:val="es-PE"/>
              </w:rPr>
              <w:t>genera confianza en la ciudadanía</w:t>
            </w:r>
            <w:r w:rsidR="003F04D3">
              <w:rPr>
                <w:szCs w:val="20"/>
                <w:lang w:val="es-PE"/>
              </w:rPr>
              <w:t>, ya que</w:t>
            </w:r>
            <w:r>
              <w:rPr>
                <w:szCs w:val="20"/>
                <w:lang w:val="es-PE"/>
              </w:rPr>
              <w:t xml:space="preserve"> fortalece el control social y </w:t>
            </w:r>
            <w:r w:rsidRPr="00891F42">
              <w:rPr>
                <w:szCs w:val="20"/>
                <w:lang w:val="es-PE"/>
              </w:rPr>
              <w:t>mejora la apertura de la gestión</w:t>
            </w:r>
            <w:r w:rsidR="00EB66E2" w:rsidRPr="00891F42">
              <w:rPr>
                <w:szCs w:val="20"/>
                <w:lang w:val="es-PE"/>
              </w:rPr>
              <w:t>.</w:t>
            </w:r>
            <w:r w:rsidR="00EB66E2" w:rsidRPr="00D55406">
              <w:rPr>
                <w:color w:val="FF0000"/>
                <w:szCs w:val="20"/>
                <w:lang w:val="es-PE"/>
              </w:rPr>
              <w:t xml:space="preserve"> </w:t>
            </w:r>
          </w:p>
        </w:tc>
      </w:tr>
      <w:tr w:rsidR="00EB66E2" w:rsidRPr="00295641" w:rsidTr="004F01B9">
        <w:tc>
          <w:tcPr>
            <w:tcW w:w="2518" w:type="dxa"/>
            <w:gridSpan w:val="2"/>
            <w:vMerge w:val="restart"/>
            <w:shd w:val="clear" w:color="auto" w:fill="C6D9F1" w:themeFill="text2" w:themeFillTint="33"/>
            <w:vAlign w:val="center"/>
          </w:tcPr>
          <w:p w:rsidR="00EB66E2" w:rsidRPr="00295641" w:rsidRDefault="00EB66E2" w:rsidP="00EB66E2">
            <w:pPr>
              <w:rPr>
                <w:b/>
                <w:color w:val="000000" w:themeColor="text1"/>
              </w:rPr>
            </w:pPr>
            <w:r w:rsidRPr="00295641">
              <w:rPr>
                <w:rFonts w:cs="Gotham-Book"/>
                <w:b/>
                <w:color w:val="000000" w:themeColor="text1"/>
              </w:rPr>
              <w:t>Cumplimiento</w:t>
            </w:r>
          </w:p>
        </w:tc>
        <w:tc>
          <w:tcPr>
            <w:tcW w:w="1701" w:type="dxa"/>
            <w:shd w:val="clear" w:color="auto" w:fill="C6D9F1" w:themeFill="text2" w:themeFillTint="33"/>
          </w:tcPr>
          <w:p w:rsidR="00EB66E2" w:rsidRPr="00295641" w:rsidRDefault="00EB66E2" w:rsidP="00EB66E2">
            <w:pPr>
              <w:jc w:val="center"/>
              <w:rPr>
                <w:b/>
                <w:color w:val="000000" w:themeColor="text1"/>
              </w:rPr>
            </w:pPr>
            <w:r w:rsidRPr="00295641">
              <w:rPr>
                <w:rFonts w:cs="Gotham-Book"/>
                <w:b/>
                <w:color w:val="000000" w:themeColor="text1"/>
              </w:rPr>
              <w:t>No iniciado</w:t>
            </w:r>
          </w:p>
        </w:tc>
        <w:tc>
          <w:tcPr>
            <w:tcW w:w="1729" w:type="dxa"/>
            <w:shd w:val="clear" w:color="auto" w:fill="C6D9F1" w:themeFill="text2" w:themeFillTint="33"/>
          </w:tcPr>
          <w:p w:rsidR="00EB66E2" w:rsidRPr="00295641" w:rsidRDefault="00EB66E2" w:rsidP="00EB66E2">
            <w:pPr>
              <w:jc w:val="center"/>
              <w:rPr>
                <w:b/>
                <w:color w:val="000000" w:themeColor="text1"/>
              </w:rPr>
            </w:pPr>
            <w:r w:rsidRPr="00295641">
              <w:rPr>
                <w:rFonts w:cs="Gotham-Book"/>
                <w:b/>
                <w:color w:val="000000" w:themeColor="text1"/>
              </w:rPr>
              <w:t>Limitado</w:t>
            </w:r>
          </w:p>
        </w:tc>
        <w:tc>
          <w:tcPr>
            <w:tcW w:w="1644" w:type="dxa"/>
            <w:shd w:val="clear" w:color="auto" w:fill="C6D9F1" w:themeFill="text2" w:themeFillTint="33"/>
          </w:tcPr>
          <w:p w:rsidR="00EB66E2" w:rsidRPr="00295641" w:rsidRDefault="00EB66E2" w:rsidP="00EB66E2">
            <w:pPr>
              <w:jc w:val="center"/>
              <w:rPr>
                <w:b/>
                <w:color w:val="000000" w:themeColor="text1"/>
              </w:rPr>
            </w:pPr>
            <w:r w:rsidRPr="00295641">
              <w:rPr>
                <w:rFonts w:cs="Gotham-Book"/>
                <w:b/>
                <w:color w:val="000000" w:themeColor="text1"/>
              </w:rPr>
              <w:t>Sustancial</w:t>
            </w:r>
          </w:p>
        </w:tc>
        <w:tc>
          <w:tcPr>
            <w:tcW w:w="1447" w:type="dxa"/>
            <w:shd w:val="clear" w:color="auto" w:fill="C6D9F1" w:themeFill="text2" w:themeFillTint="33"/>
          </w:tcPr>
          <w:p w:rsidR="00EB66E2" w:rsidRPr="00295641" w:rsidRDefault="00EB66E2" w:rsidP="00EB66E2">
            <w:pPr>
              <w:jc w:val="center"/>
              <w:rPr>
                <w:b/>
                <w:color w:val="000000" w:themeColor="text1"/>
              </w:rPr>
            </w:pPr>
            <w:r w:rsidRPr="00295641">
              <w:rPr>
                <w:rFonts w:cs="Gotham-Book"/>
                <w:b/>
                <w:color w:val="000000" w:themeColor="text1"/>
              </w:rPr>
              <w:t>Completo</w:t>
            </w:r>
          </w:p>
        </w:tc>
      </w:tr>
      <w:tr w:rsidR="00EB66E2" w:rsidRPr="00295641" w:rsidTr="004F01B9">
        <w:tc>
          <w:tcPr>
            <w:tcW w:w="2518" w:type="dxa"/>
            <w:gridSpan w:val="2"/>
            <w:vMerge/>
            <w:shd w:val="clear" w:color="auto" w:fill="C6D9F1" w:themeFill="text2" w:themeFillTint="33"/>
            <w:vAlign w:val="center"/>
          </w:tcPr>
          <w:p w:rsidR="00EB66E2" w:rsidRPr="00295641" w:rsidRDefault="00EB66E2" w:rsidP="00EB66E2">
            <w:pPr>
              <w:rPr>
                <w:b/>
                <w:color w:val="000000" w:themeColor="text1"/>
              </w:rPr>
            </w:pPr>
          </w:p>
        </w:tc>
        <w:tc>
          <w:tcPr>
            <w:tcW w:w="1701" w:type="dxa"/>
          </w:tcPr>
          <w:p w:rsidR="00EB66E2" w:rsidRPr="00295641" w:rsidRDefault="000207D7" w:rsidP="00EB66E2">
            <w:pPr>
              <w:jc w:val="center"/>
              <w:rPr>
                <w:b/>
                <w:color w:val="000000" w:themeColor="text1"/>
              </w:rPr>
            </w:pPr>
            <w:r>
              <w:rPr>
                <w:b/>
                <w:color w:val="000000" w:themeColor="text1"/>
              </w:rPr>
              <w:t>X</w:t>
            </w:r>
          </w:p>
        </w:tc>
        <w:tc>
          <w:tcPr>
            <w:tcW w:w="1729" w:type="dxa"/>
          </w:tcPr>
          <w:p w:rsidR="00EB66E2" w:rsidRPr="00295641" w:rsidRDefault="00EB66E2" w:rsidP="00EB66E2">
            <w:pPr>
              <w:jc w:val="center"/>
              <w:rPr>
                <w:b/>
                <w:color w:val="000000" w:themeColor="text1"/>
              </w:rPr>
            </w:pPr>
          </w:p>
        </w:tc>
        <w:tc>
          <w:tcPr>
            <w:tcW w:w="1644" w:type="dxa"/>
          </w:tcPr>
          <w:p w:rsidR="00EB66E2" w:rsidRPr="00295641" w:rsidRDefault="00EB66E2" w:rsidP="00EB66E2">
            <w:pPr>
              <w:jc w:val="center"/>
              <w:rPr>
                <w:b/>
                <w:color w:val="000000" w:themeColor="text1"/>
              </w:rPr>
            </w:pPr>
          </w:p>
        </w:tc>
        <w:tc>
          <w:tcPr>
            <w:tcW w:w="1447" w:type="dxa"/>
            <w:shd w:val="clear" w:color="auto" w:fill="FFFFFF" w:themeFill="background1"/>
          </w:tcPr>
          <w:p w:rsidR="00EB66E2" w:rsidRPr="00295641" w:rsidRDefault="00EB66E2" w:rsidP="00EB66E2">
            <w:pPr>
              <w:jc w:val="center"/>
              <w:rPr>
                <w:b/>
                <w:color w:val="000000" w:themeColor="text1"/>
              </w:rPr>
            </w:pPr>
          </w:p>
        </w:tc>
      </w:tr>
      <w:tr w:rsidR="00EB66E2" w:rsidRPr="00295641" w:rsidTr="004F01B9">
        <w:tc>
          <w:tcPr>
            <w:tcW w:w="2518" w:type="dxa"/>
            <w:gridSpan w:val="2"/>
            <w:shd w:val="clear" w:color="auto" w:fill="C6D9F1" w:themeFill="text2" w:themeFillTint="33"/>
            <w:vAlign w:val="center"/>
          </w:tcPr>
          <w:p w:rsidR="00EB66E2" w:rsidRPr="00295641" w:rsidRDefault="00EB66E2" w:rsidP="00EB66E2">
            <w:pPr>
              <w:autoSpaceDE w:val="0"/>
              <w:autoSpaceDN w:val="0"/>
              <w:adjustRightInd w:val="0"/>
              <w:rPr>
                <w:rFonts w:cs="Gotham-Book"/>
                <w:b/>
                <w:color w:val="000000" w:themeColor="text1"/>
              </w:rPr>
            </w:pPr>
            <w:r w:rsidRPr="00295641">
              <w:rPr>
                <w:rFonts w:cs="Gotham-Book"/>
                <w:b/>
                <w:color w:val="000000" w:themeColor="text1"/>
              </w:rPr>
              <w:t>Descripción de los resultados</w:t>
            </w:r>
          </w:p>
          <w:p w:rsidR="00EB66E2" w:rsidRPr="00295641" w:rsidRDefault="00EB66E2" w:rsidP="00EB66E2">
            <w:pPr>
              <w:autoSpaceDE w:val="0"/>
              <w:autoSpaceDN w:val="0"/>
              <w:adjustRightInd w:val="0"/>
              <w:rPr>
                <w:rFonts w:cs="Gotham-BookItalic"/>
                <w:b/>
                <w:iCs/>
                <w:color w:val="000000" w:themeColor="text1"/>
              </w:rPr>
            </w:pPr>
          </w:p>
        </w:tc>
        <w:tc>
          <w:tcPr>
            <w:tcW w:w="6521" w:type="dxa"/>
            <w:gridSpan w:val="4"/>
          </w:tcPr>
          <w:p w:rsidR="00A227EF" w:rsidRDefault="00891F42" w:rsidP="00EB66E2">
            <w:pPr>
              <w:jc w:val="both"/>
              <w:rPr>
                <w:szCs w:val="20"/>
                <w:lang w:val="es-PE"/>
              </w:rPr>
            </w:pPr>
            <w:r>
              <w:rPr>
                <w:szCs w:val="20"/>
                <w:lang w:val="es-PE"/>
              </w:rPr>
              <w:t>Se ha considerado las siguientes actividades:</w:t>
            </w:r>
          </w:p>
          <w:p w:rsidR="00891F42" w:rsidRPr="005E32C3" w:rsidRDefault="00891F42" w:rsidP="003A3ABE">
            <w:pPr>
              <w:pStyle w:val="Prrafodelista"/>
              <w:numPr>
                <w:ilvl w:val="0"/>
                <w:numId w:val="7"/>
              </w:numPr>
              <w:jc w:val="both"/>
              <w:rPr>
                <w:b/>
                <w:i/>
                <w:szCs w:val="20"/>
                <w:lang w:val="es-PE"/>
              </w:rPr>
            </w:pPr>
            <w:r w:rsidRPr="005E32C3">
              <w:rPr>
                <w:b/>
                <w:i/>
                <w:szCs w:val="20"/>
                <w:lang w:val="es-PE"/>
              </w:rPr>
              <w:t>Proyecto de ley culminado</w:t>
            </w:r>
          </w:p>
          <w:p w:rsidR="00891F42" w:rsidRPr="005E32C3" w:rsidRDefault="00891F42" w:rsidP="003A3ABE">
            <w:pPr>
              <w:pStyle w:val="Prrafodelista"/>
              <w:numPr>
                <w:ilvl w:val="0"/>
                <w:numId w:val="7"/>
              </w:numPr>
              <w:jc w:val="both"/>
              <w:rPr>
                <w:b/>
                <w:i/>
                <w:szCs w:val="20"/>
                <w:lang w:val="es-PE"/>
              </w:rPr>
            </w:pPr>
            <w:r w:rsidRPr="005E32C3">
              <w:rPr>
                <w:b/>
                <w:i/>
                <w:szCs w:val="20"/>
                <w:lang w:val="es-PE"/>
              </w:rPr>
              <w:t>Reuniones de trabajo con entidades públicas y organizaciones de la sociedad civil para compartir el proyecto y recibir comentarios.</w:t>
            </w:r>
          </w:p>
          <w:p w:rsidR="00891F42" w:rsidRPr="005E32C3" w:rsidRDefault="00891F42" w:rsidP="003A3ABE">
            <w:pPr>
              <w:pStyle w:val="Prrafodelista"/>
              <w:numPr>
                <w:ilvl w:val="0"/>
                <w:numId w:val="7"/>
              </w:numPr>
              <w:jc w:val="both"/>
              <w:rPr>
                <w:b/>
                <w:i/>
                <w:szCs w:val="20"/>
                <w:lang w:val="es-PE"/>
              </w:rPr>
            </w:pPr>
            <w:r w:rsidRPr="005E32C3">
              <w:rPr>
                <w:b/>
                <w:i/>
                <w:szCs w:val="20"/>
                <w:lang w:val="es-PE"/>
              </w:rPr>
              <w:t>Aprobación del proyecto de ley por la Alta Dirección de PCM.</w:t>
            </w:r>
          </w:p>
          <w:p w:rsidR="00891F42" w:rsidRPr="005E32C3" w:rsidRDefault="00891F42" w:rsidP="003A3ABE">
            <w:pPr>
              <w:pStyle w:val="Prrafodelista"/>
              <w:numPr>
                <w:ilvl w:val="0"/>
                <w:numId w:val="7"/>
              </w:numPr>
              <w:jc w:val="both"/>
              <w:rPr>
                <w:b/>
                <w:i/>
                <w:szCs w:val="20"/>
                <w:lang w:val="es-PE"/>
              </w:rPr>
            </w:pPr>
            <w:r w:rsidRPr="005E32C3">
              <w:rPr>
                <w:b/>
                <w:i/>
                <w:szCs w:val="20"/>
                <w:lang w:val="es-PE"/>
              </w:rPr>
              <w:t xml:space="preserve">Remisión del proyecto de ley </w:t>
            </w:r>
            <w:r w:rsidR="000207D7" w:rsidRPr="005E32C3">
              <w:rPr>
                <w:b/>
                <w:i/>
                <w:szCs w:val="20"/>
                <w:lang w:val="es-PE"/>
              </w:rPr>
              <w:t>al Congreso de la República.</w:t>
            </w:r>
          </w:p>
          <w:p w:rsidR="00EB66E2" w:rsidRPr="00A227EF" w:rsidRDefault="00A227EF" w:rsidP="00EB66E2">
            <w:pPr>
              <w:jc w:val="both"/>
              <w:rPr>
                <w:szCs w:val="20"/>
                <w:lang w:val="es-PE"/>
              </w:rPr>
            </w:pPr>
            <w:r w:rsidRPr="00A227EF">
              <w:rPr>
                <w:szCs w:val="20"/>
                <w:lang w:val="es-PE"/>
              </w:rPr>
              <w:t>El compromiso ha sido reprogramado para el primer semestre 2017</w:t>
            </w:r>
          </w:p>
          <w:p w:rsidR="00EB66E2" w:rsidRPr="00295641" w:rsidRDefault="00EB66E2" w:rsidP="00EB66E2">
            <w:pPr>
              <w:jc w:val="both"/>
              <w:rPr>
                <w:color w:val="000000" w:themeColor="text1"/>
              </w:rPr>
            </w:pPr>
          </w:p>
        </w:tc>
      </w:tr>
      <w:tr w:rsidR="00EB66E2" w:rsidRPr="00295641" w:rsidTr="004F01B9">
        <w:tc>
          <w:tcPr>
            <w:tcW w:w="2518" w:type="dxa"/>
            <w:gridSpan w:val="2"/>
            <w:shd w:val="clear" w:color="auto" w:fill="C6D9F1" w:themeFill="text2" w:themeFillTint="33"/>
            <w:vAlign w:val="center"/>
          </w:tcPr>
          <w:p w:rsidR="00EB66E2" w:rsidRPr="00295641" w:rsidRDefault="00EB66E2" w:rsidP="00EB66E2">
            <w:pPr>
              <w:rPr>
                <w:b/>
                <w:color w:val="000000" w:themeColor="text1"/>
              </w:rPr>
            </w:pPr>
            <w:r w:rsidRPr="00295641">
              <w:rPr>
                <w:rFonts w:cs="Gotham-Book"/>
                <w:b/>
                <w:color w:val="000000" w:themeColor="text1"/>
              </w:rPr>
              <w:t>Fecha de conclusión</w:t>
            </w:r>
          </w:p>
        </w:tc>
        <w:tc>
          <w:tcPr>
            <w:tcW w:w="6521" w:type="dxa"/>
            <w:gridSpan w:val="4"/>
          </w:tcPr>
          <w:p w:rsidR="00EB66E2" w:rsidRPr="00295641" w:rsidRDefault="00A227EF" w:rsidP="00EB66E2">
            <w:pPr>
              <w:jc w:val="both"/>
              <w:rPr>
                <w:color w:val="000000" w:themeColor="text1"/>
              </w:rPr>
            </w:pPr>
            <w:r>
              <w:rPr>
                <w:color w:val="000000" w:themeColor="text1"/>
              </w:rPr>
              <w:t>Junio 2017</w:t>
            </w:r>
          </w:p>
        </w:tc>
      </w:tr>
      <w:tr w:rsidR="00EB66E2" w:rsidRPr="00295641" w:rsidTr="004F01B9">
        <w:tc>
          <w:tcPr>
            <w:tcW w:w="2518" w:type="dxa"/>
            <w:gridSpan w:val="2"/>
            <w:shd w:val="clear" w:color="auto" w:fill="C6D9F1" w:themeFill="text2" w:themeFillTint="33"/>
            <w:vAlign w:val="center"/>
          </w:tcPr>
          <w:p w:rsidR="00EB66E2" w:rsidRPr="00295641" w:rsidRDefault="00EB66E2" w:rsidP="00EB66E2">
            <w:pPr>
              <w:rPr>
                <w:b/>
                <w:color w:val="000000" w:themeColor="text1"/>
              </w:rPr>
            </w:pPr>
            <w:r w:rsidRPr="00295641">
              <w:rPr>
                <w:rFonts w:cs="Gotham-Book"/>
                <w:b/>
                <w:color w:val="000000" w:themeColor="text1"/>
              </w:rPr>
              <w:t>Próximos pasos</w:t>
            </w:r>
          </w:p>
        </w:tc>
        <w:tc>
          <w:tcPr>
            <w:tcW w:w="6521" w:type="dxa"/>
            <w:gridSpan w:val="4"/>
          </w:tcPr>
          <w:p w:rsidR="00EB66E2" w:rsidRPr="00295641" w:rsidRDefault="00A227EF" w:rsidP="00A227EF">
            <w:pPr>
              <w:jc w:val="both"/>
              <w:rPr>
                <w:color w:val="000000" w:themeColor="text1"/>
              </w:rPr>
            </w:pPr>
            <w:r>
              <w:rPr>
                <w:color w:val="000000" w:themeColor="text1"/>
              </w:rPr>
              <w:t>Se espera desarrollar acciones que contribuyan a establecer una adecuada regulación relacionada a las infracciones y sanciones en caso de incumplimiento de la Ley.</w:t>
            </w:r>
          </w:p>
        </w:tc>
      </w:tr>
      <w:tr w:rsidR="00EB66E2" w:rsidRPr="00295641" w:rsidTr="004F01B9">
        <w:tc>
          <w:tcPr>
            <w:tcW w:w="9039" w:type="dxa"/>
            <w:gridSpan w:val="6"/>
            <w:tcBorders>
              <w:bottom w:val="single" w:sz="4" w:space="0" w:color="auto"/>
            </w:tcBorders>
          </w:tcPr>
          <w:p w:rsidR="00EB66E2" w:rsidRPr="00295641" w:rsidRDefault="00EB66E2" w:rsidP="00EB66E2">
            <w:pPr>
              <w:jc w:val="both"/>
              <w:rPr>
                <w:rFonts w:cs="Gotham-Book"/>
                <w:b/>
                <w:color w:val="000000" w:themeColor="text1"/>
              </w:rPr>
            </w:pPr>
          </w:p>
          <w:p w:rsidR="00EB66E2" w:rsidRPr="00295641" w:rsidRDefault="00EB66E2" w:rsidP="00EB66E2">
            <w:pPr>
              <w:jc w:val="both"/>
              <w:rPr>
                <w:color w:val="000000" w:themeColor="text1"/>
              </w:rPr>
            </w:pPr>
            <w:r>
              <w:rPr>
                <w:rFonts w:cs="Gotham-Book"/>
                <w:b/>
                <w:color w:val="000000" w:themeColor="text1"/>
              </w:rPr>
              <w:t>Información adicional</w:t>
            </w:r>
          </w:p>
        </w:tc>
      </w:tr>
      <w:tr w:rsidR="00EB66E2" w:rsidRPr="00295641" w:rsidTr="004F01B9">
        <w:tc>
          <w:tcPr>
            <w:tcW w:w="9039" w:type="dxa"/>
            <w:gridSpan w:val="6"/>
            <w:tcBorders>
              <w:bottom w:val="single" w:sz="4" w:space="0" w:color="auto"/>
            </w:tcBorders>
          </w:tcPr>
          <w:p w:rsidR="00EB66E2" w:rsidRPr="00295641" w:rsidRDefault="00891F42" w:rsidP="00891F42">
            <w:pPr>
              <w:jc w:val="both"/>
              <w:rPr>
                <w:rFonts w:cs="Gotham-Book"/>
                <w:b/>
                <w:color w:val="000000" w:themeColor="text1"/>
              </w:rPr>
            </w:pPr>
            <w:r w:rsidRPr="00891F42">
              <w:rPr>
                <w:szCs w:val="20"/>
                <w:lang w:val="es-PE"/>
              </w:rPr>
              <w:t>Se espera consolidar los canales de comunicación con los actores del ecosistema de gobierno abierto para la generación de la confianza, basada en la apertura, colaboración e innovación para hacer efectivo el marco normativo que garantiza el derecho de los ciudadanos y ciudadanas de acceder a información pública.</w:t>
            </w:r>
          </w:p>
        </w:tc>
      </w:tr>
      <w:tr w:rsidR="00DF077D" w:rsidRPr="00295641" w:rsidTr="004F01B9">
        <w:tc>
          <w:tcPr>
            <w:tcW w:w="9039" w:type="dxa"/>
            <w:gridSpan w:val="6"/>
            <w:tcBorders>
              <w:top w:val="single" w:sz="4" w:space="0" w:color="auto"/>
              <w:left w:val="nil"/>
              <w:bottom w:val="single" w:sz="4" w:space="0" w:color="auto"/>
              <w:right w:val="nil"/>
            </w:tcBorders>
          </w:tcPr>
          <w:p w:rsidR="00DF077D" w:rsidRDefault="00DF077D" w:rsidP="00891F42">
            <w:pPr>
              <w:jc w:val="both"/>
              <w:rPr>
                <w:szCs w:val="20"/>
              </w:rPr>
            </w:pPr>
          </w:p>
          <w:p w:rsidR="00DF077D" w:rsidRDefault="00DF077D" w:rsidP="00891F42">
            <w:pPr>
              <w:jc w:val="both"/>
              <w:rPr>
                <w:szCs w:val="20"/>
              </w:rPr>
            </w:pPr>
          </w:p>
          <w:p w:rsidR="009C7D2E" w:rsidRDefault="009C7D2E" w:rsidP="00891F42">
            <w:pPr>
              <w:jc w:val="both"/>
              <w:rPr>
                <w:szCs w:val="20"/>
              </w:rPr>
            </w:pPr>
          </w:p>
          <w:p w:rsidR="009C7D2E" w:rsidRDefault="009C7D2E" w:rsidP="00891F42">
            <w:pPr>
              <w:jc w:val="both"/>
              <w:rPr>
                <w:szCs w:val="20"/>
              </w:rPr>
            </w:pPr>
          </w:p>
          <w:p w:rsidR="009C7D2E" w:rsidRDefault="009C7D2E" w:rsidP="00891F42">
            <w:pPr>
              <w:jc w:val="both"/>
              <w:rPr>
                <w:szCs w:val="20"/>
              </w:rPr>
            </w:pPr>
          </w:p>
          <w:p w:rsidR="009C7D2E" w:rsidRDefault="009C7D2E" w:rsidP="00891F42">
            <w:pPr>
              <w:jc w:val="both"/>
              <w:rPr>
                <w:szCs w:val="20"/>
              </w:rPr>
            </w:pPr>
          </w:p>
          <w:p w:rsidR="009C7D2E" w:rsidRDefault="009C7D2E" w:rsidP="00891F42">
            <w:pPr>
              <w:jc w:val="both"/>
              <w:rPr>
                <w:szCs w:val="20"/>
              </w:rPr>
            </w:pPr>
          </w:p>
          <w:p w:rsidR="009C7D2E" w:rsidRDefault="009C7D2E" w:rsidP="00891F42">
            <w:pPr>
              <w:jc w:val="both"/>
              <w:rPr>
                <w:szCs w:val="20"/>
              </w:rPr>
            </w:pPr>
          </w:p>
          <w:p w:rsidR="009C7D2E" w:rsidRDefault="009C7D2E" w:rsidP="00891F42">
            <w:pPr>
              <w:jc w:val="both"/>
              <w:rPr>
                <w:szCs w:val="20"/>
              </w:rPr>
            </w:pPr>
          </w:p>
          <w:p w:rsidR="009C7D2E" w:rsidRDefault="009C7D2E" w:rsidP="00891F42">
            <w:pPr>
              <w:jc w:val="both"/>
              <w:rPr>
                <w:szCs w:val="20"/>
              </w:rPr>
            </w:pPr>
          </w:p>
          <w:p w:rsidR="009C7D2E" w:rsidRDefault="009C7D2E" w:rsidP="00891F42">
            <w:pPr>
              <w:jc w:val="both"/>
              <w:rPr>
                <w:szCs w:val="20"/>
              </w:rPr>
            </w:pPr>
          </w:p>
          <w:p w:rsidR="009C7D2E" w:rsidRDefault="009C7D2E" w:rsidP="00891F42">
            <w:pPr>
              <w:jc w:val="both"/>
              <w:rPr>
                <w:szCs w:val="20"/>
              </w:rPr>
            </w:pPr>
          </w:p>
          <w:p w:rsidR="009C7D2E" w:rsidRDefault="009C7D2E" w:rsidP="00891F42">
            <w:pPr>
              <w:jc w:val="both"/>
              <w:rPr>
                <w:szCs w:val="20"/>
              </w:rPr>
            </w:pPr>
          </w:p>
          <w:p w:rsidR="009C7D2E" w:rsidRDefault="009C7D2E" w:rsidP="00891F42">
            <w:pPr>
              <w:jc w:val="both"/>
              <w:rPr>
                <w:szCs w:val="20"/>
              </w:rPr>
            </w:pPr>
          </w:p>
          <w:p w:rsidR="009C7D2E" w:rsidRDefault="009C7D2E" w:rsidP="00891F42">
            <w:pPr>
              <w:jc w:val="both"/>
              <w:rPr>
                <w:szCs w:val="20"/>
              </w:rPr>
            </w:pPr>
          </w:p>
          <w:p w:rsidR="009C7D2E" w:rsidRDefault="009C7D2E" w:rsidP="00891F42">
            <w:pPr>
              <w:jc w:val="both"/>
              <w:rPr>
                <w:szCs w:val="20"/>
              </w:rPr>
            </w:pPr>
          </w:p>
          <w:p w:rsidR="00791090" w:rsidRDefault="00791090" w:rsidP="00891F42">
            <w:pPr>
              <w:jc w:val="both"/>
              <w:rPr>
                <w:szCs w:val="20"/>
              </w:rPr>
            </w:pPr>
          </w:p>
          <w:p w:rsidR="00791090" w:rsidRDefault="00791090" w:rsidP="00891F42">
            <w:pPr>
              <w:jc w:val="both"/>
              <w:rPr>
                <w:szCs w:val="20"/>
              </w:rPr>
            </w:pPr>
          </w:p>
          <w:p w:rsidR="009C7D2E" w:rsidRPr="00DF077D" w:rsidRDefault="009C7D2E" w:rsidP="00891F42">
            <w:pPr>
              <w:jc w:val="both"/>
              <w:rPr>
                <w:szCs w:val="20"/>
              </w:rPr>
            </w:pPr>
          </w:p>
        </w:tc>
      </w:tr>
      <w:tr w:rsidR="000207D7" w:rsidRPr="00295641" w:rsidTr="004F01B9">
        <w:tc>
          <w:tcPr>
            <w:tcW w:w="9039" w:type="dxa"/>
            <w:gridSpan w:val="6"/>
            <w:tcBorders>
              <w:top w:val="single" w:sz="4" w:space="0" w:color="auto"/>
            </w:tcBorders>
            <w:shd w:val="clear" w:color="auto" w:fill="548DD4" w:themeFill="text2" w:themeFillTint="99"/>
          </w:tcPr>
          <w:p w:rsidR="000207D7" w:rsidRPr="00295641" w:rsidRDefault="000207D7" w:rsidP="00003D89">
            <w:pPr>
              <w:ind w:left="720"/>
              <w:jc w:val="center"/>
              <w:rPr>
                <w:b/>
              </w:rPr>
            </w:pPr>
            <w:r>
              <w:rPr>
                <w:b/>
              </w:rPr>
              <w:t>Componente: Transparencia y Acceso a la Información Pública</w:t>
            </w:r>
          </w:p>
        </w:tc>
      </w:tr>
      <w:tr w:rsidR="000207D7" w:rsidRPr="00295641" w:rsidTr="004F01B9">
        <w:tc>
          <w:tcPr>
            <w:tcW w:w="9039" w:type="dxa"/>
            <w:gridSpan w:val="6"/>
            <w:shd w:val="clear" w:color="auto" w:fill="548DD4" w:themeFill="text2" w:themeFillTint="99"/>
          </w:tcPr>
          <w:p w:rsidR="000207D7" w:rsidRPr="000207D7" w:rsidRDefault="005E32C3" w:rsidP="005E32C3">
            <w:pPr>
              <w:ind w:left="360"/>
              <w:jc w:val="center"/>
              <w:rPr>
                <w:b/>
              </w:rPr>
            </w:pPr>
            <w:r w:rsidRPr="005E32C3">
              <w:rPr>
                <w:b/>
                <w:u w:val="single"/>
              </w:rPr>
              <w:t>Compromiso 2.</w:t>
            </w:r>
            <w:r>
              <w:rPr>
                <w:b/>
              </w:rPr>
              <w:t xml:space="preserve"> </w:t>
            </w:r>
            <w:r w:rsidR="000207D7">
              <w:rPr>
                <w:b/>
              </w:rPr>
              <w:t>Mejora del Portal de Transparencia Estándar</w:t>
            </w:r>
          </w:p>
        </w:tc>
      </w:tr>
      <w:tr w:rsidR="000207D7" w:rsidRPr="00295641" w:rsidTr="004F01B9">
        <w:tc>
          <w:tcPr>
            <w:tcW w:w="4219" w:type="dxa"/>
            <w:gridSpan w:val="3"/>
            <w:shd w:val="clear" w:color="auto" w:fill="C6D9F1" w:themeFill="text2" w:themeFillTint="33"/>
            <w:vAlign w:val="center"/>
          </w:tcPr>
          <w:p w:rsidR="000207D7" w:rsidRPr="00295641" w:rsidRDefault="000207D7" w:rsidP="009C73B8">
            <w:pPr>
              <w:autoSpaceDE w:val="0"/>
              <w:autoSpaceDN w:val="0"/>
              <w:adjustRightInd w:val="0"/>
              <w:rPr>
                <w:rFonts w:cs="Gotham-Book"/>
                <w:b/>
                <w:color w:val="000000" w:themeColor="text1"/>
              </w:rPr>
            </w:pPr>
            <w:r w:rsidRPr="00295641">
              <w:rPr>
                <w:rFonts w:cs="Gotham-Book"/>
                <w:b/>
                <w:color w:val="000000" w:themeColor="text1"/>
              </w:rPr>
              <w:t>Secretaría/Ministerio</w:t>
            </w:r>
          </w:p>
          <w:p w:rsidR="000207D7" w:rsidRPr="00295641" w:rsidRDefault="000207D7" w:rsidP="009C73B8">
            <w:pPr>
              <w:rPr>
                <w:b/>
                <w:color w:val="000000" w:themeColor="text1"/>
              </w:rPr>
            </w:pPr>
            <w:r w:rsidRPr="00295641">
              <w:rPr>
                <w:rFonts w:cs="Gotham-Book"/>
                <w:b/>
                <w:color w:val="000000" w:themeColor="text1"/>
              </w:rPr>
              <w:t>Responsable</w:t>
            </w:r>
          </w:p>
        </w:tc>
        <w:tc>
          <w:tcPr>
            <w:tcW w:w="4820" w:type="dxa"/>
            <w:gridSpan w:val="3"/>
          </w:tcPr>
          <w:p w:rsidR="000207D7" w:rsidRPr="00295641" w:rsidRDefault="000207D7" w:rsidP="009C73B8">
            <w:pPr>
              <w:jc w:val="both"/>
              <w:rPr>
                <w:color w:val="000000" w:themeColor="text1"/>
              </w:rPr>
            </w:pPr>
            <w:r>
              <w:rPr>
                <w:color w:val="000000" w:themeColor="text1"/>
              </w:rPr>
              <w:t>Presidencia del Consejo de Ministros</w:t>
            </w:r>
            <w:r w:rsidR="00BB53EA">
              <w:rPr>
                <w:color w:val="000000" w:themeColor="text1"/>
              </w:rPr>
              <w:t>,</w:t>
            </w:r>
            <w:r>
              <w:rPr>
                <w:color w:val="000000" w:themeColor="text1"/>
              </w:rPr>
              <w:t xml:space="preserve"> a través de la Secretaría de Gestión Pública y la Oficina Nacional de Gobierno Electrónico e Informática-ONGEI</w:t>
            </w:r>
          </w:p>
        </w:tc>
      </w:tr>
      <w:tr w:rsidR="000207D7" w:rsidRPr="00295641" w:rsidTr="004F01B9">
        <w:tc>
          <w:tcPr>
            <w:tcW w:w="4219" w:type="dxa"/>
            <w:gridSpan w:val="3"/>
            <w:shd w:val="clear" w:color="auto" w:fill="C6D9F1" w:themeFill="text2" w:themeFillTint="33"/>
            <w:vAlign w:val="center"/>
          </w:tcPr>
          <w:p w:rsidR="000207D7" w:rsidRPr="00295641" w:rsidRDefault="000207D7" w:rsidP="009C73B8">
            <w:pPr>
              <w:autoSpaceDE w:val="0"/>
              <w:autoSpaceDN w:val="0"/>
              <w:adjustRightInd w:val="0"/>
              <w:rPr>
                <w:rFonts w:cs="Gotham-Book"/>
                <w:b/>
                <w:color w:val="000000" w:themeColor="text1"/>
              </w:rPr>
            </w:pPr>
            <w:r w:rsidRPr="00295641">
              <w:rPr>
                <w:rFonts w:cs="Gotham-Book"/>
                <w:b/>
                <w:color w:val="000000" w:themeColor="text1"/>
              </w:rPr>
              <w:t>Nombre de la persona  responsable</w:t>
            </w:r>
          </w:p>
        </w:tc>
        <w:tc>
          <w:tcPr>
            <w:tcW w:w="4820" w:type="dxa"/>
            <w:gridSpan w:val="3"/>
          </w:tcPr>
          <w:p w:rsidR="000207D7" w:rsidRPr="00295641" w:rsidRDefault="000207D7" w:rsidP="009C73B8">
            <w:pPr>
              <w:jc w:val="both"/>
              <w:rPr>
                <w:color w:val="000000" w:themeColor="text1"/>
              </w:rPr>
            </w:pPr>
            <w:r>
              <w:rPr>
                <w:color w:val="000000" w:themeColor="text1"/>
              </w:rPr>
              <w:t>Fernando Zavala Lombardi</w:t>
            </w:r>
          </w:p>
        </w:tc>
      </w:tr>
      <w:tr w:rsidR="000207D7" w:rsidRPr="00295641" w:rsidTr="004F01B9">
        <w:tc>
          <w:tcPr>
            <w:tcW w:w="4219" w:type="dxa"/>
            <w:gridSpan w:val="3"/>
            <w:shd w:val="clear" w:color="auto" w:fill="C6D9F1" w:themeFill="text2" w:themeFillTint="33"/>
            <w:vAlign w:val="center"/>
          </w:tcPr>
          <w:p w:rsidR="000207D7" w:rsidRPr="00295641" w:rsidRDefault="000207D7" w:rsidP="009C73B8">
            <w:pPr>
              <w:rPr>
                <w:b/>
                <w:color w:val="000000" w:themeColor="text1"/>
              </w:rPr>
            </w:pPr>
            <w:r w:rsidRPr="00295641">
              <w:rPr>
                <w:rFonts w:cs="Gotham-Book"/>
                <w:b/>
                <w:color w:val="000000" w:themeColor="text1"/>
              </w:rPr>
              <w:t>Puesto</w:t>
            </w:r>
          </w:p>
        </w:tc>
        <w:tc>
          <w:tcPr>
            <w:tcW w:w="4820" w:type="dxa"/>
            <w:gridSpan w:val="3"/>
          </w:tcPr>
          <w:p w:rsidR="000207D7" w:rsidRPr="00295641" w:rsidRDefault="000207D7" w:rsidP="009C73B8">
            <w:pPr>
              <w:jc w:val="both"/>
              <w:rPr>
                <w:color w:val="000000" w:themeColor="text1"/>
              </w:rPr>
            </w:pPr>
            <w:r>
              <w:rPr>
                <w:color w:val="000000" w:themeColor="text1"/>
              </w:rPr>
              <w:t>Presidente del Consejo de Ministros</w:t>
            </w:r>
          </w:p>
        </w:tc>
      </w:tr>
      <w:tr w:rsidR="000207D7" w:rsidRPr="00295641" w:rsidTr="004F01B9">
        <w:tc>
          <w:tcPr>
            <w:tcW w:w="4219" w:type="dxa"/>
            <w:gridSpan w:val="3"/>
            <w:shd w:val="clear" w:color="auto" w:fill="C6D9F1" w:themeFill="text2" w:themeFillTint="33"/>
            <w:vAlign w:val="center"/>
          </w:tcPr>
          <w:p w:rsidR="000207D7" w:rsidRPr="00295641" w:rsidRDefault="000207D7" w:rsidP="009C73B8">
            <w:pPr>
              <w:autoSpaceDE w:val="0"/>
              <w:autoSpaceDN w:val="0"/>
              <w:adjustRightInd w:val="0"/>
              <w:rPr>
                <w:rFonts w:cs="Gotham-Book"/>
                <w:b/>
                <w:color w:val="000000" w:themeColor="text1"/>
              </w:rPr>
            </w:pPr>
            <w:r w:rsidRPr="00295641">
              <w:rPr>
                <w:rFonts w:cs="Gotham-Book"/>
                <w:b/>
                <w:color w:val="000000" w:themeColor="text1"/>
              </w:rPr>
              <w:t>Correo electrónico</w:t>
            </w:r>
          </w:p>
        </w:tc>
        <w:tc>
          <w:tcPr>
            <w:tcW w:w="4820" w:type="dxa"/>
            <w:gridSpan w:val="3"/>
          </w:tcPr>
          <w:p w:rsidR="000207D7" w:rsidRPr="00295641" w:rsidRDefault="002F3E0D" w:rsidP="009C73B8">
            <w:pPr>
              <w:jc w:val="both"/>
              <w:rPr>
                <w:rFonts w:cs="Arial"/>
                <w:color w:val="0000FF"/>
                <w:u w:val="single"/>
              </w:rPr>
            </w:pPr>
            <w:hyperlink r:id="rId16" w:history="1">
              <w:r w:rsidR="000207D7" w:rsidRPr="002977A0">
                <w:rPr>
                  <w:rStyle w:val="Hipervnculo"/>
                  <w:rFonts w:cs="Arial"/>
                </w:rPr>
                <w:t>fzavala@pcm.gob.pe</w:t>
              </w:r>
            </w:hyperlink>
          </w:p>
        </w:tc>
      </w:tr>
      <w:tr w:rsidR="000207D7" w:rsidRPr="00295641" w:rsidTr="004F01B9">
        <w:tc>
          <w:tcPr>
            <w:tcW w:w="4219" w:type="dxa"/>
            <w:gridSpan w:val="3"/>
            <w:shd w:val="clear" w:color="auto" w:fill="C6D9F1" w:themeFill="text2" w:themeFillTint="33"/>
            <w:vAlign w:val="center"/>
          </w:tcPr>
          <w:p w:rsidR="000207D7" w:rsidRPr="00295641" w:rsidRDefault="000207D7" w:rsidP="009C73B8">
            <w:pPr>
              <w:rPr>
                <w:b/>
                <w:color w:val="000000" w:themeColor="text1"/>
              </w:rPr>
            </w:pPr>
            <w:r w:rsidRPr="00295641">
              <w:rPr>
                <w:rFonts w:cs="Gotham-Book"/>
                <w:b/>
                <w:color w:val="000000" w:themeColor="text1"/>
              </w:rPr>
              <w:t>Teléfono</w:t>
            </w:r>
          </w:p>
        </w:tc>
        <w:tc>
          <w:tcPr>
            <w:tcW w:w="4820" w:type="dxa"/>
            <w:gridSpan w:val="3"/>
          </w:tcPr>
          <w:p w:rsidR="000207D7" w:rsidRPr="00295641" w:rsidRDefault="000207D7" w:rsidP="009C73B8">
            <w:pPr>
              <w:jc w:val="both"/>
              <w:rPr>
                <w:color w:val="000000" w:themeColor="text1"/>
              </w:rPr>
            </w:pPr>
            <w:r>
              <w:rPr>
                <w:color w:val="000000" w:themeColor="text1"/>
              </w:rPr>
              <w:t>51-1-2197000</w:t>
            </w:r>
          </w:p>
        </w:tc>
      </w:tr>
      <w:tr w:rsidR="000207D7" w:rsidRPr="00295641" w:rsidTr="004F01B9">
        <w:tc>
          <w:tcPr>
            <w:tcW w:w="2109" w:type="dxa"/>
            <w:vMerge w:val="restart"/>
            <w:shd w:val="clear" w:color="auto" w:fill="C6D9F1" w:themeFill="text2" w:themeFillTint="33"/>
            <w:vAlign w:val="center"/>
          </w:tcPr>
          <w:p w:rsidR="000207D7" w:rsidRPr="00295641" w:rsidRDefault="000207D7" w:rsidP="009C73B8">
            <w:pPr>
              <w:rPr>
                <w:rFonts w:cs="Gotham-Book"/>
                <w:b/>
                <w:color w:val="000000" w:themeColor="text1"/>
              </w:rPr>
            </w:pPr>
            <w:r>
              <w:rPr>
                <w:rFonts w:cs="Gotham-Book"/>
                <w:b/>
                <w:color w:val="000000" w:themeColor="text1"/>
              </w:rPr>
              <w:t>Otros actores involucrados</w:t>
            </w:r>
          </w:p>
        </w:tc>
        <w:tc>
          <w:tcPr>
            <w:tcW w:w="2110" w:type="dxa"/>
            <w:gridSpan w:val="2"/>
            <w:shd w:val="clear" w:color="auto" w:fill="C6D9F1" w:themeFill="text2" w:themeFillTint="33"/>
            <w:vAlign w:val="center"/>
          </w:tcPr>
          <w:p w:rsidR="000207D7" w:rsidRPr="00295641" w:rsidRDefault="000207D7" w:rsidP="009C73B8">
            <w:pPr>
              <w:rPr>
                <w:rFonts w:cs="Gotham-Book"/>
                <w:b/>
                <w:color w:val="000000" w:themeColor="text1"/>
              </w:rPr>
            </w:pPr>
            <w:r>
              <w:rPr>
                <w:rFonts w:cs="Gotham-Book"/>
                <w:b/>
                <w:color w:val="000000" w:themeColor="text1"/>
              </w:rPr>
              <w:t>Gobierno</w:t>
            </w:r>
          </w:p>
        </w:tc>
        <w:tc>
          <w:tcPr>
            <w:tcW w:w="4820" w:type="dxa"/>
            <w:gridSpan w:val="3"/>
          </w:tcPr>
          <w:p w:rsidR="000207D7" w:rsidRPr="00295641" w:rsidRDefault="000207D7" w:rsidP="009C73B8">
            <w:pPr>
              <w:jc w:val="both"/>
              <w:rPr>
                <w:color w:val="000000" w:themeColor="text1"/>
              </w:rPr>
            </w:pPr>
            <w:r>
              <w:rPr>
                <w:color w:val="000000" w:themeColor="text1"/>
              </w:rPr>
              <w:t>No aplica</w:t>
            </w:r>
          </w:p>
        </w:tc>
      </w:tr>
      <w:tr w:rsidR="000207D7" w:rsidRPr="00295641" w:rsidTr="004F01B9">
        <w:tc>
          <w:tcPr>
            <w:tcW w:w="2109" w:type="dxa"/>
            <w:vMerge/>
            <w:shd w:val="clear" w:color="auto" w:fill="C6D9F1" w:themeFill="text2" w:themeFillTint="33"/>
            <w:vAlign w:val="center"/>
          </w:tcPr>
          <w:p w:rsidR="000207D7" w:rsidRPr="00295641" w:rsidRDefault="000207D7" w:rsidP="009C73B8">
            <w:pPr>
              <w:rPr>
                <w:rFonts w:cs="Gotham-Book"/>
                <w:b/>
                <w:color w:val="000000" w:themeColor="text1"/>
              </w:rPr>
            </w:pPr>
          </w:p>
        </w:tc>
        <w:tc>
          <w:tcPr>
            <w:tcW w:w="2110" w:type="dxa"/>
            <w:gridSpan w:val="2"/>
            <w:shd w:val="clear" w:color="auto" w:fill="C6D9F1" w:themeFill="text2" w:themeFillTint="33"/>
            <w:vAlign w:val="center"/>
          </w:tcPr>
          <w:p w:rsidR="000207D7" w:rsidRPr="00295641" w:rsidRDefault="000207D7" w:rsidP="009C73B8">
            <w:pPr>
              <w:rPr>
                <w:rFonts w:cs="Gotham-Book"/>
                <w:b/>
                <w:color w:val="000000" w:themeColor="text1"/>
              </w:rPr>
            </w:pPr>
            <w:r>
              <w:rPr>
                <w:rFonts w:cs="Gotham-Book"/>
                <w:b/>
                <w:color w:val="000000" w:themeColor="text1"/>
              </w:rPr>
              <w:t>Sociedad civil, iniciativa privada, grupos de trabajo o multilaterales</w:t>
            </w:r>
          </w:p>
        </w:tc>
        <w:tc>
          <w:tcPr>
            <w:tcW w:w="4820" w:type="dxa"/>
            <w:gridSpan w:val="3"/>
          </w:tcPr>
          <w:p w:rsidR="000207D7" w:rsidRPr="00295641" w:rsidRDefault="000207D7" w:rsidP="009C73B8">
            <w:pPr>
              <w:jc w:val="both"/>
              <w:rPr>
                <w:color w:val="000000" w:themeColor="text1"/>
              </w:rPr>
            </w:pPr>
          </w:p>
        </w:tc>
      </w:tr>
      <w:tr w:rsidR="000207D7" w:rsidRPr="00295641" w:rsidTr="004F01B9">
        <w:tc>
          <w:tcPr>
            <w:tcW w:w="4219" w:type="dxa"/>
            <w:gridSpan w:val="3"/>
            <w:shd w:val="clear" w:color="auto" w:fill="C6D9F1" w:themeFill="text2" w:themeFillTint="33"/>
            <w:vAlign w:val="center"/>
          </w:tcPr>
          <w:p w:rsidR="000207D7" w:rsidRPr="00295641" w:rsidRDefault="000207D7" w:rsidP="009C73B8">
            <w:pPr>
              <w:rPr>
                <w:rFonts w:cs="Gotham-Book"/>
                <w:b/>
                <w:color w:val="000000" w:themeColor="text1"/>
              </w:rPr>
            </w:pPr>
            <w:r>
              <w:rPr>
                <w:rFonts w:cs="Gotham-Book"/>
                <w:b/>
                <w:color w:val="000000" w:themeColor="text1"/>
              </w:rPr>
              <w:t>Status quo o problema/</w:t>
            </w:r>
            <w:r>
              <w:rPr>
                <w:rFonts w:cs="Gotham-Book"/>
                <w:b/>
                <w:color w:val="000000" w:themeColor="text1"/>
              </w:rPr>
              <w:br/>
              <w:t>desafío que será atendido</w:t>
            </w:r>
          </w:p>
        </w:tc>
        <w:tc>
          <w:tcPr>
            <w:tcW w:w="4820" w:type="dxa"/>
            <w:gridSpan w:val="3"/>
          </w:tcPr>
          <w:p w:rsidR="000207D7" w:rsidRDefault="001B6855" w:rsidP="009C73B8">
            <w:pPr>
              <w:jc w:val="both"/>
              <w:rPr>
                <w:color w:val="000000" w:themeColor="text1"/>
              </w:rPr>
            </w:pPr>
            <w:r>
              <w:rPr>
                <w:color w:val="000000" w:themeColor="text1"/>
              </w:rPr>
              <w:t>De acuerdo a un estudio realizado por Proética</w:t>
            </w:r>
            <w:r w:rsidR="00BB53EA">
              <w:rPr>
                <w:color w:val="000000" w:themeColor="text1"/>
              </w:rPr>
              <w:t>,</w:t>
            </w:r>
            <w:r>
              <w:rPr>
                <w:color w:val="000000" w:themeColor="text1"/>
              </w:rPr>
              <w:t xml:space="preserve"> </w:t>
            </w:r>
            <w:r w:rsidR="006C7870">
              <w:rPr>
                <w:color w:val="000000" w:themeColor="text1"/>
              </w:rPr>
              <w:t>por encargo</w:t>
            </w:r>
            <w:r>
              <w:rPr>
                <w:color w:val="000000" w:themeColor="text1"/>
              </w:rPr>
              <w:t xml:space="preserve"> de la Secretaría de Gestión Pública, </w:t>
            </w:r>
            <w:r w:rsidR="006C7870">
              <w:rPr>
                <w:color w:val="000000" w:themeColor="text1"/>
              </w:rPr>
              <w:t>vinculado a</w:t>
            </w:r>
            <w:r>
              <w:rPr>
                <w:color w:val="000000" w:themeColor="text1"/>
              </w:rPr>
              <w:t xml:space="preserve"> la percepción ciudadana sobre el PTE</w:t>
            </w:r>
            <w:r w:rsidR="006C7870">
              <w:rPr>
                <w:color w:val="000000" w:themeColor="text1"/>
              </w:rPr>
              <w:t>,</w:t>
            </w:r>
            <w:r>
              <w:rPr>
                <w:color w:val="000000" w:themeColor="text1"/>
              </w:rPr>
              <w:t xml:space="preserve"> se determinó que:</w:t>
            </w:r>
          </w:p>
          <w:p w:rsidR="001B6855" w:rsidRDefault="001B6855" w:rsidP="003A3ABE">
            <w:pPr>
              <w:pStyle w:val="Prrafodelista"/>
              <w:numPr>
                <w:ilvl w:val="0"/>
                <w:numId w:val="8"/>
              </w:numPr>
              <w:jc w:val="both"/>
              <w:rPr>
                <w:color w:val="000000" w:themeColor="text1"/>
              </w:rPr>
            </w:pPr>
            <w:r>
              <w:rPr>
                <w:color w:val="000000" w:themeColor="text1"/>
              </w:rPr>
              <w:t xml:space="preserve">En algunas secciones del PTE la información es publicada en formato PDF cuya imagen </w:t>
            </w:r>
            <w:r w:rsidR="00BB53EA">
              <w:rPr>
                <w:color w:val="000000" w:themeColor="text1"/>
              </w:rPr>
              <w:t>es poco legible.</w:t>
            </w:r>
            <w:r>
              <w:rPr>
                <w:color w:val="000000" w:themeColor="text1"/>
              </w:rPr>
              <w:t xml:space="preserve"> </w:t>
            </w:r>
            <w:r w:rsidR="00BB53EA">
              <w:rPr>
                <w:color w:val="000000" w:themeColor="text1"/>
              </w:rPr>
              <w:t>A</w:t>
            </w:r>
            <w:r>
              <w:rPr>
                <w:color w:val="000000" w:themeColor="text1"/>
              </w:rPr>
              <w:t xml:space="preserve">simismo, se </w:t>
            </w:r>
            <w:r w:rsidR="00BB53EA">
              <w:rPr>
                <w:color w:val="000000" w:themeColor="text1"/>
              </w:rPr>
              <w:t>identificó que dicha información es publicada</w:t>
            </w:r>
            <w:r>
              <w:rPr>
                <w:color w:val="000000" w:themeColor="text1"/>
              </w:rPr>
              <w:t xml:space="preserve"> en formatos que no pueden ser descargados y utilizados por los ciudadanos y ciudadanas</w:t>
            </w:r>
            <w:r w:rsidR="00B950A6">
              <w:rPr>
                <w:color w:val="000000" w:themeColor="text1"/>
              </w:rPr>
              <w:t>.</w:t>
            </w:r>
          </w:p>
          <w:p w:rsidR="00B950A6" w:rsidRDefault="00B950A6" w:rsidP="003A3ABE">
            <w:pPr>
              <w:pStyle w:val="Prrafodelista"/>
              <w:numPr>
                <w:ilvl w:val="0"/>
                <w:numId w:val="8"/>
              </w:numPr>
              <w:jc w:val="both"/>
              <w:rPr>
                <w:color w:val="000000" w:themeColor="text1"/>
              </w:rPr>
            </w:pPr>
            <w:r>
              <w:rPr>
                <w:color w:val="000000" w:themeColor="text1"/>
              </w:rPr>
              <w:t xml:space="preserve">Una alta proporción de participantes a los talleres y </w:t>
            </w:r>
            <w:proofErr w:type="spellStart"/>
            <w:r>
              <w:rPr>
                <w:color w:val="000000" w:themeColor="text1"/>
              </w:rPr>
              <w:t>focus</w:t>
            </w:r>
            <w:proofErr w:type="spellEnd"/>
            <w:r>
              <w:rPr>
                <w:color w:val="000000" w:themeColor="text1"/>
              </w:rPr>
              <w:t xml:space="preserve"> </w:t>
            </w:r>
            <w:proofErr w:type="spellStart"/>
            <w:r>
              <w:rPr>
                <w:color w:val="000000" w:themeColor="text1"/>
              </w:rPr>
              <w:t>group</w:t>
            </w:r>
            <w:proofErr w:type="spellEnd"/>
            <w:r>
              <w:rPr>
                <w:color w:val="000000" w:themeColor="text1"/>
              </w:rPr>
              <w:t xml:space="preserve"> señaló su insatisfacción con los resultados de búsqueda de información.  Para algunos no fue fácil encontrar la información que buscaban y otros</w:t>
            </w:r>
            <w:r w:rsidR="00BB53EA">
              <w:rPr>
                <w:color w:val="000000" w:themeColor="text1"/>
              </w:rPr>
              <w:t>,</w:t>
            </w:r>
            <w:r>
              <w:rPr>
                <w:color w:val="000000" w:themeColor="text1"/>
              </w:rPr>
              <w:t xml:space="preserve"> indicaron que no encontraron la información completa o actualizada.</w:t>
            </w:r>
          </w:p>
          <w:p w:rsidR="00B950A6" w:rsidRDefault="00B950A6" w:rsidP="003A3ABE">
            <w:pPr>
              <w:pStyle w:val="Prrafodelista"/>
              <w:numPr>
                <w:ilvl w:val="0"/>
                <w:numId w:val="8"/>
              </w:numPr>
              <w:jc w:val="both"/>
              <w:rPr>
                <w:color w:val="000000" w:themeColor="text1"/>
              </w:rPr>
            </w:pPr>
            <w:r>
              <w:rPr>
                <w:color w:val="000000" w:themeColor="text1"/>
              </w:rPr>
              <w:t>Los ciudadanos y ciudadanas manifestaron que no han usado nunca el PTE o no conocían de su existencia.</w:t>
            </w:r>
          </w:p>
          <w:p w:rsidR="00B950A6" w:rsidRPr="001B6855" w:rsidRDefault="00B950A6" w:rsidP="00BB53EA">
            <w:pPr>
              <w:pStyle w:val="Prrafodelista"/>
              <w:numPr>
                <w:ilvl w:val="0"/>
                <w:numId w:val="8"/>
              </w:numPr>
              <w:jc w:val="both"/>
              <w:rPr>
                <w:color w:val="000000" w:themeColor="text1"/>
              </w:rPr>
            </w:pPr>
            <w:r>
              <w:rPr>
                <w:color w:val="000000" w:themeColor="text1"/>
              </w:rPr>
              <w:t xml:space="preserve">La mayoría de participantes </w:t>
            </w:r>
            <w:r w:rsidR="00BB53EA">
              <w:rPr>
                <w:color w:val="000000" w:themeColor="text1"/>
              </w:rPr>
              <w:t>tuvo dificultad</w:t>
            </w:r>
            <w:r>
              <w:rPr>
                <w:color w:val="000000" w:themeColor="text1"/>
              </w:rPr>
              <w:t xml:space="preserve"> para encontrar el PTE en las páginas web de las entidades y, una vez que </w:t>
            </w:r>
            <w:r w:rsidR="00BB53EA">
              <w:rPr>
                <w:color w:val="000000" w:themeColor="text1"/>
              </w:rPr>
              <w:t>accedieron</w:t>
            </w:r>
            <w:r>
              <w:rPr>
                <w:color w:val="000000" w:themeColor="text1"/>
              </w:rPr>
              <w:t xml:space="preserve">, </w:t>
            </w:r>
            <w:r w:rsidR="00BB53EA">
              <w:rPr>
                <w:color w:val="000000" w:themeColor="text1"/>
              </w:rPr>
              <w:t>consideran que el diseño de la herramienta es poco amigable.</w:t>
            </w:r>
          </w:p>
        </w:tc>
      </w:tr>
      <w:tr w:rsidR="000207D7" w:rsidRPr="00295641" w:rsidTr="004F01B9">
        <w:tc>
          <w:tcPr>
            <w:tcW w:w="4219" w:type="dxa"/>
            <w:gridSpan w:val="3"/>
            <w:shd w:val="clear" w:color="auto" w:fill="C6D9F1" w:themeFill="text2" w:themeFillTint="33"/>
            <w:vAlign w:val="center"/>
          </w:tcPr>
          <w:p w:rsidR="000207D7" w:rsidRPr="00295641" w:rsidRDefault="000207D7" w:rsidP="009C73B8">
            <w:pPr>
              <w:rPr>
                <w:b/>
                <w:color w:val="000000" w:themeColor="text1"/>
              </w:rPr>
            </w:pPr>
            <w:r w:rsidRPr="00295641">
              <w:rPr>
                <w:rFonts w:cs="Gotham-Book"/>
                <w:b/>
                <w:color w:val="000000" w:themeColor="text1"/>
              </w:rPr>
              <w:t>Objetivo principal</w:t>
            </w:r>
          </w:p>
        </w:tc>
        <w:tc>
          <w:tcPr>
            <w:tcW w:w="4820" w:type="dxa"/>
            <w:gridSpan w:val="3"/>
          </w:tcPr>
          <w:p w:rsidR="000207D7" w:rsidRPr="007B6A82" w:rsidRDefault="00B950A6" w:rsidP="00230A74">
            <w:pPr>
              <w:jc w:val="both"/>
              <w:rPr>
                <w:bCs/>
              </w:rPr>
            </w:pPr>
            <w:r>
              <w:rPr>
                <w:bCs/>
              </w:rPr>
              <w:t>Contar con un PTE que difunda oportu</w:t>
            </w:r>
            <w:r w:rsidR="00230A74">
              <w:rPr>
                <w:bCs/>
              </w:rPr>
              <w:t xml:space="preserve">namente información actualizada, a fin de ser </w:t>
            </w:r>
            <w:r>
              <w:rPr>
                <w:bCs/>
              </w:rPr>
              <w:t>utilizada o reutilizada por los ciudadanos y ciudadanas, así como permitir una fácil navegabilidad para los usuarios</w:t>
            </w:r>
            <w:r w:rsidR="00230A74">
              <w:rPr>
                <w:bCs/>
              </w:rPr>
              <w:t xml:space="preserve">. Esto permitirá </w:t>
            </w:r>
            <w:r>
              <w:rPr>
                <w:bCs/>
              </w:rPr>
              <w:t>comunicar sus beneficios a la ciudadanía, a fin de fomentar su uso.</w:t>
            </w:r>
          </w:p>
        </w:tc>
      </w:tr>
      <w:tr w:rsidR="000207D7" w:rsidRPr="00B950A6" w:rsidTr="004F01B9">
        <w:tc>
          <w:tcPr>
            <w:tcW w:w="4219" w:type="dxa"/>
            <w:gridSpan w:val="3"/>
            <w:shd w:val="clear" w:color="auto" w:fill="C6D9F1" w:themeFill="text2" w:themeFillTint="33"/>
            <w:vAlign w:val="center"/>
          </w:tcPr>
          <w:p w:rsidR="000207D7" w:rsidRPr="00295641" w:rsidRDefault="000207D7" w:rsidP="009C73B8">
            <w:pPr>
              <w:autoSpaceDE w:val="0"/>
              <w:autoSpaceDN w:val="0"/>
              <w:adjustRightInd w:val="0"/>
              <w:rPr>
                <w:rFonts w:cs="Gotham-Book"/>
                <w:b/>
                <w:color w:val="000000" w:themeColor="text1"/>
              </w:rPr>
            </w:pPr>
            <w:r>
              <w:rPr>
                <w:rFonts w:cs="Gotham-Book"/>
                <w:b/>
                <w:color w:val="000000" w:themeColor="text1"/>
              </w:rPr>
              <w:t xml:space="preserve">Breve </w:t>
            </w:r>
            <w:r w:rsidRPr="00295641">
              <w:rPr>
                <w:rFonts w:cs="Gotham-Book"/>
                <w:b/>
                <w:color w:val="000000" w:themeColor="text1"/>
              </w:rPr>
              <w:t>Descripción del</w:t>
            </w:r>
          </w:p>
          <w:p w:rsidR="000207D7" w:rsidRPr="00295641" w:rsidRDefault="000207D7" w:rsidP="009C73B8">
            <w:pPr>
              <w:autoSpaceDE w:val="0"/>
              <w:autoSpaceDN w:val="0"/>
              <w:adjustRightInd w:val="0"/>
              <w:rPr>
                <w:rFonts w:cs="Gotham-Book"/>
                <w:b/>
                <w:color w:val="000000" w:themeColor="text1"/>
              </w:rPr>
            </w:pPr>
            <w:r w:rsidRPr="00295641">
              <w:rPr>
                <w:rFonts w:cs="Gotham-Book"/>
                <w:b/>
                <w:color w:val="000000" w:themeColor="text1"/>
              </w:rPr>
              <w:t>Compromiso</w:t>
            </w:r>
          </w:p>
        </w:tc>
        <w:tc>
          <w:tcPr>
            <w:tcW w:w="4820" w:type="dxa"/>
            <w:gridSpan w:val="3"/>
          </w:tcPr>
          <w:p w:rsidR="000207D7" w:rsidRPr="00D55406" w:rsidRDefault="00B950A6" w:rsidP="009C73B8">
            <w:pPr>
              <w:jc w:val="both"/>
              <w:rPr>
                <w:color w:val="FF0000"/>
                <w:szCs w:val="20"/>
                <w:lang w:val="es-PE"/>
              </w:rPr>
            </w:pPr>
            <w:r>
              <w:rPr>
                <w:szCs w:val="20"/>
                <w:lang w:val="es-PE"/>
              </w:rPr>
              <w:t>Mejorar la accesibilidad e interoperabilidad de los Portales de Transparencia Estándar-PTE y fomentar la reutilización de los datos contenidos en dichos portales.</w:t>
            </w:r>
          </w:p>
        </w:tc>
      </w:tr>
      <w:tr w:rsidR="000207D7" w:rsidRPr="00295641" w:rsidTr="004F01B9">
        <w:tc>
          <w:tcPr>
            <w:tcW w:w="4219" w:type="dxa"/>
            <w:gridSpan w:val="3"/>
            <w:shd w:val="clear" w:color="auto" w:fill="C6D9F1" w:themeFill="text2" w:themeFillTint="33"/>
            <w:vAlign w:val="center"/>
          </w:tcPr>
          <w:p w:rsidR="000207D7" w:rsidRPr="00295641" w:rsidRDefault="000207D7" w:rsidP="009C73B8">
            <w:pPr>
              <w:autoSpaceDE w:val="0"/>
              <w:autoSpaceDN w:val="0"/>
              <w:adjustRightInd w:val="0"/>
              <w:rPr>
                <w:rFonts w:cs="Gotham-Book"/>
                <w:b/>
                <w:color w:val="000000" w:themeColor="text1"/>
              </w:rPr>
            </w:pPr>
            <w:r w:rsidRPr="00295641">
              <w:rPr>
                <w:rFonts w:cs="Gotham-Book"/>
                <w:b/>
                <w:color w:val="000000" w:themeColor="text1"/>
              </w:rPr>
              <w:t>Relevancia</w:t>
            </w:r>
          </w:p>
          <w:p w:rsidR="000207D7" w:rsidRPr="00295641" w:rsidRDefault="000207D7" w:rsidP="009C73B8">
            <w:pPr>
              <w:autoSpaceDE w:val="0"/>
              <w:autoSpaceDN w:val="0"/>
              <w:adjustRightInd w:val="0"/>
              <w:rPr>
                <w:b/>
                <w:color w:val="000000" w:themeColor="text1"/>
              </w:rPr>
            </w:pPr>
          </w:p>
        </w:tc>
        <w:tc>
          <w:tcPr>
            <w:tcW w:w="4820" w:type="dxa"/>
            <w:gridSpan w:val="3"/>
          </w:tcPr>
          <w:p w:rsidR="000207D7" w:rsidRPr="00D55406" w:rsidRDefault="00B950A6" w:rsidP="009247D5">
            <w:pPr>
              <w:jc w:val="both"/>
              <w:rPr>
                <w:color w:val="FF0000"/>
                <w:szCs w:val="20"/>
                <w:lang w:val="es-PE"/>
              </w:rPr>
            </w:pPr>
            <w:r>
              <w:rPr>
                <w:szCs w:val="20"/>
                <w:lang w:val="es-PE"/>
              </w:rPr>
              <w:t>La nueva versión del Portal de Transparencia Estándar contiene el enfoque amigable de cara al ciudadano, y mejora los contenidos de información para facilitar la accesibilidad y reu</w:t>
            </w:r>
            <w:r w:rsidR="00003D89">
              <w:rPr>
                <w:szCs w:val="20"/>
                <w:lang w:val="es-PE"/>
              </w:rPr>
              <w:t xml:space="preserve">tilización </w:t>
            </w:r>
            <w:r>
              <w:rPr>
                <w:szCs w:val="20"/>
                <w:lang w:val="es-PE"/>
              </w:rPr>
              <w:t>de la información, incorporando el enfoque de la apertura de los datos, contribuyendo</w:t>
            </w:r>
            <w:r w:rsidR="009247D5">
              <w:rPr>
                <w:szCs w:val="20"/>
                <w:lang w:val="es-PE"/>
              </w:rPr>
              <w:t>, así,</w:t>
            </w:r>
            <w:r>
              <w:rPr>
                <w:szCs w:val="20"/>
                <w:lang w:val="es-PE"/>
              </w:rPr>
              <w:t xml:space="preserve"> a los principios de gobierno abierto </w:t>
            </w:r>
            <w:r w:rsidR="003D2BC9">
              <w:rPr>
                <w:szCs w:val="20"/>
                <w:lang w:val="es-PE"/>
              </w:rPr>
              <w:t>para incrementar los niveles de transparencia y acceso a la información pues integra</w:t>
            </w:r>
            <w:r w:rsidR="000207D7" w:rsidRPr="00891F42">
              <w:rPr>
                <w:szCs w:val="20"/>
                <w:lang w:val="es-PE"/>
              </w:rPr>
              <w:t xml:space="preserve"> </w:t>
            </w:r>
            <w:r w:rsidR="003D2BC9">
              <w:rPr>
                <w:szCs w:val="20"/>
                <w:lang w:val="es-PE"/>
              </w:rPr>
              <w:t xml:space="preserve">una herramienta muy importante para garantizar la transparencia de la trazabilidad de los pedidos de atención de acceso a la información pública, </w:t>
            </w:r>
            <w:r w:rsidR="009247D5">
              <w:rPr>
                <w:szCs w:val="20"/>
                <w:lang w:val="es-PE"/>
              </w:rPr>
              <w:t>lo que permite contar</w:t>
            </w:r>
            <w:r w:rsidR="003D2BC9">
              <w:rPr>
                <w:szCs w:val="20"/>
                <w:lang w:val="es-PE"/>
              </w:rPr>
              <w:t xml:space="preserve"> con un sistema de registro de acceso a la información de alcance nacional</w:t>
            </w:r>
            <w:r w:rsidR="000207D7" w:rsidRPr="00891F42">
              <w:rPr>
                <w:szCs w:val="20"/>
                <w:lang w:val="es-PE"/>
              </w:rPr>
              <w:t>.</w:t>
            </w:r>
            <w:r w:rsidR="000207D7" w:rsidRPr="00D55406">
              <w:rPr>
                <w:color w:val="FF0000"/>
                <w:szCs w:val="20"/>
                <w:lang w:val="es-PE"/>
              </w:rPr>
              <w:t xml:space="preserve"> </w:t>
            </w:r>
          </w:p>
        </w:tc>
      </w:tr>
      <w:tr w:rsidR="000207D7" w:rsidRPr="00295641" w:rsidTr="004F01B9">
        <w:tc>
          <w:tcPr>
            <w:tcW w:w="4219" w:type="dxa"/>
            <w:gridSpan w:val="3"/>
            <w:shd w:val="clear" w:color="auto" w:fill="C6D9F1" w:themeFill="text2" w:themeFillTint="33"/>
            <w:vAlign w:val="center"/>
          </w:tcPr>
          <w:p w:rsidR="000207D7" w:rsidRPr="00295641" w:rsidRDefault="000207D7" w:rsidP="009C73B8">
            <w:pPr>
              <w:autoSpaceDE w:val="0"/>
              <w:autoSpaceDN w:val="0"/>
              <w:adjustRightInd w:val="0"/>
              <w:rPr>
                <w:rFonts w:cs="Gotham-Book"/>
                <w:b/>
                <w:color w:val="000000" w:themeColor="text1"/>
              </w:rPr>
            </w:pPr>
            <w:r w:rsidRPr="00295641">
              <w:rPr>
                <w:rFonts w:cs="Gotham-Book"/>
                <w:b/>
                <w:color w:val="000000" w:themeColor="text1"/>
              </w:rPr>
              <w:t>Ambición</w:t>
            </w:r>
          </w:p>
          <w:p w:rsidR="000207D7" w:rsidRPr="00295641" w:rsidRDefault="000207D7" w:rsidP="009C73B8">
            <w:pPr>
              <w:autoSpaceDE w:val="0"/>
              <w:autoSpaceDN w:val="0"/>
              <w:adjustRightInd w:val="0"/>
              <w:rPr>
                <w:rFonts w:cs="Gotham-BookItalic"/>
                <w:b/>
                <w:iCs/>
                <w:color w:val="000000" w:themeColor="text1"/>
              </w:rPr>
            </w:pPr>
          </w:p>
        </w:tc>
        <w:tc>
          <w:tcPr>
            <w:tcW w:w="4820" w:type="dxa"/>
            <w:gridSpan w:val="3"/>
          </w:tcPr>
          <w:p w:rsidR="000207D7" w:rsidRPr="00D55406" w:rsidRDefault="003D2BC9" w:rsidP="009C73B8">
            <w:pPr>
              <w:jc w:val="both"/>
              <w:rPr>
                <w:color w:val="FF0000"/>
                <w:szCs w:val="20"/>
                <w:lang w:val="es-PE"/>
              </w:rPr>
            </w:pPr>
            <w:r>
              <w:rPr>
                <w:szCs w:val="20"/>
                <w:lang w:val="es-PE"/>
              </w:rPr>
              <w:t>Se espera que se apruebe la norma que permite la implementación de la nueva versión del Portal de Transparencia Estándar-PTE</w:t>
            </w:r>
          </w:p>
        </w:tc>
      </w:tr>
      <w:tr w:rsidR="000207D7" w:rsidRPr="00295641" w:rsidTr="004F01B9">
        <w:tc>
          <w:tcPr>
            <w:tcW w:w="2518" w:type="dxa"/>
            <w:gridSpan w:val="2"/>
            <w:vMerge w:val="restart"/>
            <w:shd w:val="clear" w:color="auto" w:fill="C6D9F1" w:themeFill="text2" w:themeFillTint="33"/>
            <w:vAlign w:val="center"/>
          </w:tcPr>
          <w:p w:rsidR="000207D7" w:rsidRPr="00295641" w:rsidRDefault="000207D7" w:rsidP="009C73B8">
            <w:pPr>
              <w:rPr>
                <w:b/>
                <w:color w:val="000000" w:themeColor="text1"/>
              </w:rPr>
            </w:pPr>
            <w:r w:rsidRPr="00295641">
              <w:rPr>
                <w:rFonts w:cs="Gotham-Book"/>
                <w:b/>
                <w:color w:val="000000" w:themeColor="text1"/>
              </w:rPr>
              <w:t>Cumplimiento</w:t>
            </w:r>
          </w:p>
        </w:tc>
        <w:tc>
          <w:tcPr>
            <w:tcW w:w="1701" w:type="dxa"/>
            <w:shd w:val="clear" w:color="auto" w:fill="C6D9F1" w:themeFill="text2" w:themeFillTint="33"/>
          </w:tcPr>
          <w:p w:rsidR="000207D7" w:rsidRPr="00295641" w:rsidRDefault="000207D7" w:rsidP="009C73B8">
            <w:pPr>
              <w:jc w:val="center"/>
              <w:rPr>
                <w:b/>
                <w:color w:val="000000" w:themeColor="text1"/>
              </w:rPr>
            </w:pPr>
            <w:r w:rsidRPr="00295641">
              <w:rPr>
                <w:rFonts w:cs="Gotham-Book"/>
                <w:b/>
                <w:color w:val="000000" w:themeColor="text1"/>
              </w:rPr>
              <w:t>No iniciado</w:t>
            </w:r>
          </w:p>
        </w:tc>
        <w:tc>
          <w:tcPr>
            <w:tcW w:w="1729" w:type="dxa"/>
            <w:shd w:val="clear" w:color="auto" w:fill="C6D9F1" w:themeFill="text2" w:themeFillTint="33"/>
          </w:tcPr>
          <w:p w:rsidR="000207D7" w:rsidRPr="00295641" w:rsidRDefault="000207D7" w:rsidP="009C73B8">
            <w:pPr>
              <w:jc w:val="center"/>
              <w:rPr>
                <w:b/>
                <w:color w:val="000000" w:themeColor="text1"/>
              </w:rPr>
            </w:pPr>
            <w:r w:rsidRPr="00295641">
              <w:rPr>
                <w:rFonts w:cs="Gotham-Book"/>
                <w:b/>
                <w:color w:val="000000" w:themeColor="text1"/>
              </w:rPr>
              <w:t>Limitado</w:t>
            </w:r>
          </w:p>
        </w:tc>
        <w:tc>
          <w:tcPr>
            <w:tcW w:w="1644" w:type="dxa"/>
            <w:shd w:val="clear" w:color="auto" w:fill="C6D9F1" w:themeFill="text2" w:themeFillTint="33"/>
          </w:tcPr>
          <w:p w:rsidR="000207D7" w:rsidRPr="00295641" w:rsidRDefault="000207D7" w:rsidP="009C73B8">
            <w:pPr>
              <w:jc w:val="center"/>
              <w:rPr>
                <w:b/>
                <w:color w:val="000000" w:themeColor="text1"/>
              </w:rPr>
            </w:pPr>
            <w:r w:rsidRPr="00295641">
              <w:rPr>
                <w:rFonts w:cs="Gotham-Book"/>
                <w:b/>
                <w:color w:val="000000" w:themeColor="text1"/>
              </w:rPr>
              <w:t>Sustancial</w:t>
            </w:r>
          </w:p>
        </w:tc>
        <w:tc>
          <w:tcPr>
            <w:tcW w:w="1447" w:type="dxa"/>
            <w:shd w:val="clear" w:color="auto" w:fill="C6D9F1" w:themeFill="text2" w:themeFillTint="33"/>
          </w:tcPr>
          <w:p w:rsidR="000207D7" w:rsidRPr="00295641" w:rsidRDefault="000207D7" w:rsidP="009C73B8">
            <w:pPr>
              <w:jc w:val="center"/>
              <w:rPr>
                <w:b/>
                <w:color w:val="000000" w:themeColor="text1"/>
              </w:rPr>
            </w:pPr>
            <w:r w:rsidRPr="00295641">
              <w:rPr>
                <w:rFonts w:cs="Gotham-Book"/>
                <w:b/>
                <w:color w:val="000000" w:themeColor="text1"/>
              </w:rPr>
              <w:t>Completo</w:t>
            </w:r>
          </w:p>
        </w:tc>
      </w:tr>
      <w:tr w:rsidR="000207D7" w:rsidRPr="00295641" w:rsidTr="004F01B9">
        <w:tc>
          <w:tcPr>
            <w:tcW w:w="2518" w:type="dxa"/>
            <w:gridSpan w:val="2"/>
            <w:vMerge/>
            <w:shd w:val="clear" w:color="auto" w:fill="C6D9F1" w:themeFill="text2" w:themeFillTint="33"/>
            <w:vAlign w:val="center"/>
          </w:tcPr>
          <w:p w:rsidR="000207D7" w:rsidRPr="00295641" w:rsidRDefault="000207D7" w:rsidP="009C73B8">
            <w:pPr>
              <w:rPr>
                <w:b/>
                <w:color w:val="000000" w:themeColor="text1"/>
              </w:rPr>
            </w:pPr>
          </w:p>
        </w:tc>
        <w:tc>
          <w:tcPr>
            <w:tcW w:w="1701" w:type="dxa"/>
          </w:tcPr>
          <w:p w:rsidR="000207D7" w:rsidRPr="00295641" w:rsidRDefault="000207D7" w:rsidP="009C73B8">
            <w:pPr>
              <w:jc w:val="center"/>
              <w:rPr>
                <w:b/>
                <w:color w:val="000000" w:themeColor="text1"/>
              </w:rPr>
            </w:pPr>
          </w:p>
        </w:tc>
        <w:tc>
          <w:tcPr>
            <w:tcW w:w="1729" w:type="dxa"/>
          </w:tcPr>
          <w:p w:rsidR="000207D7" w:rsidRPr="00295641" w:rsidRDefault="000207D7" w:rsidP="009C73B8">
            <w:pPr>
              <w:jc w:val="center"/>
              <w:rPr>
                <w:b/>
                <w:color w:val="000000" w:themeColor="text1"/>
              </w:rPr>
            </w:pPr>
          </w:p>
        </w:tc>
        <w:tc>
          <w:tcPr>
            <w:tcW w:w="1644" w:type="dxa"/>
          </w:tcPr>
          <w:p w:rsidR="000207D7" w:rsidRPr="00295641" w:rsidRDefault="003D2BC9" w:rsidP="009C73B8">
            <w:pPr>
              <w:jc w:val="center"/>
              <w:rPr>
                <w:b/>
                <w:color w:val="000000" w:themeColor="text1"/>
              </w:rPr>
            </w:pPr>
            <w:r>
              <w:rPr>
                <w:b/>
                <w:color w:val="000000" w:themeColor="text1"/>
              </w:rPr>
              <w:t>X</w:t>
            </w:r>
          </w:p>
        </w:tc>
        <w:tc>
          <w:tcPr>
            <w:tcW w:w="1447" w:type="dxa"/>
            <w:shd w:val="clear" w:color="auto" w:fill="FFFFFF" w:themeFill="background1"/>
          </w:tcPr>
          <w:p w:rsidR="000207D7" w:rsidRPr="00295641" w:rsidRDefault="000207D7" w:rsidP="009C73B8">
            <w:pPr>
              <w:jc w:val="center"/>
              <w:rPr>
                <w:b/>
                <w:color w:val="000000" w:themeColor="text1"/>
              </w:rPr>
            </w:pPr>
          </w:p>
        </w:tc>
      </w:tr>
      <w:tr w:rsidR="000207D7" w:rsidRPr="00295641" w:rsidTr="004F01B9">
        <w:tc>
          <w:tcPr>
            <w:tcW w:w="2518" w:type="dxa"/>
            <w:gridSpan w:val="2"/>
            <w:shd w:val="clear" w:color="auto" w:fill="C6D9F1" w:themeFill="text2" w:themeFillTint="33"/>
            <w:vAlign w:val="center"/>
          </w:tcPr>
          <w:p w:rsidR="000207D7" w:rsidRPr="00295641" w:rsidRDefault="000207D7" w:rsidP="009C73B8">
            <w:pPr>
              <w:autoSpaceDE w:val="0"/>
              <w:autoSpaceDN w:val="0"/>
              <w:adjustRightInd w:val="0"/>
              <w:rPr>
                <w:rFonts w:cs="Gotham-Book"/>
                <w:b/>
                <w:color w:val="000000" w:themeColor="text1"/>
              </w:rPr>
            </w:pPr>
            <w:r w:rsidRPr="00295641">
              <w:rPr>
                <w:rFonts w:cs="Gotham-Book"/>
                <w:b/>
                <w:color w:val="000000" w:themeColor="text1"/>
              </w:rPr>
              <w:t>Descripción de los resultados</w:t>
            </w:r>
          </w:p>
          <w:p w:rsidR="000207D7" w:rsidRPr="00295641" w:rsidRDefault="000207D7" w:rsidP="009C73B8">
            <w:pPr>
              <w:autoSpaceDE w:val="0"/>
              <w:autoSpaceDN w:val="0"/>
              <w:adjustRightInd w:val="0"/>
              <w:rPr>
                <w:rFonts w:cs="Gotham-BookItalic"/>
                <w:b/>
                <w:iCs/>
                <w:color w:val="000000" w:themeColor="text1"/>
              </w:rPr>
            </w:pPr>
          </w:p>
        </w:tc>
        <w:tc>
          <w:tcPr>
            <w:tcW w:w="6521" w:type="dxa"/>
            <w:gridSpan w:val="4"/>
          </w:tcPr>
          <w:p w:rsidR="000207D7" w:rsidRDefault="000207D7" w:rsidP="009C73B8">
            <w:pPr>
              <w:jc w:val="both"/>
              <w:rPr>
                <w:szCs w:val="20"/>
                <w:lang w:val="es-PE"/>
              </w:rPr>
            </w:pPr>
            <w:r>
              <w:rPr>
                <w:szCs w:val="20"/>
                <w:lang w:val="es-PE"/>
              </w:rPr>
              <w:t>Se ha considerado las siguientes actividades:</w:t>
            </w:r>
          </w:p>
          <w:p w:rsidR="003D2BC9" w:rsidRPr="005E32C3" w:rsidRDefault="003D2BC9" w:rsidP="003A3ABE">
            <w:pPr>
              <w:pStyle w:val="Prrafodelista"/>
              <w:numPr>
                <w:ilvl w:val="0"/>
                <w:numId w:val="9"/>
              </w:numPr>
              <w:jc w:val="both"/>
              <w:rPr>
                <w:b/>
                <w:i/>
                <w:szCs w:val="20"/>
                <w:lang w:val="es-PE"/>
              </w:rPr>
            </w:pPr>
            <w:r w:rsidRPr="005E32C3">
              <w:rPr>
                <w:b/>
                <w:i/>
                <w:szCs w:val="20"/>
                <w:lang w:val="es-PE"/>
              </w:rPr>
              <w:t>Portal de Transparencia Estándar-PTE- rediseñado de la vista mostrada en las páginas web de las entidades públicas.</w:t>
            </w:r>
          </w:p>
          <w:p w:rsidR="00DE5160" w:rsidRDefault="003D2BC9" w:rsidP="00DE5160">
            <w:pPr>
              <w:ind w:left="743"/>
              <w:jc w:val="both"/>
            </w:pPr>
            <w:r>
              <w:rPr>
                <w:szCs w:val="20"/>
                <w:lang w:val="es-PE"/>
              </w:rPr>
              <w:t xml:space="preserve">La nueva versión se encuentra en </w:t>
            </w:r>
            <w:r w:rsidR="00917C1E">
              <w:rPr>
                <w:szCs w:val="20"/>
                <w:lang w:val="es-PE"/>
              </w:rPr>
              <w:t>etapa de prueba, en tanto</w:t>
            </w:r>
            <w:r>
              <w:rPr>
                <w:szCs w:val="20"/>
                <w:lang w:val="es-PE"/>
              </w:rPr>
              <w:t xml:space="preserve"> </w:t>
            </w:r>
            <w:r w:rsidR="00917C1E" w:rsidRPr="00F94FBE">
              <w:rPr>
                <w:rFonts w:cs="Arial"/>
              </w:rPr>
              <w:t xml:space="preserve">ONGEI debe disponer de los recursos necesarios (almacenamiento, procesamiento y acceso a internet - ancho de banda) para </w:t>
            </w:r>
            <w:r w:rsidR="006B7922">
              <w:rPr>
                <w:rFonts w:cs="Arial"/>
              </w:rPr>
              <w:t>la puesta</w:t>
            </w:r>
            <w:r w:rsidR="00917C1E" w:rsidRPr="00F94FBE">
              <w:rPr>
                <w:rFonts w:cs="Arial"/>
              </w:rPr>
              <w:t xml:space="preserve"> en operación</w:t>
            </w:r>
            <w:r w:rsidR="00917C1E">
              <w:rPr>
                <w:rFonts w:cs="Arial"/>
              </w:rPr>
              <w:t>.</w:t>
            </w:r>
            <w:r w:rsidR="00DE5160">
              <w:rPr>
                <w:rFonts w:cs="Arial"/>
              </w:rPr>
              <w:t xml:space="preserve"> </w:t>
            </w:r>
            <w:r w:rsidR="006B7922">
              <w:rPr>
                <w:rFonts w:cs="Arial"/>
              </w:rPr>
              <w:t>Al respecto, s</w:t>
            </w:r>
            <w:r w:rsidR="00DE5160">
              <w:rPr>
                <w:rFonts w:cs="Arial"/>
              </w:rPr>
              <w:t xml:space="preserve">e puede visualizar la nueva versión en el siguiente enlace </w:t>
            </w:r>
            <w:hyperlink r:id="rId17" w:history="1">
              <w:r w:rsidR="00DE5160">
                <w:rPr>
                  <w:rStyle w:val="Hipervnculo"/>
                </w:rPr>
                <w:t>http://peru.gob.pe/Portal_Transparencia_Estandar/(S(j43otqcab31n3ahylscsmxu3))/pte_transparencia_inicio.aspx</w:t>
              </w:r>
            </w:hyperlink>
          </w:p>
          <w:p w:rsidR="003D2BC9" w:rsidRPr="005E32C3" w:rsidRDefault="00917C1E" w:rsidP="003A3ABE">
            <w:pPr>
              <w:pStyle w:val="Prrafodelista"/>
              <w:numPr>
                <w:ilvl w:val="0"/>
                <w:numId w:val="9"/>
              </w:numPr>
              <w:jc w:val="both"/>
              <w:rPr>
                <w:b/>
                <w:i/>
                <w:szCs w:val="20"/>
                <w:lang w:val="es-PE"/>
              </w:rPr>
            </w:pPr>
            <w:r w:rsidRPr="005E32C3">
              <w:rPr>
                <w:b/>
                <w:i/>
                <w:szCs w:val="20"/>
                <w:lang w:val="es-PE"/>
              </w:rPr>
              <w:t xml:space="preserve"> </w:t>
            </w:r>
            <w:r w:rsidR="003D2BC9" w:rsidRPr="005E32C3">
              <w:rPr>
                <w:b/>
                <w:i/>
                <w:szCs w:val="20"/>
                <w:lang w:val="es-PE"/>
              </w:rPr>
              <w:t>Elaboración y aprobación de la Estrategia de difusión y comunicación sobre los beneficios del PTE.</w:t>
            </w:r>
          </w:p>
          <w:p w:rsidR="00917C1E" w:rsidRPr="00917C1E" w:rsidRDefault="00917C1E" w:rsidP="00917C1E">
            <w:pPr>
              <w:pStyle w:val="Prrafodelista"/>
              <w:jc w:val="both"/>
              <w:rPr>
                <w:szCs w:val="20"/>
                <w:lang w:val="es-PE"/>
              </w:rPr>
            </w:pPr>
            <w:r>
              <w:rPr>
                <w:szCs w:val="20"/>
                <w:lang w:val="es-PE"/>
              </w:rPr>
              <w:t>Se está elaborando la estrategia de difusión, la misma que se implementará en cuanto se apruebe la norma que implementa la nueva versión del Portal de Transparencia Estándar.</w:t>
            </w:r>
          </w:p>
          <w:p w:rsidR="003D2BC9" w:rsidRPr="005E32C3" w:rsidRDefault="003D2BC9" w:rsidP="003A3ABE">
            <w:pPr>
              <w:pStyle w:val="Prrafodelista"/>
              <w:numPr>
                <w:ilvl w:val="0"/>
                <w:numId w:val="9"/>
              </w:numPr>
              <w:jc w:val="both"/>
              <w:rPr>
                <w:b/>
                <w:i/>
                <w:szCs w:val="20"/>
                <w:lang w:val="es-PE"/>
              </w:rPr>
            </w:pPr>
            <w:r w:rsidRPr="005E32C3">
              <w:rPr>
                <w:b/>
                <w:i/>
                <w:szCs w:val="20"/>
                <w:lang w:val="es-PE"/>
              </w:rPr>
              <w:t>Presentación pública de las mejoras introducidas en el PTE.</w:t>
            </w:r>
          </w:p>
          <w:p w:rsidR="00917C1E" w:rsidRPr="003D2BC9" w:rsidRDefault="00183EC4" w:rsidP="00917C1E">
            <w:pPr>
              <w:pStyle w:val="Prrafodelista"/>
              <w:jc w:val="both"/>
              <w:rPr>
                <w:szCs w:val="20"/>
                <w:lang w:val="es-PE"/>
              </w:rPr>
            </w:pPr>
            <w:r>
              <w:rPr>
                <w:szCs w:val="20"/>
                <w:lang w:val="es-PE"/>
              </w:rPr>
              <w:t>La presentación está sujeta a la aprobación de</w:t>
            </w:r>
            <w:r w:rsidR="00917C1E">
              <w:rPr>
                <w:szCs w:val="20"/>
                <w:lang w:val="es-PE"/>
              </w:rPr>
              <w:t xml:space="preserve"> la norma que implementa la nueva versión del PTE.</w:t>
            </w:r>
          </w:p>
          <w:p w:rsidR="000207D7" w:rsidRPr="00295641" w:rsidRDefault="000207D7" w:rsidP="00003D89">
            <w:pPr>
              <w:jc w:val="both"/>
              <w:rPr>
                <w:color w:val="000000" w:themeColor="text1"/>
              </w:rPr>
            </w:pPr>
            <w:r w:rsidRPr="00A227EF">
              <w:rPr>
                <w:szCs w:val="20"/>
                <w:lang w:val="es-PE"/>
              </w:rPr>
              <w:t xml:space="preserve">El </w:t>
            </w:r>
            <w:r w:rsidR="003D2BC9">
              <w:rPr>
                <w:szCs w:val="20"/>
                <w:lang w:val="es-PE"/>
              </w:rPr>
              <w:t xml:space="preserve">cumplimiento del </w:t>
            </w:r>
            <w:r w:rsidRPr="00A227EF">
              <w:rPr>
                <w:szCs w:val="20"/>
                <w:lang w:val="es-PE"/>
              </w:rPr>
              <w:t xml:space="preserve">compromiso ha sido reprogramado para </w:t>
            </w:r>
            <w:r w:rsidR="005E32C3">
              <w:rPr>
                <w:szCs w:val="20"/>
                <w:lang w:val="es-PE"/>
              </w:rPr>
              <w:t>diciembre</w:t>
            </w:r>
            <w:r w:rsidR="003D2BC9">
              <w:rPr>
                <w:szCs w:val="20"/>
                <w:lang w:val="es-PE"/>
              </w:rPr>
              <w:t xml:space="preserve"> 2016</w:t>
            </w:r>
            <w:r w:rsidR="00003D89">
              <w:rPr>
                <w:szCs w:val="20"/>
                <w:lang w:val="es-PE"/>
              </w:rPr>
              <w:t>.</w:t>
            </w:r>
          </w:p>
        </w:tc>
      </w:tr>
      <w:tr w:rsidR="000207D7" w:rsidRPr="00295641" w:rsidTr="004F01B9">
        <w:tc>
          <w:tcPr>
            <w:tcW w:w="2518" w:type="dxa"/>
            <w:gridSpan w:val="2"/>
            <w:shd w:val="clear" w:color="auto" w:fill="C6D9F1" w:themeFill="text2" w:themeFillTint="33"/>
            <w:vAlign w:val="center"/>
          </w:tcPr>
          <w:p w:rsidR="000207D7" w:rsidRPr="00295641" w:rsidRDefault="000207D7" w:rsidP="009C73B8">
            <w:pPr>
              <w:rPr>
                <w:b/>
                <w:color w:val="000000" w:themeColor="text1"/>
              </w:rPr>
            </w:pPr>
            <w:r w:rsidRPr="00295641">
              <w:rPr>
                <w:rFonts w:cs="Gotham-Book"/>
                <w:b/>
                <w:color w:val="000000" w:themeColor="text1"/>
              </w:rPr>
              <w:t>Fecha de conclusión</w:t>
            </w:r>
          </w:p>
        </w:tc>
        <w:tc>
          <w:tcPr>
            <w:tcW w:w="6521" w:type="dxa"/>
            <w:gridSpan w:val="4"/>
          </w:tcPr>
          <w:p w:rsidR="000207D7" w:rsidRPr="00295641" w:rsidRDefault="00917C1E" w:rsidP="009C73B8">
            <w:pPr>
              <w:jc w:val="both"/>
              <w:rPr>
                <w:color w:val="000000" w:themeColor="text1"/>
              </w:rPr>
            </w:pPr>
            <w:r>
              <w:rPr>
                <w:color w:val="000000" w:themeColor="text1"/>
              </w:rPr>
              <w:t>Diciembre  2016</w:t>
            </w:r>
          </w:p>
        </w:tc>
      </w:tr>
      <w:tr w:rsidR="000207D7" w:rsidRPr="00295641" w:rsidTr="004F01B9">
        <w:tc>
          <w:tcPr>
            <w:tcW w:w="2518" w:type="dxa"/>
            <w:gridSpan w:val="2"/>
            <w:shd w:val="clear" w:color="auto" w:fill="C6D9F1" w:themeFill="text2" w:themeFillTint="33"/>
            <w:vAlign w:val="center"/>
          </w:tcPr>
          <w:p w:rsidR="000207D7" w:rsidRPr="00295641" w:rsidRDefault="000207D7" w:rsidP="009C73B8">
            <w:pPr>
              <w:rPr>
                <w:b/>
                <w:color w:val="000000" w:themeColor="text1"/>
              </w:rPr>
            </w:pPr>
            <w:r w:rsidRPr="00295641">
              <w:rPr>
                <w:rFonts w:cs="Gotham-Book"/>
                <w:b/>
                <w:color w:val="000000" w:themeColor="text1"/>
              </w:rPr>
              <w:t>Próximos pasos</w:t>
            </w:r>
          </w:p>
        </w:tc>
        <w:tc>
          <w:tcPr>
            <w:tcW w:w="6521" w:type="dxa"/>
            <w:gridSpan w:val="4"/>
          </w:tcPr>
          <w:p w:rsidR="000207D7" w:rsidRPr="00295641" w:rsidRDefault="000207D7" w:rsidP="009C73B8">
            <w:pPr>
              <w:jc w:val="both"/>
              <w:rPr>
                <w:color w:val="000000" w:themeColor="text1"/>
              </w:rPr>
            </w:pPr>
            <w:r>
              <w:rPr>
                <w:color w:val="000000" w:themeColor="text1"/>
              </w:rPr>
              <w:t>Se espera desarrollar acciones que contribuyan a establecer una adecuada regulación relacionada a las infracciones y sanciones en caso de incumplimiento de la Ley.</w:t>
            </w:r>
          </w:p>
        </w:tc>
      </w:tr>
      <w:tr w:rsidR="000207D7" w:rsidRPr="00295641" w:rsidTr="004F01B9">
        <w:tc>
          <w:tcPr>
            <w:tcW w:w="9039" w:type="dxa"/>
            <w:gridSpan w:val="6"/>
          </w:tcPr>
          <w:p w:rsidR="000207D7" w:rsidRPr="00295641" w:rsidRDefault="000207D7" w:rsidP="009C73B8">
            <w:pPr>
              <w:jc w:val="both"/>
              <w:rPr>
                <w:rFonts w:cs="Gotham-Book"/>
                <w:b/>
                <w:color w:val="000000" w:themeColor="text1"/>
              </w:rPr>
            </w:pPr>
          </w:p>
          <w:p w:rsidR="000207D7" w:rsidRPr="00295641" w:rsidRDefault="000207D7" w:rsidP="009C73B8">
            <w:pPr>
              <w:jc w:val="both"/>
              <w:rPr>
                <w:color w:val="000000" w:themeColor="text1"/>
              </w:rPr>
            </w:pPr>
            <w:r>
              <w:rPr>
                <w:rFonts w:cs="Gotham-Book"/>
                <w:b/>
                <w:color w:val="000000" w:themeColor="text1"/>
              </w:rPr>
              <w:t>Información adicional</w:t>
            </w:r>
          </w:p>
        </w:tc>
      </w:tr>
      <w:tr w:rsidR="000207D7" w:rsidRPr="00295641" w:rsidTr="004F01B9">
        <w:tc>
          <w:tcPr>
            <w:tcW w:w="9039" w:type="dxa"/>
            <w:gridSpan w:val="6"/>
          </w:tcPr>
          <w:p w:rsidR="000207D7" w:rsidRPr="00295641" w:rsidRDefault="00ED36F3" w:rsidP="007A5847">
            <w:pPr>
              <w:jc w:val="both"/>
              <w:rPr>
                <w:rFonts w:cs="Gotham-Book"/>
                <w:b/>
                <w:color w:val="000000" w:themeColor="text1"/>
              </w:rPr>
            </w:pPr>
            <w:r>
              <w:rPr>
                <w:szCs w:val="20"/>
                <w:lang w:val="es-PE"/>
              </w:rPr>
              <w:t xml:space="preserve">La integración de los sistemas de información de entes rectores en el Portal de Transparencia Estándar ha sido significativo, </w:t>
            </w:r>
            <w:r w:rsidR="00183EC4">
              <w:rPr>
                <w:szCs w:val="20"/>
                <w:lang w:val="es-PE"/>
              </w:rPr>
              <w:t xml:space="preserve">ya que </w:t>
            </w:r>
            <w:r w:rsidR="00DE5160">
              <w:rPr>
                <w:szCs w:val="20"/>
                <w:lang w:val="es-PE"/>
              </w:rPr>
              <w:t xml:space="preserve">se cuenta con </w:t>
            </w:r>
            <w:r>
              <w:rPr>
                <w:szCs w:val="20"/>
                <w:lang w:val="es-PE"/>
              </w:rPr>
              <w:t xml:space="preserve">la información proporcionada por el Ministerio de Economía y Finanzas sobre información presupuestal del Sistema Integrado de Administración Financiera- SIAF, así como del Sistema de Proyectos de Inversión Pública-SNIP, o de la información de Contrataciones cuya información proviene de del Sistema Electrónico de Contrataciones del Estado-SEACE a través de servicios web, hace que el </w:t>
            </w:r>
            <w:r w:rsidR="00DE5160">
              <w:rPr>
                <w:szCs w:val="20"/>
                <w:lang w:val="es-PE"/>
              </w:rPr>
              <w:t>PTE</w:t>
            </w:r>
            <w:r>
              <w:rPr>
                <w:szCs w:val="20"/>
                <w:lang w:val="es-PE"/>
              </w:rPr>
              <w:t xml:space="preserve"> que es de alcance nacional cuente con información of</w:t>
            </w:r>
            <w:r w:rsidR="007A5847">
              <w:rPr>
                <w:szCs w:val="20"/>
                <w:lang w:val="es-PE"/>
              </w:rPr>
              <w:t>icial y actualizada diariamente. P</w:t>
            </w:r>
            <w:r>
              <w:rPr>
                <w:szCs w:val="20"/>
                <w:lang w:val="es-PE"/>
              </w:rPr>
              <w:t>róximamente</w:t>
            </w:r>
            <w:r w:rsidR="007A5847">
              <w:rPr>
                <w:szCs w:val="20"/>
                <w:lang w:val="es-PE"/>
              </w:rPr>
              <w:t>,</w:t>
            </w:r>
            <w:r>
              <w:rPr>
                <w:szCs w:val="20"/>
                <w:lang w:val="es-PE"/>
              </w:rPr>
              <w:t xml:space="preserve"> se estará contando con información del Sistema de Declaraciones Juradas de la Contraloría General de la República. Asimismo, se le está dando un valor agregado</w:t>
            </w:r>
            <w:r w:rsidR="00DE5160">
              <w:rPr>
                <w:szCs w:val="20"/>
                <w:lang w:val="es-PE"/>
              </w:rPr>
              <w:t>,</w:t>
            </w:r>
            <w:r>
              <w:rPr>
                <w:szCs w:val="20"/>
                <w:lang w:val="es-PE"/>
              </w:rPr>
              <w:t xml:space="preserve"> pues se está integrando otra herramienta informática denominada sistema de registro de pedidos de información pública que permitirá </w:t>
            </w:r>
            <w:r w:rsidR="00DE5160">
              <w:rPr>
                <w:szCs w:val="20"/>
                <w:lang w:val="es-PE"/>
              </w:rPr>
              <w:t>registrar las solicitudes de acceso a la información pública y conocer el estado de la trazabilidad de su atención, permitiendo generar el acopio de los reportes que deben generar las entidades dando cuenta de los pedidos atendidos y no atendidos para elaborar el informe anual que debe ser remitido al Congreso de la República, es decir se está aplicando las tecnologías de la información a una labor que se viene haciendo de manera manual, esto permitirá sistematizar toda la información y mejorar el proceso de atención</w:t>
            </w:r>
            <w:r w:rsidR="009B09B1">
              <w:rPr>
                <w:szCs w:val="20"/>
                <w:lang w:val="es-PE"/>
              </w:rPr>
              <w:t xml:space="preserve"> de las solicitudes</w:t>
            </w:r>
            <w:r w:rsidR="00DE5160">
              <w:rPr>
                <w:szCs w:val="20"/>
                <w:lang w:val="es-PE"/>
              </w:rPr>
              <w:t>.</w:t>
            </w:r>
          </w:p>
        </w:tc>
      </w:tr>
    </w:tbl>
    <w:p w:rsidR="009A6EA8" w:rsidRDefault="009A6EA8"/>
    <w:p w:rsidR="009C7D2E" w:rsidRDefault="009C7D2E"/>
    <w:p w:rsidR="009C7D2E" w:rsidRDefault="009C7D2E"/>
    <w:p w:rsidR="009C7D2E" w:rsidRDefault="009C7D2E"/>
    <w:p w:rsidR="009C7D2E" w:rsidRDefault="009C7D2E"/>
    <w:p w:rsidR="009C7D2E" w:rsidRDefault="009C7D2E"/>
    <w:p w:rsidR="009C7D2E" w:rsidRDefault="009C7D2E"/>
    <w:p w:rsidR="009C7D2E" w:rsidRDefault="009C7D2E"/>
    <w:p w:rsidR="009C7D2E" w:rsidRDefault="009C7D2E"/>
    <w:p w:rsidR="009C7D2E" w:rsidRDefault="009C7D2E"/>
    <w:p w:rsidR="009C7D2E" w:rsidRDefault="009C7D2E"/>
    <w:p w:rsidR="009C7D2E" w:rsidRDefault="009C7D2E"/>
    <w:p w:rsidR="009C7D2E" w:rsidRDefault="009C7D2E"/>
    <w:p w:rsidR="009C7D2E" w:rsidRDefault="009C7D2E"/>
    <w:p w:rsidR="009C7D2E" w:rsidRDefault="009C7D2E"/>
    <w:p w:rsidR="009C7D2E" w:rsidRDefault="009C7D2E"/>
    <w:p w:rsidR="009C7D2E" w:rsidRDefault="009C7D2E"/>
    <w:tbl>
      <w:tblPr>
        <w:tblStyle w:val="Tablaconcuadrcula"/>
        <w:tblW w:w="0" w:type="auto"/>
        <w:tblLayout w:type="fixed"/>
        <w:tblLook w:val="04A0" w:firstRow="1" w:lastRow="0" w:firstColumn="1" w:lastColumn="0" w:noHBand="0" w:noVBand="1"/>
      </w:tblPr>
      <w:tblGrid>
        <w:gridCol w:w="2109"/>
        <w:gridCol w:w="409"/>
        <w:gridCol w:w="1701"/>
        <w:gridCol w:w="1729"/>
        <w:gridCol w:w="1644"/>
        <w:gridCol w:w="1447"/>
      </w:tblGrid>
      <w:tr w:rsidR="009823C9" w:rsidRPr="00295641" w:rsidTr="009C73B8">
        <w:tc>
          <w:tcPr>
            <w:tcW w:w="9039" w:type="dxa"/>
            <w:gridSpan w:val="6"/>
            <w:shd w:val="clear" w:color="auto" w:fill="548DD4" w:themeFill="text2" w:themeFillTint="99"/>
          </w:tcPr>
          <w:p w:rsidR="009823C9" w:rsidRPr="00295641" w:rsidRDefault="009823C9" w:rsidP="006465DE">
            <w:pPr>
              <w:ind w:left="720"/>
              <w:jc w:val="center"/>
              <w:rPr>
                <w:b/>
              </w:rPr>
            </w:pPr>
            <w:r>
              <w:rPr>
                <w:b/>
              </w:rPr>
              <w:t>Componente: Transparencia y Acceso a la Información Pública</w:t>
            </w:r>
          </w:p>
        </w:tc>
      </w:tr>
      <w:tr w:rsidR="009823C9" w:rsidRPr="00295641" w:rsidTr="009C73B8">
        <w:tc>
          <w:tcPr>
            <w:tcW w:w="9039" w:type="dxa"/>
            <w:gridSpan w:val="6"/>
            <w:shd w:val="clear" w:color="auto" w:fill="548DD4" w:themeFill="text2" w:themeFillTint="99"/>
          </w:tcPr>
          <w:p w:rsidR="009823C9" w:rsidRDefault="005E32C3" w:rsidP="005E32C3">
            <w:pPr>
              <w:ind w:left="720"/>
              <w:jc w:val="center"/>
              <w:rPr>
                <w:b/>
              </w:rPr>
            </w:pPr>
            <w:r w:rsidRPr="005E32C3">
              <w:rPr>
                <w:b/>
                <w:u w:val="single"/>
              </w:rPr>
              <w:t>Compromiso 3</w:t>
            </w:r>
            <w:r>
              <w:rPr>
                <w:b/>
              </w:rPr>
              <w:t xml:space="preserve">. </w:t>
            </w:r>
            <w:r w:rsidR="009823C9">
              <w:rPr>
                <w:b/>
              </w:rPr>
              <w:t>Mejorar conocimientos a funcionarios y servidores públicos en transparencia y acceso a la información pública</w:t>
            </w:r>
          </w:p>
        </w:tc>
      </w:tr>
      <w:tr w:rsidR="009823C9" w:rsidRPr="00295641" w:rsidTr="009C73B8">
        <w:tc>
          <w:tcPr>
            <w:tcW w:w="4219" w:type="dxa"/>
            <w:gridSpan w:val="3"/>
            <w:shd w:val="clear" w:color="auto" w:fill="C6D9F1" w:themeFill="text2" w:themeFillTint="33"/>
            <w:vAlign w:val="center"/>
          </w:tcPr>
          <w:p w:rsidR="009823C9" w:rsidRPr="00295641" w:rsidRDefault="009823C9" w:rsidP="009C73B8">
            <w:pPr>
              <w:autoSpaceDE w:val="0"/>
              <w:autoSpaceDN w:val="0"/>
              <w:adjustRightInd w:val="0"/>
              <w:rPr>
                <w:rFonts w:cs="Gotham-Book"/>
                <w:b/>
                <w:color w:val="000000" w:themeColor="text1"/>
              </w:rPr>
            </w:pPr>
            <w:r w:rsidRPr="00295641">
              <w:rPr>
                <w:rFonts w:cs="Gotham-Book"/>
                <w:b/>
                <w:color w:val="000000" w:themeColor="text1"/>
              </w:rPr>
              <w:t>Secretaría/Ministerio</w:t>
            </w:r>
          </w:p>
          <w:p w:rsidR="009823C9" w:rsidRPr="00295641" w:rsidRDefault="009823C9" w:rsidP="009C73B8">
            <w:pPr>
              <w:rPr>
                <w:b/>
                <w:color w:val="000000" w:themeColor="text1"/>
              </w:rPr>
            </w:pPr>
            <w:r w:rsidRPr="00295641">
              <w:rPr>
                <w:rFonts w:cs="Gotham-Book"/>
                <w:b/>
                <w:color w:val="000000" w:themeColor="text1"/>
              </w:rPr>
              <w:t>Responsable</w:t>
            </w:r>
          </w:p>
        </w:tc>
        <w:tc>
          <w:tcPr>
            <w:tcW w:w="4820" w:type="dxa"/>
            <w:gridSpan w:val="3"/>
          </w:tcPr>
          <w:p w:rsidR="009823C9" w:rsidRPr="00295641" w:rsidRDefault="009823C9" w:rsidP="009C73B8">
            <w:pPr>
              <w:jc w:val="both"/>
              <w:rPr>
                <w:color w:val="000000" w:themeColor="text1"/>
              </w:rPr>
            </w:pPr>
            <w:r>
              <w:rPr>
                <w:color w:val="000000" w:themeColor="text1"/>
              </w:rPr>
              <w:t>Presidencia del Consejo de Ministros</w:t>
            </w:r>
            <w:r w:rsidR="009B1E45">
              <w:rPr>
                <w:color w:val="000000" w:themeColor="text1"/>
              </w:rPr>
              <w:t>,</w:t>
            </w:r>
            <w:r>
              <w:rPr>
                <w:color w:val="000000" w:themeColor="text1"/>
              </w:rPr>
              <w:t xml:space="preserve"> a través de la Secretaría de Gestión Pública</w:t>
            </w:r>
          </w:p>
        </w:tc>
      </w:tr>
      <w:tr w:rsidR="009823C9" w:rsidRPr="00295641" w:rsidTr="009C73B8">
        <w:tc>
          <w:tcPr>
            <w:tcW w:w="4219" w:type="dxa"/>
            <w:gridSpan w:val="3"/>
            <w:shd w:val="clear" w:color="auto" w:fill="C6D9F1" w:themeFill="text2" w:themeFillTint="33"/>
            <w:vAlign w:val="center"/>
          </w:tcPr>
          <w:p w:rsidR="009823C9" w:rsidRPr="00295641" w:rsidRDefault="009823C9" w:rsidP="009C73B8">
            <w:pPr>
              <w:autoSpaceDE w:val="0"/>
              <w:autoSpaceDN w:val="0"/>
              <w:adjustRightInd w:val="0"/>
              <w:rPr>
                <w:rFonts w:cs="Gotham-Book"/>
                <w:b/>
                <w:color w:val="000000" w:themeColor="text1"/>
              </w:rPr>
            </w:pPr>
            <w:r w:rsidRPr="00295641">
              <w:rPr>
                <w:rFonts w:cs="Gotham-Book"/>
                <w:b/>
                <w:color w:val="000000" w:themeColor="text1"/>
              </w:rPr>
              <w:t>Nombre de la persona  responsable</w:t>
            </w:r>
          </w:p>
        </w:tc>
        <w:tc>
          <w:tcPr>
            <w:tcW w:w="4820" w:type="dxa"/>
            <w:gridSpan w:val="3"/>
          </w:tcPr>
          <w:p w:rsidR="009823C9" w:rsidRPr="00295641" w:rsidRDefault="009823C9" w:rsidP="009C73B8">
            <w:pPr>
              <w:jc w:val="both"/>
              <w:rPr>
                <w:color w:val="000000" w:themeColor="text1"/>
              </w:rPr>
            </w:pPr>
            <w:r>
              <w:rPr>
                <w:color w:val="000000" w:themeColor="text1"/>
              </w:rPr>
              <w:t>Fernando Zavala Lombardi</w:t>
            </w:r>
          </w:p>
        </w:tc>
      </w:tr>
      <w:tr w:rsidR="009823C9" w:rsidRPr="00295641" w:rsidTr="009C73B8">
        <w:tc>
          <w:tcPr>
            <w:tcW w:w="4219" w:type="dxa"/>
            <w:gridSpan w:val="3"/>
            <w:shd w:val="clear" w:color="auto" w:fill="C6D9F1" w:themeFill="text2" w:themeFillTint="33"/>
            <w:vAlign w:val="center"/>
          </w:tcPr>
          <w:p w:rsidR="009823C9" w:rsidRPr="00295641" w:rsidRDefault="009823C9" w:rsidP="009C73B8">
            <w:pPr>
              <w:rPr>
                <w:b/>
                <w:color w:val="000000" w:themeColor="text1"/>
              </w:rPr>
            </w:pPr>
            <w:r w:rsidRPr="00295641">
              <w:rPr>
                <w:rFonts w:cs="Gotham-Book"/>
                <w:b/>
                <w:color w:val="000000" w:themeColor="text1"/>
              </w:rPr>
              <w:t>Puesto</w:t>
            </w:r>
          </w:p>
        </w:tc>
        <w:tc>
          <w:tcPr>
            <w:tcW w:w="4820" w:type="dxa"/>
            <w:gridSpan w:val="3"/>
          </w:tcPr>
          <w:p w:rsidR="009823C9" w:rsidRPr="00295641" w:rsidRDefault="009823C9" w:rsidP="009C73B8">
            <w:pPr>
              <w:jc w:val="both"/>
              <w:rPr>
                <w:color w:val="000000" w:themeColor="text1"/>
              </w:rPr>
            </w:pPr>
            <w:r>
              <w:rPr>
                <w:color w:val="000000" w:themeColor="text1"/>
              </w:rPr>
              <w:t>Presidente del Consejo de Ministros</w:t>
            </w:r>
          </w:p>
        </w:tc>
      </w:tr>
      <w:tr w:rsidR="009823C9" w:rsidRPr="00295641" w:rsidTr="009C73B8">
        <w:tc>
          <w:tcPr>
            <w:tcW w:w="4219" w:type="dxa"/>
            <w:gridSpan w:val="3"/>
            <w:shd w:val="clear" w:color="auto" w:fill="C6D9F1" w:themeFill="text2" w:themeFillTint="33"/>
            <w:vAlign w:val="center"/>
          </w:tcPr>
          <w:p w:rsidR="009823C9" w:rsidRPr="00295641" w:rsidRDefault="009823C9" w:rsidP="009C73B8">
            <w:pPr>
              <w:autoSpaceDE w:val="0"/>
              <w:autoSpaceDN w:val="0"/>
              <w:adjustRightInd w:val="0"/>
              <w:rPr>
                <w:rFonts w:cs="Gotham-Book"/>
                <w:b/>
                <w:color w:val="000000" w:themeColor="text1"/>
              </w:rPr>
            </w:pPr>
            <w:r w:rsidRPr="00295641">
              <w:rPr>
                <w:rFonts w:cs="Gotham-Book"/>
                <w:b/>
                <w:color w:val="000000" w:themeColor="text1"/>
              </w:rPr>
              <w:t>Correo electrónico</w:t>
            </w:r>
          </w:p>
        </w:tc>
        <w:tc>
          <w:tcPr>
            <w:tcW w:w="4820" w:type="dxa"/>
            <w:gridSpan w:val="3"/>
          </w:tcPr>
          <w:p w:rsidR="009823C9" w:rsidRPr="00295641" w:rsidRDefault="002F3E0D" w:rsidP="009C73B8">
            <w:pPr>
              <w:jc w:val="both"/>
              <w:rPr>
                <w:rFonts w:cs="Arial"/>
                <w:color w:val="0000FF"/>
                <w:u w:val="single"/>
              </w:rPr>
            </w:pPr>
            <w:hyperlink r:id="rId18" w:history="1">
              <w:r w:rsidR="009823C9" w:rsidRPr="002977A0">
                <w:rPr>
                  <w:rStyle w:val="Hipervnculo"/>
                  <w:rFonts w:cs="Arial"/>
                </w:rPr>
                <w:t>fzavala@pcm.gob.pe</w:t>
              </w:r>
            </w:hyperlink>
          </w:p>
        </w:tc>
      </w:tr>
      <w:tr w:rsidR="009823C9" w:rsidRPr="00295641" w:rsidTr="009C73B8">
        <w:tc>
          <w:tcPr>
            <w:tcW w:w="4219" w:type="dxa"/>
            <w:gridSpan w:val="3"/>
            <w:shd w:val="clear" w:color="auto" w:fill="C6D9F1" w:themeFill="text2" w:themeFillTint="33"/>
            <w:vAlign w:val="center"/>
          </w:tcPr>
          <w:p w:rsidR="009823C9" w:rsidRPr="00295641" w:rsidRDefault="009823C9" w:rsidP="009C73B8">
            <w:pPr>
              <w:rPr>
                <w:b/>
                <w:color w:val="000000" w:themeColor="text1"/>
              </w:rPr>
            </w:pPr>
            <w:r w:rsidRPr="00295641">
              <w:rPr>
                <w:rFonts w:cs="Gotham-Book"/>
                <w:b/>
                <w:color w:val="000000" w:themeColor="text1"/>
              </w:rPr>
              <w:t>Teléfono</w:t>
            </w:r>
          </w:p>
        </w:tc>
        <w:tc>
          <w:tcPr>
            <w:tcW w:w="4820" w:type="dxa"/>
            <w:gridSpan w:val="3"/>
          </w:tcPr>
          <w:p w:rsidR="009823C9" w:rsidRPr="00295641" w:rsidRDefault="009823C9" w:rsidP="009C73B8">
            <w:pPr>
              <w:jc w:val="both"/>
              <w:rPr>
                <w:color w:val="000000" w:themeColor="text1"/>
              </w:rPr>
            </w:pPr>
            <w:r>
              <w:rPr>
                <w:color w:val="000000" w:themeColor="text1"/>
              </w:rPr>
              <w:t>51-1-2197000</w:t>
            </w:r>
          </w:p>
        </w:tc>
      </w:tr>
      <w:tr w:rsidR="009823C9" w:rsidRPr="00295641" w:rsidTr="009C73B8">
        <w:tc>
          <w:tcPr>
            <w:tcW w:w="2109" w:type="dxa"/>
            <w:vMerge w:val="restart"/>
            <w:shd w:val="clear" w:color="auto" w:fill="C6D9F1" w:themeFill="text2" w:themeFillTint="33"/>
            <w:vAlign w:val="center"/>
          </w:tcPr>
          <w:p w:rsidR="009823C9" w:rsidRPr="00295641" w:rsidRDefault="009823C9" w:rsidP="009C73B8">
            <w:pPr>
              <w:rPr>
                <w:rFonts w:cs="Gotham-Book"/>
                <w:b/>
                <w:color w:val="000000" w:themeColor="text1"/>
              </w:rPr>
            </w:pPr>
            <w:r>
              <w:rPr>
                <w:rFonts w:cs="Gotham-Book"/>
                <w:b/>
                <w:color w:val="000000" w:themeColor="text1"/>
              </w:rPr>
              <w:t>Otros actores involucrados</w:t>
            </w:r>
          </w:p>
        </w:tc>
        <w:tc>
          <w:tcPr>
            <w:tcW w:w="2110" w:type="dxa"/>
            <w:gridSpan w:val="2"/>
            <w:shd w:val="clear" w:color="auto" w:fill="C6D9F1" w:themeFill="text2" w:themeFillTint="33"/>
            <w:vAlign w:val="center"/>
          </w:tcPr>
          <w:p w:rsidR="009823C9" w:rsidRPr="00295641" w:rsidRDefault="009823C9" w:rsidP="009C73B8">
            <w:pPr>
              <w:rPr>
                <w:rFonts w:cs="Gotham-Book"/>
                <w:b/>
                <w:color w:val="000000" w:themeColor="text1"/>
              </w:rPr>
            </w:pPr>
            <w:r>
              <w:rPr>
                <w:rFonts w:cs="Gotham-Book"/>
                <w:b/>
                <w:color w:val="000000" w:themeColor="text1"/>
              </w:rPr>
              <w:t>Gobierno</w:t>
            </w:r>
          </w:p>
        </w:tc>
        <w:tc>
          <w:tcPr>
            <w:tcW w:w="4820" w:type="dxa"/>
            <w:gridSpan w:val="3"/>
          </w:tcPr>
          <w:p w:rsidR="009823C9" w:rsidRPr="00295641" w:rsidRDefault="009823C9" w:rsidP="009C73B8">
            <w:pPr>
              <w:jc w:val="both"/>
              <w:rPr>
                <w:color w:val="000000" w:themeColor="text1"/>
              </w:rPr>
            </w:pPr>
            <w:r>
              <w:rPr>
                <w:color w:val="000000" w:themeColor="text1"/>
              </w:rPr>
              <w:t>No aplica</w:t>
            </w:r>
          </w:p>
        </w:tc>
      </w:tr>
      <w:tr w:rsidR="009823C9" w:rsidRPr="00295641" w:rsidTr="009C73B8">
        <w:tc>
          <w:tcPr>
            <w:tcW w:w="2109" w:type="dxa"/>
            <w:vMerge/>
            <w:shd w:val="clear" w:color="auto" w:fill="C6D9F1" w:themeFill="text2" w:themeFillTint="33"/>
            <w:vAlign w:val="center"/>
          </w:tcPr>
          <w:p w:rsidR="009823C9" w:rsidRPr="00295641" w:rsidRDefault="009823C9" w:rsidP="009C73B8">
            <w:pPr>
              <w:rPr>
                <w:rFonts w:cs="Gotham-Book"/>
                <w:b/>
                <w:color w:val="000000" w:themeColor="text1"/>
              </w:rPr>
            </w:pPr>
          </w:p>
        </w:tc>
        <w:tc>
          <w:tcPr>
            <w:tcW w:w="2110" w:type="dxa"/>
            <w:gridSpan w:val="2"/>
            <w:shd w:val="clear" w:color="auto" w:fill="C6D9F1" w:themeFill="text2" w:themeFillTint="33"/>
            <w:vAlign w:val="center"/>
          </w:tcPr>
          <w:p w:rsidR="009823C9" w:rsidRPr="00295641" w:rsidRDefault="009823C9" w:rsidP="009C73B8">
            <w:pPr>
              <w:rPr>
                <w:rFonts w:cs="Gotham-Book"/>
                <w:b/>
                <w:color w:val="000000" w:themeColor="text1"/>
              </w:rPr>
            </w:pPr>
            <w:r>
              <w:rPr>
                <w:rFonts w:cs="Gotham-Book"/>
                <w:b/>
                <w:color w:val="000000" w:themeColor="text1"/>
              </w:rPr>
              <w:t>Sociedad civil, iniciativa privada, grupos de trabajo o multilaterales</w:t>
            </w:r>
          </w:p>
        </w:tc>
        <w:tc>
          <w:tcPr>
            <w:tcW w:w="4820" w:type="dxa"/>
            <w:gridSpan w:val="3"/>
          </w:tcPr>
          <w:p w:rsidR="009823C9" w:rsidRPr="00295641" w:rsidRDefault="009823C9" w:rsidP="009C73B8">
            <w:pPr>
              <w:jc w:val="both"/>
              <w:rPr>
                <w:color w:val="000000" w:themeColor="text1"/>
              </w:rPr>
            </w:pPr>
          </w:p>
        </w:tc>
      </w:tr>
      <w:tr w:rsidR="009823C9" w:rsidRPr="00295641" w:rsidTr="009C73B8">
        <w:tc>
          <w:tcPr>
            <w:tcW w:w="4219" w:type="dxa"/>
            <w:gridSpan w:val="3"/>
            <w:shd w:val="clear" w:color="auto" w:fill="C6D9F1" w:themeFill="text2" w:themeFillTint="33"/>
            <w:vAlign w:val="center"/>
          </w:tcPr>
          <w:p w:rsidR="009823C9" w:rsidRPr="00295641" w:rsidRDefault="009823C9" w:rsidP="009C73B8">
            <w:pPr>
              <w:rPr>
                <w:rFonts w:cs="Gotham-Book"/>
                <w:b/>
                <w:color w:val="000000" w:themeColor="text1"/>
              </w:rPr>
            </w:pPr>
            <w:r>
              <w:rPr>
                <w:rFonts w:cs="Gotham-Book"/>
                <w:b/>
                <w:color w:val="000000" w:themeColor="text1"/>
              </w:rPr>
              <w:t>Status quo o problema/</w:t>
            </w:r>
            <w:r>
              <w:rPr>
                <w:rFonts w:cs="Gotham-Book"/>
                <w:b/>
                <w:color w:val="000000" w:themeColor="text1"/>
              </w:rPr>
              <w:br/>
              <w:t>desafío que será atendido</w:t>
            </w:r>
          </w:p>
        </w:tc>
        <w:tc>
          <w:tcPr>
            <w:tcW w:w="4820" w:type="dxa"/>
            <w:gridSpan w:val="3"/>
          </w:tcPr>
          <w:p w:rsidR="009823C9" w:rsidRPr="00295641" w:rsidRDefault="009823C9" w:rsidP="00791090">
            <w:pPr>
              <w:jc w:val="both"/>
              <w:rPr>
                <w:color w:val="000000" w:themeColor="text1"/>
              </w:rPr>
            </w:pPr>
            <w:r>
              <w:rPr>
                <w:color w:val="000000" w:themeColor="text1"/>
              </w:rPr>
              <w:t xml:space="preserve">Se han identificado </w:t>
            </w:r>
            <w:r w:rsidR="009B1E45">
              <w:rPr>
                <w:color w:val="000000" w:themeColor="text1"/>
              </w:rPr>
              <w:t>dificultades en el acceso a</w:t>
            </w:r>
            <w:r>
              <w:rPr>
                <w:color w:val="000000" w:themeColor="text1"/>
              </w:rPr>
              <w:t xml:space="preserve"> información o falta de actualización de los portales de transparencia</w:t>
            </w:r>
            <w:r w:rsidR="00791090">
              <w:rPr>
                <w:color w:val="000000" w:themeColor="text1"/>
              </w:rPr>
              <w:t>.</w:t>
            </w:r>
          </w:p>
        </w:tc>
      </w:tr>
      <w:tr w:rsidR="009823C9" w:rsidRPr="00295641" w:rsidTr="009C73B8">
        <w:tc>
          <w:tcPr>
            <w:tcW w:w="4219" w:type="dxa"/>
            <w:gridSpan w:val="3"/>
            <w:shd w:val="clear" w:color="auto" w:fill="C6D9F1" w:themeFill="text2" w:themeFillTint="33"/>
            <w:vAlign w:val="center"/>
          </w:tcPr>
          <w:p w:rsidR="009823C9" w:rsidRPr="00295641" w:rsidRDefault="009823C9" w:rsidP="009C73B8">
            <w:pPr>
              <w:rPr>
                <w:b/>
                <w:color w:val="000000" w:themeColor="text1"/>
              </w:rPr>
            </w:pPr>
            <w:r w:rsidRPr="00295641">
              <w:rPr>
                <w:rFonts w:cs="Gotham-Book"/>
                <w:b/>
                <w:color w:val="000000" w:themeColor="text1"/>
              </w:rPr>
              <w:t>Objetivo principal</w:t>
            </w:r>
          </w:p>
        </w:tc>
        <w:tc>
          <w:tcPr>
            <w:tcW w:w="4820" w:type="dxa"/>
            <w:gridSpan w:val="3"/>
          </w:tcPr>
          <w:p w:rsidR="009823C9" w:rsidRPr="007B6A82" w:rsidRDefault="009823C9" w:rsidP="00DA4243">
            <w:pPr>
              <w:jc w:val="both"/>
              <w:rPr>
                <w:bCs/>
              </w:rPr>
            </w:pPr>
            <w:r>
              <w:rPr>
                <w:bCs/>
              </w:rPr>
              <w:t>Fortalecer las capacidades de los funcionarios responsables de atender las solicitudes de información y de los responsables del PTE sobre los alcances de la normativa en materia de TAIP</w:t>
            </w:r>
            <w:r w:rsidR="00EF4C68">
              <w:rPr>
                <w:bCs/>
              </w:rPr>
              <w:t xml:space="preserve">, para </w:t>
            </w:r>
            <w:r w:rsidR="00DA4243">
              <w:rPr>
                <w:bCs/>
              </w:rPr>
              <w:t>promover un</w:t>
            </w:r>
            <w:r w:rsidR="00EF4C68">
              <w:rPr>
                <w:bCs/>
              </w:rPr>
              <w:t xml:space="preserve"> mejor ejercicio de sus funciones</w:t>
            </w:r>
            <w:r w:rsidR="00DA4243">
              <w:rPr>
                <w:bCs/>
              </w:rPr>
              <w:t>, generando</w:t>
            </w:r>
            <w:r w:rsidR="00EF4C68">
              <w:rPr>
                <w:bCs/>
              </w:rPr>
              <w:t xml:space="preserve"> valor público para los ciudadanos y ciudadanas.</w:t>
            </w:r>
          </w:p>
        </w:tc>
      </w:tr>
      <w:tr w:rsidR="009823C9" w:rsidRPr="00295641" w:rsidTr="009C73B8">
        <w:tc>
          <w:tcPr>
            <w:tcW w:w="4219" w:type="dxa"/>
            <w:gridSpan w:val="3"/>
            <w:shd w:val="clear" w:color="auto" w:fill="C6D9F1" w:themeFill="text2" w:themeFillTint="33"/>
            <w:vAlign w:val="center"/>
          </w:tcPr>
          <w:p w:rsidR="009823C9" w:rsidRPr="00295641" w:rsidRDefault="009823C9" w:rsidP="009C73B8">
            <w:pPr>
              <w:autoSpaceDE w:val="0"/>
              <w:autoSpaceDN w:val="0"/>
              <w:adjustRightInd w:val="0"/>
              <w:rPr>
                <w:rFonts w:cs="Gotham-Book"/>
                <w:b/>
                <w:color w:val="000000" w:themeColor="text1"/>
              </w:rPr>
            </w:pPr>
            <w:r>
              <w:rPr>
                <w:rFonts w:cs="Gotham-Book"/>
                <w:b/>
                <w:color w:val="000000" w:themeColor="text1"/>
              </w:rPr>
              <w:t xml:space="preserve">Breve </w:t>
            </w:r>
            <w:r w:rsidRPr="00295641">
              <w:rPr>
                <w:rFonts w:cs="Gotham-Book"/>
                <w:b/>
                <w:color w:val="000000" w:themeColor="text1"/>
              </w:rPr>
              <w:t>Descripción del</w:t>
            </w:r>
          </w:p>
          <w:p w:rsidR="009823C9" w:rsidRPr="00295641" w:rsidRDefault="009823C9" w:rsidP="009C73B8">
            <w:pPr>
              <w:autoSpaceDE w:val="0"/>
              <w:autoSpaceDN w:val="0"/>
              <w:adjustRightInd w:val="0"/>
              <w:rPr>
                <w:rFonts w:cs="Gotham-Book"/>
                <w:b/>
                <w:color w:val="000000" w:themeColor="text1"/>
              </w:rPr>
            </w:pPr>
            <w:r w:rsidRPr="00295641">
              <w:rPr>
                <w:rFonts w:cs="Gotham-Book"/>
                <w:b/>
                <w:color w:val="000000" w:themeColor="text1"/>
              </w:rPr>
              <w:t>Compromiso</w:t>
            </w:r>
          </w:p>
        </w:tc>
        <w:tc>
          <w:tcPr>
            <w:tcW w:w="4820" w:type="dxa"/>
            <w:gridSpan w:val="3"/>
          </w:tcPr>
          <w:p w:rsidR="009823C9" w:rsidRPr="00D55406" w:rsidRDefault="00EF4C68" w:rsidP="00EF4C68">
            <w:pPr>
              <w:jc w:val="both"/>
              <w:rPr>
                <w:color w:val="FF0000"/>
                <w:szCs w:val="20"/>
                <w:lang w:val="es-PE"/>
              </w:rPr>
            </w:pPr>
            <w:r>
              <w:rPr>
                <w:szCs w:val="20"/>
                <w:lang w:val="es-PE"/>
              </w:rPr>
              <w:t xml:space="preserve">Mejorar los conocimientos y desarrollar habilidades de los funcionarios y servidores públicos para la adecuada implementación de la normativa de transparencia y acceso a la información pública, ampliando progresivamente la cobertura de la capacitación. </w:t>
            </w:r>
          </w:p>
        </w:tc>
      </w:tr>
      <w:tr w:rsidR="009823C9" w:rsidRPr="00295641" w:rsidTr="009C73B8">
        <w:tc>
          <w:tcPr>
            <w:tcW w:w="4219" w:type="dxa"/>
            <w:gridSpan w:val="3"/>
            <w:shd w:val="clear" w:color="auto" w:fill="C6D9F1" w:themeFill="text2" w:themeFillTint="33"/>
            <w:vAlign w:val="center"/>
          </w:tcPr>
          <w:p w:rsidR="009823C9" w:rsidRPr="00295641" w:rsidRDefault="009823C9" w:rsidP="009C73B8">
            <w:pPr>
              <w:autoSpaceDE w:val="0"/>
              <w:autoSpaceDN w:val="0"/>
              <w:adjustRightInd w:val="0"/>
              <w:rPr>
                <w:rFonts w:cs="Gotham-Book"/>
                <w:b/>
                <w:color w:val="000000" w:themeColor="text1"/>
              </w:rPr>
            </w:pPr>
            <w:r w:rsidRPr="00295641">
              <w:rPr>
                <w:rFonts w:cs="Gotham-Book"/>
                <w:b/>
                <w:color w:val="000000" w:themeColor="text1"/>
              </w:rPr>
              <w:t>Relevancia</w:t>
            </w:r>
          </w:p>
          <w:p w:rsidR="009823C9" w:rsidRPr="00295641" w:rsidRDefault="009823C9" w:rsidP="009C73B8">
            <w:pPr>
              <w:autoSpaceDE w:val="0"/>
              <w:autoSpaceDN w:val="0"/>
              <w:adjustRightInd w:val="0"/>
              <w:rPr>
                <w:b/>
                <w:color w:val="000000" w:themeColor="text1"/>
              </w:rPr>
            </w:pPr>
          </w:p>
        </w:tc>
        <w:tc>
          <w:tcPr>
            <w:tcW w:w="4820" w:type="dxa"/>
            <w:gridSpan w:val="3"/>
          </w:tcPr>
          <w:p w:rsidR="009823C9" w:rsidRPr="00D55406" w:rsidRDefault="00EF4C68" w:rsidP="00DA4243">
            <w:pPr>
              <w:jc w:val="both"/>
              <w:rPr>
                <w:color w:val="FF0000"/>
                <w:szCs w:val="20"/>
                <w:lang w:val="es-PE"/>
              </w:rPr>
            </w:pPr>
            <w:r>
              <w:rPr>
                <w:szCs w:val="20"/>
                <w:lang w:val="es-PE"/>
              </w:rPr>
              <w:t>El fortalecimiento de capacidades del personal de la admi</w:t>
            </w:r>
            <w:r w:rsidR="00DA4243">
              <w:rPr>
                <w:szCs w:val="20"/>
                <w:lang w:val="es-PE"/>
              </w:rPr>
              <w:t>nistración pública es relevante, ya que promoverá un mayor conocimiento y sensibilización</w:t>
            </w:r>
            <w:r>
              <w:rPr>
                <w:szCs w:val="20"/>
                <w:lang w:val="es-PE"/>
              </w:rPr>
              <w:t xml:space="preserve"> sobre la aplicación de los principios de gobierno abierto para </w:t>
            </w:r>
            <w:r w:rsidR="00303F9E">
              <w:rPr>
                <w:szCs w:val="20"/>
                <w:lang w:val="es-PE"/>
              </w:rPr>
              <w:t>un mejor ejercicio de sus funciones.</w:t>
            </w:r>
          </w:p>
        </w:tc>
      </w:tr>
      <w:tr w:rsidR="009823C9" w:rsidRPr="00295641" w:rsidTr="009C73B8">
        <w:tc>
          <w:tcPr>
            <w:tcW w:w="4219" w:type="dxa"/>
            <w:gridSpan w:val="3"/>
            <w:shd w:val="clear" w:color="auto" w:fill="C6D9F1" w:themeFill="text2" w:themeFillTint="33"/>
            <w:vAlign w:val="center"/>
          </w:tcPr>
          <w:p w:rsidR="009823C9" w:rsidRPr="00295641" w:rsidRDefault="009823C9" w:rsidP="009C73B8">
            <w:pPr>
              <w:autoSpaceDE w:val="0"/>
              <w:autoSpaceDN w:val="0"/>
              <w:adjustRightInd w:val="0"/>
              <w:rPr>
                <w:rFonts w:cs="Gotham-Book"/>
                <w:b/>
                <w:color w:val="000000" w:themeColor="text1"/>
              </w:rPr>
            </w:pPr>
            <w:r w:rsidRPr="00295641">
              <w:rPr>
                <w:rFonts w:cs="Gotham-Book"/>
                <w:b/>
                <w:color w:val="000000" w:themeColor="text1"/>
              </w:rPr>
              <w:t>Ambición</w:t>
            </w:r>
          </w:p>
          <w:p w:rsidR="009823C9" w:rsidRPr="00295641" w:rsidRDefault="009823C9" w:rsidP="009C73B8">
            <w:pPr>
              <w:autoSpaceDE w:val="0"/>
              <w:autoSpaceDN w:val="0"/>
              <w:adjustRightInd w:val="0"/>
              <w:rPr>
                <w:rFonts w:cs="Gotham-BookItalic"/>
                <w:b/>
                <w:iCs/>
                <w:color w:val="000000" w:themeColor="text1"/>
              </w:rPr>
            </w:pPr>
          </w:p>
        </w:tc>
        <w:tc>
          <w:tcPr>
            <w:tcW w:w="4820" w:type="dxa"/>
            <w:gridSpan w:val="3"/>
          </w:tcPr>
          <w:p w:rsidR="009823C9" w:rsidRPr="00D55406" w:rsidRDefault="00334F32" w:rsidP="006465DE">
            <w:pPr>
              <w:jc w:val="both"/>
              <w:rPr>
                <w:color w:val="FF0000"/>
                <w:szCs w:val="20"/>
                <w:lang w:val="es-PE"/>
              </w:rPr>
            </w:pPr>
            <w:r>
              <w:rPr>
                <w:szCs w:val="20"/>
                <w:lang w:val="es-PE"/>
              </w:rPr>
              <w:t xml:space="preserve">Se espera incrementar </w:t>
            </w:r>
            <w:r w:rsidR="006465DE">
              <w:rPr>
                <w:szCs w:val="20"/>
                <w:lang w:val="es-PE"/>
              </w:rPr>
              <w:t>el conocimiento de</w:t>
            </w:r>
            <w:r>
              <w:rPr>
                <w:szCs w:val="20"/>
                <w:lang w:val="es-PE"/>
              </w:rPr>
              <w:t xml:space="preserve"> funcionarios y servidores públicos </w:t>
            </w:r>
            <w:r w:rsidR="006465DE">
              <w:rPr>
                <w:szCs w:val="20"/>
                <w:lang w:val="es-PE"/>
              </w:rPr>
              <w:t xml:space="preserve">sobre </w:t>
            </w:r>
            <w:r>
              <w:rPr>
                <w:szCs w:val="20"/>
                <w:lang w:val="es-PE"/>
              </w:rPr>
              <w:t>los conceptos y enfoque de gobierno abierto y que sea aplicado en la formulación y diseño de políticas públicas, reforzando la apertura de un Estado hacia el ciudadano.</w:t>
            </w:r>
            <w:r w:rsidR="009823C9" w:rsidRPr="00D55406">
              <w:rPr>
                <w:color w:val="FF0000"/>
                <w:szCs w:val="20"/>
                <w:lang w:val="es-PE"/>
              </w:rPr>
              <w:t xml:space="preserve"> </w:t>
            </w:r>
          </w:p>
        </w:tc>
      </w:tr>
      <w:tr w:rsidR="009823C9" w:rsidRPr="00295641" w:rsidTr="009C73B8">
        <w:tc>
          <w:tcPr>
            <w:tcW w:w="2518" w:type="dxa"/>
            <w:gridSpan w:val="2"/>
            <w:vMerge w:val="restart"/>
            <w:shd w:val="clear" w:color="auto" w:fill="C6D9F1" w:themeFill="text2" w:themeFillTint="33"/>
            <w:vAlign w:val="center"/>
          </w:tcPr>
          <w:p w:rsidR="009823C9" w:rsidRPr="00295641" w:rsidRDefault="009823C9" w:rsidP="009C73B8">
            <w:pPr>
              <w:rPr>
                <w:b/>
                <w:color w:val="000000" w:themeColor="text1"/>
              </w:rPr>
            </w:pPr>
            <w:r w:rsidRPr="00295641">
              <w:rPr>
                <w:rFonts w:cs="Gotham-Book"/>
                <w:b/>
                <w:color w:val="000000" w:themeColor="text1"/>
              </w:rPr>
              <w:t>Cumplimiento</w:t>
            </w:r>
          </w:p>
        </w:tc>
        <w:tc>
          <w:tcPr>
            <w:tcW w:w="1701" w:type="dxa"/>
            <w:shd w:val="clear" w:color="auto" w:fill="C6D9F1" w:themeFill="text2" w:themeFillTint="33"/>
          </w:tcPr>
          <w:p w:rsidR="009823C9" w:rsidRPr="00295641" w:rsidRDefault="009823C9" w:rsidP="009C73B8">
            <w:pPr>
              <w:jc w:val="center"/>
              <w:rPr>
                <w:b/>
                <w:color w:val="000000" w:themeColor="text1"/>
              </w:rPr>
            </w:pPr>
            <w:r w:rsidRPr="00295641">
              <w:rPr>
                <w:rFonts w:cs="Gotham-Book"/>
                <w:b/>
                <w:color w:val="000000" w:themeColor="text1"/>
              </w:rPr>
              <w:t>No iniciado</w:t>
            </w:r>
          </w:p>
        </w:tc>
        <w:tc>
          <w:tcPr>
            <w:tcW w:w="1729" w:type="dxa"/>
            <w:shd w:val="clear" w:color="auto" w:fill="C6D9F1" w:themeFill="text2" w:themeFillTint="33"/>
          </w:tcPr>
          <w:p w:rsidR="009823C9" w:rsidRPr="00295641" w:rsidRDefault="009823C9" w:rsidP="009C73B8">
            <w:pPr>
              <w:jc w:val="center"/>
              <w:rPr>
                <w:b/>
                <w:color w:val="000000" w:themeColor="text1"/>
              </w:rPr>
            </w:pPr>
            <w:r w:rsidRPr="00295641">
              <w:rPr>
                <w:rFonts w:cs="Gotham-Book"/>
                <w:b/>
                <w:color w:val="000000" w:themeColor="text1"/>
              </w:rPr>
              <w:t>Limitado</w:t>
            </w:r>
          </w:p>
        </w:tc>
        <w:tc>
          <w:tcPr>
            <w:tcW w:w="1644" w:type="dxa"/>
            <w:shd w:val="clear" w:color="auto" w:fill="C6D9F1" w:themeFill="text2" w:themeFillTint="33"/>
          </w:tcPr>
          <w:p w:rsidR="009823C9" w:rsidRPr="00295641" w:rsidRDefault="009823C9" w:rsidP="009C73B8">
            <w:pPr>
              <w:jc w:val="center"/>
              <w:rPr>
                <w:b/>
                <w:color w:val="000000" w:themeColor="text1"/>
              </w:rPr>
            </w:pPr>
            <w:r w:rsidRPr="00295641">
              <w:rPr>
                <w:rFonts w:cs="Gotham-Book"/>
                <w:b/>
                <w:color w:val="000000" w:themeColor="text1"/>
              </w:rPr>
              <w:t>Sustancial</w:t>
            </w:r>
          </w:p>
        </w:tc>
        <w:tc>
          <w:tcPr>
            <w:tcW w:w="1447" w:type="dxa"/>
            <w:shd w:val="clear" w:color="auto" w:fill="C6D9F1" w:themeFill="text2" w:themeFillTint="33"/>
          </w:tcPr>
          <w:p w:rsidR="009823C9" w:rsidRPr="00295641" w:rsidRDefault="009823C9" w:rsidP="009C73B8">
            <w:pPr>
              <w:jc w:val="center"/>
              <w:rPr>
                <w:b/>
                <w:color w:val="000000" w:themeColor="text1"/>
              </w:rPr>
            </w:pPr>
            <w:r w:rsidRPr="00295641">
              <w:rPr>
                <w:rFonts w:cs="Gotham-Book"/>
                <w:b/>
                <w:color w:val="000000" w:themeColor="text1"/>
              </w:rPr>
              <w:t>Completo</w:t>
            </w:r>
          </w:p>
        </w:tc>
      </w:tr>
      <w:tr w:rsidR="009823C9" w:rsidRPr="00295641" w:rsidTr="009C73B8">
        <w:tc>
          <w:tcPr>
            <w:tcW w:w="2518" w:type="dxa"/>
            <w:gridSpan w:val="2"/>
            <w:vMerge/>
            <w:shd w:val="clear" w:color="auto" w:fill="C6D9F1" w:themeFill="text2" w:themeFillTint="33"/>
            <w:vAlign w:val="center"/>
          </w:tcPr>
          <w:p w:rsidR="009823C9" w:rsidRPr="00295641" w:rsidRDefault="009823C9" w:rsidP="009C73B8">
            <w:pPr>
              <w:rPr>
                <w:b/>
                <w:color w:val="000000" w:themeColor="text1"/>
              </w:rPr>
            </w:pPr>
          </w:p>
        </w:tc>
        <w:tc>
          <w:tcPr>
            <w:tcW w:w="1701" w:type="dxa"/>
          </w:tcPr>
          <w:p w:rsidR="009823C9" w:rsidRPr="00295641" w:rsidRDefault="009823C9" w:rsidP="009C73B8">
            <w:pPr>
              <w:jc w:val="center"/>
              <w:rPr>
                <w:b/>
                <w:color w:val="000000" w:themeColor="text1"/>
              </w:rPr>
            </w:pPr>
          </w:p>
        </w:tc>
        <w:tc>
          <w:tcPr>
            <w:tcW w:w="1729" w:type="dxa"/>
          </w:tcPr>
          <w:p w:rsidR="009823C9" w:rsidRPr="00295641" w:rsidRDefault="009823C9" w:rsidP="009C73B8">
            <w:pPr>
              <w:jc w:val="center"/>
              <w:rPr>
                <w:b/>
                <w:color w:val="000000" w:themeColor="text1"/>
              </w:rPr>
            </w:pPr>
          </w:p>
        </w:tc>
        <w:tc>
          <w:tcPr>
            <w:tcW w:w="1644" w:type="dxa"/>
          </w:tcPr>
          <w:p w:rsidR="009823C9" w:rsidRPr="00295641" w:rsidRDefault="007C1FFC" w:rsidP="009C73B8">
            <w:pPr>
              <w:jc w:val="center"/>
              <w:rPr>
                <w:b/>
                <w:color w:val="000000" w:themeColor="text1"/>
              </w:rPr>
            </w:pPr>
            <w:r>
              <w:rPr>
                <w:b/>
                <w:color w:val="000000" w:themeColor="text1"/>
              </w:rPr>
              <w:t>X</w:t>
            </w:r>
          </w:p>
        </w:tc>
        <w:tc>
          <w:tcPr>
            <w:tcW w:w="1447" w:type="dxa"/>
            <w:shd w:val="clear" w:color="auto" w:fill="FFFFFF" w:themeFill="background1"/>
          </w:tcPr>
          <w:p w:rsidR="009823C9" w:rsidRPr="00295641" w:rsidRDefault="009823C9" w:rsidP="009C73B8">
            <w:pPr>
              <w:jc w:val="center"/>
              <w:rPr>
                <w:b/>
                <w:color w:val="000000" w:themeColor="text1"/>
              </w:rPr>
            </w:pPr>
          </w:p>
        </w:tc>
      </w:tr>
      <w:tr w:rsidR="009823C9" w:rsidRPr="00295641" w:rsidTr="009C73B8">
        <w:tc>
          <w:tcPr>
            <w:tcW w:w="2518" w:type="dxa"/>
            <w:gridSpan w:val="2"/>
            <w:shd w:val="clear" w:color="auto" w:fill="C6D9F1" w:themeFill="text2" w:themeFillTint="33"/>
            <w:vAlign w:val="center"/>
          </w:tcPr>
          <w:p w:rsidR="009823C9" w:rsidRPr="00295641" w:rsidRDefault="009823C9" w:rsidP="009C73B8">
            <w:pPr>
              <w:autoSpaceDE w:val="0"/>
              <w:autoSpaceDN w:val="0"/>
              <w:adjustRightInd w:val="0"/>
              <w:rPr>
                <w:rFonts w:cs="Gotham-Book"/>
                <w:b/>
                <w:color w:val="000000" w:themeColor="text1"/>
              </w:rPr>
            </w:pPr>
            <w:r w:rsidRPr="00295641">
              <w:rPr>
                <w:rFonts w:cs="Gotham-Book"/>
                <w:b/>
                <w:color w:val="000000" w:themeColor="text1"/>
              </w:rPr>
              <w:t>Descripción de los resultados</w:t>
            </w:r>
          </w:p>
          <w:p w:rsidR="009823C9" w:rsidRPr="00295641" w:rsidRDefault="009823C9" w:rsidP="009C73B8">
            <w:pPr>
              <w:autoSpaceDE w:val="0"/>
              <w:autoSpaceDN w:val="0"/>
              <w:adjustRightInd w:val="0"/>
              <w:rPr>
                <w:rFonts w:cs="Gotham-BookItalic"/>
                <w:b/>
                <w:iCs/>
                <w:color w:val="000000" w:themeColor="text1"/>
              </w:rPr>
            </w:pPr>
          </w:p>
        </w:tc>
        <w:tc>
          <w:tcPr>
            <w:tcW w:w="6521" w:type="dxa"/>
            <w:gridSpan w:val="4"/>
          </w:tcPr>
          <w:p w:rsidR="009823C9" w:rsidRPr="008B6C96" w:rsidRDefault="009823C9" w:rsidP="009C73B8">
            <w:pPr>
              <w:jc w:val="both"/>
              <w:rPr>
                <w:szCs w:val="20"/>
                <w:lang w:val="es-PE"/>
              </w:rPr>
            </w:pPr>
            <w:r w:rsidRPr="008B6C96">
              <w:rPr>
                <w:szCs w:val="20"/>
                <w:lang w:val="es-PE"/>
              </w:rPr>
              <w:t>Se ha considerado las siguientes actividades:</w:t>
            </w:r>
          </w:p>
          <w:p w:rsidR="009823C9" w:rsidRPr="005E32C3" w:rsidRDefault="0057062F" w:rsidP="003A3ABE">
            <w:pPr>
              <w:pStyle w:val="Prrafodelista"/>
              <w:numPr>
                <w:ilvl w:val="0"/>
                <w:numId w:val="10"/>
              </w:numPr>
              <w:jc w:val="both"/>
              <w:rPr>
                <w:b/>
                <w:i/>
                <w:szCs w:val="20"/>
                <w:lang w:val="es-PE"/>
              </w:rPr>
            </w:pPr>
            <w:r w:rsidRPr="005E32C3">
              <w:rPr>
                <w:b/>
                <w:i/>
                <w:szCs w:val="20"/>
                <w:lang w:val="es-PE"/>
              </w:rPr>
              <w:t>Programa de fortalecimiento de capacidades sobre Gobierno Abierto enfocado en transparencia y acceso a la información pública.</w:t>
            </w:r>
          </w:p>
          <w:p w:rsidR="009C73B8" w:rsidRPr="008B6C96" w:rsidRDefault="009C73B8" w:rsidP="009C73B8">
            <w:pPr>
              <w:ind w:left="360"/>
              <w:jc w:val="both"/>
              <w:rPr>
                <w:szCs w:val="20"/>
                <w:lang w:val="es-PE"/>
              </w:rPr>
            </w:pPr>
            <w:r w:rsidRPr="008B6C96">
              <w:rPr>
                <w:szCs w:val="20"/>
                <w:lang w:val="es-PE"/>
              </w:rPr>
              <w:t xml:space="preserve">Con el apoyo de </w:t>
            </w:r>
            <w:proofErr w:type="spellStart"/>
            <w:r w:rsidRPr="008B6C96">
              <w:rPr>
                <w:szCs w:val="20"/>
                <w:lang w:val="es-PE"/>
              </w:rPr>
              <w:t>Prodescentralización|USAID</w:t>
            </w:r>
            <w:proofErr w:type="spellEnd"/>
            <w:r w:rsidRPr="008B6C96">
              <w:rPr>
                <w:szCs w:val="20"/>
                <w:lang w:val="es-PE"/>
              </w:rPr>
              <w:t xml:space="preserve"> se desarrolló </w:t>
            </w:r>
            <w:r w:rsidR="0041190D">
              <w:rPr>
                <w:szCs w:val="20"/>
                <w:lang w:val="es-PE"/>
              </w:rPr>
              <w:t xml:space="preserve">e implementó </w:t>
            </w:r>
            <w:r w:rsidR="00791090">
              <w:rPr>
                <w:szCs w:val="20"/>
                <w:lang w:val="es-PE"/>
              </w:rPr>
              <w:t>durante</w:t>
            </w:r>
            <w:r w:rsidR="0041190D">
              <w:rPr>
                <w:szCs w:val="20"/>
                <w:lang w:val="es-PE"/>
              </w:rPr>
              <w:t xml:space="preserve"> el 2015-2016 </w:t>
            </w:r>
            <w:r w:rsidRPr="008B6C96">
              <w:rPr>
                <w:szCs w:val="20"/>
                <w:lang w:val="es-PE"/>
              </w:rPr>
              <w:t>el Programa de Fortalecimiento de capacidades en materia de Gobierno Abierto</w:t>
            </w:r>
            <w:r w:rsidR="00554757">
              <w:rPr>
                <w:szCs w:val="20"/>
                <w:lang w:val="es-PE"/>
              </w:rPr>
              <w:t>,</w:t>
            </w:r>
            <w:r w:rsidRPr="008B6C96">
              <w:rPr>
                <w:szCs w:val="20"/>
                <w:lang w:val="es-PE"/>
              </w:rPr>
              <w:t xml:space="preserve"> dirigido a gobiernos regionales y locales. Dicho Programa </w:t>
            </w:r>
            <w:r w:rsidR="008B6C96" w:rsidRPr="008B6C96">
              <w:rPr>
                <w:szCs w:val="20"/>
                <w:lang w:val="es-PE"/>
              </w:rPr>
              <w:t>brinda herramientas para gestionar la capacitación en las entidades, bajo  enfoques y criterios del ente rector, pero ade</w:t>
            </w:r>
            <w:r w:rsidR="00554757">
              <w:rPr>
                <w:szCs w:val="20"/>
                <w:lang w:val="es-PE"/>
              </w:rPr>
              <w:t>cuado a su cultura y territorio. De esta forma,</w:t>
            </w:r>
            <w:r w:rsidR="008B6C96" w:rsidRPr="008B6C96">
              <w:rPr>
                <w:szCs w:val="20"/>
                <w:lang w:val="es-PE"/>
              </w:rPr>
              <w:t xml:space="preserve"> el programa </w:t>
            </w:r>
            <w:r w:rsidRPr="008B6C96">
              <w:rPr>
                <w:szCs w:val="20"/>
                <w:lang w:val="es-PE"/>
              </w:rPr>
              <w:t>contiene 01 Guía Metodológica que pe</w:t>
            </w:r>
            <w:r w:rsidR="00892267">
              <w:rPr>
                <w:szCs w:val="20"/>
                <w:lang w:val="es-PE"/>
              </w:rPr>
              <w:t>rmite capacitar a capacitadores. A</w:t>
            </w:r>
            <w:r w:rsidRPr="008B6C96">
              <w:rPr>
                <w:szCs w:val="20"/>
                <w:lang w:val="es-PE"/>
              </w:rPr>
              <w:t>simismo</w:t>
            </w:r>
            <w:r w:rsidR="006A4DC6">
              <w:rPr>
                <w:szCs w:val="20"/>
                <w:lang w:val="es-PE"/>
              </w:rPr>
              <w:t>,</w:t>
            </w:r>
            <w:r w:rsidRPr="008B6C96">
              <w:rPr>
                <w:szCs w:val="20"/>
                <w:lang w:val="es-PE"/>
              </w:rPr>
              <w:t xml:space="preserve"> contiene 04 fascículos:</w:t>
            </w:r>
          </w:p>
          <w:p w:rsidR="009C73B8" w:rsidRPr="008B6C96" w:rsidRDefault="009C73B8" w:rsidP="009C73B8">
            <w:pPr>
              <w:ind w:left="360"/>
              <w:jc w:val="both"/>
              <w:rPr>
                <w:szCs w:val="20"/>
                <w:lang w:val="es-PE"/>
              </w:rPr>
            </w:pPr>
            <w:r w:rsidRPr="008B6C96">
              <w:rPr>
                <w:szCs w:val="20"/>
                <w:lang w:val="es-PE"/>
              </w:rPr>
              <w:t>Fascículo 1- Transparencia</w:t>
            </w:r>
          </w:p>
          <w:p w:rsidR="009C73B8" w:rsidRPr="008B6C96" w:rsidRDefault="009C73B8" w:rsidP="009C73B8">
            <w:pPr>
              <w:ind w:left="360"/>
              <w:jc w:val="both"/>
              <w:rPr>
                <w:szCs w:val="20"/>
                <w:lang w:val="es-PE"/>
              </w:rPr>
            </w:pPr>
            <w:r w:rsidRPr="008B6C96">
              <w:rPr>
                <w:szCs w:val="20"/>
                <w:lang w:val="es-PE"/>
              </w:rPr>
              <w:t>Fascículo 2. Acceso a la Información Pública</w:t>
            </w:r>
          </w:p>
          <w:p w:rsidR="009C73B8" w:rsidRPr="008B6C96" w:rsidRDefault="009C73B8" w:rsidP="009C73B8">
            <w:pPr>
              <w:ind w:left="360"/>
              <w:jc w:val="both"/>
              <w:rPr>
                <w:szCs w:val="20"/>
                <w:lang w:val="es-PE"/>
              </w:rPr>
            </w:pPr>
            <w:r w:rsidRPr="008B6C96">
              <w:rPr>
                <w:szCs w:val="20"/>
                <w:lang w:val="es-PE"/>
              </w:rPr>
              <w:t>Fascículo 3- Participación Ciudadana y Rendición de Cuentas</w:t>
            </w:r>
          </w:p>
          <w:p w:rsidR="009C73B8" w:rsidRDefault="009C73B8" w:rsidP="009C73B8">
            <w:pPr>
              <w:ind w:left="360"/>
              <w:jc w:val="both"/>
              <w:rPr>
                <w:szCs w:val="20"/>
                <w:lang w:val="es-PE"/>
              </w:rPr>
            </w:pPr>
            <w:r w:rsidRPr="008B6C96">
              <w:rPr>
                <w:szCs w:val="20"/>
                <w:lang w:val="es-PE"/>
              </w:rPr>
              <w:t>Fascículo 4- Gobierno Abierto</w:t>
            </w:r>
          </w:p>
          <w:p w:rsidR="0041190D" w:rsidRDefault="0041190D" w:rsidP="009C73B8">
            <w:pPr>
              <w:ind w:left="360"/>
              <w:jc w:val="both"/>
              <w:rPr>
                <w:szCs w:val="20"/>
                <w:lang w:val="es-PE"/>
              </w:rPr>
            </w:pPr>
            <w:r>
              <w:rPr>
                <w:szCs w:val="20"/>
                <w:lang w:val="es-PE"/>
              </w:rPr>
              <w:t xml:space="preserve">El material puede ser encontrado en el siguiente enlace: </w:t>
            </w:r>
            <w:hyperlink r:id="rId19" w:history="1">
              <w:r w:rsidRPr="005E7654">
                <w:rPr>
                  <w:rStyle w:val="Hipervnculo"/>
                  <w:szCs w:val="20"/>
                  <w:lang w:val="es-PE"/>
                </w:rPr>
                <w:t>http://sgp.pcm.gob.pe/transparencia-y-acceso-a-la-informacion-publica/</w:t>
              </w:r>
            </w:hyperlink>
          </w:p>
          <w:p w:rsidR="0057062F" w:rsidRPr="0041190D" w:rsidRDefault="0057062F" w:rsidP="005E32C3">
            <w:pPr>
              <w:pStyle w:val="Prrafodelista"/>
              <w:numPr>
                <w:ilvl w:val="0"/>
                <w:numId w:val="11"/>
              </w:numPr>
              <w:ind w:left="346" w:hanging="142"/>
              <w:jc w:val="both"/>
              <w:rPr>
                <w:szCs w:val="20"/>
                <w:lang w:val="es-PE"/>
              </w:rPr>
            </w:pPr>
            <w:r w:rsidRPr="0041190D">
              <w:rPr>
                <w:szCs w:val="20"/>
                <w:lang w:val="es-PE"/>
              </w:rPr>
              <w:t>Público objetivo: 1ra etapa, personal de las entidades públicas responsable de atender las solicitudes de información y de actualizar el PTE.</w:t>
            </w:r>
          </w:p>
          <w:p w:rsidR="008B6C96" w:rsidRPr="0041190D" w:rsidRDefault="005E32C3" w:rsidP="005E32C3">
            <w:pPr>
              <w:pStyle w:val="Prrafodelista"/>
              <w:ind w:left="346" w:hanging="142"/>
              <w:jc w:val="both"/>
              <w:rPr>
                <w:szCs w:val="20"/>
                <w:lang w:val="es-PE"/>
              </w:rPr>
            </w:pPr>
            <w:r>
              <w:rPr>
                <w:szCs w:val="20"/>
                <w:lang w:val="es-PE"/>
              </w:rPr>
              <w:t xml:space="preserve">   </w:t>
            </w:r>
            <w:r w:rsidR="008B6C96" w:rsidRPr="0041190D">
              <w:rPr>
                <w:szCs w:val="20"/>
                <w:lang w:val="es-PE"/>
              </w:rPr>
              <w:t xml:space="preserve">Se realizó capacitación a los 19 Ministerios y 54 organismos públicos del Poder Ejecutivo, conformando equipos de capacitación que realizaron réplicas de los talleres de Gobierno Abierto en sus entidades. </w:t>
            </w:r>
          </w:p>
          <w:p w:rsidR="0057062F" w:rsidRPr="0041190D" w:rsidRDefault="0057062F" w:rsidP="005E32C3">
            <w:pPr>
              <w:pStyle w:val="Prrafodelista"/>
              <w:numPr>
                <w:ilvl w:val="0"/>
                <w:numId w:val="11"/>
              </w:numPr>
              <w:ind w:left="346" w:hanging="142"/>
              <w:jc w:val="both"/>
              <w:rPr>
                <w:szCs w:val="20"/>
                <w:lang w:val="es-PE"/>
              </w:rPr>
            </w:pPr>
            <w:r w:rsidRPr="0041190D">
              <w:rPr>
                <w:szCs w:val="20"/>
                <w:lang w:val="es-PE"/>
              </w:rPr>
              <w:t>Alcance: tres niveles de gobierno.</w:t>
            </w:r>
          </w:p>
          <w:p w:rsidR="002052A3" w:rsidRDefault="005E32C3" w:rsidP="005E32C3">
            <w:pPr>
              <w:pStyle w:val="Prrafodelista"/>
              <w:ind w:left="346" w:hanging="142"/>
              <w:jc w:val="both"/>
              <w:rPr>
                <w:szCs w:val="20"/>
                <w:lang w:val="es-PE"/>
              </w:rPr>
            </w:pPr>
            <w:r>
              <w:rPr>
                <w:szCs w:val="20"/>
                <w:lang w:val="es-PE"/>
              </w:rPr>
              <w:t xml:space="preserve">   </w:t>
            </w:r>
            <w:r w:rsidR="0041190D" w:rsidRPr="0041190D">
              <w:rPr>
                <w:szCs w:val="20"/>
                <w:lang w:val="es-PE"/>
              </w:rPr>
              <w:t>Se consideró</w:t>
            </w:r>
            <w:r w:rsidR="006A4DC6">
              <w:rPr>
                <w:szCs w:val="20"/>
                <w:lang w:val="es-PE"/>
              </w:rPr>
              <w:t>, además,</w:t>
            </w:r>
            <w:r w:rsidR="0041190D" w:rsidRPr="0041190D">
              <w:rPr>
                <w:szCs w:val="20"/>
                <w:lang w:val="es-PE"/>
              </w:rPr>
              <w:t xml:space="preserve"> realizar capacitación a</w:t>
            </w:r>
            <w:r w:rsidR="002052A3">
              <w:rPr>
                <w:szCs w:val="20"/>
                <w:lang w:val="es-PE"/>
              </w:rPr>
              <w:t>:</w:t>
            </w:r>
          </w:p>
          <w:p w:rsidR="002052A3" w:rsidRDefault="0041190D" w:rsidP="002052A3">
            <w:pPr>
              <w:pStyle w:val="Prrafodelista"/>
              <w:numPr>
                <w:ilvl w:val="0"/>
                <w:numId w:val="38"/>
              </w:numPr>
              <w:jc w:val="both"/>
              <w:rPr>
                <w:szCs w:val="20"/>
                <w:lang w:val="es-PE"/>
              </w:rPr>
            </w:pPr>
            <w:r w:rsidRPr="0041190D">
              <w:rPr>
                <w:szCs w:val="20"/>
                <w:lang w:val="es-PE"/>
              </w:rPr>
              <w:t xml:space="preserve"> 5 gobiernos regionales: Amazona</w:t>
            </w:r>
            <w:r w:rsidR="006A4DC6">
              <w:rPr>
                <w:szCs w:val="20"/>
                <w:lang w:val="es-PE"/>
              </w:rPr>
              <w:t>s</w:t>
            </w:r>
            <w:r w:rsidRPr="0041190D">
              <w:rPr>
                <w:szCs w:val="20"/>
                <w:lang w:val="es-PE"/>
              </w:rPr>
              <w:t>, Loreto, Madre</w:t>
            </w:r>
            <w:r w:rsidR="002052A3">
              <w:rPr>
                <w:szCs w:val="20"/>
                <w:lang w:val="es-PE"/>
              </w:rPr>
              <w:t xml:space="preserve"> de Dios, San Martín y Ucayali.</w:t>
            </w:r>
          </w:p>
          <w:p w:rsidR="002052A3" w:rsidRDefault="0041190D" w:rsidP="002052A3">
            <w:pPr>
              <w:pStyle w:val="Prrafodelista"/>
              <w:numPr>
                <w:ilvl w:val="0"/>
                <w:numId w:val="38"/>
              </w:numPr>
              <w:jc w:val="both"/>
              <w:rPr>
                <w:szCs w:val="20"/>
                <w:lang w:val="es-PE"/>
              </w:rPr>
            </w:pPr>
            <w:r w:rsidRPr="0041190D">
              <w:rPr>
                <w:szCs w:val="20"/>
                <w:lang w:val="es-PE"/>
              </w:rPr>
              <w:t xml:space="preserve">6 gobiernos locales provinciales: Condorcanqui y Chachapoyas (Amazonas), Maynas (Loreto), Tambopata (Madre de Dios), Lamas (San Martín) y </w:t>
            </w:r>
            <w:r w:rsidR="002052A3">
              <w:rPr>
                <w:szCs w:val="20"/>
                <w:lang w:val="es-PE"/>
              </w:rPr>
              <w:t>Coronel Portillo (Ucayali)</w:t>
            </w:r>
          </w:p>
          <w:p w:rsidR="002052A3" w:rsidRDefault="002052A3" w:rsidP="002052A3">
            <w:pPr>
              <w:pStyle w:val="Prrafodelista"/>
              <w:numPr>
                <w:ilvl w:val="0"/>
                <w:numId w:val="38"/>
              </w:numPr>
              <w:jc w:val="both"/>
              <w:rPr>
                <w:szCs w:val="20"/>
                <w:lang w:val="es-PE"/>
              </w:rPr>
            </w:pPr>
            <w:r>
              <w:rPr>
                <w:szCs w:val="20"/>
                <w:lang w:val="es-PE"/>
              </w:rPr>
              <w:t>16 g</w:t>
            </w:r>
            <w:r w:rsidR="0041190D" w:rsidRPr="0041190D">
              <w:rPr>
                <w:szCs w:val="20"/>
                <w:lang w:val="es-PE"/>
              </w:rPr>
              <w:t>obiernos locales distritales: Río Santiago (Amazonas), Barranquita, Cuñumbuqui, Zapatero y Tabalosos (San Martín), Belén, San Juan Bautista, Punchana, Mazán, Indiana, Tnte. Manua</w:t>
            </w:r>
            <w:r>
              <w:rPr>
                <w:szCs w:val="20"/>
                <w:lang w:val="es-PE"/>
              </w:rPr>
              <w:t>l Clavero – Río Putumayo (</w:t>
            </w:r>
            <w:r w:rsidR="0041190D" w:rsidRPr="0041190D">
              <w:rPr>
                <w:szCs w:val="20"/>
                <w:lang w:val="es-PE"/>
              </w:rPr>
              <w:t>Loreto), Yarinacocha, Manantay y Campo Verde (Ucayali), Tahuamanu y Las Piedras (Madre de Dios)</w:t>
            </w:r>
          </w:p>
          <w:p w:rsidR="0041190D" w:rsidRDefault="0041190D" w:rsidP="002052A3">
            <w:pPr>
              <w:pStyle w:val="Prrafodelista"/>
              <w:numPr>
                <w:ilvl w:val="0"/>
                <w:numId w:val="38"/>
              </w:numPr>
              <w:jc w:val="both"/>
              <w:rPr>
                <w:szCs w:val="20"/>
                <w:lang w:val="es-PE"/>
              </w:rPr>
            </w:pPr>
            <w:r>
              <w:rPr>
                <w:szCs w:val="20"/>
                <w:lang w:val="es-PE"/>
              </w:rPr>
              <w:t>Otras entidades</w:t>
            </w:r>
            <w:r w:rsidR="002052A3">
              <w:rPr>
                <w:szCs w:val="20"/>
                <w:lang w:val="es-PE"/>
              </w:rPr>
              <w:t>,</w:t>
            </w:r>
            <w:r>
              <w:rPr>
                <w:szCs w:val="20"/>
                <w:lang w:val="es-PE"/>
              </w:rPr>
              <w:t xml:space="preserve"> como Registro Nacional de Identificación y Estado Civil y el Programa Juntos, Policía Nacional del Perú.</w:t>
            </w:r>
          </w:p>
          <w:p w:rsidR="00DD22FF" w:rsidRDefault="005E32C3" w:rsidP="005E32C3">
            <w:pPr>
              <w:pStyle w:val="Prrafodelista"/>
              <w:ind w:left="346" w:hanging="142"/>
              <w:jc w:val="both"/>
              <w:rPr>
                <w:szCs w:val="20"/>
                <w:lang w:val="es-PE"/>
              </w:rPr>
            </w:pPr>
            <w:r>
              <w:rPr>
                <w:szCs w:val="20"/>
                <w:lang w:val="es-PE"/>
              </w:rPr>
              <w:t xml:space="preserve">   </w:t>
            </w:r>
            <w:r w:rsidR="00DD22FF">
              <w:rPr>
                <w:szCs w:val="20"/>
                <w:lang w:val="es-PE"/>
              </w:rPr>
              <w:t>Cabe precisar que esta buena práctica obtuvo el segundo lugar de la Categoría Buenas Prácticas en gestión curricular en el Concurso de Buenas práctica</w:t>
            </w:r>
            <w:r w:rsidR="00FC3A70">
              <w:rPr>
                <w:szCs w:val="20"/>
                <w:lang w:val="es-PE"/>
              </w:rPr>
              <w:t xml:space="preserve">s en gestión de la capacitación, realizado </w:t>
            </w:r>
            <w:r w:rsidR="00DD22FF">
              <w:rPr>
                <w:szCs w:val="20"/>
                <w:lang w:val="es-PE"/>
              </w:rPr>
              <w:t>en el marco de la gestión pública descentralizada</w:t>
            </w:r>
            <w:r w:rsidR="00FC3A70">
              <w:rPr>
                <w:szCs w:val="20"/>
                <w:lang w:val="es-PE"/>
              </w:rPr>
              <w:t xml:space="preserve">, el cual fue organizado </w:t>
            </w:r>
            <w:r w:rsidR="00DD22FF">
              <w:rPr>
                <w:szCs w:val="20"/>
                <w:lang w:val="es-PE"/>
              </w:rPr>
              <w:t xml:space="preserve"> por la Autoridad Nacional del Servicio Civil-SERVIR con el Proyecto CADESAN de la Cooperación Alemana GIZ: </w:t>
            </w:r>
            <w:hyperlink r:id="rId20" w:history="1">
              <w:r w:rsidR="00DD22FF" w:rsidRPr="005E7654">
                <w:rPr>
                  <w:rStyle w:val="Hipervnculo"/>
                  <w:szCs w:val="20"/>
                  <w:lang w:val="es-PE"/>
                </w:rPr>
                <w:t>http://www.servir.gob.pe/servir-premia-a-ganadores-de-buenas-practicas-en-gestion-de-la-capacitacion/</w:t>
              </w:r>
            </w:hyperlink>
          </w:p>
          <w:p w:rsidR="00DD22FF" w:rsidRDefault="00DD22FF" w:rsidP="005E32C3">
            <w:pPr>
              <w:pStyle w:val="Prrafodelista"/>
              <w:ind w:left="346" w:hanging="142"/>
              <w:jc w:val="both"/>
              <w:rPr>
                <w:szCs w:val="20"/>
                <w:lang w:val="es-PE"/>
              </w:rPr>
            </w:pPr>
          </w:p>
          <w:p w:rsidR="0041190D" w:rsidRDefault="0041190D" w:rsidP="005E32C3">
            <w:pPr>
              <w:pStyle w:val="Prrafodelista"/>
              <w:ind w:left="346" w:hanging="142"/>
              <w:jc w:val="both"/>
              <w:rPr>
                <w:szCs w:val="20"/>
                <w:lang w:val="es-PE"/>
              </w:rPr>
            </w:pPr>
            <w:r>
              <w:rPr>
                <w:szCs w:val="20"/>
                <w:lang w:val="es-PE"/>
              </w:rPr>
              <w:t>Adicionalmente</w:t>
            </w:r>
            <w:r w:rsidR="00FC3A70">
              <w:rPr>
                <w:szCs w:val="20"/>
                <w:lang w:val="es-PE"/>
              </w:rPr>
              <w:t>,</w:t>
            </w:r>
            <w:r>
              <w:rPr>
                <w:szCs w:val="20"/>
                <w:lang w:val="es-PE"/>
              </w:rPr>
              <w:t xml:space="preserve"> la SGP desarrolló Talleres Macroregionales en el año 2015 y 2016, logrando capacitar:</w:t>
            </w:r>
          </w:p>
          <w:tbl>
            <w:tblPr>
              <w:tblStyle w:val="Tablaconcuadrcula"/>
              <w:tblW w:w="6544" w:type="dxa"/>
              <w:tblLayout w:type="fixed"/>
              <w:tblLook w:val="04A0" w:firstRow="1" w:lastRow="0" w:firstColumn="1" w:lastColumn="0" w:noHBand="0" w:noVBand="1"/>
            </w:tblPr>
            <w:tblGrid>
              <w:gridCol w:w="3908"/>
              <w:gridCol w:w="834"/>
              <w:gridCol w:w="890"/>
              <w:gridCol w:w="912"/>
            </w:tblGrid>
            <w:tr w:rsidR="009705A7" w:rsidTr="003A67F1">
              <w:trPr>
                <w:trHeight w:val="464"/>
              </w:trPr>
              <w:tc>
                <w:tcPr>
                  <w:tcW w:w="3908" w:type="dxa"/>
                  <w:shd w:val="clear" w:color="auto" w:fill="B8CCE4" w:themeFill="accent1" w:themeFillTint="66"/>
                </w:tcPr>
                <w:p w:rsidR="009705A7" w:rsidRDefault="009705A7" w:rsidP="009705A7">
                  <w:r>
                    <w:t>Tópico o tema a capacitar</w:t>
                  </w:r>
                </w:p>
              </w:tc>
              <w:tc>
                <w:tcPr>
                  <w:tcW w:w="834" w:type="dxa"/>
                  <w:shd w:val="clear" w:color="auto" w:fill="B8CCE4" w:themeFill="accent1" w:themeFillTint="66"/>
                </w:tcPr>
                <w:p w:rsidR="009705A7" w:rsidRDefault="009705A7" w:rsidP="00FC3A70">
                  <w:pPr>
                    <w:jc w:val="center"/>
                  </w:pPr>
                  <w:r>
                    <w:t>2015</w:t>
                  </w:r>
                </w:p>
              </w:tc>
              <w:tc>
                <w:tcPr>
                  <w:tcW w:w="890" w:type="dxa"/>
                  <w:shd w:val="clear" w:color="auto" w:fill="B8CCE4" w:themeFill="accent1" w:themeFillTint="66"/>
                </w:tcPr>
                <w:p w:rsidR="009705A7" w:rsidRDefault="009705A7" w:rsidP="00FC3A70">
                  <w:pPr>
                    <w:jc w:val="center"/>
                  </w:pPr>
                  <w:r>
                    <w:t>2016</w:t>
                  </w:r>
                </w:p>
              </w:tc>
              <w:tc>
                <w:tcPr>
                  <w:tcW w:w="912" w:type="dxa"/>
                  <w:shd w:val="clear" w:color="auto" w:fill="B8CCE4" w:themeFill="accent1" w:themeFillTint="66"/>
                </w:tcPr>
                <w:p w:rsidR="009705A7" w:rsidRDefault="009705A7" w:rsidP="00FC3A70">
                  <w:pPr>
                    <w:jc w:val="center"/>
                  </w:pPr>
                  <w:r>
                    <w:t>Total</w:t>
                  </w:r>
                </w:p>
              </w:tc>
            </w:tr>
            <w:tr w:rsidR="009705A7" w:rsidTr="003A67F1">
              <w:trPr>
                <w:trHeight w:val="439"/>
              </w:trPr>
              <w:tc>
                <w:tcPr>
                  <w:tcW w:w="3908" w:type="dxa"/>
                </w:tcPr>
                <w:p w:rsidR="009705A7" w:rsidRDefault="009705A7" w:rsidP="00FC3A70">
                  <w:pPr>
                    <w:jc w:val="both"/>
                  </w:pPr>
                  <w:r>
                    <w:t>Implementación del Portal de Transparencia Estándar</w:t>
                  </w:r>
                </w:p>
              </w:tc>
              <w:tc>
                <w:tcPr>
                  <w:tcW w:w="834" w:type="dxa"/>
                </w:tcPr>
                <w:p w:rsidR="009705A7" w:rsidRDefault="009705A7" w:rsidP="00FC3A70">
                  <w:pPr>
                    <w:jc w:val="center"/>
                  </w:pPr>
                  <w:r>
                    <w:t>998</w:t>
                  </w:r>
                </w:p>
              </w:tc>
              <w:tc>
                <w:tcPr>
                  <w:tcW w:w="890" w:type="dxa"/>
                </w:tcPr>
                <w:p w:rsidR="009705A7" w:rsidRDefault="009705A7" w:rsidP="00FC3A70">
                  <w:pPr>
                    <w:jc w:val="center"/>
                  </w:pPr>
                  <w:r>
                    <w:t>941</w:t>
                  </w:r>
                </w:p>
              </w:tc>
              <w:tc>
                <w:tcPr>
                  <w:tcW w:w="912" w:type="dxa"/>
                  <w:shd w:val="clear" w:color="auto" w:fill="B8CCE4" w:themeFill="accent1" w:themeFillTint="66"/>
                </w:tcPr>
                <w:p w:rsidR="009705A7" w:rsidRDefault="009705A7" w:rsidP="00FC3A70">
                  <w:pPr>
                    <w:jc w:val="center"/>
                  </w:pPr>
                  <w:r>
                    <w:t>1939</w:t>
                  </w:r>
                </w:p>
              </w:tc>
            </w:tr>
            <w:tr w:rsidR="009705A7" w:rsidTr="003A67F1">
              <w:trPr>
                <w:trHeight w:val="464"/>
              </w:trPr>
              <w:tc>
                <w:tcPr>
                  <w:tcW w:w="3908" w:type="dxa"/>
                </w:tcPr>
                <w:p w:rsidR="009705A7" w:rsidRDefault="009705A7" w:rsidP="00FC3A70">
                  <w:pPr>
                    <w:jc w:val="both"/>
                  </w:pPr>
                  <w:r>
                    <w:t>Gobierno Abierto: Portal de Transparencia Estándar, Acceso a la información pública, datos abiertos y promoción de la ética pública</w:t>
                  </w:r>
                </w:p>
              </w:tc>
              <w:tc>
                <w:tcPr>
                  <w:tcW w:w="834" w:type="dxa"/>
                </w:tcPr>
                <w:p w:rsidR="009705A7" w:rsidRDefault="009705A7" w:rsidP="00FC3A70">
                  <w:pPr>
                    <w:jc w:val="center"/>
                  </w:pPr>
                  <w:r>
                    <w:t>732</w:t>
                  </w:r>
                </w:p>
              </w:tc>
              <w:tc>
                <w:tcPr>
                  <w:tcW w:w="890" w:type="dxa"/>
                </w:tcPr>
                <w:p w:rsidR="009705A7" w:rsidRDefault="009705A7" w:rsidP="00FC3A70">
                  <w:pPr>
                    <w:jc w:val="center"/>
                  </w:pPr>
                  <w:r>
                    <w:t>703</w:t>
                  </w:r>
                </w:p>
              </w:tc>
              <w:tc>
                <w:tcPr>
                  <w:tcW w:w="912" w:type="dxa"/>
                  <w:shd w:val="clear" w:color="auto" w:fill="B8CCE4" w:themeFill="accent1" w:themeFillTint="66"/>
                </w:tcPr>
                <w:p w:rsidR="009705A7" w:rsidRDefault="009705A7" w:rsidP="00FC3A70">
                  <w:pPr>
                    <w:jc w:val="center"/>
                  </w:pPr>
                  <w:r>
                    <w:t>1435</w:t>
                  </w:r>
                </w:p>
              </w:tc>
            </w:tr>
            <w:tr w:rsidR="009705A7" w:rsidTr="003A67F1">
              <w:trPr>
                <w:trHeight w:val="439"/>
              </w:trPr>
              <w:tc>
                <w:tcPr>
                  <w:tcW w:w="3908" w:type="dxa"/>
                </w:tcPr>
                <w:p w:rsidR="009705A7" w:rsidRDefault="009705A7" w:rsidP="00FC3A70">
                  <w:pPr>
                    <w:jc w:val="both"/>
                  </w:pPr>
                  <w:r>
                    <w:t>Datos Abiertos</w:t>
                  </w:r>
                </w:p>
              </w:tc>
              <w:tc>
                <w:tcPr>
                  <w:tcW w:w="834" w:type="dxa"/>
                </w:tcPr>
                <w:p w:rsidR="009705A7" w:rsidRDefault="009705A7" w:rsidP="00FC3A70">
                  <w:pPr>
                    <w:jc w:val="center"/>
                  </w:pPr>
                  <w:r>
                    <w:t>650</w:t>
                  </w:r>
                </w:p>
              </w:tc>
              <w:tc>
                <w:tcPr>
                  <w:tcW w:w="890" w:type="dxa"/>
                </w:tcPr>
                <w:p w:rsidR="009705A7" w:rsidRDefault="009705A7" w:rsidP="00FC3A70">
                  <w:pPr>
                    <w:jc w:val="center"/>
                  </w:pPr>
                  <w:r>
                    <w:t>0</w:t>
                  </w:r>
                </w:p>
              </w:tc>
              <w:tc>
                <w:tcPr>
                  <w:tcW w:w="912" w:type="dxa"/>
                  <w:shd w:val="clear" w:color="auto" w:fill="B8CCE4" w:themeFill="accent1" w:themeFillTint="66"/>
                </w:tcPr>
                <w:p w:rsidR="009705A7" w:rsidRDefault="009705A7" w:rsidP="00FC3A70">
                  <w:pPr>
                    <w:jc w:val="center"/>
                  </w:pPr>
                  <w:r>
                    <w:t>650</w:t>
                  </w:r>
                </w:p>
                <w:p w:rsidR="009705A7" w:rsidRDefault="009705A7" w:rsidP="00FC3A70">
                  <w:pPr>
                    <w:jc w:val="center"/>
                  </w:pPr>
                </w:p>
              </w:tc>
            </w:tr>
            <w:tr w:rsidR="009705A7" w:rsidTr="003A67F1">
              <w:trPr>
                <w:trHeight w:val="464"/>
              </w:trPr>
              <w:tc>
                <w:tcPr>
                  <w:tcW w:w="3908" w:type="dxa"/>
                </w:tcPr>
                <w:p w:rsidR="009705A7" w:rsidRDefault="009705A7" w:rsidP="00FC3A70">
                  <w:pPr>
                    <w:jc w:val="both"/>
                  </w:pPr>
                  <w:r>
                    <w:t>Promoción de la Ética pública</w:t>
                  </w:r>
                </w:p>
              </w:tc>
              <w:tc>
                <w:tcPr>
                  <w:tcW w:w="834" w:type="dxa"/>
                </w:tcPr>
                <w:p w:rsidR="009705A7" w:rsidRDefault="009705A7" w:rsidP="00FC3A70">
                  <w:pPr>
                    <w:jc w:val="center"/>
                  </w:pPr>
                  <w:r>
                    <w:t>637</w:t>
                  </w:r>
                </w:p>
              </w:tc>
              <w:tc>
                <w:tcPr>
                  <w:tcW w:w="890" w:type="dxa"/>
                </w:tcPr>
                <w:p w:rsidR="009705A7" w:rsidRDefault="009705A7" w:rsidP="00FC3A70">
                  <w:pPr>
                    <w:jc w:val="center"/>
                  </w:pPr>
                  <w:r>
                    <w:t>221</w:t>
                  </w:r>
                </w:p>
              </w:tc>
              <w:tc>
                <w:tcPr>
                  <w:tcW w:w="912" w:type="dxa"/>
                  <w:shd w:val="clear" w:color="auto" w:fill="B8CCE4" w:themeFill="accent1" w:themeFillTint="66"/>
                </w:tcPr>
                <w:p w:rsidR="009705A7" w:rsidRDefault="009705A7" w:rsidP="00FC3A70">
                  <w:pPr>
                    <w:jc w:val="center"/>
                  </w:pPr>
                  <w:r>
                    <w:t>858</w:t>
                  </w:r>
                </w:p>
              </w:tc>
            </w:tr>
            <w:tr w:rsidR="009705A7" w:rsidTr="003A67F1">
              <w:trPr>
                <w:trHeight w:val="439"/>
              </w:trPr>
              <w:tc>
                <w:tcPr>
                  <w:tcW w:w="3908" w:type="dxa"/>
                </w:tcPr>
                <w:p w:rsidR="009705A7" w:rsidRDefault="009705A7" w:rsidP="00FC3A70">
                  <w:pPr>
                    <w:jc w:val="both"/>
                  </w:pPr>
                  <w:r>
                    <w:t>Importancia de la Transparencia y Acceso a la información pública</w:t>
                  </w:r>
                </w:p>
              </w:tc>
              <w:tc>
                <w:tcPr>
                  <w:tcW w:w="834" w:type="dxa"/>
                </w:tcPr>
                <w:p w:rsidR="009705A7" w:rsidRDefault="009705A7" w:rsidP="00FC3A70">
                  <w:pPr>
                    <w:jc w:val="center"/>
                  </w:pPr>
                  <w:r>
                    <w:t>201</w:t>
                  </w:r>
                </w:p>
              </w:tc>
              <w:tc>
                <w:tcPr>
                  <w:tcW w:w="890" w:type="dxa"/>
                </w:tcPr>
                <w:p w:rsidR="009705A7" w:rsidRDefault="009705A7" w:rsidP="00FC3A70">
                  <w:pPr>
                    <w:jc w:val="center"/>
                  </w:pPr>
                  <w:r>
                    <w:t>515</w:t>
                  </w:r>
                </w:p>
              </w:tc>
              <w:tc>
                <w:tcPr>
                  <w:tcW w:w="912" w:type="dxa"/>
                  <w:shd w:val="clear" w:color="auto" w:fill="B8CCE4" w:themeFill="accent1" w:themeFillTint="66"/>
                </w:tcPr>
                <w:p w:rsidR="009705A7" w:rsidRDefault="009705A7" w:rsidP="00FC3A70">
                  <w:pPr>
                    <w:jc w:val="center"/>
                  </w:pPr>
                  <w:r>
                    <w:t>716</w:t>
                  </w:r>
                </w:p>
              </w:tc>
            </w:tr>
            <w:tr w:rsidR="009705A7" w:rsidTr="003A67F1">
              <w:trPr>
                <w:trHeight w:val="464"/>
              </w:trPr>
              <w:tc>
                <w:tcPr>
                  <w:tcW w:w="3908" w:type="dxa"/>
                  <w:shd w:val="clear" w:color="auto" w:fill="B8CCE4" w:themeFill="accent1" w:themeFillTint="66"/>
                </w:tcPr>
                <w:p w:rsidR="009705A7" w:rsidRDefault="009705A7" w:rsidP="009705A7">
                  <w:r>
                    <w:t>Total</w:t>
                  </w:r>
                </w:p>
              </w:tc>
              <w:tc>
                <w:tcPr>
                  <w:tcW w:w="834" w:type="dxa"/>
                  <w:shd w:val="clear" w:color="auto" w:fill="B8CCE4" w:themeFill="accent1" w:themeFillTint="66"/>
                </w:tcPr>
                <w:p w:rsidR="009705A7" w:rsidRDefault="009705A7" w:rsidP="00FC3A70">
                  <w:pPr>
                    <w:jc w:val="center"/>
                  </w:pPr>
                  <w:r>
                    <w:t>3218</w:t>
                  </w:r>
                </w:p>
              </w:tc>
              <w:tc>
                <w:tcPr>
                  <w:tcW w:w="890" w:type="dxa"/>
                  <w:shd w:val="clear" w:color="auto" w:fill="B8CCE4" w:themeFill="accent1" w:themeFillTint="66"/>
                </w:tcPr>
                <w:p w:rsidR="009705A7" w:rsidRDefault="009705A7" w:rsidP="00FC3A70">
                  <w:pPr>
                    <w:jc w:val="center"/>
                  </w:pPr>
                  <w:r>
                    <w:t>2380</w:t>
                  </w:r>
                </w:p>
              </w:tc>
              <w:tc>
                <w:tcPr>
                  <w:tcW w:w="912" w:type="dxa"/>
                  <w:shd w:val="clear" w:color="auto" w:fill="B8CCE4" w:themeFill="accent1" w:themeFillTint="66"/>
                </w:tcPr>
                <w:p w:rsidR="009705A7" w:rsidRDefault="009705A7" w:rsidP="00FC3A70">
                  <w:pPr>
                    <w:jc w:val="center"/>
                  </w:pPr>
                  <w:r>
                    <w:t>5598</w:t>
                  </w:r>
                </w:p>
              </w:tc>
            </w:tr>
          </w:tbl>
          <w:p w:rsidR="0041190D" w:rsidRPr="0041190D" w:rsidRDefault="0041190D" w:rsidP="0041190D">
            <w:pPr>
              <w:pStyle w:val="Prrafodelista"/>
              <w:ind w:left="1440"/>
              <w:jc w:val="both"/>
              <w:rPr>
                <w:szCs w:val="20"/>
                <w:highlight w:val="yellow"/>
                <w:lang w:val="es-PE"/>
              </w:rPr>
            </w:pPr>
            <w:r>
              <w:rPr>
                <w:szCs w:val="20"/>
                <w:lang w:val="es-PE"/>
              </w:rPr>
              <w:t xml:space="preserve"> </w:t>
            </w:r>
          </w:p>
          <w:p w:rsidR="00DD22FF" w:rsidRPr="009705A7" w:rsidRDefault="0057062F" w:rsidP="003A3ABE">
            <w:pPr>
              <w:pStyle w:val="Prrafodelista"/>
              <w:numPr>
                <w:ilvl w:val="0"/>
                <w:numId w:val="10"/>
              </w:numPr>
              <w:jc w:val="both"/>
              <w:rPr>
                <w:b/>
                <w:i/>
                <w:szCs w:val="20"/>
                <w:lang w:val="es-PE"/>
              </w:rPr>
            </w:pPr>
            <w:r w:rsidRPr="009705A7">
              <w:rPr>
                <w:b/>
                <w:i/>
                <w:szCs w:val="20"/>
                <w:lang w:val="es-PE"/>
              </w:rPr>
              <w:t>Virtualización del Programa de fortalecimiento de capacidades sobre Gobierno Abierto enfocado en transparencia y acceso a la información pública</w:t>
            </w:r>
            <w:r w:rsidR="00DD22FF" w:rsidRPr="009705A7">
              <w:rPr>
                <w:b/>
                <w:i/>
                <w:szCs w:val="20"/>
                <w:lang w:val="es-PE"/>
              </w:rPr>
              <w:t>.</w:t>
            </w:r>
          </w:p>
          <w:p w:rsidR="0057062F" w:rsidRPr="00DD22FF" w:rsidRDefault="00FC3A70" w:rsidP="00DD22FF">
            <w:pPr>
              <w:pStyle w:val="Prrafodelista"/>
              <w:jc w:val="both"/>
              <w:rPr>
                <w:szCs w:val="20"/>
                <w:lang w:val="es-PE"/>
              </w:rPr>
            </w:pPr>
            <w:r>
              <w:rPr>
                <w:szCs w:val="20"/>
                <w:lang w:val="es-PE"/>
              </w:rPr>
              <w:t xml:space="preserve">A la fecha, </w:t>
            </w:r>
            <w:r w:rsidR="00DD22FF" w:rsidRPr="00DD22FF">
              <w:rPr>
                <w:szCs w:val="20"/>
                <w:lang w:val="es-PE"/>
              </w:rPr>
              <w:t>se está evaluando la virtualización del Programa de Fortalecimiento de capacidades.</w:t>
            </w:r>
            <w:r w:rsidR="007C1FFC">
              <w:rPr>
                <w:szCs w:val="20"/>
                <w:lang w:val="es-PE"/>
              </w:rPr>
              <w:t xml:space="preserve"> Se ha reprogramado el cumplimiento del compromiso a Junio 2017</w:t>
            </w:r>
          </w:p>
          <w:p w:rsidR="009823C9" w:rsidRPr="00295641" w:rsidRDefault="009823C9" w:rsidP="009C73B8">
            <w:pPr>
              <w:jc w:val="both"/>
              <w:rPr>
                <w:color w:val="000000" w:themeColor="text1"/>
              </w:rPr>
            </w:pPr>
          </w:p>
        </w:tc>
      </w:tr>
      <w:tr w:rsidR="009823C9" w:rsidRPr="00295641" w:rsidTr="009C73B8">
        <w:tc>
          <w:tcPr>
            <w:tcW w:w="2518" w:type="dxa"/>
            <w:gridSpan w:val="2"/>
            <w:shd w:val="clear" w:color="auto" w:fill="C6D9F1" w:themeFill="text2" w:themeFillTint="33"/>
            <w:vAlign w:val="center"/>
          </w:tcPr>
          <w:p w:rsidR="009823C9" w:rsidRPr="00295641" w:rsidRDefault="009823C9" w:rsidP="009C73B8">
            <w:pPr>
              <w:rPr>
                <w:b/>
                <w:color w:val="000000" w:themeColor="text1"/>
              </w:rPr>
            </w:pPr>
            <w:r w:rsidRPr="00295641">
              <w:rPr>
                <w:rFonts w:cs="Gotham-Book"/>
                <w:b/>
                <w:color w:val="000000" w:themeColor="text1"/>
              </w:rPr>
              <w:t>Fecha de conclusión</w:t>
            </w:r>
          </w:p>
        </w:tc>
        <w:tc>
          <w:tcPr>
            <w:tcW w:w="6521" w:type="dxa"/>
            <w:gridSpan w:val="4"/>
          </w:tcPr>
          <w:p w:rsidR="009823C9" w:rsidRPr="00295641" w:rsidRDefault="009823C9" w:rsidP="009C73B8">
            <w:pPr>
              <w:jc w:val="both"/>
              <w:rPr>
                <w:color w:val="000000" w:themeColor="text1"/>
              </w:rPr>
            </w:pPr>
            <w:r>
              <w:rPr>
                <w:color w:val="000000" w:themeColor="text1"/>
              </w:rPr>
              <w:t>Junio 2017</w:t>
            </w:r>
          </w:p>
        </w:tc>
      </w:tr>
      <w:tr w:rsidR="009823C9" w:rsidRPr="00295641" w:rsidTr="009C73B8">
        <w:tc>
          <w:tcPr>
            <w:tcW w:w="2518" w:type="dxa"/>
            <w:gridSpan w:val="2"/>
            <w:shd w:val="clear" w:color="auto" w:fill="C6D9F1" w:themeFill="text2" w:themeFillTint="33"/>
            <w:vAlign w:val="center"/>
          </w:tcPr>
          <w:p w:rsidR="009823C9" w:rsidRPr="00295641" w:rsidRDefault="009823C9" w:rsidP="009C73B8">
            <w:pPr>
              <w:rPr>
                <w:b/>
                <w:color w:val="000000" w:themeColor="text1"/>
              </w:rPr>
            </w:pPr>
            <w:r w:rsidRPr="00295641">
              <w:rPr>
                <w:rFonts w:cs="Gotham-Book"/>
                <w:b/>
                <w:color w:val="000000" w:themeColor="text1"/>
              </w:rPr>
              <w:t>Próximos pasos</w:t>
            </w:r>
          </w:p>
        </w:tc>
        <w:tc>
          <w:tcPr>
            <w:tcW w:w="6521" w:type="dxa"/>
            <w:gridSpan w:val="4"/>
          </w:tcPr>
          <w:p w:rsidR="009823C9" w:rsidRPr="00295641" w:rsidRDefault="009823C9" w:rsidP="00FC3A70">
            <w:pPr>
              <w:jc w:val="both"/>
              <w:rPr>
                <w:color w:val="000000" w:themeColor="text1"/>
              </w:rPr>
            </w:pPr>
            <w:r>
              <w:rPr>
                <w:color w:val="000000" w:themeColor="text1"/>
              </w:rPr>
              <w:t xml:space="preserve">Se espera </w:t>
            </w:r>
            <w:r w:rsidR="007C1FFC">
              <w:rPr>
                <w:color w:val="000000" w:themeColor="text1"/>
              </w:rPr>
              <w:t xml:space="preserve">contar con el Programa de Fortalecimiento de capacidades </w:t>
            </w:r>
            <w:r w:rsidR="00FC3A70">
              <w:rPr>
                <w:color w:val="000000" w:themeColor="text1"/>
              </w:rPr>
              <w:t>en formato virtual</w:t>
            </w:r>
            <w:r w:rsidR="007C1FFC">
              <w:rPr>
                <w:color w:val="000000" w:themeColor="text1"/>
              </w:rPr>
              <w:t xml:space="preserve"> y realizar coordinaciones con la Autoridad </w:t>
            </w:r>
            <w:r w:rsidR="00FC3A70">
              <w:rPr>
                <w:color w:val="000000" w:themeColor="text1"/>
              </w:rPr>
              <w:t xml:space="preserve">Nacional del Servicio Civil, a fin de que </w:t>
            </w:r>
            <w:r w:rsidR="007C1FFC">
              <w:rPr>
                <w:color w:val="000000" w:themeColor="text1"/>
              </w:rPr>
              <w:t>incorpore el Programa</w:t>
            </w:r>
            <w:r w:rsidR="00FC3A70">
              <w:rPr>
                <w:color w:val="000000" w:themeColor="text1"/>
              </w:rPr>
              <w:t xml:space="preserve"> de Gobierno Abierto en su currí</w:t>
            </w:r>
            <w:r w:rsidR="007C1FFC">
              <w:rPr>
                <w:color w:val="000000" w:themeColor="text1"/>
              </w:rPr>
              <w:t>cula y sean ellos</w:t>
            </w:r>
            <w:r w:rsidR="00FC3A70">
              <w:rPr>
                <w:color w:val="000000" w:themeColor="text1"/>
              </w:rPr>
              <w:t>, quienes,</w:t>
            </w:r>
            <w:r w:rsidR="007C1FFC">
              <w:rPr>
                <w:color w:val="000000" w:themeColor="text1"/>
              </w:rPr>
              <w:t xml:space="preserve"> en el marco de sus competencias</w:t>
            </w:r>
            <w:r w:rsidR="00FC3A70">
              <w:rPr>
                <w:color w:val="000000" w:themeColor="text1"/>
              </w:rPr>
              <w:t>,</w:t>
            </w:r>
            <w:r w:rsidR="007C1FFC">
              <w:rPr>
                <w:color w:val="000000" w:themeColor="text1"/>
              </w:rPr>
              <w:t xml:space="preserve"> desarrollen el fortalecimiento de capacidades de los servidores civiles.</w:t>
            </w:r>
          </w:p>
        </w:tc>
      </w:tr>
      <w:tr w:rsidR="009823C9" w:rsidRPr="00295641" w:rsidTr="009C73B8">
        <w:tc>
          <w:tcPr>
            <w:tcW w:w="9039" w:type="dxa"/>
            <w:gridSpan w:val="6"/>
          </w:tcPr>
          <w:p w:rsidR="009823C9" w:rsidRPr="00295641" w:rsidRDefault="009823C9" w:rsidP="009C73B8">
            <w:pPr>
              <w:jc w:val="both"/>
              <w:rPr>
                <w:rFonts w:cs="Gotham-Book"/>
                <w:b/>
                <w:color w:val="000000" w:themeColor="text1"/>
              </w:rPr>
            </w:pPr>
          </w:p>
          <w:p w:rsidR="009823C9" w:rsidRPr="00295641" w:rsidRDefault="009823C9" w:rsidP="009C73B8">
            <w:pPr>
              <w:jc w:val="both"/>
              <w:rPr>
                <w:color w:val="000000" w:themeColor="text1"/>
              </w:rPr>
            </w:pPr>
            <w:r>
              <w:rPr>
                <w:rFonts w:cs="Gotham-Book"/>
                <w:b/>
                <w:color w:val="000000" w:themeColor="text1"/>
              </w:rPr>
              <w:t>Información adicional</w:t>
            </w:r>
          </w:p>
        </w:tc>
      </w:tr>
      <w:tr w:rsidR="009823C9" w:rsidRPr="00295641" w:rsidTr="009C73B8">
        <w:tc>
          <w:tcPr>
            <w:tcW w:w="9039" w:type="dxa"/>
            <w:gridSpan w:val="6"/>
          </w:tcPr>
          <w:p w:rsidR="009823C9" w:rsidRPr="00295641" w:rsidRDefault="009823C9" w:rsidP="009C73B8">
            <w:pPr>
              <w:jc w:val="both"/>
              <w:rPr>
                <w:rFonts w:cs="Gotham-Book"/>
                <w:b/>
                <w:color w:val="000000" w:themeColor="text1"/>
              </w:rPr>
            </w:pPr>
          </w:p>
        </w:tc>
      </w:tr>
    </w:tbl>
    <w:p w:rsidR="009B09B1" w:rsidRDefault="009B09B1"/>
    <w:p w:rsidR="009C7D2E" w:rsidRDefault="009C7D2E"/>
    <w:p w:rsidR="009C7D2E" w:rsidRDefault="009C7D2E"/>
    <w:p w:rsidR="009C7D2E" w:rsidRDefault="009C7D2E"/>
    <w:p w:rsidR="009C7D2E" w:rsidRDefault="009C7D2E"/>
    <w:p w:rsidR="009A6EA8" w:rsidRDefault="009A6EA8"/>
    <w:tbl>
      <w:tblPr>
        <w:tblStyle w:val="Tablaconcuadrcula"/>
        <w:tblW w:w="0" w:type="auto"/>
        <w:tblLayout w:type="fixed"/>
        <w:tblLook w:val="04A0" w:firstRow="1" w:lastRow="0" w:firstColumn="1" w:lastColumn="0" w:noHBand="0" w:noVBand="1"/>
      </w:tblPr>
      <w:tblGrid>
        <w:gridCol w:w="1526"/>
        <w:gridCol w:w="425"/>
        <w:gridCol w:w="1701"/>
        <w:gridCol w:w="1729"/>
        <w:gridCol w:w="1644"/>
        <w:gridCol w:w="2014"/>
      </w:tblGrid>
      <w:tr w:rsidR="000A074A" w:rsidRPr="000A074A" w:rsidTr="006465DE">
        <w:trPr>
          <w:trHeight w:val="331"/>
        </w:trPr>
        <w:tc>
          <w:tcPr>
            <w:tcW w:w="9039" w:type="dxa"/>
            <w:gridSpan w:val="6"/>
            <w:shd w:val="clear" w:color="auto" w:fill="548DD4" w:themeFill="text2" w:themeFillTint="99"/>
          </w:tcPr>
          <w:p w:rsidR="000A074A" w:rsidRPr="000A074A" w:rsidRDefault="000A074A" w:rsidP="00DF077D">
            <w:pPr>
              <w:spacing w:after="200" w:line="276" w:lineRule="auto"/>
              <w:jc w:val="center"/>
              <w:rPr>
                <w:b/>
              </w:rPr>
            </w:pPr>
            <w:r>
              <w:rPr>
                <w:b/>
              </w:rPr>
              <w:t>Componente: Transparencia y Acceso a la Información Pública</w:t>
            </w:r>
          </w:p>
        </w:tc>
      </w:tr>
      <w:tr w:rsidR="000A074A" w:rsidRPr="000A074A" w:rsidTr="0041466B">
        <w:tc>
          <w:tcPr>
            <w:tcW w:w="9039" w:type="dxa"/>
            <w:gridSpan w:val="6"/>
            <w:shd w:val="clear" w:color="auto" w:fill="548DD4" w:themeFill="text2" w:themeFillTint="99"/>
          </w:tcPr>
          <w:p w:rsidR="000A074A" w:rsidRPr="000A074A" w:rsidRDefault="009705A7" w:rsidP="009705A7">
            <w:pPr>
              <w:jc w:val="center"/>
              <w:rPr>
                <w:b/>
              </w:rPr>
            </w:pPr>
            <w:r w:rsidRPr="009705A7">
              <w:rPr>
                <w:b/>
                <w:u w:val="single"/>
              </w:rPr>
              <w:t xml:space="preserve">Compromiso </w:t>
            </w:r>
            <w:r w:rsidR="000A074A" w:rsidRPr="009705A7">
              <w:rPr>
                <w:b/>
                <w:u w:val="single"/>
              </w:rPr>
              <w:t>4</w:t>
            </w:r>
            <w:r w:rsidR="000A074A" w:rsidRPr="000A074A">
              <w:rPr>
                <w:b/>
              </w:rPr>
              <w:t>.</w:t>
            </w:r>
            <w:r w:rsidR="000A074A">
              <w:rPr>
                <w:b/>
              </w:rPr>
              <w:t xml:space="preserve"> Fomentar una mayor información sobre usuarios y la cobertura de los programas sociales</w:t>
            </w:r>
          </w:p>
        </w:tc>
      </w:tr>
      <w:tr w:rsidR="00635ACD" w:rsidRPr="000A074A" w:rsidTr="0041466B">
        <w:trPr>
          <w:trHeight w:val="517"/>
        </w:trPr>
        <w:tc>
          <w:tcPr>
            <w:tcW w:w="3652" w:type="dxa"/>
            <w:gridSpan w:val="3"/>
            <w:shd w:val="clear" w:color="auto" w:fill="C6D9F1" w:themeFill="text2" w:themeFillTint="33"/>
            <w:vAlign w:val="center"/>
          </w:tcPr>
          <w:p w:rsidR="00635ACD" w:rsidRPr="000A074A" w:rsidRDefault="00635ACD" w:rsidP="00635ACD">
            <w:pPr>
              <w:rPr>
                <w:b/>
              </w:rPr>
            </w:pPr>
            <w:r w:rsidRPr="000A074A">
              <w:rPr>
                <w:b/>
              </w:rPr>
              <w:t>Secretaría/Ministerio</w:t>
            </w:r>
          </w:p>
          <w:p w:rsidR="00635ACD" w:rsidRPr="000A074A" w:rsidRDefault="00635ACD" w:rsidP="00635ACD">
            <w:pPr>
              <w:rPr>
                <w:b/>
              </w:rPr>
            </w:pPr>
            <w:r w:rsidRPr="000A074A">
              <w:rPr>
                <w:b/>
              </w:rPr>
              <w:t>Responsable</w:t>
            </w:r>
          </w:p>
        </w:tc>
        <w:tc>
          <w:tcPr>
            <w:tcW w:w="5387" w:type="dxa"/>
            <w:gridSpan w:val="3"/>
          </w:tcPr>
          <w:p w:rsidR="00635ACD" w:rsidRPr="00295641" w:rsidRDefault="00635ACD" w:rsidP="00635ACD">
            <w:pPr>
              <w:jc w:val="both"/>
              <w:rPr>
                <w:color w:val="000000" w:themeColor="text1"/>
              </w:rPr>
            </w:pPr>
            <w:r>
              <w:rPr>
                <w:color w:val="000000" w:themeColor="text1"/>
              </w:rPr>
              <w:t>Ministerio de Desarrollo e Inclusión Social</w:t>
            </w:r>
          </w:p>
        </w:tc>
      </w:tr>
      <w:tr w:rsidR="00635ACD" w:rsidRPr="000A074A" w:rsidTr="0041466B">
        <w:trPr>
          <w:trHeight w:val="398"/>
        </w:trPr>
        <w:tc>
          <w:tcPr>
            <w:tcW w:w="3652" w:type="dxa"/>
            <w:gridSpan w:val="3"/>
            <w:shd w:val="clear" w:color="auto" w:fill="C6D9F1" w:themeFill="text2" w:themeFillTint="33"/>
            <w:vAlign w:val="center"/>
          </w:tcPr>
          <w:p w:rsidR="00635ACD" w:rsidRPr="000A074A" w:rsidRDefault="00635ACD" w:rsidP="00635ACD">
            <w:pPr>
              <w:spacing w:after="200" w:line="276" w:lineRule="auto"/>
              <w:rPr>
                <w:b/>
              </w:rPr>
            </w:pPr>
            <w:r w:rsidRPr="000A074A">
              <w:rPr>
                <w:b/>
              </w:rPr>
              <w:t>Nombre de la persona  responsable</w:t>
            </w:r>
          </w:p>
        </w:tc>
        <w:tc>
          <w:tcPr>
            <w:tcW w:w="5387" w:type="dxa"/>
            <w:gridSpan w:val="3"/>
          </w:tcPr>
          <w:p w:rsidR="00635ACD" w:rsidRPr="00295641" w:rsidRDefault="00635ACD" w:rsidP="00635ACD">
            <w:pPr>
              <w:jc w:val="both"/>
              <w:rPr>
                <w:color w:val="000000" w:themeColor="text1"/>
              </w:rPr>
            </w:pPr>
            <w:r>
              <w:rPr>
                <w:color w:val="000000" w:themeColor="text1"/>
              </w:rPr>
              <w:t>Lucía Cayetana Aljovín Gazzani</w:t>
            </w:r>
          </w:p>
        </w:tc>
      </w:tr>
      <w:tr w:rsidR="00635ACD" w:rsidRPr="000A074A" w:rsidTr="0041466B">
        <w:tc>
          <w:tcPr>
            <w:tcW w:w="3652" w:type="dxa"/>
            <w:gridSpan w:val="3"/>
            <w:shd w:val="clear" w:color="auto" w:fill="C6D9F1" w:themeFill="text2" w:themeFillTint="33"/>
            <w:vAlign w:val="center"/>
          </w:tcPr>
          <w:p w:rsidR="00635ACD" w:rsidRPr="000A074A" w:rsidRDefault="00635ACD" w:rsidP="00635ACD">
            <w:pPr>
              <w:spacing w:after="200" w:line="276" w:lineRule="auto"/>
              <w:rPr>
                <w:b/>
              </w:rPr>
            </w:pPr>
            <w:r w:rsidRPr="000A074A">
              <w:rPr>
                <w:b/>
              </w:rPr>
              <w:t>Puesto</w:t>
            </w:r>
          </w:p>
        </w:tc>
        <w:tc>
          <w:tcPr>
            <w:tcW w:w="5387" w:type="dxa"/>
            <w:gridSpan w:val="3"/>
          </w:tcPr>
          <w:p w:rsidR="00635ACD" w:rsidRPr="00295641" w:rsidRDefault="00635ACD" w:rsidP="00635ACD">
            <w:pPr>
              <w:jc w:val="both"/>
              <w:rPr>
                <w:color w:val="000000" w:themeColor="text1"/>
              </w:rPr>
            </w:pPr>
            <w:r>
              <w:rPr>
                <w:color w:val="000000" w:themeColor="text1"/>
              </w:rPr>
              <w:t>Ministra</w:t>
            </w:r>
          </w:p>
        </w:tc>
      </w:tr>
      <w:tr w:rsidR="00635ACD" w:rsidRPr="000A074A" w:rsidTr="0041466B">
        <w:trPr>
          <w:trHeight w:val="342"/>
        </w:trPr>
        <w:tc>
          <w:tcPr>
            <w:tcW w:w="3652" w:type="dxa"/>
            <w:gridSpan w:val="3"/>
            <w:shd w:val="clear" w:color="auto" w:fill="C6D9F1" w:themeFill="text2" w:themeFillTint="33"/>
            <w:vAlign w:val="center"/>
          </w:tcPr>
          <w:p w:rsidR="00635ACD" w:rsidRPr="000A074A" w:rsidRDefault="00635ACD" w:rsidP="00635ACD">
            <w:pPr>
              <w:spacing w:after="200" w:line="276" w:lineRule="auto"/>
              <w:rPr>
                <w:b/>
              </w:rPr>
            </w:pPr>
            <w:r w:rsidRPr="000A074A">
              <w:rPr>
                <w:b/>
              </w:rPr>
              <w:t>Correo electrónico</w:t>
            </w:r>
          </w:p>
        </w:tc>
        <w:tc>
          <w:tcPr>
            <w:tcW w:w="5387" w:type="dxa"/>
            <w:gridSpan w:val="3"/>
          </w:tcPr>
          <w:p w:rsidR="00635ACD" w:rsidRPr="00295641" w:rsidRDefault="002F3E0D" w:rsidP="00635ACD">
            <w:pPr>
              <w:jc w:val="both"/>
              <w:rPr>
                <w:rFonts w:cs="Arial"/>
                <w:color w:val="0000FF"/>
                <w:u w:val="single"/>
              </w:rPr>
            </w:pPr>
            <w:hyperlink r:id="rId21" w:history="1">
              <w:r w:rsidR="006465DE" w:rsidRPr="00085904">
                <w:rPr>
                  <w:rStyle w:val="Hipervnculo"/>
                  <w:rFonts w:cs="Arial"/>
                </w:rPr>
                <w:t>despachoministerial1@midis.gob.pe</w:t>
              </w:r>
            </w:hyperlink>
          </w:p>
        </w:tc>
      </w:tr>
      <w:tr w:rsidR="00635ACD" w:rsidRPr="000A074A" w:rsidTr="0041466B">
        <w:tc>
          <w:tcPr>
            <w:tcW w:w="3652" w:type="dxa"/>
            <w:gridSpan w:val="3"/>
            <w:shd w:val="clear" w:color="auto" w:fill="C6D9F1" w:themeFill="text2" w:themeFillTint="33"/>
            <w:vAlign w:val="center"/>
          </w:tcPr>
          <w:p w:rsidR="00635ACD" w:rsidRPr="000A074A" w:rsidRDefault="00635ACD" w:rsidP="00635ACD">
            <w:pPr>
              <w:spacing w:after="200" w:line="276" w:lineRule="auto"/>
              <w:rPr>
                <w:b/>
              </w:rPr>
            </w:pPr>
            <w:r w:rsidRPr="000A074A">
              <w:rPr>
                <w:b/>
              </w:rPr>
              <w:t>Teléfono</w:t>
            </w:r>
          </w:p>
        </w:tc>
        <w:tc>
          <w:tcPr>
            <w:tcW w:w="5387" w:type="dxa"/>
            <w:gridSpan w:val="3"/>
          </w:tcPr>
          <w:p w:rsidR="00635ACD" w:rsidRPr="00295641" w:rsidRDefault="00635ACD" w:rsidP="00635ACD">
            <w:pPr>
              <w:jc w:val="both"/>
              <w:rPr>
                <w:color w:val="000000" w:themeColor="text1"/>
              </w:rPr>
            </w:pPr>
            <w:r>
              <w:rPr>
                <w:color w:val="000000" w:themeColor="text1"/>
              </w:rPr>
              <w:t xml:space="preserve">51-1-6318000 </w:t>
            </w:r>
            <w:proofErr w:type="spellStart"/>
            <w:r>
              <w:rPr>
                <w:color w:val="000000" w:themeColor="text1"/>
              </w:rPr>
              <w:t>Ax</w:t>
            </w:r>
            <w:proofErr w:type="spellEnd"/>
            <w:r>
              <w:rPr>
                <w:color w:val="000000" w:themeColor="text1"/>
              </w:rPr>
              <w:t>. 1561</w:t>
            </w:r>
          </w:p>
        </w:tc>
      </w:tr>
      <w:tr w:rsidR="00635ACD" w:rsidRPr="000A074A" w:rsidTr="0041466B">
        <w:tc>
          <w:tcPr>
            <w:tcW w:w="1526" w:type="dxa"/>
            <w:vMerge w:val="restart"/>
            <w:shd w:val="clear" w:color="auto" w:fill="C6D9F1" w:themeFill="text2" w:themeFillTint="33"/>
            <w:vAlign w:val="center"/>
          </w:tcPr>
          <w:p w:rsidR="00635ACD" w:rsidRPr="000A074A" w:rsidRDefault="00635ACD" w:rsidP="00494E52">
            <w:pPr>
              <w:spacing w:line="276" w:lineRule="auto"/>
              <w:rPr>
                <w:b/>
              </w:rPr>
            </w:pPr>
            <w:r w:rsidRPr="000A074A">
              <w:rPr>
                <w:b/>
              </w:rPr>
              <w:t>Otros actores involucrados</w:t>
            </w:r>
          </w:p>
        </w:tc>
        <w:tc>
          <w:tcPr>
            <w:tcW w:w="2126" w:type="dxa"/>
            <w:gridSpan w:val="2"/>
            <w:shd w:val="clear" w:color="auto" w:fill="C6D9F1" w:themeFill="text2" w:themeFillTint="33"/>
            <w:vAlign w:val="center"/>
          </w:tcPr>
          <w:p w:rsidR="00635ACD" w:rsidRPr="000A074A" w:rsidRDefault="00635ACD" w:rsidP="00494E52">
            <w:pPr>
              <w:spacing w:line="276" w:lineRule="auto"/>
              <w:rPr>
                <w:b/>
              </w:rPr>
            </w:pPr>
            <w:r w:rsidRPr="000A074A">
              <w:rPr>
                <w:b/>
              </w:rPr>
              <w:t>Gobierno</w:t>
            </w:r>
          </w:p>
        </w:tc>
        <w:tc>
          <w:tcPr>
            <w:tcW w:w="5387" w:type="dxa"/>
            <w:gridSpan w:val="3"/>
          </w:tcPr>
          <w:p w:rsidR="00635ACD" w:rsidRPr="000A074A" w:rsidRDefault="00635ACD" w:rsidP="00494E52">
            <w:pPr>
              <w:spacing w:line="276" w:lineRule="auto"/>
            </w:pPr>
            <w:r>
              <w:t>No Aplica</w:t>
            </w:r>
          </w:p>
        </w:tc>
      </w:tr>
      <w:tr w:rsidR="00635ACD" w:rsidRPr="000A074A" w:rsidTr="0041466B">
        <w:trPr>
          <w:trHeight w:val="1170"/>
        </w:trPr>
        <w:tc>
          <w:tcPr>
            <w:tcW w:w="1526" w:type="dxa"/>
            <w:vMerge/>
            <w:shd w:val="clear" w:color="auto" w:fill="C6D9F1" w:themeFill="text2" w:themeFillTint="33"/>
            <w:vAlign w:val="center"/>
          </w:tcPr>
          <w:p w:rsidR="00635ACD" w:rsidRPr="000A074A" w:rsidRDefault="00635ACD" w:rsidP="00494E52">
            <w:pPr>
              <w:spacing w:line="276" w:lineRule="auto"/>
              <w:rPr>
                <w:b/>
              </w:rPr>
            </w:pPr>
          </w:p>
        </w:tc>
        <w:tc>
          <w:tcPr>
            <w:tcW w:w="2126" w:type="dxa"/>
            <w:gridSpan w:val="2"/>
            <w:shd w:val="clear" w:color="auto" w:fill="C6D9F1" w:themeFill="text2" w:themeFillTint="33"/>
            <w:vAlign w:val="center"/>
          </w:tcPr>
          <w:p w:rsidR="00635ACD" w:rsidRPr="000A074A" w:rsidRDefault="00635ACD" w:rsidP="00494E52">
            <w:pPr>
              <w:spacing w:line="276" w:lineRule="auto"/>
              <w:rPr>
                <w:b/>
              </w:rPr>
            </w:pPr>
            <w:r w:rsidRPr="000A074A">
              <w:rPr>
                <w:b/>
              </w:rPr>
              <w:t>Sociedad civil, iniciativa privada, grupos de trabajo o multilaterales</w:t>
            </w:r>
          </w:p>
        </w:tc>
        <w:tc>
          <w:tcPr>
            <w:tcW w:w="5387" w:type="dxa"/>
            <w:gridSpan w:val="3"/>
          </w:tcPr>
          <w:p w:rsidR="00635ACD" w:rsidRPr="000A074A" w:rsidRDefault="00635ACD" w:rsidP="00494E52">
            <w:pPr>
              <w:spacing w:line="276" w:lineRule="auto"/>
            </w:pPr>
          </w:p>
        </w:tc>
      </w:tr>
      <w:tr w:rsidR="00635ACD" w:rsidRPr="000A074A" w:rsidTr="0041466B">
        <w:tc>
          <w:tcPr>
            <w:tcW w:w="3652" w:type="dxa"/>
            <w:gridSpan w:val="3"/>
            <w:shd w:val="clear" w:color="auto" w:fill="C6D9F1" w:themeFill="text2" w:themeFillTint="33"/>
            <w:vAlign w:val="center"/>
          </w:tcPr>
          <w:p w:rsidR="00635ACD" w:rsidRPr="000A074A" w:rsidRDefault="00635ACD" w:rsidP="00635ACD">
            <w:pPr>
              <w:rPr>
                <w:b/>
              </w:rPr>
            </w:pPr>
            <w:r w:rsidRPr="000A074A">
              <w:rPr>
                <w:b/>
              </w:rPr>
              <w:t>Status quo o problema/</w:t>
            </w:r>
            <w:r w:rsidRPr="000A074A">
              <w:rPr>
                <w:b/>
              </w:rPr>
              <w:br/>
              <w:t>desafío que será atendido</w:t>
            </w:r>
          </w:p>
        </w:tc>
        <w:tc>
          <w:tcPr>
            <w:tcW w:w="5387" w:type="dxa"/>
            <w:gridSpan w:val="3"/>
          </w:tcPr>
          <w:p w:rsidR="00635ACD" w:rsidRPr="000A074A" w:rsidRDefault="00635ACD" w:rsidP="003D453C">
            <w:pPr>
              <w:jc w:val="both"/>
            </w:pPr>
            <w:r>
              <w:t>Si bien el país cuenta con el Sistema de Focalización de Hogares (SISFOH), el cual cuenta con la información de los ciudadanos con su respectiva clasi</w:t>
            </w:r>
            <w:r w:rsidR="009A6EA8">
              <w:t>f</w:t>
            </w:r>
            <w:r>
              <w:t xml:space="preserve">icación socioeconómica (CSE), </w:t>
            </w:r>
            <w:r w:rsidR="003D453C">
              <w:t xml:space="preserve">es necesario </w:t>
            </w:r>
            <w:r w:rsidR="009A6EA8">
              <w:t>con</w:t>
            </w:r>
            <w:r w:rsidR="003D453C">
              <w:t>tar con</w:t>
            </w:r>
            <w:r w:rsidR="009A6EA8">
              <w:t xml:space="preserve"> un Registro de personas que se encuentr</w:t>
            </w:r>
            <w:r w:rsidR="003D453C">
              <w:t>e</w:t>
            </w:r>
            <w:r w:rsidR="009A6EA8">
              <w:t>n afiliados a un Programa Social y/o de subsidios del Estado (PPSS)</w:t>
            </w:r>
          </w:p>
        </w:tc>
      </w:tr>
      <w:tr w:rsidR="00635ACD" w:rsidRPr="000A074A" w:rsidTr="0041466B">
        <w:tc>
          <w:tcPr>
            <w:tcW w:w="3652" w:type="dxa"/>
            <w:gridSpan w:val="3"/>
            <w:shd w:val="clear" w:color="auto" w:fill="C6D9F1" w:themeFill="text2" w:themeFillTint="33"/>
            <w:vAlign w:val="center"/>
          </w:tcPr>
          <w:p w:rsidR="00635ACD" w:rsidRPr="000A074A" w:rsidRDefault="00635ACD" w:rsidP="00635ACD">
            <w:pPr>
              <w:spacing w:after="200" w:line="276" w:lineRule="auto"/>
              <w:rPr>
                <w:b/>
              </w:rPr>
            </w:pPr>
            <w:r w:rsidRPr="000A074A">
              <w:rPr>
                <w:b/>
              </w:rPr>
              <w:t>Objetivo principal</w:t>
            </w:r>
          </w:p>
        </w:tc>
        <w:tc>
          <w:tcPr>
            <w:tcW w:w="5387" w:type="dxa"/>
            <w:gridSpan w:val="3"/>
          </w:tcPr>
          <w:p w:rsidR="00635ACD" w:rsidRPr="009A6EA8" w:rsidRDefault="009A6EA8" w:rsidP="00FD1C08">
            <w:pPr>
              <w:jc w:val="both"/>
              <w:rPr>
                <w:bCs/>
              </w:rPr>
            </w:pPr>
            <w:r w:rsidRPr="009A6EA8">
              <w:rPr>
                <w:bCs/>
              </w:rPr>
              <w:t>Mejorar la transparencia sobre los usuarios de los Programas Sociales</w:t>
            </w:r>
            <w:r>
              <w:rPr>
                <w:bCs/>
              </w:rPr>
              <w:t xml:space="preserve"> a cargo del Estado, </w:t>
            </w:r>
            <w:r w:rsidR="00E47B58">
              <w:rPr>
                <w:bCs/>
              </w:rPr>
              <w:t>con información actualizada, a fin de</w:t>
            </w:r>
            <w:r w:rsidR="00FD1C08">
              <w:rPr>
                <w:bCs/>
              </w:rPr>
              <w:t xml:space="preserve"> conocer con mayor detalle</w:t>
            </w:r>
            <w:r>
              <w:rPr>
                <w:bCs/>
              </w:rPr>
              <w:t xml:space="preserve"> </w:t>
            </w:r>
            <w:r w:rsidR="00E47B58">
              <w:rPr>
                <w:bCs/>
              </w:rPr>
              <w:t>la ubicación de</w:t>
            </w:r>
            <w:r>
              <w:rPr>
                <w:bCs/>
              </w:rPr>
              <w:t xml:space="preserve"> la población atendida</w:t>
            </w:r>
            <w:r w:rsidR="00E47B58">
              <w:rPr>
                <w:bCs/>
              </w:rPr>
              <w:t xml:space="preserve">. Esto permitirá, además, </w:t>
            </w:r>
            <w:r>
              <w:rPr>
                <w:bCs/>
              </w:rPr>
              <w:t xml:space="preserve"> promover la vigilancia ciudadana en la prestación de servicios que brindan estos programas.</w:t>
            </w:r>
          </w:p>
        </w:tc>
      </w:tr>
      <w:tr w:rsidR="00635ACD" w:rsidRPr="000A074A" w:rsidTr="0041466B">
        <w:tc>
          <w:tcPr>
            <w:tcW w:w="3652" w:type="dxa"/>
            <w:gridSpan w:val="3"/>
            <w:shd w:val="clear" w:color="auto" w:fill="C6D9F1" w:themeFill="text2" w:themeFillTint="33"/>
            <w:vAlign w:val="center"/>
          </w:tcPr>
          <w:p w:rsidR="00635ACD" w:rsidRPr="000A074A" w:rsidRDefault="00635ACD" w:rsidP="009A6EA8">
            <w:pPr>
              <w:spacing w:line="276" w:lineRule="auto"/>
              <w:rPr>
                <w:b/>
              </w:rPr>
            </w:pPr>
            <w:r w:rsidRPr="000A074A">
              <w:rPr>
                <w:b/>
              </w:rPr>
              <w:t>Breve Descripción del</w:t>
            </w:r>
          </w:p>
          <w:p w:rsidR="00635ACD" w:rsidRPr="000A074A" w:rsidRDefault="00635ACD" w:rsidP="009A6EA8">
            <w:pPr>
              <w:spacing w:line="276" w:lineRule="auto"/>
              <w:rPr>
                <w:b/>
              </w:rPr>
            </w:pPr>
            <w:r w:rsidRPr="000A074A">
              <w:rPr>
                <w:b/>
              </w:rPr>
              <w:t>Compromiso</w:t>
            </w:r>
          </w:p>
        </w:tc>
        <w:tc>
          <w:tcPr>
            <w:tcW w:w="5387" w:type="dxa"/>
            <w:gridSpan w:val="3"/>
          </w:tcPr>
          <w:p w:rsidR="00635ACD" w:rsidRPr="000A074A" w:rsidRDefault="00635ACD" w:rsidP="00334F32">
            <w:pPr>
              <w:jc w:val="both"/>
              <w:rPr>
                <w:lang w:val="es-PE"/>
              </w:rPr>
            </w:pPr>
            <w:r>
              <w:rPr>
                <w:lang w:val="es-PE"/>
              </w:rPr>
              <w:t>Fomentar una mayor información sobre usuarios y la cobertura de los programas sociales, que permita mejorar la focalización de los destinatarios y la promoción de la participación y vigilancia ciudadana.</w:t>
            </w:r>
          </w:p>
        </w:tc>
      </w:tr>
      <w:tr w:rsidR="00635ACD" w:rsidRPr="000A074A" w:rsidTr="0041466B">
        <w:tc>
          <w:tcPr>
            <w:tcW w:w="3652" w:type="dxa"/>
            <w:gridSpan w:val="3"/>
            <w:shd w:val="clear" w:color="auto" w:fill="C6D9F1" w:themeFill="text2" w:themeFillTint="33"/>
            <w:vAlign w:val="center"/>
          </w:tcPr>
          <w:p w:rsidR="00635ACD" w:rsidRPr="000A074A" w:rsidRDefault="00635ACD" w:rsidP="009A6EA8">
            <w:pPr>
              <w:spacing w:line="276" w:lineRule="auto"/>
              <w:rPr>
                <w:b/>
              </w:rPr>
            </w:pPr>
            <w:r w:rsidRPr="000A074A">
              <w:rPr>
                <w:b/>
              </w:rPr>
              <w:t>Relevancia</w:t>
            </w:r>
          </w:p>
          <w:p w:rsidR="00635ACD" w:rsidRPr="000A074A" w:rsidRDefault="00635ACD" w:rsidP="009A6EA8">
            <w:pPr>
              <w:spacing w:line="276" w:lineRule="auto"/>
              <w:rPr>
                <w:b/>
              </w:rPr>
            </w:pPr>
          </w:p>
        </w:tc>
        <w:tc>
          <w:tcPr>
            <w:tcW w:w="5387" w:type="dxa"/>
            <w:gridSpan w:val="3"/>
          </w:tcPr>
          <w:p w:rsidR="00635ACD" w:rsidRPr="000A074A" w:rsidRDefault="00494E52" w:rsidP="00334F32">
            <w:pPr>
              <w:jc w:val="both"/>
              <w:rPr>
                <w:lang w:val="es-PE"/>
              </w:rPr>
            </w:pPr>
            <w:r>
              <w:rPr>
                <w:lang w:val="es-PE"/>
              </w:rPr>
              <w:t xml:space="preserve">Contar con un </w:t>
            </w:r>
            <w:r w:rsidR="009705A7">
              <w:rPr>
                <w:lang w:val="es-PE"/>
              </w:rPr>
              <w:t>Registro que</w:t>
            </w:r>
            <w:r>
              <w:rPr>
                <w:lang w:val="es-PE"/>
              </w:rPr>
              <w:t xml:space="preserve"> concentre la base de datos de la información de todos los usuarios afiliados a los Programas Sociales o de subsidios del Estado</w:t>
            </w:r>
            <w:r w:rsidR="00417D25">
              <w:rPr>
                <w:lang w:val="es-PE"/>
              </w:rPr>
              <w:t>,</w:t>
            </w:r>
            <w:r>
              <w:rPr>
                <w:lang w:val="es-PE"/>
              </w:rPr>
              <w:t xml:space="preserve"> a través de un aplicativo </w:t>
            </w:r>
            <w:r w:rsidR="009705A7">
              <w:rPr>
                <w:lang w:val="es-PE"/>
              </w:rPr>
              <w:t>web que</w:t>
            </w:r>
            <w:r>
              <w:rPr>
                <w:lang w:val="es-PE"/>
              </w:rPr>
              <w:t xml:space="preserve"> puede ser consultado por los ciudadanos, fortalece la transparencia de la entidad y promueve el derecho de los ciudadanos a acceder a información pública.</w:t>
            </w:r>
          </w:p>
        </w:tc>
      </w:tr>
      <w:tr w:rsidR="00635ACD" w:rsidRPr="000A074A" w:rsidTr="0041466B">
        <w:tc>
          <w:tcPr>
            <w:tcW w:w="3652" w:type="dxa"/>
            <w:gridSpan w:val="3"/>
            <w:shd w:val="clear" w:color="auto" w:fill="C6D9F1" w:themeFill="text2" w:themeFillTint="33"/>
            <w:vAlign w:val="center"/>
          </w:tcPr>
          <w:p w:rsidR="00635ACD" w:rsidRPr="000A074A" w:rsidRDefault="00635ACD" w:rsidP="00635ACD">
            <w:pPr>
              <w:spacing w:after="200" w:line="276" w:lineRule="auto"/>
              <w:rPr>
                <w:b/>
              </w:rPr>
            </w:pPr>
            <w:r w:rsidRPr="000A074A">
              <w:rPr>
                <w:b/>
              </w:rPr>
              <w:t>Ambición</w:t>
            </w:r>
          </w:p>
          <w:p w:rsidR="00635ACD" w:rsidRPr="000A074A" w:rsidRDefault="00635ACD" w:rsidP="00635ACD">
            <w:pPr>
              <w:spacing w:after="200" w:line="276" w:lineRule="auto"/>
              <w:rPr>
                <w:b/>
                <w:iCs/>
              </w:rPr>
            </w:pPr>
          </w:p>
        </w:tc>
        <w:tc>
          <w:tcPr>
            <w:tcW w:w="5387" w:type="dxa"/>
            <w:gridSpan w:val="3"/>
          </w:tcPr>
          <w:p w:rsidR="00635ACD" w:rsidRPr="000A074A" w:rsidRDefault="00494E52" w:rsidP="00334F32">
            <w:pPr>
              <w:jc w:val="both"/>
              <w:rPr>
                <w:lang w:val="es-PE"/>
              </w:rPr>
            </w:pPr>
            <w:r>
              <w:rPr>
                <w:lang w:val="es-PE"/>
              </w:rPr>
              <w:t xml:space="preserve">Se espera </w:t>
            </w:r>
            <w:r w:rsidR="0041466B">
              <w:rPr>
                <w:lang w:val="es-PE"/>
              </w:rPr>
              <w:t>contar con un aplicativo actualizado de acuerdo a su normativa y procesos establecidos y que tenga la debida difusión que permita</w:t>
            </w:r>
            <w:r w:rsidR="00417D25">
              <w:rPr>
                <w:lang w:val="es-PE"/>
              </w:rPr>
              <w:t>,</w:t>
            </w:r>
            <w:r w:rsidR="0041466B">
              <w:rPr>
                <w:lang w:val="es-PE"/>
              </w:rPr>
              <w:t xml:space="preserve"> a través de su uso</w:t>
            </w:r>
            <w:r w:rsidR="00417D25">
              <w:rPr>
                <w:lang w:val="es-PE"/>
              </w:rPr>
              <w:t>,</w:t>
            </w:r>
            <w:r w:rsidR="0041466B">
              <w:rPr>
                <w:lang w:val="es-PE"/>
              </w:rPr>
              <w:t xml:space="preserve"> mejorar la focalización de los destinatarios y promover la participación y vigilancia ciudadana</w:t>
            </w:r>
            <w:r w:rsidR="00417D25">
              <w:rPr>
                <w:lang w:val="es-PE"/>
              </w:rPr>
              <w:t>.</w:t>
            </w:r>
          </w:p>
        </w:tc>
      </w:tr>
      <w:tr w:rsidR="00635ACD" w:rsidRPr="000A074A" w:rsidTr="0041466B">
        <w:tc>
          <w:tcPr>
            <w:tcW w:w="1951" w:type="dxa"/>
            <w:gridSpan w:val="2"/>
            <w:vMerge w:val="restart"/>
            <w:shd w:val="clear" w:color="auto" w:fill="C6D9F1" w:themeFill="text2" w:themeFillTint="33"/>
            <w:vAlign w:val="center"/>
          </w:tcPr>
          <w:p w:rsidR="00635ACD" w:rsidRPr="000A074A" w:rsidRDefault="00635ACD" w:rsidP="00635ACD">
            <w:pPr>
              <w:spacing w:after="200" w:line="276" w:lineRule="auto"/>
              <w:rPr>
                <w:b/>
              </w:rPr>
            </w:pPr>
            <w:r w:rsidRPr="000A074A">
              <w:rPr>
                <w:b/>
              </w:rPr>
              <w:t>Cumplimiento</w:t>
            </w:r>
          </w:p>
        </w:tc>
        <w:tc>
          <w:tcPr>
            <w:tcW w:w="1701" w:type="dxa"/>
            <w:shd w:val="clear" w:color="auto" w:fill="C6D9F1" w:themeFill="text2" w:themeFillTint="33"/>
          </w:tcPr>
          <w:p w:rsidR="00635ACD" w:rsidRPr="000A074A" w:rsidRDefault="00635ACD" w:rsidP="00635ACD">
            <w:pPr>
              <w:spacing w:after="200" w:line="276" w:lineRule="auto"/>
              <w:rPr>
                <w:b/>
              </w:rPr>
            </w:pPr>
            <w:r w:rsidRPr="000A074A">
              <w:rPr>
                <w:b/>
              </w:rPr>
              <w:t>No iniciado</w:t>
            </w:r>
          </w:p>
        </w:tc>
        <w:tc>
          <w:tcPr>
            <w:tcW w:w="1729" w:type="dxa"/>
            <w:shd w:val="clear" w:color="auto" w:fill="C6D9F1" w:themeFill="text2" w:themeFillTint="33"/>
          </w:tcPr>
          <w:p w:rsidR="00635ACD" w:rsidRPr="000A074A" w:rsidRDefault="00635ACD" w:rsidP="00635ACD">
            <w:pPr>
              <w:spacing w:after="200" w:line="276" w:lineRule="auto"/>
              <w:rPr>
                <w:b/>
              </w:rPr>
            </w:pPr>
            <w:r w:rsidRPr="000A074A">
              <w:rPr>
                <w:b/>
              </w:rPr>
              <w:t>Limitado</w:t>
            </w:r>
          </w:p>
        </w:tc>
        <w:tc>
          <w:tcPr>
            <w:tcW w:w="1644" w:type="dxa"/>
            <w:shd w:val="clear" w:color="auto" w:fill="C6D9F1" w:themeFill="text2" w:themeFillTint="33"/>
          </w:tcPr>
          <w:p w:rsidR="00635ACD" w:rsidRPr="000A074A" w:rsidRDefault="00635ACD" w:rsidP="00635ACD">
            <w:pPr>
              <w:spacing w:after="200" w:line="276" w:lineRule="auto"/>
              <w:rPr>
                <w:b/>
              </w:rPr>
            </w:pPr>
            <w:r w:rsidRPr="000A074A">
              <w:rPr>
                <w:b/>
              </w:rPr>
              <w:t>Sustancial</w:t>
            </w:r>
          </w:p>
        </w:tc>
        <w:tc>
          <w:tcPr>
            <w:tcW w:w="2014" w:type="dxa"/>
            <w:shd w:val="clear" w:color="auto" w:fill="C6D9F1" w:themeFill="text2" w:themeFillTint="33"/>
          </w:tcPr>
          <w:p w:rsidR="00635ACD" w:rsidRPr="000A074A" w:rsidRDefault="00635ACD" w:rsidP="00635ACD">
            <w:pPr>
              <w:spacing w:after="200" w:line="276" w:lineRule="auto"/>
              <w:rPr>
                <w:b/>
              </w:rPr>
            </w:pPr>
            <w:r w:rsidRPr="000A074A">
              <w:rPr>
                <w:b/>
              </w:rPr>
              <w:t>Completo</w:t>
            </w:r>
          </w:p>
        </w:tc>
      </w:tr>
      <w:tr w:rsidR="00635ACD" w:rsidRPr="000A074A" w:rsidTr="0041466B">
        <w:tc>
          <w:tcPr>
            <w:tcW w:w="1951" w:type="dxa"/>
            <w:gridSpan w:val="2"/>
            <w:vMerge/>
            <w:shd w:val="clear" w:color="auto" w:fill="C6D9F1" w:themeFill="text2" w:themeFillTint="33"/>
            <w:vAlign w:val="center"/>
          </w:tcPr>
          <w:p w:rsidR="00635ACD" w:rsidRPr="000A074A" w:rsidRDefault="00635ACD" w:rsidP="00635ACD">
            <w:pPr>
              <w:spacing w:after="200" w:line="276" w:lineRule="auto"/>
              <w:rPr>
                <w:b/>
              </w:rPr>
            </w:pPr>
          </w:p>
        </w:tc>
        <w:tc>
          <w:tcPr>
            <w:tcW w:w="1701" w:type="dxa"/>
          </w:tcPr>
          <w:p w:rsidR="00635ACD" w:rsidRPr="000A074A" w:rsidRDefault="00635ACD" w:rsidP="00635ACD">
            <w:pPr>
              <w:spacing w:after="200" w:line="276" w:lineRule="auto"/>
              <w:rPr>
                <w:b/>
              </w:rPr>
            </w:pPr>
          </w:p>
        </w:tc>
        <w:tc>
          <w:tcPr>
            <w:tcW w:w="1729" w:type="dxa"/>
          </w:tcPr>
          <w:p w:rsidR="00635ACD" w:rsidRPr="000A074A" w:rsidRDefault="00635ACD" w:rsidP="00635ACD">
            <w:pPr>
              <w:spacing w:after="200" w:line="276" w:lineRule="auto"/>
              <w:rPr>
                <w:b/>
              </w:rPr>
            </w:pPr>
          </w:p>
        </w:tc>
        <w:tc>
          <w:tcPr>
            <w:tcW w:w="1644" w:type="dxa"/>
          </w:tcPr>
          <w:p w:rsidR="00635ACD" w:rsidRPr="000A074A" w:rsidRDefault="00F0257B" w:rsidP="009705A7">
            <w:pPr>
              <w:spacing w:after="200" w:line="276" w:lineRule="auto"/>
              <w:jc w:val="center"/>
              <w:rPr>
                <w:b/>
              </w:rPr>
            </w:pPr>
            <w:r>
              <w:rPr>
                <w:b/>
              </w:rPr>
              <w:t>X</w:t>
            </w:r>
          </w:p>
        </w:tc>
        <w:tc>
          <w:tcPr>
            <w:tcW w:w="2014" w:type="dxa"/>
            <w:shd w:val="clear" w:color="auto" w:fill="FFFFFF" w:themeFill="background1"/>
          </w:tcPr>
          <w:p w:rsidR="00635ACD" w:rsidRPr="000A074A" w:rsidRDefault="00635ACD" w:rsidP="00635ACD">
            <w:pPr>
              <w:spacing w:after="200" w:line="276" w:lineRule="auto"/>
              <w:rPr>
                <w:b/>
              </w:rPr>
            </w:pPr>
          </w:p>
        </w:tc>
      </w:tr>
      <w:tr w:rsidR="00635ACD" w:rsidRPr="000A074A" w:rsidTr="00D5726E">
        <w:trPr>
          <w:trHeight w:val="6616"/>
        </w:trPr>
        <w:tc>
          <w:tcPr>
            <w:tcW w:w="1951" w:type="dxa"/>
            <w:gridSpan w:val="2"/>
            <w:shd w:val="clear" w:color="auto" w:fill="C6D9F1" w:themeFill="text2" w:themeFillTint="33"/>
            <w:vAlign w:val="center"/>
          </w:tcPr>
          <w:p w:rsidR="00635ACD" w:rsidRPr="000A074A" w:rsidRDefault="00635ACD" w:rsidP="00635ACD">
            <w:pPr>
              <w:spacing w:after="200" w:line="276" w:lineRule="auto"/>
              <w:rPr>
                <w:b/>
              </w:rPr>
            </w:pPr>
            <w:r w:rsidRPr="000A074A">
              <w:rPr>
                <w:b/>
              </w:rPr>
              <w:t>Descripción de los resultados</w:t>
            </w:r>
          </w:p>
          <w:p w:rsidR="00635ACD" w:rsidRPr="000A074A" w:rsidRDefault="00635ACD" w:rsidP="00635ACD">
            <w:pPr>
              <w:spacing w:after="200" w:line="276" w:lineRule="auto"/>
              <w:rPr>
                <w:b/>
                <w:iCs/>
              </w:rPr>
            </w:pPr>
          </w:p>
        </w:tc>
        <w:tc>
          <w:tcPr>
            <w:tcW w:w="7088" w:type="dxa"/>
            <w:gridSpan w:val="4"/>
          </w:tcPr>
          <w:tbl>
            <w:tblPr>
              <w:tblW w:w="6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32"/>
              <w:gridCol w:w="800"/>
              <w:gridCol w:w="28"/>
              <w:gridCol w:w="737"/>
              <w:gridCol w:w="2782"/>
            </w:tblGrid>
            <w:tr w:rsidR="009705A7" w:rsidRPr="009705A7" w:rsidTr="00D5726E">
              <w:trPr>
                <w:trHeight w:val="793"/>
              </w:trPr>
              <w:tc>
                <w:tcPr>
                  <w:tcW w:w="2532" w:type="dxa"/>
                  <w:vMerge w:val="restart"/>
                  <w:shd w:val="clear" w:color="000000" w:fill="DCE6F1"/>
                  <w:noWrap/>
                  <w:vAlign w:val="center"/>
                  <w:hideMark/>
                </w:tcPr>
                <w:p w:rsidR="009705A7" w:rsidRPr="009705A7" w:rsidRDefault="009705A7" w:rsidP="000D4A9D">
                  <w:pPr>
                    <w:spacing w:after="0" w:line="240" w:lineRule="auto"/>
                    <w:jc w:val="center"/>
                    <w:rPr>
                      <w:rFonts w:ascii="Calibri" w:eastAsia="Times New Roman" w:hAnsi="Calibri" w:cs="Times New Roman"/>
                      <w:color w:val="000000"/>
                      <w:sz w:val="16"/>
                      <w:szCs w:val="16"/>
                      <w:lang w:eastAsia="es-PE"/>
                    </w:rPr>
                  </w:pPr>
                  <w:r w:rsidRPr="009705A7">
                    <w:rPr>
                      <w:rFonts w:ascii="Calibri" w:eastAsia="Times New Roman" w:hAnsi="Calibri" w:cs="Times New Roman"/>
                      <w:color w:val="000000"/>
                      <w:sz w:val="16"/>
                      <w:szCs w:val="16"/>
                      <w:lang w:eastAsia="es-PE"/>
                    </w:rPr>
                    <w:t>ACTIVIDAD</w:t>
                  </w:r>
                </w:p>
              </w:tc>
              <w:tc>
                <w:tcPr>
                  <w:tcW w:w="800" w:type="dxa"/>
                  <w:vMerge w:val="restart"/>
                  <w:shd w:val="clear" w:color="000000" w:fill="DCE6F1"/>
                  <w:vAlign w:val="center"/>
                  <w:hideMark/>
                </w:tcPr>
                <w:p w:rsidR="009705A7" w:rsidRPr="009705A7" w:rsidRDefault="009705A7" w:rsidP="000D4A9D">
                  <w:pPr>
                    <w:spacing w:after="0" w:line="240" w:lineRule="auto"/>
                    <w:jc w:val="center"/>
                    <w:rPr>
                      <w:rFonts w:ascii="Calibri" w:eastAsia="Times New Roman" w:hAnsi="Calibri" w:cs="Times New Roman"/>
                      <w:color w:val="000000"/>
                      <w:sz w:val="16"/>
                      <w:szCs w:val="16"/>
                      <w:lang w:eastAsia="es-PE"/>
                    </w:rPr>
                  </w:pPr>
                  <w:r w:rsidRPr="009705A7">
                    <w:rPr>
                      <w:rFonts w:ascii="Calibri" w:eastAsia="Times New Roman" w:hAnsi="Calibri" w:cs="Times New Roman"/>
                      <w:color w:val="000000"/>
                      <w:sz w:val="16"/>
                      <w:szCs w:val="16"/>
                      <w:lang w:eastAsia="es-PE"/>
                    </w:rPr>
                    <w:t>NIVEL DE AVANCE 2016</w:t>
                  </w:r>
                </w:p>
              </w:tc>
              <w:tc>
                <w:tcPr>
                  <w:tcW w:w="765" w:type="dxa"/>
                  <w:gridSpan w:val="2"/>
                  <w:vMerge w:val="restart"/>
                  <w:shd w:val="clear" w:color="000000" w:fill="DCE6F1"/>
                  <w:vAlign w:val="center"/>
                  <w:hideMark/>
                </w:tcPr>
                <w:p w:rsidR="009705A7" w:rsidRPr="009705A7" w:rsidRDefault="009705A7" w:rsidP="000D4A9D">
                  <w:pPr>
                    <w:spacing w:after="0" w:line="240" w:lineRule="auto"/>
                    <w:jc w:val="center"/>
                    <w:rPr>
                      <w:rFonts w:ascii="Calibri" w:eastAsia="Times New Roman" w:hAnsi="Calibri" w:cs="Times New Roman"/>
                      <w:color w:val="000000"/>
                      <w:sz w:val="16"/>
                      <w:szCs w:val="16"/>
                      <w:lang w:eastAsia="es-PE"/>
                    </w:rPr>
                  </w:pPr>
                  <w:r w:rsidRPr="009705A7">
                    <w:rPr>
                      <w:rFonts w:ascii="Calibri" w:eastAsia="Times New Roman" w:hAnsi="Calibri" w:cs="Times New Roman"/>
                      <w:color w:val="000000"/>
                      <w:sz w:val="16"/>
                      <w:szCs w:val="16"/>
                      <w:lang w:eastAsia="es-PE"/>
                    </w:rPr>
                    <w:t>*FECHA FIN</w:t>
                  </w:r>
                </w:p>
              </w:tc>
              <w:tc>
                <w:tcPr>
                  <w:tcW w:w="2782" w:type="dxa"/>
                  <w:vMerge w:val="restart"/>
                  <w:shd w:val="clear" w:color="000000" w:fill="DCE6F1"/>
                  <w:vAlign w:val="center"/>
                  <w:hideMark/>
                </w:tcPr>
                <w:p w:rsidR="009705A7" w:rsidRPr="009705A7" w:rsidRDefault="009705A7" w:rsidP="009705A7">
                  <w:pPr>
                    <w:spacing w:after="0" w:line="240" w:lineRule="auto"/>
                    <w:jc w:val="center"/>
                    <w:rPr>
                      <w:rFonts w:ascii="Calibri" w:eastAsia="Times New Roman" w:hAnsi="Calibri" w:cs="Times New Roman"/>
                      <w:color w:val="000000"/>
                      <w:sz w:val="16"/>
                      <w:szCs w:val="16"/>
                      <w:lang w:eastAsia="es-PE"/>
                    </w:rPr>
                  </w:pPr>
                  <w:r w:rsidRPr="009705A7">
                    <w:rPr>
                      <w:rFonts w:ascii="Calibri" w:eastAsia="Times New Roman" w:hAnsi="Calibri" w:cs="Times New Roman"/>
                      <w:color w:val="000000"/>
                      <w:sz w:val="16"/>
                      <w:szCs w:val="16"/>
                      <w:lang w:eastAsia="es-PE"/>
                    </w:rPr>
                    <w:t xml:space="preserve">AVANCES REGISTRADOS </w:t>
                  </w:r>
                  <w:r w:rsidRPr="009705A7">
                    <w:rPr>
                      <w:rFonts w:ascii="Calibri" w:eastAsia="Times New Roman" w:hAnsi="Calibri" w:cs="Times New Roman"/>
                      <w:color w:val="000000"/>
                      <w:sz w:val="16"/>
                      <w:szCs w:val="16"/>
                      <w:lang w:eastAsia="es-PE"/>
                    </w:rPr>
                    <w:br/>
                  </w:r>
                </w:p>
              </w:tc>
            </w:tr>
            <w:tr w:rsidR="009705A7" w:rsidRPr="009705A7" w:rsidTr="00D5726E">
              <w:trPr>
                <w:trHeight w:val="242"/>
              </w:trPr>
              <w:tc>
                <w:tcPr>
                  <w:tcW w:w="2532" w:type="dxa"/>
                  <w:vMerge/>
                  <w:vAlign w:val="center"/>
                  <w:hideMark/>
                </w:tcPr>
                <w:p w:rsidR="009705A7" w:rsidRPr="009705A7" w:rsidRDefault="009705A7" w:rsidP="000D4A9D">
                  <w:pPr>
                    <w:spacing w:after="0" w:line="240" w:lineRule="auto"/>
                    <w:rPr>
                      <w:rFonts w:ascii="Calibri" w:eastAsia="Times New Roman" w:hAnsi="Calibri" w:cs="Times New Roman"/>
                      <w:color w:val="000000"/>
                      <w:sz w:val="16"/>
                      <w:szCs w:val="16"/>
                      <w:lang w:eastAsia="es-PE"/>
                    </w:rPr>
                  </w:pPr>
                </w:p>
              </w:tc>
              <w:tc>
                <w:tcPr>
                  <w:tcW w:w="800" w:type="dxa"/>
                  <w:vMerge/>
                  <w:vAlign w:val="center"/>
                  <w:hideMark/>
                </w:tcPr>
                <w:p w:rsidR="009705A7" w:rsidRPr="009705A7" w:rsidRDefault="009705A7" w:rsidP="000D4A9D">
                  <w:pPr>
                    <w:spacing w:after="0" w:line="240" w:lineRule="auto"/>
                    <w:rPr>
                      <w:rFonts w:ascii="Calibri" w:eastAsia="Times New Roman" w:hAnsi="Calibri" w:cs="Times New Roman"/>
                      <w:color w:val="000000"/>
                      <w:sz w:val="16"/>
                      <w:szCs w:val="16"/>
                      <w:lang w:eastAsia="es-PE"/>
                    </w:rPr>
                  </w:pPr>
                </w:p>
              </w:tc>
              <w:tc>
                <w:tcPr>
                  <w:tcW w:w="765" w:type="dxa"/>
                  <w:gridSpan w:val="2"/>
                  <w:vMerge/>
                  <w:vAlign w:val="center"/>
                  <w:hideMark/>
                </w:tcPr>
                <w:p w:rsidR="009705A7" w:rsidRPr="009705A7" w:rsidRDefault="009705A7" w:rsidP="000D4A9D">
                  <w:pPr>
                    <w:spacing w:after="0" w:line="240" w:lineRule="auto"/>
                    <w:rPr>
                      <w:rFonts w:ascii="Calibri" w:eastAsia="Times New Roman" w:hAnsi="Calibri" w:cs="Times New Roman"/>
                      <w:color w:val="000000"/>
                      <w:sz w:val="16"/>
                      <w:szCs w:val="16"/>
                      <w:lang w:eastAsia="es-PE"/>
                    </w:rPr>
                  </w:pPr>
                </w:p>
              </w:tc>
              <w:tc>
                <w:tcPr>
                  <w:tcW w:w="2782" w:type="dxa"/>
                  <w:vMerge/>
                  <w:vAlign w:val="center"/>
                  <w:hideMark/>
                </w:tcPr>
                <w:p w:rsidR="009705A7" w:rsidRPr="009705A7" w:rsidRDefault="009705A7" w:rsidP="000D4A9D">
                  <w:pPr>
                    <w:spacing w:after="0" w:line="240" w:lineRule="auto"/>
                    <w:rPr>
                      <w:rFonts w:ascii="Calibri" w:eastAsia="Times New Roman" w:hAnsi="Calibri" w:cs="Times New Roman"/>
                      <w:color w:val="000000"/>
                      <w:sz w:val="16"/>
                      <w:szCs w:val="16"/>
                      <w:lang w:eastAsia="es-PE"/>
                    </w:rPr>
                  </w:pPr>
                </w:p>
              </w:tc>
            </w:tr>
            <w:tr w:rsidR="000D4A9D" w:rsidRPr="009705A7" w:rsidTr="00D5726E">
              <w:trPr>
                <w:trHeight w:val="359"/>
              </w:trPr>
              <w:tc>
                <w:tcPr>
                  <w:tcW w:w="6879" w:type="dxa"/>
                  <w:gridSpan w:val="5"/>
                  <w:shd w:val="clear" w:color="000000" w:fill="DCE6F1"/>
                  <w:vAlign w:val="center"/>
                  <w:hideMark/>
                </w:tcPr>
                <w:p w:rsidR="000D4A9D" w:rsidRPr="009705A7" w:rsidRDefault="000D4A9D" w:rsidP="000D4A9D">
                  <w:pPr>
                    <w:spacing w:after="0" w:line="240" w:lineRule="auto"/>
                    <w:rPr>
                      <w:rFonts w:ascii="Calibri" w:eastAsia="Times New Roman" w:hAnsi="Calibri" w:cs="Times New Roman"/>
                      <w:color w:val="000000"/>
                      <w:sz w:val="16"/>
                      <w:szCs w:val="16"/>
                      <w:lang w:eastAsia="es-PE"/>
                    </w:rPr>
                  </w:pPr>
                  <w:r w:rsidRPr="009705A7">
                    <w:rPr>
                      <w:rFonts w:ascii="Calibri" w:eastAsia="Times New Roman" w:hAnsi="Calibri" w:cs="Times New Roman"/>
                      <w:color w:val="000000"/>
                      <w:sz w:val="16"/>
                      <w:szCs w:val="16"/>
                      <w:lang w:eastAsia="es-PE"/>
                    </w:rPr>
                    <w:t>TRANSPARENCIA Y ACCESO A LA INFORMACIÓN PÚBLICA</w:t>
                  </w:r>
                </w:p>
              </w:tc>
            </w:tr>
            <w:tr w:rsidR="009705A7" w:rsidRPr="009705A7" w:rsidTr="00D5726E">
              <w:trPr>
                <w:trHeight w:val="2620"/>
              </w:trPr>
              <w:tc>
                <w:tcPr>
                  <w:tcW w:w="2532" w:type="dxa"/>
                  <w:shd w:val="clear" w:color="auto" w:fill="auto"/>
                  <w:vAlign w:val="center"/>
                  <w:hideMark/>
                </w:tcPr>
                <w:p w:rsidR="009705A7" w:rsidRPr="009705A7" w:rsidRDefault="009705A7" w:rsidP="000D4A9D">
                  <w:pPr>
                    <w:spacing w:after="0" w:line="240" w:lineRule="auto"/>
                    <w:jc w:val="both"/>
                    <w:rPr>
                      <w:rFonts w:ascii="Calibri" w:eastAsia="Times New Roman" w:hAnsi="Calibri" w:cs="Times New Roman"/>
                      <w:b/>
                      <w:i/>
                      <w:color w:val="000000"/>
                      <w:sz w:val="16"/>
                      <w:szCs w:val="16"/>
                      <w:lang w:eastAsia="es-PE"/>
                    </w:rPr>
                  </w:pPr>
                  <w:r w:rsidRPr="009705A7">
                    <w:rPr>
                      <w:rFonts w:ascii="Calibri" w:eastAsia="Times New Roman" w:hAnsi="Calibri" w:cs="Times New Roman"/>
                      <w:b/>
                      <w:i/>
                      <w:color w:val="000000"/>
                      <w:sz w:val="16"/>
                      <w:szCs w:val="16"/>
                      <w:lang w:eastAsia="es-PE"/>
                    </w:rPr>
                    <w:t>1. Registro Nacional de Usuarios (RNU) elaborado que concentrará las bases de datos de la información de todos los usuarios afiliados a los Programas Sociales o de subsidios del Estado, la cual es provista por cada sector e institución responsable. Este padrón podrá ser consultado por los ciudadanos a través de un aplicativo en web.</w:t>
                  </w:r>
                </w:p>
              </w:tc>
              <w:tc>
                <w:tcPr>
                  <w:tcW w:w="828" w:type="dxa"/>
                  <w:gridSpan w:val="2"/>
                  <w:shd w:val="clear" w:color="auto" w:fill="auto"/>
                  <w:noWrap/>
                  <w:vAlign w:val="center"/>
                  <w:hideMark/>
                </w:tcPr>
                <w:p w:rsidR="009705A7" w:rsidRPr="009705A7" w:rsidRDefault="009705A7" w:rsidP="000D4A9D">
                  <w:pPr>
                    <w:spacing w:after="0" w:line="240" w:lineRule="auto"/>
                    <w:jc w:val="center"/>
                    <w:rPr>
                      <w:rFonts w:ascii="Calibri" w:eastAsia="Times New Roman" w:hAnsi="Calibri" w:cs="Times New Roman"/>
                      <w:color w:val="000000"/>
                      <w:sz w:val="16"/>
                      <w:szCs w:val="16"/>
                      <w:lang w:eastAsia="es-PE"/>
                    </w:rPr>
                  </w:pPr>
                  <w:r w:rsidRPr="009705A7">
                    <w:rPr>
                      <w:rFonts w:ascii="Calibri" w:eastAsia="Times New Roman" w:hAnsi="Calibri" w:cs="Times New Roman"/>
                      <w:color w:val="000000"/>
                      <w:sz w:val="16"/>
                      <w:szCs w:val="16"/>
                      <w:lang w:eastAsia="es-PE"/>
                    </w:rPr>
                    <w:t>60%</w:t>
                  </w:r>
                </w:p>
              </w:tc>
              <w:tc>
                <w:tcPr>
                  <w:tcW w:w="737" w:type="dxa"/>
                  <w:shd w:val="clear" w:color="000000" w:fill="FFFFFF"/>
                  <w:noWrap/>
                  <w:vAlign w:val="center"/>
                  <w:hideMark/>
                </w:tcPr>
                <w:p w:rsidR="009705A7" w:rsidRPr="009705A7" w:rsidRDefault="009705A7" w:rsidP="000D4A9D">
                  <w:pPr>
                    <w:spacing w:after="0" w:line="240" w:lineRule="auto"/>
                    <w:jc w:val="center"/>
                    <w:rPr>
                      <w:rFonts w:ascii="Calibri" w:eastAsia="Times New Roman" w:hAnsi="Calibri" w:cs="Times New Roman"/>
                      <w:b/>
                      <w:bCs/>
                      <w:color w:val="000000"/>
                      <w:sz w:val="16"/>
                      <w:szCs w:val="16"/>
                      <w:lang w:eastAsia="es-PE"/>
                    </w:rPr>
                  </w:pPr>
                  <w:r w:rsidRPr="009705A7">
                    <w:rPr>
                      <w:rFonts w:ascii="Calibri" w:eastAsia="Times New Roman" w:hAnsi="Calibri" w:cs="Times New Roman"/>
                      <w:b/>
                      <w:bCs/>
                      <w:color w:val="000000"/>
                      <w:sz w:val="16"/>
                      <w:szCs w:val="16"/>
                      <w:lang w:eastAsia="es-PE"/>
                    </w:rPr>
                    <w:t>Dic. 2016</w:t>
                  </w:r>
                </w:p>
              </w:tc>
              <w:tc>
                <w:tcPr>
                  <w:tcW w:w="2782" w:type="dxa"/>
                  <w:shd w:val="clear" w:color="000000" w:fill="FFFFFF"/>
                  <w:vAlign w:val="center"/>
                  <w:hideMark/>
                </w:tcPr>
                <w:p w:rsidR="009705A7" w:rsidRPr="009705A7" w:rsidRDefault="009705A7" w:rsidP="000D4A9D">
                  <w:pPr>
                    <w:spacing w:after="0" w:line="240" w:lineRule="auto"/>
                    <w:jc w:val="both"/>
                    <w:rPr>
                      <w:rFonts w:ascii="Calibri" w:eastAsia="Times New Roman" w:hAnsi="Calibri" w:cs="Times New Roman"/>
                      <w:color w:val="000000"/>
                      <w:sz w:val="16"/>
                      <w:szCs w:val="16"/>
                      <w:lang w:eastAsia="es-PE"/>
                    </w:rPr>
                  </w:pPr>
                  <w:r w:rsidRPr="009705A7">
                    <w:rPr>
                      <w:rFonts w:ascii="Calibri" w:eastAsia="Times New Roman" w:hAnsi="Calibri" w:cs="Times New Roman"/>
                      <w:color w:val="000000"/>
                      <w:sz w:val="16"/>
                      <w:szCs w:val="16"/>
                      <w:lang w:eastAsia="es-PE"/>
                    </w:rPr>
                    <w:t>La Dirección</w:t>
                  </w:r>
                  <w:r w:rsidR="002B5D82">
                    <w:rPr>
                      <w:rFonts w:ascii="Calibri" w:eastAsia="Times New Roman" w:hAnsi="Calibri" w:cs="Times New Roman"/>
                      <w:color w:val="000000"/>
                      <w:sz w:val="16"/>
                      <w:szCs w:val="16"/>
                      <w:lang w:eastAsia="es-PE"/>
                    </w:rPr>
                    <w:t xml:space="preserve"> General de Gestión de Usuarios</w:t>
                  </w:r>
                  <w:r w:rsidRPr="009705A7">
                    <w:rPr>
                      <w:rFonts w:ascii="Calibri" w:eastAsia="Times New Roman" w:hAnsi="Calibri" w:cs="Times New Roman"/>
                      <w:color w:val="000000"/>
                      <w:sz w:val="16"/>
                      <w:szCs w:val="16"/>
                      <w:lang w:eastAsia="es-PE"/>
                    </w:rPr>
                    <w:t xml:space="preserve"> informa que mediante Resolución Ministerial N° 159-2016-MIDIS, de fecha 26.07.2016, se aprobó la Directiva N° 006-2016-MIDIS, “Disposiciones que regulan la operatividad del Registro Nacional de Usuarios (RNU)”, la cual establece las disposiciones y procesos que permitan la implementación y actualización del Registro Nacional de Usuarios (RNU). </w:t>
                  </w:r>
                </w:p>
              </w:tc>
            </w:tr>
            <w:tr w:rsidR="009705A7" w:rsidRPr="009705A7" w:rsidTr="00D5726E">
              <w:trPr>
                <w:trHeight w:val="555"/>
              </w:trPr>
              <w:tc>
                <w:tcPr>
                  <w:tcW w:w="2532" w:type="dxa"/>
                  <w:shd w:val="clear" w:color="auto" w:fill="auto"/>
                  <w:vAlign w:val="center"/>
                  <w:hideMark/>
                </w:tcPr>
                <w:p w:rsidR="009705A7" w:rsidRPr="009705A7" w:rsidRDefault="009705A7" w:rsidP="000D4A9D">
                  <w:pPr>
                    <w:spacing w:after="0" w:line="240" w:lineRule="auto"/>
                    <w:jc w:val="both"/>
                    <w:rPr>
                      <w:rFonts w:ascii="Calibri" w:eastAsia="Times New Roman" w:hAnsi="Calibri" w:cs="Times New Roman"/>
                      <w:b/>
                      <w:i/>
                      <w:color w:val="000000"/>
                      <w:sz w:val="16"/>
                      <w:szCs w:val="16"/>
                      <w:lang w:eastAsia="es-PE"/>
                    </w:rPr>
                  </w:pPr>
                  <w:r w:rsidRPr="009705A7">
                    <w:rPr>
                      <w:rFonts w:ascii="Calibri" w:eastAsia="Times New Roman" w:hAnsi="Calibri" w:cs="Times New Roman"/>
                      <w:b/>
                      <w:i/>
                      <w:color w:val="000000"/>
                      <w:sz w:val="16"/>
                      <w:szCs w:val="16"/>
                      <w:lang w:eastAsia="es-PE"/>
                    </w:rPr>
                    <w:t>2. Aplicativo web implementado y su difusión sobre su uso y beneficios.</w:t>
                  </w:r>
                </w:p>
              </w:tc>
              <w:tc>
                <w:tcPr>
                  <w:tcW w:w="828" w:type="dxa"/>
                  <w:gridSpan w:val="2"/>
                  <w:shd w:val="clear" w:color="auto" w:fill="auto"/>
                  <w:noWrap/>
                  <w:vAlign w:val="center"/>
                  <w:hideMark/>
                </w:tcPr>
                <w:p w:rsidR="009705A7" w:rsidRPr="009705A7" w:rsidRDefault="009705A7" w:rsidP="000D4A9D">
                  <w:pPr>
                    <w:spacing w:after="0" w:line="240" w:lineRule="auto"/>
                    <w:jc w:val="center"/>
                    <w:rPr>
                      <w:rFonts w:ascii="Calibri" w:eastAsia="Times New Roman" w:hAnsi="Calibri" w:cs="Times New Roman"/>
                      <w:color w:val="000000"/>
                      <w:sz w:val="16"/>
                      <w:szCs w:val="16"/>
                      <w:lang w:eastAsia="es-PE"/>
                    </w:rPr>
                  </w:pPr>
                  <w:r w:rsidRPr="009705A7">
                    <w:rPr>
                      <w:rFonts w:ascii="Calibri" w:eastAsia="Times New Roman" w:hAnsi="Calibri" w:cs="Times New Roman"/>
                      <w:color w:val="000000"/>
                      <w:sz w:val="16"/>
                      <w:szCs w:val="16"/>
                      <w:lang w:eastAsia="es-PE"/>
                    </w:rPr>
                    <w:t>80%</w:t>
                  </w:r>
                </w:p>
              </w:tc>
              <w:tc>
                <w:tcPr>
                  <w:tcW w:w="737" w:type="dxa"/>
                  <w:shd w:val="clear" w:color="000000" w:fill="FFFFFF"/>
                  <w:noWrap/>
                  <w:vAlign w:val="center"/>
                  <w:hideMark/>
                </w:tcPr>
                <w:p w:rsidR="009705A7" w:rsidRPr="009705A7" w:rsidRDefault="009705A7" w:rsidP="000D4A9D">
                  <w:pPr>
                    <w:spacing w:after="0" w:line="240" w:lineRule="auto"/>
                    <w:jc w:val="center"/>
                    <w:rPr>
                      <w:rFonts w:ascii="Calibri" w:eastAsia="Times New Roman" w:hAnsi="Calibri" w:cs="Times New Roman"/>
                      <w:b/>
                      <w:bCs/>
                      <w:color w:val="000000"/>
                      <w:sz w:val="16"/>
                      <w:szCs w:val="16"/>
                      <w:lang w:eastAsia="es-PE"/>
                    </w:rPr>
                  </w:pPr>
                  <w:r w:rsidRPr="009705A7">
                    <w:rPr>
                      <w:rFonts w:ascii="Calibri" w:eastAsia="Times New Roman" w:hAnsi="Calibri" w:cs="Times New Roman"/>
                      <w:b/>
                      <w:bCs/>
                      <w:color w:val="000000"/>
                      <w:sz w:val="16"/>
                      <w:szCs w:val="16"/>
                      <w:lang w:eastAsia="es-PE"/>
                    </w:rPr>
                    <w:t>Jun. 2017</w:t>
                  </w:r>
                </w:p>
              </w:tc>
              <w:tc>
                <w:tcPr>
                  <w:tcW w:w="2782" w:type="dxa"/>
                  <w:shd w:val="clear" w:color="000000" w:fill="FFFFFF"/>
                  <w:vAlign w:val="center"/>
                  <w:hideMark/>
                </w:tcPr>
                <w:p w:rsidR="009705A7" w:rsidRPr="009705A7" w:rsidRDefault="009705A7" w:rsidP="000D4A9D">
                  <w:pPr>
                    <w:spacing w:after="0" w:line="240" w:lineRule="auto"/>
                    <w:jc w:val="both"/>
                    <w:rPr>
                      <w:rFonts w:ascii="Calibri" w:eastAsia="Times New Roman" w:hAnsi="Calibri" w:cs="Times New Roman"/>
                      <w:color w:val="000000"/>
                      <w:sz w:val="16"/>
                      <w:szCs w:val="16"/>
                      <w:lang w:eastAsia="es-PE"/>
                    </w:rPr>
                  </w:pPr>
                  <w:r w:rsidRPr="009705A7">
                    <w:rPr>
                      <w:rFonts w:ascii="Calibri" w:eastAsia="Times New Roman" w:hAnsi="Calibri" w:cs="Times New Roman"/>
                      <w:color w:val="000000"/>
                      <w:sz w:val="16"/>
                      <w:szCs w:val="16"/>
                      <w:lang w:eastAsia="es-PE"/>
                    </w:rPr>
                    <w:t>La Dirección</w:t>
                  </w:r>
                  <w:r w:rsidR="002B5D82">
                    <w:rPr>
                      <w:rFonts w:ascii="Calibri" w:eastAsia="Times New Roman" w:hAnsi="Calibri" w:cs="Times New Roman"/>
                      <w:color w:val="000000"/>
                      <w:sz w:val="16"/>
                      <w:szCs w:val="16"/>
                      <w:lang w:eastAsia="es-PE"/>
                    </w:rPr>
                    <w:t xml:space="preserve"> General de Gestión de Usuarios</w:t>
                  </w:r>
                  <w:r w:rsidRPr="009705A7">
                    <w:rPr>
                      <w:rFonts w:ascii="Calibri" w:eastAsia="Times New Roman" w:hAnsi="Calibri" w:cs="Times New Roman"/>
                      <w:color w:val="000000"/>
                      <w:sz w:val="16"/>
                      <w:szCs w:val="16"/>
                      <w:lang w:eastAsia="es-PE"/>
                    </w:rPr>
                    <w:t xml:space="preserve"> informa que</w:t>
                  </w:r>
                  <w:r w:rsidR="002B5D82">
                    <w:rPr>
                      <w:rFonts w:ascii="Calibri" w:eastAsia="Times New Roman" w:hAnsi="Calibri" w:cs="Times New Roman"/>
                      <w:color w:val="000000"/>
                      <w:sz w:val="16"/>
                      <w:szCs w:val="16"/>
                      <w:lang w:eastAsia="es-PE"/>
                    </w:rPr>
                    <w:t>,</w:t>
                  </w:r>
                  <w:r w:rsidRPr="009705A7">
                    <w:rPr>
                      <w:rFonts w:ascii="Calibri" w:eastAsia="Times New Roman" w:hAnsi="Calibri" w:cs="Times New Roman"/>
                      <w:color w:val="000000"/>
                      <w:sz w:val="16"/>
                      <w:szCs w:val="16"/>
                      <w:lang w:eastAsia="es-PE"/>
                    </w:rPr>
                    <w:t xml:space="preserve"> para la implementación y difusión del aplicativo web, se requiere adecuación de las aplicaciones que usan la información del RNU debido a las modificaciones en el funcionamiento del registro, establecidas por la Directiva, cuyos procesos de adecuación se vienen realizando.  </w:t>
                  </w:r>
                </w:p>
              </w:tc>
            </w:tr>
          </w:tbl>
          <w:p w:rsidR="00877B2F" w:rsidRPr="000A074A" w:rsidRDefault="00877B2F" w:rsidP="000D4A9D">
            <w:r>
              <w:t>Fuente: Oficio N° 1218-2016-MIDIS/SG, del 16.09.16</w:t>
            </w:r>
          </w:p>
        </w:tc>
      </w:tr>
      <w:tr w:rsidR="00635ACD" w:rsidRPr="000A074A" w:rsidTr="0041466B">
        <w:tc>
          <w:tcPr>
            <w:tcW w:w="1951" w:type="dxa"/>
            <w:gridSpan w:val="2"/>
            <w:shd w:val="clear" w:color="auto" w:fill="C6D9F1" w:themeFill="text2" w:themeFillTint="33"/>
            <w:vAlign w:val="center"/>
          </w:tcPr>
          <w:p w:rsidR="00635ACD" w:rsidRPr="000A074A" w:rsidRDefault="00635ACD" w:rsidP="00494E52">
            <w:pPr>
              <w:rPr>
                <w:b/>
              </w:rPr>
            </w:pPr>
            <w:r w:rsidRPr="000A074A">
              <w:rPr>
                <w:b/>
              </w:rPr>
              <w:t>Fecha de conclusión</w:t>
            </w:r>
          </w:p>
        </w:tc>
        <w:tc>
          <w:tcPr>
            <w:tcW w:w="7088" w:type="dxa"/>
            <w:gridSpan w:val="4"/>
          </w:tcPr>
          <w:p w:rsidR="00635ACD" w:rsidRPr="000A074A" w:rsidRDefault="000D4A9D" w:rsidP="00635ACD">
            <w:pPr>
              <w:spacing w:after="200" w:line="276" w:lineRule="auto"/>
            </w:pPr>
            <w:r>
              <w:t>Junio 2017</w:t>
            </w:r>
          </w:p>
        </w:tc>
      </w:tr>
      <w:tr w:rsidR="00635ACD" w:rsidRPr="000A074A" w:rsidTr="0041466B">
        <w:tc>
          <w:tcPr>
            <w:tcW w:w="1951" w:type="dxa"/>
            <w:gridSpan w:val="2"/>
            <w:shd w:val="clear" w:color="auto" w:fill="C6D9F1" w:themeFill="text2" w:themeFillTint="33"/>
            <w:vAlign w:val="center"/>
          </w:tcPr>
          <w:p w:rsidR="00635ACD" w:rsidRPr="000A074A" w:rsidRDefault="00635ACD" w:rsidP="00494E52">
            <w:pPr>
              <w:rPr>
                <w:b/>
              </w:rPr>
            </w:pPr>
            <w:r w:rsidRPr="000A074A">
              <w:rPr>
                <w:b/>
              </w:rPr>
              <w:t>Próximos pasos</w:t>
            </w:r>
          </w:p>
        </w:tc>
        <w:tc>
          <w:tcPr>
            <w:tcW w:w="7088" w:type="dxa"/>
            <w:gridSpan w:val="4"/>
          </w:tcPr>
          <w:p w:rsidR="00635ACD" w:rsidRPr="000A074A" w:rsidRDefault="00494E52" w:rsidP="002B5D82">
            <w:pPr>
              <w:jc w:val="both"/>
            </w:pPr>
            <w:r>
              <w:t>La Dirección</w:t>
            </w:r>
            <w:r w:rsidR="002B5D82">
              <w:t xml:space="preserve"> General de Gestión de Usuarios </w:t>
            </w:r>
            <w:r>
              <w:t xml:space="preserve"> requiere realizar la adecuación de las aplicaciones que usan la información del Registro Nacional de Usuarios, debido a las modificaciones en el funcionamiento del registro, establecida por la Directiva aprobada.</w:t>
            </w:r>
          </w:p>
        </w:tc>
      </w:tr>
      <w:tr w:rsidR="00635ACD" w:rsidRPr="000A074A" w:rsidTr="0041466B">
        <w:trPr>
          <w:trHeight w:val="410"/>
        </w:trPr>
        <w:tc>
          <w:tcPr>
            <w:tcW w:w="9039" w:type="dxa"/>
            <w:gridSpan w:val="6"/>
          </w:tcPr>
          <w:p w:rsidR="00635ACD" w:rsidRPr="000A074A" w:rsidRDefault="00635ACD" w:rsidP="00635ACD">
            <w:pPr>
              <w:spacing w:after="200" w:line="276" w:lineRule="auto"/>
            </w:pPr>
            <w:r w:rsidRPr="000A074A">
              <w:rPr>
                <w:b/>
              </w:rPr>
              <w:t>Información adicional</w:t>
            </w:r>
          </w:p>
        </w:tc>
      </w:tr>
    </w:tbl>
    <w:p w:rsidR="000A074A" w:rsidRDefault="000A074A"/>
    <w:p w:rsidR="009C7D2E" w:rsidRDefault="009C7D2E"/>
    <w:p w:rsidR="009C7D2E" w:rsidRDefault="009C7D2E"/>
    <w:p w:rsidR="009C7D2E" w:rsidRDefault="009C7D2E"/>
    <w:p w:rsidR="00D5726E" w:rsidRDefault="00D5726E"/>
    <w:p w:rsidR="00D5726E" w:rsidRDefault="00D5726E"/>
    <w:tbl>
      <w:tblPr>
        <w:tblStyle w:val="Tablaconcuadrcula"/>
        <w:tblW w:w="9039" w:type="dxa"/>
        <w:tblLayout w:type="fixed"/>
        <w:tblLook w:val="04A0" w:firstRow="1" w:lastRow="0" w:firstColumn="1" w:lastColumn="0" w:noHBand="0" w:noVBand="1"/>
      </w:tblPr>
      <w:tblGrid>
        <w:gridCol w:w="1526"/>
        <w:gridCol w:w="583"/>
        <w:gridCol w:w="2110"/>
        <w:gridCol w:w="1729"/>
        <w:gridCol w:w="1644"/>
        <w:gridCol w:w="1447"/>
      </w:tblGrid>
      <w:tr w:rsidR="006A6F3E" w:rsidRPr="00295641" w:rsidTr="002C2EAC">
        <w:tc>
          <w:tcPr>
            <w:tcW w:w="9039" w:type="dxa"/>
            <w:gridSpan w:val="6"/>
            <w:shd w:val="clear" w:color="auto" w:fill="548DD4" w:themeFill="text2" w:themeFillTint="99"/>
          </w:tcPr>
          <w:p w:rsidR="006A6F3E" w:rsidRPr="00295641" w:rsidRDefault="006A6F3E" w:rsidP="00DF077D">
            <w:pPr>
              <w:ind w:left="720"/>
              <w:jc w:val="center"/>
              <w:rPr>
                <w:b/>
              </w:rPr>
            </w:pPr>
            <w:r>
              <w:rPr>
                <w:b/>
              </w:rPr>
              <w:t xml:space="preserve">Componente: Transparencia y Acceso a la Información Pública </w:t>
            </w:r>
          </w:p>
        </w:tc>
      </w:tr>
      <w:tr w:rsidR="006A6F3E" w:rsidRPr="00295641" w:rsidTr="002C2EAC">
        <w:tc>
          <w:tcPr>
            <w:tcW w:w="9039" w:type="dxa"/>
            <w:gridSpan w:val="6"/>
            <w:shd w:val="clear" w:color="auto" w:fill="548DD4" w:themeFill="text2" w:themeFillTint="99"/>
          </w:tcPr>
          <w:p w:rsidR="006A6F3E" w:rsidRPr="00C0701E" w:rsidRDefault="001C55F9" w:rsidP="00C0701E">
            <w:pPr>
              <w:pStyle w:val="Prrafodelista"/>
              <w:rPr>
                <w:b/>
              </w:rPr>
            </w:pPr>
            <w:r w:rsidRPr="001C55F9">
              <w:rPr>
                <w:b/>
                <w:u w:val="single"/>
              </w:rPr>
              <w:t xml:space="preserve">Compromiso </w:t>
            </w:r>
            <w:r w:rsidR="00C0701E" w:rsidRPr="001C55F9">
              <w:rPr>
                <w:b/>
                <w:u w:val="single"/>
              </w:rPr>
              <w:t>5</w:t>
            </w:r>
            <w:r w:rsidR="00C0701E">
              <w:rPr>
                <w:b/>
              </w:rPr>
              <w:t>.</w:t>
            </w:r>
            <w:r>
              <w:rPr>
                <w:b/>
              </w:rPr>
              <w:t xml:space="preserve"> </w:t>
            </w:r>
            <w:r w:rsidR="006A6F3E" w:rsidRPr="00C0701E">
              <w:rPr>
                <w:b/>
              </w:rPr>
              <w:t xml:space="preserve">Mejorar el SEACE- Sistema Electrónico de Adquisiciones del Estado </w:t>
            </w:r>
          </w:p>
        </w:tc>
      </w:tr>
      <w:tr w:rsidR="006A6F3E" w:rsidRPr="00295641" w:rsidTr="002C2EAC">
        <w:tc>
          <w:tcPr>
            <w:tcW w:w="4219" w:type="dxa"/>
            <w:gridSpan w:val="3"/>
            <w:shd w:val="clear" w:color="auto" w:fill="C6D9F1" w:themeFill="text2" w:themeFillTint="33"/>
            <w:vAlign w:val="center"/>
          </w:tcPr>
          <w:p w:rsidR="006A6F3E" w:rsidRPr="00295641" w:rsidRDefault="006A6F3E" w:rsidP="00DF077D">
            <w:pPr>
              <w:autoSpaceDE w:val="0"/>
              <w:autoSpaceDN w:val="0"/>
              <w:adjustRightInd w:val="0"/>
              <w:rPr>
                <w:rFonts w:cs="Gotham-Book"/>
                <w:b/>
                <w:color w:val="000000" w:themeColor="text1"/>
              </w:rPr>
            </w:pPr>
            <w:r w:rsidRPr="00295641">
              <w:rPr>
                <w:rFonts w:cs="Gotham-Book"/>
                <w:b/>
                <w:color w:val="000000" w:themeColor="text1"/>
              </w:rPr>
              <w:t>Secretaría/Ministerio</w:t>
            </w:r>
          </w:p>
          <w:p w:rsidR="006A6F3E" w:rsidRPr="00295641" w:rsidRDefault="006A6F3E" w:rsidP="00DF077D">
            <w:pPr>
              <w:rPr>
                <w:b/>
                <w:color w:val="000000" w:themeColor="text1"/>
              </w:rPr>
            </w:pPr>
            <w:r w:rsidRPr="00295641">
              <w:rPr>
                <w:rFonts w:cs="Gotham-Book"/>
                <w:b/>
                <w:color w:val="000000" w:themeColor="text1"/>
              </w:rPr>
              <w:t>Responsable</w:t>
            </w:r>
          </w:p>
        </w:tc>
        <w:tc>
          <w:tcPr>
            <w:tcW w:w="4820" w:type="dxa"/>
            <w:gridSpan w:val="3"/>
          </w:tcPr>
          <w:p w:rsidR="006A6F3E" w:rsidRPr="00295641" w:rsidRDefault="006A6F3E" w:rsidP="00DF077D">
            <w:pPr>
              <w:jc w:val="both"/>
              <w:rPr>
                <w:color w:val="000000" w:themeColor="text1"/>
              </w:rPr>
            </w:pPr>
            <w:r>
              <w:rPr>
                <w:color w:val="000000" w:themeColor="text1"/>
              </w:rPr>
              <w:t xml:space="preserve">Organismo Supervisor de las Contrataciones del Estado - OSCE </w:t>
            </w:r>
          </w:p>
        </w:tc>
      </w:tr>
      <w:tr w:rsidR="006A6F3E" w:rsidRPr="00295641" w:rsidTr="002C2EAC">
        <w:tc>
          <w:tcPr>
            <w:tcW w:w="4219" w:type="dxa"/>
            <w:gridSpan w:val="3"/>
            <w:shd w:val="clear" w:color="auto" w:fill="C6D9F1" w:themeFill="text2" w:themeFillTint="33"/>
            <w:vAlign w:val="center"/>
          </w:tcPr>
          <w:p w:rsidR="006A6F3E" w:rsidRPr="00295641" w:rsidRDefault="006A6F3E" w:rsidP="00DF077D">
            <w:pPr>
              <w:autoSpaceDE w:val="0"/>
              <w:autoSpaceDN w:val="0"/>
              <w:adjustRightInd w:val="0"/>
              <w:rPr>
                <w:rFonts w:cs="Gotham-Book"/>
                <w:b/>
                <w:color w:val="000000" w:themeColor="text1"/>
              </w:rPr>
            </w:pPr>
            <w:r w:rsidRPr="00295641">
              <w:rPr>
                <w:rFonts w:cs="Gotham-Book"/>
                <w:b/>
                <w:color w:val="000000" w:themeColor="text1"/>
              </w:rPr>
              <w:t>Nombre de la persona  responsable</w:t>
            </w:r>
          </w:p>
        </w:tc>
        <w:tc>
          <w:tcPr>
            <w:tcW w:w="4820" w:type="dxa"/>
            <w:gridSpan w:val="3"/>
          </w:tcPr>
          <w:p w:rsidR="006A6F3E" w:rsidRPr="00295641" w:rsidRDefault="006A6F3E" w:rsidP="00DF077D">
            <w:pPr>
              <w:jc w:val="both"/>
              <w:rPr>
                <w:color w:val="000000" w:themeColor="text1"/>
              </w:rPr>
            </w:pPr>
            <w:r>
              <w:rPr>
                <w:color w:val="000000" w:themeColor="text1"/>
              </w:rPr>
              <w:t xml:space="preserve">Milagritos P. Pastor Paredes </w:t>
            </w:r>
          </w:p>
        </w:tc>
      </w:tr>
      <w:tr w:rsidR="006A6F3E" w:rsidRPr="00295641" w:rsidTr="002C2EAC">
        <w:tc>
          <w:tcPr>
            <w:tcW w:w="4219" w:type="dxa"/>
            <w:gridSpan w:val="3"/>
            <w:shd w:val="clear" w:color="auto" w:fill="C6D9F1" w:themeFill="text2" w:themeFillTint="33"/>
            <w:vAlign w:val="center"/>
          </w:tcPr>
          <w:p w:rsidR="006A6F3E" w:rsidRPr="00295641" w:rsidRDefault="006A6F3E" w:rsidP="00DF077D">
            <w:pPr>
              <w:rPr>
                <w:b/>
                <w:color w:val="000000" w:themeColor="text1"/>
              </w:rPr>
            </w:pPr>
            <w:r w:rsidRPr="00295641">
              <w:rPr>
                <w:rFonts w:cs="Gotham-Book"/>
                <w:b/>
                <w:color w:val="000000" w:themeColor="text1"/>
              </w:rPr>
              <w:t>Puesto</w:t>
            </w:r>
          </w:p>
        </w:tc>
        <w:tc>
          <w:tcPr>
            <w:tcW w:w="4820" w:type="dxa"/>
            <w:gridSpan w:val="3"/>
          </w:tcPr>
          <w:p w:rsidR="006A6F3E" w:rsidRPr="00295641" w:rsidRDefault="006A6F3E" w:rsidP="00DF077D">
            <w:pPr>
              <w:jc w:val="both"/>
              <w:rPr>
                <w:color w:val="000000" w:themeColor="text1"/>
              </w:rPr>
            </w:pPr>
            <w:r>
              <w:rPr>
                <w:color w:val="000000" w:themeColor="text1"/>
              </w:rPr>
              <w:t xml:space="preserve">Secretaria General </w:t>
            </w:r>
          </w:p>
        </w:tc>
      </w:tr>
      <w:tr w:rsidR="006A6F3E" w:rsidRPr="00295641" w:rsidTr="002C2EAC">
        <w:tc>
          <w:tcPr>
            <w:tcW w:w="4219" w:type="dxa"/>
            <w:gridSpan w:val="3"/>
            <w:shd w:val="clear" w:color="auto" w:fill="C6D9F1" w:themeFill="text2" w:themeFillTint="33"/>
            <w:vAlign w:val="center"/>
          </w:tcPr>
          <w:p w:rsidR="006A6F3E" w:rsidRPr="00295641" w:rsidRDefault="006A6F3E" w:rsidP="00DF077D">
            <w:pPr>
              <w:autoSpaceDE w:val="0"/>
              <w:autoSpaceDN w:val="0"/>
              <w:adjustRightInd w:val="0"/>
              <w:rPr>
                <w:rFonts w:cs="Gotham-Book"/>
                <w:b/>
                <w:color w:val="000000" w:themeColor="text1"/>
              </w:rPr>
            </w:pPr>
            <w:r w:rsidRPr="00295641">
              <w:rPr>
                <w:rFonts w:cs="Gotham-Book"/>
                <w:b/>
                <w:color w:val="000000" w:themeColor="text1"/>
              </w:rPr>
              <w:t>Correo electrónico</w:t>
            </w:r>
          </w:p>
        </w:tc>
        <w:tc>
          <w:tcPr>
            <w:tcW w:w="4820" w:type="dxa"/>
            <w:gridSpan w:val="3"/>
          </w:tcPr>
          <w:p w:rsidR="00877B2F" w:rsidRPr="00877B2F" w:rsidRDefault="002F3E0D" w:rsidP="00DF077D">
            <w:pPr>
              <w:jc w:val="both"/>
              <w:rPr>
                <w:rFonts w:ascii="Arial" w:hAnsi="Arial" w:cs="Arial"/>
                <w:color w:val="000000"/>
                <w:sz w:val="17"/>
                <w:szCs w:val="17"/>
                <w:u w:val="single"/>
                <w:bdr w:val="none" w:sz="0" w:space="0" w:color="auto" w:frame="1"/>
                <w:shd w:val="clear" w:color="auto" w:fill="FFFFFF"/>
              </w:rPr>
            </w:pPr>
            <w:hyperlink r:id="rId22" w:history="1">
              <w:r w:rsidR="006A6F3E">
                <w:rPr>
                  <w:rStyle w:val="Hipervnculo"/>
                  <w:rFonts w:ascii="Arial" w:hAnsi="Arial" w:cs="Arial"/>
                  <w:color w:val="000000"/>
                  <w:sz w:val="17"/>
                  <w:szCs w:val="17"/>
                  <w:bdr w:val="none" w:sz="0" w:space="0" w:color="auto" w:frame="1"/>
                  <w:shd w:val="clear" w:color="auto" w:fill="FFFFFF"/>
                </w:rPr>
                <w:t>mpastor@osce.gob.pe</w:t>
              </w:r>
            </w:hyperlink>
          </w:p>
        </w:tc>
      </w:tr>
      <w:tr w:rsidR="006A6F3E" w:rsidRPr="00295641" w:rsidTr="002C2EAC">
        <w:tc>
          <w:tcPr>
            <w:tcW w:w="4219" w:type="dxa"/>
            <w:gridSpan w:val="3"/>
            <w:shd w:val="clear" w:color="auto" w:fill="C6D9F1" w:themeFill="text2" w:themeFillTint="33"/>
            <w:vAlign w:val="center"/>
          </w:tcPr>
          <w:p w:rsidR="006A6F3E" w:rsidRPr="00295641" w:rsidRDefault="006A6F3E" w:rsidP="00DF077D">
            <w:pPr>
              <w:rPr>
                <w:b/>
                <w:color w:val="000000" w:themeColor="text1"/>
              </w:rPr>
            </w:pPr>
            <w:r w:rsidRPr="00295641">
              <w:rPr>
                <w:rFonts w:cs="Gotham-Book"/>
                <w:b/>
                <w:color w:val="000000" w:themeColor="text1"/>
              </w:rPr>
              <w:t>Teléfono</w:t>
            </w:r>
          </w:p>
        </w:tc>
        <w:tc>
          <w:tcPr>
            <w:tcW w:w="4820" w:type="dxa"/>
            <w:gridSpan w:val="3"/>
          </w:tcPr>
          <w:p w:rsidR="006A6F3E" w:rsidRPr="00295641" w:rsidRDefault="00877B2F" w:rsidP="00DF077D">
            <w:pPr>
              <w:jc w:val="both"/>
              <w:rPr>
                <w:color w:val="000000" w:themeColor="text1"/>
              </w:rPr>
            </w:pPr>
            <w:r>
              <w:rPr>
                <w:color w:val="000000" w:themeColor="text1"/>
              </w:rPr>
              <w:t>51-1-</w:t>
            </w:r>
            <w:r w:rsidR="006A6F3E" w:rsidRPr="00387988">
              <w:rPr>
                <w:color w:val="000000" w:themeColor="text1"/>
              </w:rPr>
              <w:t>613-5555</w:t>
            </w:r>
          </w:p>
        </w:tc>
      </w:tr>
      <w:tr w:rsidR="006A6F3E" w:rsidRPr="00295641" w:rsidTr="002C2EAC">
        <w:tc>
          <w:tcPr>
            <w:tcW w:w="2109" w:type="dxa"/>
            <w:gridSpan w:val="2"/>
            <w:vMerge w:val="restart"/>
            <w:shd w:val="clear" w:color="auto" w:fill="C6D9F1" w:themeFill="text2" w:themeFillTint="33"/>
            <w:vAlign w:val="center"/>
          </w:tcPr>
          <w:p w:rsidR="006A6F3E" w:rsidRPr="00295641" w:rsidRDefault="006A6F3E" w:rsidP="00DF077D">
            <w:pPr>
              <w:rPr>
                <w:rFonts w:cs="Gotham-Book"/>
                <w:b/>
                <w:color w:val="000000" w:themeColor="text1"/>
              </w:rPr>
            </w:pPr>
            <w:r>
              <w:rPr>
                <w:rFonts w:cs="Gotham-Book"/>
                <w:b/>
                <w:color w:val="000000" w:themeColor="text1"/>
              </w:rPr>
              <w:t>Otros actores involucrados</w:t>
            </w:r>
          </w:p>
        </w:tc>
        <w:tc>
          <w:tcPr>
            <w:tcW w:w="2110" w:type="dxa"/>
            <w:shd w:val="clear" w:color="auto" w:fill="C6D9F1" w:themeFill="text2" w:themeFillTint="33"/>
            <w:vAlign w:val="center"/>
          </w:tcPr>
          <w:p w:rsidR="006A6F3E" w:rsidRPr="00295641" w:rsidRDefault="006A6F3E" w:rsidP="00DF077D">
            <w:pPr>
              <w:rPr>
                <w:rFonts w:cs="Gotham-Book"/>
                <w:b/>
                <w:color w:val="000000" w:themeColor="text1"/>
              </w:rPr>
            </w:pPr>
            <w:r>
              <w:rPr>
                <w:rFonts w:cs="Gotham-Book"/>
                <w:b/>
                <w:color w:val="000000" w:themeColor="text1"/>
              </w:rPr>
              <w:t>Gobierno</w:t>
            </w:r>
          </w:p>
        </w:tc>
        <w:tc>
          <w:tcPr>
            <w:tcW w:w="4820" w:type="dxa"/>
            <w:gridSpan w:val="3"/>
          </w:tcPr>
          <w:p w:rsidR="006A6F3E" w:rsidRPr="00295641" w:rsidRDefault="006A6F3E" w:rsidP="00DF077D">
            <w:pPr>
              <w:jc w:val="both"/>
              <w:rPr>
                <w:color w:val="000000" w:themeColor="text1"/>
              </w:rPr>
            </w:pPr>
            <w:r>
              <w:rPr>
                <w:color w:val="000000" w:themeColor="text1"/>
              </w:rPr>
              <w:t>NO APLICA</w:t>
            </w:r>
          </w:p>
        </w:tc>
      </w:tr>
      <w:tr w:rsidR="006A6F3E" w:rsidRPr="00295641" w:rsidTr="002C2EAC">
        <w:tc>
          <w:tcPr>
            <w:tcW w:w="2109" w:type="dxa"/>
            <w:gridSpan w:val="2"/>
            <w:vMerge/>
            <w:shd w:val="clear" w:color="auto" w:fill="C6D9F1" w:themeFill="text2" w:themeFillTint="33"/>
            <w:vAlign w:val="center"/>
          </w:tcPr>
          <w:p w:rsidR="006A6F3E" w:rsidRPr="00295641" w:rsidRDefault="006A6F3E" w:rsidP="00DF077D">
            <w:pPr>
              <w:rPr>
                <w:rFonts w:cs="Gotham-Book"/>
                <w:b/>
                <w:color w:val="000000" w:themeColor="text1"/>
              </w:rPr>
            </w:pPr>
          </w:p>
        </w:tc>
        <w:tc>
          <w:tcPr>
            <w:tcW w:w="2110" w:type="dxa"/>
            <w:shd w:val="clear" w:color="auto" w:fill="C6D9F1" w:themeFill="text2" w:themeFillTint="33"/>
            <w:vAlign w:val="center"/>
          </w:tcPr>
          <w:p w:rsidR="006A6F3E" w:rsidRPr="00295641" w:rsidRDefault="006A6F3E" w:rsidP="00DF077D">
            <w:pPr>
              <w:rPr>
                <w:rFonts w:cs="Gotham-Book"/>
                <w:b/>
                <w:color w:val="000000" w:themeColor="text1"/>
              </w:rPr>
            </w:pPr>
            <w:r>
              <w:rPr>
                <w:rFonts w:cs="Gotham-Book"/>
                <w:b/>
                <w:color w:val="000000" w:themeColor="text1"/>
              </w:rPr>
              <w:t>Sociedad civil, iniciativa privada, grupos de trabajo o multilaterales</w:t>
            </w:r>
          </w:p>
        </w:tc>
        <w:tc>
          <w:tcPr>
            <w:tcW w:w="4820" w:type="dxa"/>
            <w:gridSpan w:val="3"/>
          </w:tcPr>
          <w:p w:rsidR="006A6F3E" w:rsidRPr="00295641" w:rsidRDefault="006A6F3E" w:rsidP="00DF077D">
            <w:pPr>
              <w:jc w:val="both"/>
              <w:rPr>
                <w:color w:val="000000" w:themeColor="text1"/>
              </w:rPr>
            </w:pPr>
          </w:p>
        </w:tc>
      </w:tr>
      <w:tr w:rsidR="006A6F3E" w:rsidRPr="00295641" w:rsidTr="002C2EAC">
        <w:tc>
          <w:tcPr>
            <w:tcW w:w="4219" w:type="dxa"/>
            <w:gridSpan w:val="3"/>
            <w:shd w:val="clear" w:color="auto" w:fill="C6D9F1" w:themeFill="text2" w:themeFillTint="33"/>
            <w:vAlign w:val="center"/>
          </w:tcPr>
          <w:p w:rsidR="006A6F3E" w:rsidRPr="00295641" w:rsidRDefault="006A6F3E" w:rsidP="00DF077D">
            <w:pPr>
              <w:rPr>
                <w:rFonts w:cs="Gotham-Book"/>
                <w:b/>
                <w:color w:val="000000" w:themeColor="text1"/>
              </w:rPr>
            </w:pPr>
            <w:r>
              <w:rPr>
                <w:rFonts w:cs="Gotham-Book"/>
                <w:b/>
                <w:color w:val="000000" w:themeColor="text1"/>
              </w:rPr>
              <w:t>Status quo o problema/</w:t>
            </w:r>
            <w:r>
              <w:rPr>
                <w:rFonts w:cs="Gotham-Book"/>
                <w:b/>
                <w:color w:val="000000" w:themeColor="text1"/>
              </w:rPr>
              <w:br/>
              <w:t>desafío que será atendido</w:t>
            </w:r>
          </w:p>
        </w:tc>
        <w:tc>
          <w:tcPr>
            <w:tcW w:w="4820" w:type="dxa"/>
            <w:gridSpan w:val="3"/>
          </w:tcPr>
          <w:p w:rsidR="006A6F3E" w:rsidRDefault="006A6F3E" w:rsidP="00DF077D">
            <w:pPr>
              <w:jc w:val="both"/>
              <w:rPr>
                <w:rFonts w:cs="Calibri"/>
                <w:lang w:val="es-PE"/>
              </w:rPr>
            </w:pPr>
            <w:r w:rsidRPr="00EB4179">
              <w:rPr>
                <w:rFonts w:cs="Calibri"/>
                <w:lang w:val="es-PE"/>
              </w:rPr>
              <w:t xml:space="preserve">Limitada operatividad del SEACE para su uso por parte de los Órganos Encargados de las Contrataciones -OEC-, así como para la búsqueda de </w:t>
            </w:r>
            <w:r>
              <w:rPr>
                <w:rFonts w:cs="Calibri"/>
                <w:lang w:val="es-PE"/>
              </w:rPr>
              <w:t xml:space="preserve">los </w:t>
            </w:r>
            <w:r w:rsidRPr="00EB4179">
              <w:rPr>
                <w:rFonts w:cs="Calibri"/>
                <w:lang w:val="es-PE"/>
              </w:rPr>
              <w:t xml:space="preserve">procesos de las entidades por parte de los proveedores y la ciudadanía.    </w:t>
            </w:r>
          </w:p>
          <w:p w:rsidR="006A6F3E" w:rsidRPr="00295641" w:rsidRDefault="006A6F3E" w:rsidP="00DF077D">
            <w:pPr>
              <w:jc w:val="both"/>
              <w:rPr>
                <w:color w:val="000000" w:themeColor="text1"/>
              </w:rPr>
            </w:pPr>
          </w:p>
        </w:tc>
      </w:tr>
      <w:tr w:rsidR="006A6F3E" w:rsidRPr="00295641" w:rsidTr="002C2EAC">
        <w:tc>
          <w:tcPr>
            <w:tcW w:w="4219" w:type="dxa"/>
            <w:gridSpan w:val="3"/>
            <w:shd w:val="clear" w:color="auto" w:fill="C6D9F1" w:themeFill="text2" w:themeFillTint="33"/>
            <w:vAlign w:val="center"/>
          </w:tcPr>
          <w:p w:rsidR="006A6F3E" w:rsidRPr="00295641" w:rsidRDefault="006A6F3E" w:rsidP="00DF077D">
            <w:pPr>
              <w:rPr>
                <w:b/>
                <w:color w:val="000000" w:themeColor="text1"/>
              </w:rPr>
            </w:pPr>
            <w:r w:rsidRPr="00295641">
              <w:rPr>
                <w:rFonts w:cs="Gotham-Book"/>
                <w:b/>
                <w:color w:val="000000" w:themeColor="text1"/>
              </w:rPr>
              <w:t>Objetivo principal</w:t>
            </w:r>
          </w:p>
        </w:tc>
        <w:tc>
          <w:tcPr>
            <w:tcW w:w="4820" w:type="dxa"/>
            <w:gridSpan w:val="3"/>
          </w:tcPr>
          <w:p w:rsidR="006A6F3E" w:rsidRPr="00D21EEF" w:rsidRDefault="006A6F3E" w:rsidP="00DF077D">
            <w:pPr>
              <w:jc w:val="both"/>
              <w:rPr>
                <w:bCs/>
              </w:rPr>
            </w:pPr>
            <w:r w:rsidRPr="00FD6803">
              <w:rPr>
                <w:bCs/>
              </w:rPr>
              <w:t>Mejorar el SEACE para su uso eficiente, contando con información amigable de procesos similares, simplificando</w:t>
            </w:r>
            <w:r w:rsidR="00C512EA">
              <w:rPr>
                <w:bCs/>
              </w:rPr>
              <w:t>, además,</w:t>
            </w:r>
            <w:r w:rsidRPr="00FD6803">
              <w:rPr>
                <w:bCs/>
              </w:rPr>
              <w:t xml:space="preserve"> la búsqueda de procesos de contrataciones de las entidades públicas y poniendo a disposición información de proveedores potenciales a nivel nacional.    </w:t>
            </w:r>
          </w:p>
        </w:tc>
      </w:tr>
      <w:tr w:rsidR="006A6F3E" w:rsidRPr="00295641" w:rsidTr="002C2EAC">
        <w:tc>
          <w:tcPr>
            <w:tcW w:w="4219" w:type="dxa"/>
            <w:gridSpan w:val="3"/>
            <w:shd w:val="clear" w:color="auto" w:fill="C6D9F1" w:themeFill="text2" w:themeFillTint="33"/>
            <w:vAlign w:val="center"/>
          </w:tcPr>
          <w:p w:rsidR="006A6F3E" w:rsidRPr="00295641" w:rsidRDefault="006A6F3E" w:rsidP="00DF077D">
            <w:pPr>
              <w:autoSpaceDE w:val="0"/>
              <w:autoSpaceDN w:val="0"/>
              <w:adjustRightInd w:val="0"/>
              <w:rPr>
                <w:rFonts w:cs="Gotham-Book"/>
                <w:b/>
                <w:color w:val="000000" w:themeColor="text1"/>
              </w:rPr>
            </w:pPr>
            <w:r>
              <w:rPr>
                <w:rFonts w:cs="Gotham-Book"/>
                <w:b/>
                <w:color w:val="000000" w:themeColor="text1"/>
              </w:rPr>
              <w:t xml:space="preserve">Breve </w:t>
            </w:r>
            <w:r w:rsidRPr="00295641">
              <w:rPr>
                <w:rFonts w:cs="Gotham-Book"/>
                <w:b/>
                <w:color w:val="000000" w:themeColor="text1"/>
              </w:rPr>
              <w:t>Descripción del</w:t>
            </w:r>
          </w:p>
          <w:p w:rsidR="006A6F3E" w:rsidRPr="00295641" w:rsidRDefault="006A6F3E" w:rsidP="00DF077D">
            <w:pPr>
              <w:autoSpaceDE w:val="0"/>
              <w:autoSpaceDN w:val="0"/>
              <w:adjustRightInd w:val="0"/>
              <w:rPr>
                <w:rFonts w:cs="Gotham-Book"/>
                <w:b/>
                <w:color w:val="000000" w:themeColor="text1"/>
              </w:rPr>
            </w:pPr>
            <w:r w:rsidRPr="00295641">
              <w:rPr>
                <w:rFonts w:cs="Gotham-Book"/>
                <w:b/>
                <w:color w:val="000000" w:themeColor="text1"/>
              </w:rPr>
              <w:t>Compromiso</w:t>
            </w:r>
          </w:p>
        </w:tc>
        <w:tc>
          <w:tcPr>
            <w:tcW w:w="4820" w:type="dxa"/>
            <w:gridSpan w:val="3"/>
          </w:tcPr>
          <w:p w:rsidR="006A6F3E" w:rsidRPr="004C1255" w:rsidRDefault="006A6F3E" w:rsidP="00DF077D">
            <w:pPr>
              <w:jc w:val="both"/>
              <w:rPr>
                <w:szCs w:val="20"/>
                <w:lang w:val="es-PE"/>
              </w:rPr>
            </w:pPr>
            <w:r w:rsidRPr="00FD6803">
              <w:rPr>
                <w:szCs w:val="20"/>
                <w:lang w:val="es-PE"/>
              </w:rPr>
              <w:t>Mejorar el Portal del Sistema Electrónico de Adquisiciones del Estado (SEACE)</w:t>
            </w:r>
            <w:r w:rsidR="00C512EA">
              <w:rPr>
                <w:szCs w:val="20"/>
                <w:lang w:val="es-PE"/>
              </w:rPr>
              <w:t>,</w:t>
            </w:r>
            <w:r w:rsidRPr="00FD6803">
              <w:rPr>
                <w:szCs w:val="20"/>
                <w:lang w:val="es-PE"/>
              </w:rPr>
              <w:t xml:space="preserve"> a través de la implementación de módulos que faciliten la búsqueda de procesos de contrataciones de las entidades públicas</w:t>
            </w:r>
            <w:r>
              <w:rPr>
                <w:szCs w:val="20"/>
                <w:lang w:val="es-PE"/>
              </w:rPr>
              <w:t>.</w:t>
            </w:r>
          </w:p>
        </w:tc>
      </w:tr>
      <w:tr w:rsidR="006A6F3E" w:rsidRPr="00295641" w:rsidTr="002C2EAC">
        <w:tc>
          <w:tcPr>
            <w:tcW w:w="4219" w:type="dxa"/>
            <w:gridSpan w:val="3"/>
            <w:shd w:val="clear" w:color="auto" w:fill="C6D9F1" w:themeFill="text2" w:themeFillTint="33"/>
            <w:vAlign w:val="center"/>
          </w:tcPr>
          <w:p w:rsidR="006A6F3E" w:rsidRPr="00295641" w:rsidRDefault="006A6F3E" w:rsidP="00DF077D">
            <w:pPr>
              <w:autoSpaceDE w:val="0"/>
              <w:autoSpaceDN w:val="0"/>
              <w:adjustRightInd w:val="0"/>
              <w:rPr>
                <w:rFonts w:cs="Gotham-Book"/>
                <w:b/>
                <w:color w:val="000000" w:themeColor="text1"/>
              </w:rPr>
            </w:pPr>
            <w:r w:rsidRPr="00295641">
              <w:rPr>
                <w:rFonts w:cs="Gotham-Book"/>
                <w:b/>
                <w:color w:val="000000" w:themeColor="text1"/>
              </w:rPr>
              <w:t>Relevancia</w:t>
            </w:r>
          </w:p>
          <w:p w:rsidR="006A6F3E" w:rsidRPr="00295641" w:rsidRDefault="006A6F3E" w:rsidP="00DF077D">
            <w:pPr>
              <w:autoSpaceDE w:val="0"/>
              <w:autoSpaceDN w:val="0"/>
              <w:adjustRightInd w:val="0"/>
              <w:rPr>
                <w:b/>
                <w:color w:val="000000" w:themeColor="text1"/>
              </w:rPr>
            </w:pPr>
          </w:p>
        </w:tc>
        <w:tc>
          <w:tcPr>
            <w:tcW w:w="4820" w:type="dxa"/>
            <w:gridSpan w:val="3"/>
          </w:tcPr>
          <w:p w:rsidR="006A6F3E" w:rsidRDefault="006A6F3E" w:rsidP="00DF077D">
            <w:pPr>
              <w:jc w:val="both"/>
              <w:rPr>
                <w:szCs w:val="20"/>
                <w:lang w:val="es-PE"/>
              </w:rPr>
            </w:pPr>
            <w:r w:rsidRPr="00A34967">
              <w:rPr>
                <w:szCs w:val="20"/>
                <w:lang w:val="es-PE"/>
              </w:rPr>
              <w:t>El compromiso asumido por el OSCE contribuye como una medida de contingencia ante una eventual caída y/o prohibición de la herramienta tecnológica que a la fecha funciona como SEACE 2.0</w:t>
            </w:r>
            <w:r>
              <w:rPr>
                <w:szCs w:val="20"/>
                <w:lang w:val="es-PE"/>
              </w:rPr>
              <w:t xml:space="preserve"> (Sistema Electrónico de Adquisiciones del Estado), habiéndose implementado los módulos PAC versión 2.9, Contratos versión 2.9 y CUBSO versión 2.9. </w:t>
            </w:r>
          </w:p>
          <w:p w:rsidR="006A6F3E" w:rsidRPr="00F142A5" w:rsidRDefault="006A6F3E" w:rsidP="00DF077D">
            <w:pPr>
              <w:jc w:val="both"/>
              <w:rPr>
                <w:szCs w:val="20"/>
                <w:lang w:val="es-PE"/>
              </w:rPr>
            </w:pPr>
            <w:r>
              <w:rPr>
                <w:szCs w:val="20"/>
                <w:lang w:val="es-PE"/>
              </w:rPr>
              <w:t xml:space="preserve">Cabe precisar que, dicha herramienta tecnológica fomenta la transparencia, y coadyuva en la lucha contra la corrupción. </w:t>
            </w:r>
          </w:p>
        </w:tc>
      </w:tr>
      <w:tr w:rsidR="006A6F3E" w:rsidRPr="00295641" w:rsidTr="002C2EAC">
        <w:tc>
          <w:tcPr>
            <w:tcW w:w="4219" w:type="dxa"/>
            <w:gridSpan w:val="3"/>
            <w:shd w:val="clear" w:color="auto" w:fill="C6D9F1" w:themeFill="text2" w:themeFillTint="33"/>
            <w:vAlign w:val="center"/>
          </w:tcPr>
          <w:p w:rsidR="006A6F3E" w:rsidRPr="00295641" w:rsidRDefault="006A6F3E" w:rsidP="00DF077D">
            <w:pPr>
              <w:autoSpaceDE w:val="0"/>
              <w:autoSpaceDN w:val="0"/>
              <w:adjustRightInd w:val="0"/>
              <w:rPr>
                <w:rFonts w:cs="Gotham-Book"/>
                <w:b/>
                <w:color w:val="000000" w:themeColor="text1"/>
              </w:rPr>
            </w:pPr>
            <w:r w:rsidRPr="00295641">
              <w:rPr>
                <w:rFonts w:cs="Gotham-Book"/>
                <w:b/>
                <w:color w:val="000000" w:themeColor="text1"/>
              </w:rPr>
              <w:t>Ambición</w:t>
            </w:r>
          </w:p>
          <w:p w:rsidR="006A6F3E" w:rsidRPr="00295641" w:rsidRDefault="006A6F3E" w:rsidP="00DF077D">
            <w:pPr>
              <w:autoSpaceDE w:val="0"/>
              <w:autoSpaceDN w:val="0"/>
              <w:adjustRightInd w:val="0"/>
              <w:rPr>
                <w:rFonts w:cs="Gotham-BookItalic"/>
                <w:b/>
                <w:iCs/>
                <w:color w:val="000000" w:themeColor="text1"/>
              </w:rPr>
            </w:pPr>
          </w:p>
        </w:tc>
        <w:tc>
          <w:tcPr>
            <w:tcW w:w="4820" w:type="dxa"/>
            <w:gridSpan w:val="3"/>
          </w:tcPr>
          <w:p w:rsidR="006A6F3E" w:rsidRDefault="006A6F3E" w:rsidP="00DF077D">
            <w:pPr>
              <w:jc w:val="both"/>
              <w:rPr>
                <w:szCs w:val="20"/>
                <w:lang w:val="es-PE"/>
              </w:rPr>
            </w:pPr>
            <w:r>
              <w:rPr>
                <w:szCs w:val="20"/>
                <w:lang w:val="es-PE"/>
              </w:rPr>
              <w:t>Se espera que</w:t>
            </w:r>
            <w:r w:rsidR="00C512EA">
              <w:rPr>
                <w:szCs w:val="20"/>
                <w:lang w:val="es-PE"/>
              </w:rPr>
              <w:t xml:space="preserve"> se realicen las mejoras a</w:t>
            </w:r>
            <w:r>
              <w:rPr>
                <w:szCs w:val="20"/>
                <w:lang w:val="es-PE"/>
              </w:rPr>
              <w:t>l Sistema Electrónico de Adquisiciones d</w:t>
            </w:r>
            <w:r w:rsidR="00C512EA">
              <w:rPr>
                <w:szCs w:val="20"/>
                <w:lang w:val="es-PE"/>
              </w:rPr>
              <w:t xml:space="preserve">el Estado (SEACE), </w:t>
            </w:r>
            <w:r>
              <w:rPr>
                <w:szCs w:val="20"/>
                <w:lang w:val="es-PE"/>
              </w:rPr>
              <w:t xml:space="preserve">a través de la implementación de los módulos de: </w:t>
            </w:r>
          </w:p>
          <w:p w:rsidR="006A6F3E" w:rsidRDefault="006A6F3E" w:rsidP="00DF077D">
            <w:pPr>
              <w:jc w:val="both"/>
              <w:rPr>
                <w:szCs w:val="20"/>
                <w:lang w:val="es-PE"/>
              </w:rPr>
            </w:pPr>
            <w:r w:rsidRPr="0078013D">
              <w:rPr>
                <w:szCs w:val="20"/>
                <w:lang w:val="es-PE"/>
              </w:rPr>
              <w:t>Plan Anual de Contrataciones – PAC</w:t>
            </w:r>
            <w:r>
              <w:rPr>
                <w:szCs w:val="20"/>
                <w:lang w:val="es-PE"/>
              </w:rPr>
              <w:t xml:space="preserve"> versión 2.9; </w:t>
            </w:r>
            <w:r w:rsidRPr="0078013D">
              <w:rPr>
                <w:szCs w:val="20"/>
                <w:lang w:val="es-PE"/>
              </w:rPr>
              <w:t xml:space="preserve"> </w:t>
            </w:r>
          </w:p>
          <w:p w:rsidR="006A6F3E" w:rsidRPr="0078013D" w:rsidRDefault="006A6F3E" w:rsidP="00DF077D">
            <w:pPr>
              <w:jc w:val="both"/>
              <w:rPr>
                <w:szCs w:val="20"/>
                <w:lang w:val="es-PE"/>
              </w:rPr>
            </w:pPr>
            <w:r w:rsidRPr="0078013D">
              <w:rPr>
                <w:szCs w:val="20"/>
                <w:lang w:val="es-PE"/>
              </w:rPr>
              <w:t xml:space="preserve">Catálogo Único </w:t>
            </w:r>
            <w:r>
              <w:rPr>
                <w:szCs w:val="20"/>
                <w:lang w:val="es-PE"/>
              </w:rPr>
              <w:t xml:space="preserve">de Bienes, Servicios y </w:t>
            </w:r>
            <w:r w:rsidRPr="0078013D">
              <w:rPr>
                <w:szCs w:val="20"/>
                <w:lang w:val="es-PE"/>
              </w:rPr>
              <w:t>Obras –</w:t>
            </w:r>
            <w:r>
              <w:rPr>
                <w:szCs w:val="20"/>
                <w:lang w:val="es-PE"/>
              </w:rPr>
              <w:t xml:space="preserve"> CUBSO versión 2.9; y el </w:t>
            </w:r>
            <w:r w:rsidRPr="0078013D">
              <w:rPr>
                <w:szCs w:val="20"/>
                <w:lang w:val="es-PE"/>
              </w:rPr>
              <w:t>módulo de contratos</w:t>
            </w:r>
            <w:r>
              <w:rPr>
                <w:szCs w:val="20"/>
                <w:lang w:val="es-PE"/>
              </w:rPr>
              <w:t xml:space="preserve"> 2.9</w:t>
            </w:r>
            <w:r w:rsidRPr="0078013D">
              <w:rPr>
                <w:szCs w:val="20"/>
                <w:lang w:val="es-PE"/>
              </w:rPr>
              <w:t xml:space="preserve">. </w:t>
            </w:r>
          </w:p>
        </w:tc>
      </w:tr>
      <w:tr w:rsidR="006A6F3E" w:rsidRPr="00295641" w:rsidTr="002C2EAC">
        <w:tc>
          <w:tcPr>
            <w:tcW w:w="1526" w:type="dxa"/>
            <w:vMerge w:val="restart"/>
            <w:shd w:val="clear" w:color="auto" w:fill="C6D9F1" w:themeFill="text2" w:themeFillTint="33"/>
            <w:vAlign w:val="center"/>
          </w:tcPr>
          <w:p w:rsidR="006A6F3E" w:rsidRPr="00295641" w:rsidRDefault="006A6F3E" w:rsidP="00DF077D">
            <w:pPr>
              <w:rPr>
                <w:b/>
                <w:color w:val="000000" w:themeColor="text1"/>
              </w:rPr>
            </w:pPr>
            <w:r w:rsidRPr="00295641">
              <w:rPr>
                <w:rFonts w:cs="Gotham-Book"/>
                <w:b/>
                <w:color w:val="000000" w:themeColor="text1"/>
              </w:rPr>
              <w:t>Cumplimiento</w:t>
            </w:r>
          </w:p>
        </w:tc>
        <w:tc>
          <w:tcPr>
            <w:tcW w:w="2693" w:type="dxa"/>
            <w:gridSpan w:val="2"/>
            <w:shd w:val="clear" w:color="auto" w:fill="C6D9F1" w:themeFill="text2" w:themeFillTint="33"/>
          </w:tcPr>
          <w:p w:rsidR="006A6F3E" w:rsidRPr="00295641" w:rsidRDefault="006A6F3E" w:rsidP="00DF077D">
            <w:pPr>
              <w:jc w:val="center"/>
              <w:rPr>
                <w:b/>
                <w:color w:val="000000" w:themeColor="text1"/>
              </w:rPr>
            </w:pPr>
            <w:r w:rsidRPr="00295641">
              <w:rPr>
                <w:rFonts w:cs="Gotham-Book"/>
                <w:b/>
                <w:color w:val="000000" w:themeColor="text1"/>
              </w:rPr>
              <w:t>No iniciado</w:t>
            </w:r>
          </w:p>
        </w:tc>
        <w:tc>
          <w:tcPr>
            <w:tcW w:w="1729" w:type="dxa"/>
            <w:shd w:val="clear" w:color="auto" w:fill="C6D9F1" w:themeFill="text2" w:themeFillTint="33"/>
          </w:tcPr>
          <w:p w:rsidR="006A6F3E" w:rsidRPr="00295641" w:rsidRDefault="006A6F3E" w:rsidP="00DF077D">
            <w:pPr>
              <w:jc w:val="center"/>
              <w:rPr>
                <w:b/>
                <w:color w:val="000000" w:themeColor="text1"/>
              </w:rPr>
            </w:pPr>
            <w:r w:rsidRPr="00295641">
              <w:rPr>
                <w:rFonts w:cs="Gotham-Book"/>
                <w:b/>
                <w:color w:val="000000" w:themeColor="text1"/>
              </w:rPr>
              <w:t>Limitado</w:t>
            </w:r>
          </w:p>
        </w:tc>
        <w:tc>
          <w:tcPr>
            <w:tcW w:w="1644" w:type="dxa"/>
            <w:shd w:val="clear" w:color="auto" w:fill="C6D9F1" w:themeFill="text2" w:themeFillTint="33"/>
          </w:tcPr>
          <w:p w:rsidR="006A6F3E" w:rsidRPr="00295641" w:rsidRDefault="006A6F3E" w:rsidP="00DF077D">
            <w:pPr>
              <w:jc w:val="center"/>
              <w:rPr>
                <w:b/>
                <w:color w:val="000000" w:themeColor="text1"/>
              </w:rPr>
            </w:pPr>
            <w:r w:rsidRPr="00295641">
              <w:rPr>
                <w:rFonts w:cs="Gotham-Book"/>
                <w:b/>
                <w:color w:val="000000" w:themeColor="text1"/>
              </w:rPr>
              <w:t>Sustancial</w:t>
            </w:r>
          </w:p>
        </w:tc>
        <w:tc>
          <w:tcPr>
            <w:tcW w:w="1447" w:type="dxa"/>
            <w:shd w:val="clear" w:color="auto" w:fill="C6D9F1" w:themeFill="text2" w:themeFillTint="33"/>
          </w:tcPr>
          <w:p w:rsidR="006A6F3E" w:rsidRPr="00295641" w:rsidRDefault="006A6F3E" w:rsidP="00DF077D">
            <w:pPr>
              <w:jc w:val="center"/>
              <w:rPr>
                <w:b/>
                <w:color w:val="000000" w:themeColor="text1"/>
              </w:rPr>
            </w:pPr>
            <w:r w:rsidRPr="00295641">
              <w:rPr>
                <w:rFonts w:cs="Gotham-Book"/>
                <w:b/>
                <w:color w:val="000000" w:themeColor="text1"/>
              </w:rPr>
              <w:t>Completo</w:t>
            </w:r>
          </w:p>
        </w:tc>
      </w:tr>
      <w:tr w:rsidR="006A6F3E" w:rsidRPr="00295641" w:rsidTr="002C2EAC">
        <w:tc>
          <w:tcPr>
            <w:tcW w:w="1526" w:type="dxa"/>
            <w:vMerge/>
            <w:shd w:val="clear" w:color="auto" w:fill="C6D9F1" w:themeFill="text2" w:themeFillTint="33"/>
            <w:vAlign w:val="center"/>
          </w:tcPr>
          <w:p w:rsidR="006A6F3E" w:rsidRPr="00295641" w:rsidRDefault="006A6F3E" w:rsidP="00DF077D">
            <w:pPr>
              <w:rPr>
                <w:b/>
                <w:color w:val="000000" w:themeColor="text1"/>
              </w:rPr>
            </w:pPr>
          </w:p>
        </w:tc>
        <w:tc>
          <w:tcPr>
            <w:tcW w:w="2693" w:type="dxa"/>
            <w:gridSpan w:val="2"/>
          </w:tcPr>
          <w:p w:rsidR="006A6F3E" w:rsidRPr="00295641" w:rsidRDefault="006A6F3E" w:rsidP="00DF077D">
            <w:pPr>
              <w:jc w:val="center"/>
              <w:rPr>
                <w:b/>
                <w:color w:val="000000" w:themeColor="text1"/>
              </w:rPr>
            </w:pPr>
          </w:p>
        </w:tc>
        <w:tc>
          <w:tcPr>
            <w:tcW w:w="1729" w:type="dxa"/>
          </w:tcPr>
          <w:p w:rsidR="006A6F3E" w:rsidRPr="00295641" w:rsidRDefault="001C55F9" w:rsidP="00DF077D">
            <w:pPr>
              <w:jc w:val="center"/>
              <w:rPr>
                <w:b/>
                <w:color w:val="000000" w:themeColor="text1"/>
              </w:rPr>
            </w:pPr>
            <w:r>
              <w:rPr>
                <w:b/>
                <w:color w:val="000000" w:themeColor="text1"/>
              </w:rPr>
              <w:t>X</w:t>
            </w:r>
          </w:p>
        </w:tc>
        <w:tc>
          <w:tcPr>
            <w:tcW w:w="1644" w:type="dxa"/>
          </w:tcPr>
          <w:p w:rsidR="006A6F3E" w:rsidRPr="00295641" w:rsidRDefault="006A6F3E" w:rsidP="00DF077D">
            <w:pPr>
              <w:jc w:val="center"/>
              <w:rPr>
                <w:b/>
                <w:color w:val="000000" w:themeColor="text1"/>
              </w:rPr>
            </w:pPr>
          </w:p>
        </w:tc>
        <w:tc>
          <w:tcPr>
            <w:tcW w:w="1447" w:type="dxa"/>
            <w:shd w:val="clear" w:color="auto" w:fill="FFFFFF" w:themeFill="background1"/>
          </w:tcPr>
          <w:p w:rsidR="006A6F3E" w:rsidRPr="00295641" w:rsidRDefault="006A6F3E" w:rsidP="00DF077D">
            <w:pPr>
              <w:jc w:val="center"/>
              <w:rPr>
                <w:b/>
                <w:color w:val="000000" w:themeColor="text1"/>
              </w:rPr>
            </w:pPr>
          </w:p>
        </w:tc>
      </w:tr>
      <w:tr w:rsidR="006A6F3E" w:rsidRPr="00295641" w:rsidTr="002C2EAC">
        <w:tc>
          <w:tcPr>
            <w:tcW w:w="1526" w:type="dxa"/>
            <w:shd w:val="clear" w:color="auto" w:fill="C6D9F1" w:themeFill="text2" w:themeFillTint="33"/>
            <w:vAlign w:val="center"/>
          </w:tcPr>
          <w:p w:rsidR="006A6F3E" w:rsidRPr="00295641" w:rsidRDefault="006A6F3E" w:rsidP="00DF077D">
            <w:pPr>
              <w:autoSpaceDE w:val="0"/>
              <w:autoSpaceDN w:val="0"/>
              <w:adjustRightInd w:val="0"/>
              <w:rPr>
                <w:rFonts w:cs="Gotham-Book"/>
                <w:b/>
                <w:color w:val="000000" w:themeColor="text1"/>
              </w:rPr>
            </w:pPr>
            <w:r w:rsidRPr="00295641">
              <w:rPr>
                <w:rFonts w:cs="Gotham-Book"/>
                <w:b/>
                <w:color w:val="000000" w:themeColor="text1"/>
              </w:rPr>
              <w:t>Descripción de los resultados</w:t>
            </w:r>
          </w:p>
          <w:p w:rsidR="006A6F3E" w:rsidRPr="00295641" w:rsidRDefault="006A6F3E" w:rsidP="00DF077D">
            <w:pPr>
              <w:autoSpaceDE w:val="0"/>
              <w:autoSpaceDN w:val="0"/>
              <w:adjustRightInd w:val="0"/>
              <w:rPr>
                <w:rFonts w:cs="Gotham-BookItalic"/>
                <w:b/>
                <w:iCs/>
                <w:color w:val="000000" w:themeColor="text1"/>
              </w:rPr>
            </w:pPr>
          </w:p>
        </w:tc>
        <w:tc>
          <w:tcPr>
            <w:tcW w:w="7513" w:type="dxa"/>
            <w:gridSpan w:val="5"/>
          </w:tcPr>
          <w:p w:rsidR="006A6F3E" w:rsidRDefault="006A6F3E" w:rsidP="00DF077D">
            <w:pPr>
              <w:jc w:val="both"/>
              <w:rPr>
                <w:szCs w:val="20"/>
                <w:lang w:val="es-PE"/>
              </w:rPr>
            </w:pPr>
            <w:r>
              <w:rPr>
                <w:szCs w:val="20"/>
                <w:lang w:val="es-PE"/>
              </w:rPr>
              <w:t>Para el cumplimiento del compromiso, se ha contemplado la realización de las siguientes actividades:</w:t>
            </w:r>
          </w:p>
          <w:p w:rsidR="006A6F3E" w:rsidRDefault="006A6F3E" w:rsidP="00DF077D">
            <w:pPr>
              <w:jc w:val="both"/>
              <w:rPr>
                <w:szCs w:val="20"/>
                <w:lang w:val="es-PE"/>
              </w:rPr>
            </w:pPr>
          </w:p>
          <w:p w:rsidR="006A6F3E" w:rsidRPr="001C55F9" w:rsidRDefault="001C55F9" w:rsidP="001C55F9">
            <w:pPr>
              <w:pStyle w:val="Prrafodelista"/>
              <w:ind w:left="204"/>
              <w:jc w:val="both"/>
              <w:rPr>
                <w:b/>
                <w:i/>
                <w:szCs w:val="20"/>
                <w:lang w:val="es-PE"/>
              </w:rPr>
            </w:pPr>
            <w:r>
              <w:rPr>
                <w:b/>
                <w:i/>
                <w:szCs w:val="20"/>
                <w:lang w:val="es-PE"/>
              </w:rPr>
              <w:t xml:space="preserve">1. </w:t>
            </w:r>
            <w:r w:rsidR="006A6F3E" w:rsidRPr="001C55F9">
              <w:rPr>
                <w:b/>
                <w:i/>
                <w:szCs w:val="20"/>
                <w:lang w:val="es-PE"/>
              </w:rPr>
              <w:t>Implementación de los módulos del Plan Anual de Contrataciones - PAC</w:t>
            </w:r>
          </w:p>
          <w:p w:rsidR="006A6F3E" w:rsidRPr="001C55F9" w:rsidRDefault="006A6F3E" w:rsidP="001C55F9">
            <w:pPr>
              <w:pStyle w:val="Prrafodelista"/>
              <w:ind w:left="346"/>
              <w:jc w:val="both"/>
              <w:rPr>
                <w:b/>
                <w:i/>
                <w:szCs w:val="20"/>
                <w:lang w:val="es-PE"/>
              </w:rPr>
            </w:pPr>
            <w:r w:rsidRPr="001C55F9">
              <w:rPr>
                <w:b/>
                <w:i/>
                <w:szCs w:val="20"/>
                <w:lang w:val="es-PE"/>
              </w:rPr>
              <w:t>Catálogo Único de Bienes, Servicios y Obras –CUBSO.</w:t>
            </w:r>
          </w:p>
          <w:p w:rsidR="006A6F3E" w:rsidRPr="001C55F9" w:rsidRDefault="001C55F9" w:rsidP="001C55F9">
            <w:pPr>
              <w:pStyle w:val="Prrafodelista"/>
              <w:ind w:left="360" w:hanging="156"/>
              <w:jc w:val="both"/>
              <w:rPr>
                <w:b/>
                <w:i/>
                <w:szCs w:val="20"/>
                <w:lang w:val="es-PE"/>
              </w:rPr>
            </w:pPr>
            <w:r>
              <w:rPr>
                <w:b/>
                <w:i/>
                <w:szCs w:val="20"/>
                <w:lang w:val="es-PE"/>
              </w:rPr>
              <w:t xml:space="preserve">2. </w:t>
            </w:r>
            <w:r w:rsidR="006A6F3E" w:rsidRPr="001C55F9">
              <w:rPr>
                <w:b/>
                <w:i/>
                <w:szCs w:val="20"/>
                <w:lang w:val="es-PE"/>
              </w:rPr>
              <w:t xml:space="preserve">Implementación del Módulo de Contratos </w:t>
            </w:r>
          </w:p>
          <w:p w:rsidR="006A6F3E" w:rsidRDefault="00C512EA" w:rsidP="00DF077D">
            <w:pPr>
              <w:pStyle w:val="Prrafodelista"/>
              <w:ind w:left="204"/>
              <w:jc w:val="both"/>
              <w:rPr>
                <w:szCs w:val="20"/>
                <w:lang w:val="es-PE"/>
              </w:rPr>
            </w:pPr>
            <w:r>
              <w:rPr>
                <w:szCs w:val="20"/>
                <w:lang w:val="es-PE"/>
              </w:rPr>
              <w:t xml:space="preserve">Se reprogramaron las pruebas funcionales de </w:t>
            </w:r>
            <w:r w:rsidR="006A6F3E">
              <w:rPr>
                <w:szCs w:val="20"/>
                <w:lang w:val="es-PE"/>
              </w:rPr>
              <w:t xml:space="preserve">los módulos del Plan Anual de Contrataciones – PAC </w:t>
            </w:r>
            <w:r w:rsidR="006A6F3E" w:rsidRPr="00AC0337">
              <w:rPr>
                <w:szCs w:val="20"/>
                <w:lang w:val="es-PE"/>
              </w:rPr>
              <w:t>para el mes de diciembre</w:t>
            </w:r>
            <w:r w:rsidR="001C55F9">
              <w:rPr>
                <w:szCs w:val="20"/>
                <w:lang w:val="es-PE"/>
              </w:rPr>
              <w:t xml:space="preserve"> 2016</w:t>
            </w:r>
            <w:r w:rsidR="006A6F3E" w:rsidRPr="00AC0337">
              <w:rPr>
                <w:szCs w:val="20"/>
                <w:lang w:val="es-PE"/>
              </w:rPr>
              <w:t xml:space="preserve">. </w:t>
            </w:r>
            <w:r>
              <w:rPr>
                <w:szCs w:val="20"/>
                <w:lang w:val="es-PE"/>
              </w:rPr>
              <w:t>A</w:t>
            </w:r>
            <w:r w:rsidR="006A6F3E" w:rsidRPr="00AC0337">
              <w:rPr>
                <w:szCs w:val="20"/>
                <w:lang w:val="es-PE"/>
              </w:rPr>
              <w:t xml:space="preserve"> partir del </w:t>
            </w:r>
            <w:r w:rsidR="00E64984">
              <w:rPr>
                <w:szCs w:val="20"/>
                <w:lang w:val="es-PE"/>
              </w:rPr>
              <w:t>primer semestre</w:t>
            </w:r>
            <w:r w:rsidR="006A6F3E" w:rsidRPr="00AC0337">
              <w:rPr>
                <w:szCs w:val="20"/>
                <w:lang w:val="es-PE"/>
              </w:rPr>
              <w:t xml:space="preserve"> del 2017 estaría disponible para el uso de los administrados. </w:t>
            </w:r>
          </w:p>
          <w:p w:rsidR="006A6F3E" w:rsidRDefault="006A6F3E" w:rsidP="00DF077D">
            <w:pPr>
              <w:pStyle w:val="Prrafodelista"/>
              <w:ind w:left="204"/>
              <w:jc w:val="both"/>
              <w:rPr>
                <w:color w:val="000000" w:themeColor="text1"/>
              </w:rPr>
            </w:pPr>
            <w:r>
              <w:rPr>
                <w:color w:val="000000" w:themeColor="text1"/>
              </w:rPr>
              <w:t>La Dirección del SEACE, como parte de las acciones técnicas, viene recopila</w:t>
            </w:r>
            <w:r w:rsidR="001C55F9">
              <w:rPr>
                <w:color w:val="000000" w:themeColor="text1"/>
              </w:rPr>
              <w:t>ndo</w:t>
            </w:r>
            <w:r>
              <w:rPr>
                <w:color w:val="000000" w:themeColor="text1"/>
              </w:rPr>
              <w:t xml:space="preserve"> los Casos de Uso Actualizado de acuerdo a la normativa vigente, que concluirá en un informe final</w:t>
            </w:r>
            <w:r w:rsidR="00C512EA">
              <w:rPr>
                <w:color w:val="000000" w:themeColor="text1"/>
              </w:rPr>
              <w:t>, el cual</w:t>
            </w:r>
            <w:r>
              <w:rPr>
                <w:color w:val="000000" w:themeColor="text1"/>
              </w:rPr>
              <w:t xml:space="preserve"> establecerá las especificaciones técnicas </w:t>
            </w:r>
            <w:r w:rsidR="00C512EA">
              <w:rPr>
                <w:color w:val="000000" w:themeColor="text1"/>
              </w:rPr>
              <w:t xml:space="preserve">para la implementación de </w:t>
            </w:r>
            <w:r>
              <w:rPr>
                <w:color w:val="000000" w:themeColor="text1"/>
              </w:rPr>
              <w:t xml:space="preserve">la nueva herramienta tecnológica. </w:t>
            </w:r>
          </w:p>
          <w:p w:rsidR="006A6F3E" w:rsidRPr="0094684C" w:rsidRDefault="006A6F3E" w:rsidP="00DF077D">
            <w:pPr>
              <w:jc w:val="both"/>
              <w:rPr>
                <w:szCs w:val="20"/>
                <w:lang w:val="es-PE"/>
              </w:rPr>
            </w:pPr>
            <w:r>
              <w:rPr>
                <w:szCs w:val="20"/>
                <w:lang w:val="es-PE"/>
              </w:rPr>
              <w:t>Fuente: Memorando N° 0401-2016/OTI de fecha 26 de agosto del 2016.</w:t>
            </w:r>
          </w:p>
        </w:tc>
      </w:tr>
      <w:tr w:rsidR="006A6F3E" w:rsidRPr="00295641" w:rsidTr="002C2EAC">
        <w:tc>
          <w:tcPr>
            <w:tcW w:w="1526" w:type="dxa"/>
            <w:shd w:val="clear" w:color="auto" w:fill="C6D9F1" w:themeFill="text2" w:themeFillTint="33"/>
            <w:vAlign w:val="center"/>
          </w:tcPr>
          <w:p w:rsidR="006A6F3E" w:rsidRPr="00295641" w:rsidRDefault="006A6F3E" w:rsidP="00DF077D">
            <w:pPr>
              <w:rPr>
                <w:b/>
                <w:color w:val="000000" w:themeColor="text1"/>
              </w:rPr>
            </w:pPr>
            <w:r w:rsidRPr="00295641">
              <w:rPr>
                <w:rFonts w:cs="Gotham-Book"/>
                <w:b/>
                <w:color w:val="000000" w:themeColor="text1"/>
              </w:rPr>
              <w:t>Fecha de conclusión</w:t>
            </w:r>
          </w:p>
        </w:tc>
        <w:tc>
          <w:tcPr>
            <w:tcW w:w="7513" w:type="dxa"/>
            <w:gridSpan w:val="5"/>
          </w:tcPr>
          <w:p w:rsidR="006A6F3E" w:rsidRPr="001C55F9" w:rsidRDefault="006A6F3E" w:rsidP="001C55F9">
            <w:pPr>
              <w:jc w:val="both"/>
              <w:rPr>
                <w:color w:val="000000" w:themeColor="text1"/>
              </w:rPr>
            </w:pPr>
            <w:r w:rsidRPr="001C55F9">
              <w:rPr>
                <w:color w:val="000000" w:themeColor="text1"/>
              </w:rPr>
              <w:t>Junio de 2017</w:t>
            </w:r>
          </w:p>
        </w:tc>
      </w:tr>
      <w:tr w:rsidR="006A6F3E" w:rsidRPr="00295641" w:rsidTr="002C2EAC">
        <w:tc>
          <w:tcPr>
            <w:tcW w:w="1526" w:type="dxa"/>
            <w:shd w:val="clear" w:color="auto" w:fill="C6D9F1" w:themeFill="text2" w:themeFillTint="33"/>
            <w:vAlign w:val="center"/>
          </w:tcPr>
          <w:p w:rsidR="006A6F3E" w:rsidRPr="00295641" w:rsidRDefault="006A6F3E" w:rsidP="00DF077D">
            <w:pPr>
              <w:rPr>
                <w:b/>
                <w:color w:val="000000" w:themeColor="text1"/>
              </w:rPr>
            </w:pPr>
            <w:r w:rsidRPr="00295641">
              <w:rPr>
                <w:rFonts w:cs="Gotham-Book"/>
                <w:b/>
                <w:color w:val="000000" w:themeColor="text1"/>
              </w:rPr>
              <w:t>Próximos pasos</w:t>
            </w:r>
          </w:p>
        </w:tc>
        <w:tc>
          <w:tcPr>
            <w:tcW w:w="7513" w:type="dxa"/>
            <w:gridSpan w:val="5"/>
          </w:tcPr>
          <w:p w:rsidR="006A6F3E" w:rsidRPr="0094684C" w:rsidRDefault="006A6F3E" w:rsidP="001C55F9">
            <w:pPr>
              <w:pStyle w:val="Prrafodelista"/>
              <w:ind w:left="204"/>
              <w:jc w:val="both"/>
              <w:rPr>
                <w:color w:val="000000" w:themeColor="text1"/>
              </w:rPr>
            </w:pPr>
            <w:r>
              <w:rPr>
                <w:color w:val="000000" w:themeColor="text1"/>
              </w:rPr>
              <w:t xml:space="preserve">Elaboración de los Términos de Referencia (TDR) para la contratación de un servicio de consultoría que implementará las actividades antes detalladas. </w:t>
            </w:r>
          </w:p>
        </w:tc>
      </w:tr>
      <w:tr w:rsidR="006A6F3E" w:rsidRPr="00295641" w:rsidTr="002C2EAC">
        <w:tc>
          <w:tcPr>
            <w:tcW w:w="9039" w:type="dxa"/>
            <w:gridSpan w:val="6"/>
          </w:tcPr>
          <w:p w:rsidR="006A6F3E" w:rsidRPr="00295641" w:rsidRDefault="006A6F3E" w:rsidP="00DF077D">
            <w:pPr>
              <w:jc w:val="both"/>
              <w:rPr>
                <w:rFonts w:cs="Gotham-Book"/>
                <w:b/>
                <w:color w:val="000000" w:themeColor="text1"/>
              </w:rPr>
            </w:pPr>
          </w:p>
          <w:p w:rsidR="006A6F3E" w:rsidRPr="00295641" w:rsidRDefault="006A6F3E" w:rsidP="00DF077D">
            <w:pPr>
              <w:jc w:val="both"/>
              <w:rPr>
                <w:color w:val="000000" w:themeColor="text1"/>
              </w:rPr>
            </w:pPr>
            <w:r>
              <w:rPr>
                <w:rFonts w:cs="Gotham-Book"/>
                <w:b/>
                <w:color w:val="000000" w:themeColor="text1"/>
              </w:rPr>
              <w:t>Información adicional</w:t>
            </w:r>
          </w:p>
        </w:tc>
      </w:tr>
    </w:tbl>
    <w:p w:rsidR="007C1FFC" w:rsidRDefault="007C1FFC"/>
    <w:p w:rsidR="00DF077D" w:rsidRDefault="00DF077D"/>
    <w:p w:rsidR="00877B2F" w:rsidRDefault="00877B2F"/>
    <w:p w:rsidR="00877B2F" w:rsidRDefault="00877B2F"/>
    <w:p w:rsidR="00877B2F" w:rsidRDefault="00877B2F"/>
    <w:p w:rsidR="009C7D2E" w:rsidRDefault="009C7D2E"/>
    <w:p w:rsidR="009C7D2E" w:rsidRDefault="009C7D2E"/>
    <w:p w:rsidR="009C7D2E" w:rsidRDefault="009C7D2E"/>
    <w:p w:rsidR="009C7D2E" w:rsidRDefault="009C7D2E"/>
    <w:p w:rsidR="009C7D2E" w:rsidRDefault="009C7D2E"/>
    <w:p w:rsidR="009C7D2E" w:rsidRDefault="009C7D2E"/>
    <w:p w:rsidR="00877B2F" w:rsidRDefault="00877B2F"/>
    <w:p w:rsidR="002C2EAC" w:rsidRDefault="002C2EAC"/>
    <w:p w:rsidR="00D639E1" w:rsidRDefault="00D639E1"/>
    <w:tbl>
      <w:tblPr>
        <w:tblStyle w:val="Tablaconcuadrcula"/>
        <w:tblW w:w="0" w:type="auto"/>
        <w:tblLayout w:type="fixed"/>
        <w:tblLook w:val="04A0" w:firstRow="1" w:lastRow="0" w:firstColumn="1" w:lastColumn="0" w:noHBand="0" w:noVBand="1"/>
      </w:tblPr>
      <w:tblGrid>
        <w:gridCol w:w="2109"/>
        <w:gridCol w:w="2110"/>
        <w:gridCol w:w="4820"/>
      </w:tblGrid>
      <w:tr w:rsidR="00C0701E" w:rsidRPr="00295641" w:rsidTr="00DF077D">
        <w:tc>
          <w:tcPr>
            <w:tcW w:w="9039" w:type="dxa"/>
            <w:gridSpan w:val="3"/>
            <w:shd w:val="clear" w:color="auto" w:fill="548DD4" w:themeFill="text2" w:themeFillTint="99"/>
          </w:tcPr>
          <w:p w:rsidR="00C0701E" w:rsidRPr="00295641" w:rsidRDefault="00C0701E" w:rsidP="00C0701E">
            <w:pPr>
              <w:ind w:left="720"/>
              <w:jc w:val="center"/>
              <w:rPr>
                <w:b/>
              </w:rPr>
            </w:pPr>
            <w:r>
              <w:rPr>
                <w:b/>
              </w:rPr>
              <w:t>Componente: Transparencia y Acceso a la información Pública</w:t>
            </w:r>
          </w:p>
        </w:tc>
      </w:tr>
      <w:tr w:rsidR="00C0701E" w:rsidRPr="00295641" w:rsidTr="00DF077D">
        <w:tc>
          <w:tcPr>
            <w:tcW w:w="9039" w:type="dxa"/>
            <w:gridSpan w:val="3"/>
            <w:shd w:val="clear" w:color="auto" w:fill="548DD4" w:themeFill="text2" w:themeFillTint="99"/>
          </w:tcPr>
          <w:p w:rsidR="00C0701E" w:rsidRDefault="001C55F9" w:rsidP="00C0701E">
            <w:pPr>
              <w:ind w:left="720"/>
              <w:jc w:val="center"/>
              <w:rPr>
                <w:b/>
              </w:rPr>
            </w:pPr>
            <w:r w:rsidRPr="001C55F9">
              <w:rPr>
                <w:b/>
                <w:u w:val="single"/>
              </w:rPr>
              <w:t xml:space="preserve">Compromiso </w:t>
            </w:r>
            <w:r w:rsidR="00C0701E" w:rsidRPr="001C55F9">
              <w:rPr>
                <w:b/>
                <w:u w:val="single"/>
              </w:rPr>
              <w:t>6</w:t>
            </w:r>
            <w:r w:rsidR="00C0701E">
              <w:rPr>
                <w:b/>
              </w:rPr>
              <w:t xml:space="preserve">. Implementar Comisiones para la Transparencia de la Industrias Extractivas </w:t>
            </w:r>
          </w:p>
        </w:tc>
      </w:tr>
      <w:tr w:rsidR="00C0701E" w:rsidRPr="00295641" w:rsidTr="00DF077D">
        <w:tc>
          <w:tcPr>
            <w:tcW w:w="4219" w:type="dxa"/>
            <w:gridSpan w:val="2"/>
            <w:shd w:val="clear" w:color="auto" w:fill="C6D9F1" w:themeFill="text2" w:themeFillTint="33"/>
            <w:vAlign w:val="center"/>
          </w:tcPr>
          <w:p w:rsidR="00C0701E" w:rsidRPr="00295641" w:rsidRDefault="00C0701E" w:rsidP="00DF077D">
            <w:pPr>
              <w:autoSpaceDE w:val="0"/>
              <w:autoSpaceDN w:val="0"/>
              <w:adjustRightInd w:val="0"/>
              <w:rPr>
                <w:rFonts w:cs="Gotham-Book"/>
                <w:b/>
                <w:color w:val="000000" w:themeColor="text1"/>
              </w:rPr>
            </w:pPr>
            <w:r w:rsidRPr="00295641">
              <w:rPr>
                <w:rFonts w:cs="Gotham-Book"/>
                <w:b/>
                <w:color w:val="000000" w:themeColor="text1"/>
              </w:rPr>
              <w:t>Secretaría/Ministerio</w:t>
            </w:r>
          </w:p>
          <w:p w:rsidR="00C0701E" w:rsidRPr="00295641" w:rsidRDefault="00C0701E" w:rsidP="00DF077D">
            <w:pPr>
              <w:rPr>
                <w:b/>
                <w:color w:val="000000" w:themeColor="text1"/>
              </w:rPr>
            </w:pPr>
            <w:r w:rsidRPr="00295641">
              <w:rPr>
                <w:rFonts w:cs="Gotham-Book"/>
                <w:b/>
                <w:color w:val="000000" w:themeColor="text1"/>
              </w:rPr>
              <w:t>Responsable</w:t>
            </w:r>
          </w:p>
        </w:tc>
        <w:tc>
          <w:tcPr>
            <w:tcW w:w="4820" w:type="dxa"/>
          </w:tcPr>
          <w:p w:rsidR="00C0701E" w:rsidRPr="00295641" w:rsidRDefault="00C72C76" w:rsidP="00C72C76">
            <w:pPr>
              <w:jc w:val="both"/>
              <w:rPr>
                <w:color w:val="000000" w:themeColor="text1"/>
              </w:rPr>
            </w:pPr>
            <w:r w:rsidRPr="003F3745">
              <w:rPr>
                <w:color w:val="000000" w:themeColor="text1"/>
              </w:rPr>
              <w:t>Comisión Multisectorial Permanente para la Transparencia de las Industrias Extractivas (Comisión EITI por sus siglas en inglés), adscrita al Ministerio de Energía y Minas-MINEM.</w:t>
            </w:r>
          </w:p>
        </w:tc>
      </w:tr>
      <w:tr w:rsidR="00C0701E" w:rsidRPr="00295641" w:rsidTr="00DF077D">
        <w:tc>
          <w:tcPr>
            <w:tcW w:w="4219" w:type="dxa"/>
            <w:gridSpan w:val="2"/>
            <w:shd w:val="clear" w:color="auto" w:fill="C6D9F1" w:themeFill="text2" w:themeFillTint="33"/>
            <w:vAlign w:val="center"/>
          </w:tcPr>
          <w:p w:rsidR="00C0701E" w:rsidRPr="00295641" w:rsidRDefault="00C0701E" w:rsidP="00DF077D">
            <w:pPr>
              <w:autoSpaceDE w:val="0"/>
              <w:autoSpaceDN w:val="0"/>
              <w:adjustRightInd w:val="0"/>
              <w:rPr>
                <w:rFonts w:cs="Gotham-Book"/>
                <w:b/>
                <w:color w:val="000000" w:themeColor="text1"/>
              </w:rPr>
            </w:pPr>
            <w:r w:rsidRPr="00295641">
              <w:rPr>
                <w:rFonts w:cs="Gotham-Book"/>
                <w:b/>
                <w:color w:val="000000" w:themeColor="text1"/>
              </w:rPr>
              <w:t>Nombre de la persona  responsable</w:t>
            </w:r>
          </w:p>
        </w:tc>
        <w:tc>
          <w:tcPr>
            <w:tcW w:w="4820" w:type="dxa"/>
          </w:tcPr>
          <w:p w:rsidR="00C0701E" w:rsidRPr="00295641" w:rsidRDefault="00877B2F" w:rsidP="00DF077D">
            <w:pPr>
              <w:jc w:val="both"/>
              <w:rPr>
                <w:color w:val="000000" w:themeColor="text1"/>
              </w:rPr>
            </w:pPr>
            <w:r>
              <w:rPr>
                <w:color w:val="000000" w:themeColor="text1"/>
              </w:rPr>
              <w:t>Gonzalo Francisco Alberto Tamayo Flores</w:t>
            </w:r>
          </w:p>
        </w:tc>
      </w:tr>
      <w:tr w:rsidR="00C0701E" w:rsidRPr="00295641" w:rsidTr="00DF077D">
        <w:tc>
          <w:tcPr>
            <w:tcW w:w="4219" w:type="dxa"/>
            <w:gridSpan w:val="2"/>
            <w:shd w:val="clear" w:color="auto" w:fill="C6D9F1" w:themeFill="text2" w:themeFillTint="33"/>
            <w:vAlign w:val="center"/>
          </w:tcPr>
          <w:p w:rsidR="00C0701E" w:rsidRPr="00295641" w:rsidRDefault="00C0701E" w:rsidP="00DF077D">
            <w:pPr>
              <w:rPr>
                <w:b/>
                <w:color w:val="000000" w:themeColor="text1"/>
              </w:rPr>
            </w:pPr>
            <w:r w:rsidRPr="00295641">
              <w:rPr>
                <w:rFonts w:cs="Gotham-Book"/>
                <w:b/>
                <w:color w:val="000000" w:themeColor="text1"/>
              </w:rPr>
              <w:t>Puesto</w:t>
            </w:r>
          </w:p>
        </w:tc>
        <w:tc>
          <w:tcPr>
            <w:tcW w:w="4820" w:type="dxa"/>
          </w:tcPr>
          <w:p w:rsidR="00C0701E" w:rsidRPr="00295641" w:rsidRDefault="00877B2F" w:rsidP="00DF077D">
            <w:pPr>
              <w:jc w:val="both"/>
              <w:rPr>
                <w:color w:val="000000" w:themeColor="text1"/>
              </w:rPr>
            </w:pPr>
            <w:r>
              <w:rPr>
                <w:color w:val="000000" w:themeColor="text1"/>
              </w:rPr>
              <w:t>Ministro</w:t>
            </w:r>
          </w:p>
        </w:tc>
      </w:tr>
      <w:tr w:rsidR="00C0701E" w:rsidRPr="00295641" w:rsidTr="00DF077D">
        <w:tc>
          <w:tcPr>
            <w:tcW w:w="4219" w:type="dxa"/>
            <w:gridSpan w:val="2"/>
            <w:shd w:val="clear" w:color="auto" w:fill="C6D9F1" w:themeFill="text2" w:themeFillTint="33"/>
            <w:vAlign w:val="center"/>
          </w:tcPr>
          <w:p w:rsidR="00C0701E" w:rsidRPr="00295641" w:rsidRDefault="00C0701E" w:rsidP="00DF077D">
            <w:pPr>
              <w:autoSpaceDE w:val="0"/>
              <w:autoSpaceDN w:val="0"/>
              <w:adjustRightInd w:val="0"/>
              <w:rPr>
                <w:rFonts w:cs="Gotham-Book"/>
                <w:b/>
                <w:color w:val="000000" w:themeColor="text1"/>
              </w:rPr>
            </w:pPr>
            <w:r w:rsidRPr="00295641">
              <w:rPr>
                <w:rFonts w:cs="Gotham-Book"/>
                <w:b/>
                <w:color w:val="000000" w:themeColor="text1"/>
              </w:rPr>
              <w:t>Correo electrónico</w:t>
            </w:r>
          </w:p>
        </w:tc>
        <w:tc>
          <w:tcPr>
            <w:tcW w:w="4820" w:type="dxa"/>
          </w:tcPr>
          <w:p w:rsidR="00C0701E" w:rsidRPr="00295641" w:rsidRDefault="002F3E0D" w:rsidP="00DF077D">
            <w:pPr>
              <w:jc w:val="both"/>
              <w:rPr>
                <w:rFonts w:cs="Arial"/>
                <w:color w:val="0000FF"/>
                <w:u w:val="single"/>
              </w:rPr>
            </w:pPr>
            <w:hyperlink r:id="rId23" w:history="1">
              <w:r w:rsidR="00877B2F" w:rsidRPr="00085904">
                <w:rPr>
                  <w:rStyle w:val="Hipervnculo"/>
                  <w:rFonts w:cs="Arial"/>
                </w:rPr>
                <w:t>gtamayo@minem.gob.pe</w:t>
              </w:r>
            </w:hyperlink>
          </w:p>
        </w:tc>
      </w:tr>
      <w:tr w:rsidR="00C0701E" w:rsidRPr="00295641" w:rsidTr="00DF077D">
        <w:tc>
          <w:tcPr>
            <w:tcW w:w="4219" w:type="dxa"/>
            <w:gridSpan w:val="2"/>
            <w:shd w:val="clear" w:color="auto" w:fill="C6D9F1" w:themeFill="text2" w:themeFillTint="33"/>
            <w:vAlign w:val="center"/>
          </w:tcPr>
          <w:p w:rsidR="00C0701E" w:rsidRPr="00295641" w:rsidRDefault="00C0701E" w:rsidP="00DF077D">
            <w:pPr>
              <w:rPr>
                <w:b/>
                <w:color w:val="000000" w:themeColor="text1"/>
              </w:rPr>
            </w:pPr>
            <w:r w:rsidRPr="00295641">
              <w:rPr>
                <w:rFonts w:cs="Gotham-Book"/>
                <w:b/>
                <w:color w:val="000000" w:themeColor="text1"/>
              </w:rPr>
              <w:t>Teléfono</w:t>
            </w:r>
          </w:p>
        </w:tc>
        <w:tc>
          <w:tcPr>
            <w:tcW w:w="4820" w:type="dxa"/>
          </w:tcPr>
          <w:p w:rsidR="00C0701E" w:rsidRPr="00295641" w:rsidRDefault="00C0701E" w:rsidP="00877B2F">
            <w:pPr>
              <w:jc w:val="both"/>
              <w:rPr>
                <w:color w:val="000000" w:themeColor="text1"/>
              </w:rPr>
            </w:pPr>
            <w:r>
              <w:rPr>
                <w:color w:val="000000" w:themeColor="text1"/>
              </w:rPr>
              <w:t>51-1-</w:t>
            </w:r>
            <w:r w:rsidR="00877B2F">
              <w:rPr>
                <w:color w:val="000000" w:themeColor="text1"/>
              </w:rPr>
              <w:t>4111100</w:t>
            </w:r>
          </w:p>
        </w:tc>
      </w:tr>
      <w:tr w:rsidR="00C0701E" w:rsidRPr="00295641" w:rsidTr="00DF077D">
        <w:tc>
          <w:tcPr>
            <w:tcW w:w="2109" w:type="dxa"/>
            <w:vMerge w:val="restart"/>
            <w:shd w:val="clear" w:color="auto" w:fill="C6D9F1" w:themeFill="text2" w:themeFillTint="33"/>
            <w:vAlign w:val="center"/>
          </w:tcPr>
          <w:p w:rsidR="00C0701E" w:rsidRPr="00295641" w:rsidRDefault="00C0701E" w:rsidP="00DF077D">
            <w:pPr>
              <w:rPr>
                <w:rFonts w:cs="Gotham-Book"/>
                <w:b/>
                <w:color w:val="000000" w:themeColor="text1"/>
              </w:rPr>
            </w:pPr>
            <w:r>
              <w:rPr>
                <w:rFonts w:cs="Gotham-Book"/>
                <w:b/>
                <w:color w:val="000000" w:themeColor="text1"/>
              </w:rPr>
              <w:t>Otros actores involucrados</w:t>
            </w:r>
          </w:p>
        </w:tc>
        <w:tc>
          <w:tcPr>
            <w:tcW w:w="2110" w:type="dxa"/>
            <w:shd w:val="clear" w:color="auto" w:fill="C6D9F1" w:themeFill="text2" w:themeFillTint="33"/>
            <w:vAlign w:val="center"/>
          </w:tcPr>
          <w:p w:rsidR="00C0701E" w:rsidRPr="00295641" w:rsidRDefault="00C0701E" w:rsidP="00DF077D">
            <w:pPr>
              <w:rPr>
                <w:rFonts w:cs="Gotham-Book"/>
                <w:b/>
                <w:color w:val="000000" w:themeColor="text1"/>
              </w:rPr>
            </w:pPr>
            <w:r>
              <w:rPr>
                <w:rFonts w:cs="Gotham-Book"/>
                <w:b/>
                <w:color w:val="000000" w:themeColor="text1"/>
              </w:rPr>
              <w:t>Gobierno</w:t>
            </w:r>
          </w:p>
        </w:tc>
        <w:tc>
          <w:tcPr>
            <w:tcW w:w="4820" w:type="dxa"/>
          </w:tcPr>
          <w:p w:rsidR="00C0701E" w:rsidRPr="00295641" w:rsidRDefault="00C0701E" w:rsidP="00DF077D">
            <w:pPr>
              <w:jc w:val="both"/>
              <w:rPr>
                <w:color w:val="000000" w:themeColor="text1"/>
              </w:rPr>
            </w:pPr>
            <w:r>
              <w:rPr>
                <w:color w:val="000000" w:themeColor="text1"/>
              </w:rPr>
              <w:t>NO APLICA</w:t>
            </w:r>
          </w:p>
        </w:tc>
      </w:tr>
      <w:tr w:rsidR="00C0701E" w:rsidRPr="00295641" w:rsidTr="00DF077D">
        <w:tc>
          <w:tcPr>
            <w:tcW w:w="2109" w:type="dxa"/>
            <w:vMerge/>
            <w:shd w:val="clear" w:color="auto" w:fill="C6D9F1" w:themeFill="text2" w:themeFillTint="33"/>
            <w:vAlign w:val="center"/>
          </w:tcPr>
          <w:p w:rsidR="00C0701E" w:rsidRPr="00295641" w:rsidRDefault="00C0701E" w:rsidP="00DF077D">
            <w:pPr>
              <w:rPr>
                <w:rFonts w:cs="Gotham-Book"/>
                <w:b/>
                <w:color w:val="000000" w:themeColor="text1"/>
              </w:rPr>
            </w:pPr>
          </w:p>
        </w:tc>
        <w:tc>
          <w:tcPr>
            <w:tcW w:w="2110" w:type="dxa"/>
            <w:shd w:val="clear" w:color="auto" w:fill="C6D9F1" w:themeFill="text2" w:themeFillTint="33"/>
            <w:vAlign w:val="center"/>
          </w:tcPr>
          <w:p w:rsidR="00C0701E" w:rsidRPr="00295641" w:rsidRDefault="00C0701E" w:rsidP="00DF077D">
            <w:pPr>
              <w:rPr>
                <w:rFonts w:cs="Gotham-Book"/>
                <w:b/>
                <w:color w:val="000000" w:themeColor="text1"/>
              </w:rPr>
            </w:pPr>
            <w:r>
              <w:rPr>
                <w:rFonts w:cs="Gotham-Book"/>
                <w:b/>
                <w:color w:val="000000" w:themeColor="text1"/>
              </w:rPr>
              <w:t>Sociedad civil, iniciativa privada, grupos de trabajo o multilaterales</w:t>
            </w:r>
          </w:p>
        </w:tc>
        <w:tc>
          <w:tcPr>
            <w:tcW w:w="4820" w:type="dxa"/>
          </w:tcPr>
          <w:p w:rsidR="00C0701E" w:rsidRPr="00295641" w:rsidRDefault="00C0701E" w:rsidP="00DF077D">
            <w:pPr>
              <w:jc w:val="both"/>
              <w:rPr>
                <w:color w:val="000000" w:themeColor="text1"/>
              </w:rPr>
            </w:pPr>
          </w:p>
        </w:tc>
      </w:tr>
      <w:tr w:rsidR="00C0701E" w:rsidRPr="00295641" w:rsidTr="00DF077D">
        <w:tc>
          <w:tcPr>
            <w:tcW w:w="4219" w:type="dxa"/>
            <w:gridSpan w:val="2"/>
            <w:shd w:val="clear" w:color="auto" w:fill="C6D9F1" w:themeFill="text2" w:themeFillTint="33"/>
            <w:vAlign w:val="center"/>
          </w:tcPr>
          <w:p w:rsidR="00C0701E" w:rsidRPr="00295641" w:rsidRDefault="00C0701E" w:rsidP="00DF077D">
            <w:pPr>
              <w:rPr>
                <w:rFonts w:cs="Gotham-Book"/>
                <w:b/>
                <w:color w:val="000000" w:themeColor="text1"/>
              </w:rPr>
            </w:pPr>
            <w:r>
              <w:rPr>
                <w:rFonts w:cs="Gotham-Book"/>
                <w:b/>
                <w:color w:val="000000" w:themeColor="text1"/>
              </w:rPr>
              <w:t>Status quo o problema/</w:t>
            </w:r>
            <w:r>
              <w:rPr>
                <w:rFonts w:cs="Gotham-Book"/>
                <w:b/>
                <w:color w:val="000000" w:themeColor="text1"/>
              </w:rPr>
              <w:br/>
              <w:t>desafío que será atendido</w:t>
            </w:r>
          </w:p>
        </w:tc>
        <w:tc>
          <w:tcPr>
            <w:tcW w:w="4820" w:type="dxa"/>
          </w:tcPr>
          <w:p w:rsidR="00C0701E" w:rsidRPr="00295641" w:rsidRDefault="00877B2F" w:rsidP="006316FC">
            <w:pPr>
              <w:jc w:val="both"/>
              <w:rPr>
                <w:color w:val="000000" w:themeColor="text1"/>
              </w:rPr>
            </w:pPr>
            <w:r>
              <w:rPr>
                <w:color w:val="000000" w:themeColor="text1"/>
              </w:rPr>
              <w:t>A nivel regional</w:t>
            </w:r>
            <w:r w:rsidR="006316FC">
              <w:rPr>
                <w:color w:val="000000" w:themeColor="text1"/>
              </w:rPr>
              <w:t>,</w:t>
            </w:r>
            <w:r>
              <w:rPr>
                <w:color w:val="000000" w:themeColor="text1"/>
              </w:rPr>
              <w:t xml:space="preserve"> se advierte</w:t>
            </w:r>
            <w:r w:rsidR="006316FC">
              <w:rPr>
                <w:color w:val="000000" w:themeColor="text1"/>
              </w:rPr>
              <w:t xml:space="preserve"> la</w:t>
            </w:r>
            <w:r>
              <w:rPr>
                <w:color w:val="000000" w:themeColor="text1"/>
              </w:rPr>
              <w:t xml:space="preserve"> </w:t>
            </w:r>
            <w:r w:rsidR="006316FC">
              <w:rPr>
                <w:color w:val="000000" w:themeColor="text1"/>
              </w:rPr>
              <w:t>necesidad de crear</w:t>
            </w:r>
            <w:r>
              <w:rPr>
                <w:color w:val="000000" w:themeColor="text1"/>
              </w:rPr>
              <w:t xml:space="preserve"> espacios de diálogo entre autoridades, empresas y sociedad civil sobre aportes fiscales (tributación y no tributarios), distribución y uso de recursos públicos provenientes de las actividades extractivas (canon y otros vinculados).</w:t>
            </w:r>
          </w:p>
        </w:tc>
      </w:tr>
      <w:tr w:rsidR="00C0701E" w:rsidRPr="00295641" w:rsidTr="00DF077D">
        <w:tc>
          <w:tcPr>
            <w:tcW w:w="4219" w:type="dxa"/>
            <w:gridSpan w:val="2"/>
            <w:shd w:val="clear" w:color="auto" w:fill="C6D9F1" w:themeFill="text2" w:themeFillTint="33"/>
            <w:vAlign w:val="center"/>
          </w:tcPr>
          <w:p w:rsidR="00C0701E" w:rsidRPr="00295641" w:rsidRDefault="00C0701E" w:rsidP="00DF077D">
            <w:pPr>
              <w:rPr>
                <w:b/>
                <w:color w:val="000000" w:themeColor="text1"/>
              </w:rPr>
            </w:pPr>
            <w:r w:rsidRPr="00295641">
              <w:rPr>
                <w:rFonts w:cs="Gotham-Book"/>
                <w:b/>
                <w:color w:val="000000" w:themeColor="text1"/>
              </w:rPr>
              <w:t>Objetivo principal</w:t>
            </w:r>
          </w:p>
        </w:tc>
        <w:tc>
          <w:tcPr>
            <w:tcW w:w="4820" w:type="dxa"/>
          </w:tcPr>
          <w:p w:rsidR="00C0701E" w:rsidRPr="00D21EEF" w:rsidRDefault="00877B2F" w:rsidP="00033088">
            <w:pPr>
              <w:jc w:val="both"/>
              <w:rPr>
                <w:bCs/>
              </w:rPr>
            </w:pPr>
            <w:r>
              <w:rPr>
                <w:bCs/>
              </w:rPr>
              <w:t xml:space="preserve">Transparentar e informar a la población sobre el destino de los recursos provenientes del canon por la explotación de recursos naturales que se realiza en </w:t>
            </w:r>
            <w:r w:rsidR="00033088">
              <w:rPr>
                <w:bCs/>
              </w:rPr>
              <w:t>su región.</w:t>
            </w:r>
          </w:p>
        </w:tc>
      </w:tr>
      <w:tr w:rsidR="00C0701E" w:rsidRPr="00295641" w:rsidTr="00DF077D">
        <w:tc>
          <w:tcPr>
            <w:tcW w:w="4219" w:type="dxa"/>
            <w:gridSpan w:val="2"/>
            <w:shd w:val="clear" w:color="auto" w:fill="C6D9F1" w:themeFill="text2" w:themeFillTint="33"/>
            <w:vAlign w:val="center"/>
          </w:tcPr>
          <w:p w:rsidR="00C0701E" w:rsidRPr="00295641" w:rsidRDefault="00C0701E" w:rsidP="00DF077D">
            <w:pPr>
              <w:autoSpaceDE w:val="0"/>
              <w:autoSpaceDN w:val="0"/>
              <w:adjustRightInd w:val="0"/>
              <w:rPr>
                <w:rFonts w:cs="Gotham-Book"/>
                <w:b/>
                <w:color w:val="000000" w:themeColor="text1"/>
              </w:rPr>
            </w:pPr>
            <w:r>
              <w:rPr>
                <w:rFonts w:cs="Gotham-Book"/>
                <w:b/>
                <w:color w:val="000000" w:themeColor="text1"/>
              </w:rPr>
              <w:t xml:space="preserve">Breve </w:t>
            </w:r>
            <w:r w:rsidRPr="00295641">
              <w:rPr>
                <w:rFonts w:cs="Gotham-Book"/>
                <w:b/>
                <w:color w:val="000000" w:themeColor="text1"/>
              </w:rPr>
              <w:t>Descripción del</w:t>
            </w:r>
          </w:p>
          <w:p w:rsidR="00C0701E" w:rsidRPr="00295641" w:rsidRDefault="00C0701E" w:rsidP="00DF077D">
            <w:pPr>
              <w:autoSpaceDE w:val="0"/>
              <w:autoSpaceDN w:val="0"/>
              <w:adjustRightInd w:val="0"/>
              <w:rPr>
                <w:rFonts w:cs="Gotham-Book"/>
                <w:b/>
                <w:color w:val="000000" w:themeColor="text1"/>
              </w:rPr>
            </w:pPr>
            <w:r w:rsidRPr="00295641">
              <w:rPr>
                <w:rFonts w:cs="Gotham-Book"/>
                <w:b/>
                <w:color w:val="000000" w:themeColor="text1"/>
              </w:rPr>
              <w:t>Compromiso</w:t>
            </w:r>
          </w:p>
        </w:tc>
        <w:tc>
          <w:tcPr>
            <w:tcW w:w="4820" w:type="dxa"/>
          </w:tcPr>
          <w:p w:rsidR="00C0701E" w:rsidRPr="004C1255" w:rsidRDefault="00B77EE6" w:rsidP="00B77EE6">
            <w:pPr>
              <w:jc w:val="both"/>
              <w:rPr>
                <w:szCs w:val="20"/>
                <w:lang w:val="es-PE"/>
              </w:rPr>
            </w:pPr>
            <w:r>
              <w:rPr>
                <w:szCs w:val="20"/>
                <w:lang w:val="es-PE"/>
              </w:rPr>
              <w:t>Implementar Comisiones para la Transparencia de las Industrias Extractivas en tres (03) Gobiernos Regionales, a fin de establecer criterios de transparencia sobre el uso de los ingresos que perciben estos gobiernos de las empresas extractivas (mineras e hidrocarburíferas), para fomentar el desarrollo de sus regiones.</w:t>
            </w:r>
          </w:p>
        </w:tc>
      </w:tr>
      <w:tr w:rsidR="00C0701E" w:rsidRPr="00295641" w:rsidTr="00DF077D">
        <w:tc>
          <w:tcPr>
            <w:tcW w:w="4219" w:type="dxa"/>
            <w:gridSpan w:val="2"/>
            <w:shd w:val="clear" w:color="auto" w:fill="C6D9F1" w:themeFill="text2" w:themeFillTint="33"/>
            <w:vAlign w:val="center"/>
          </w:tcPr>
          <w:p w:rsidR="00C0701E" w:rsidRPr="00295641" w:rsidRDefault="00C0701E" w:rsidP="00DF077D">
            <w:pPr>
              <w:autoSpaceDE w:val="0"/>
              <w:autoSpaceDN w:val="0"/>
              <w:adjustRightInd w:val="0"/>
              <w:rPr>
                <w:rFonts w:cs="Gotham-Book"/>
                <w:b/>
                <w:color w:val="000000" w:themeColor="text1"/>
              </w:rPr>
            </w:pPr>
            <w:r w:rsidRPr="00295641">
              <w:rPr>
                <w:rFonts w:cs="Gotham-Book"/>
                <w:b/>
                <w:color w:val="000000" w:themeColor="text1"/>
              </w:rPr>
              <w:t>Relevancia</w:t>
            </w:r>
          </w:p>
          <w:p w:rsidR="00C0701E" w:rsidRPr="00295641" w:rsidRDefault="00C0701E" w:rsidP="00DF077D">
            <w:pPr>
              <w:autoSpaceDE w:val="0"/>
              <w:autoSpaceDN w:val="0"/>
              <w:adjustRightInd w:val="0"/>
              <w:rPr>
                <w:b/>
                <w:color w:val="000000" w:themeColor="text1"/>
              </w:rPr>
            </w:pPr>
          </w:p>
        </w:tc>
        <w:tc>
          <w:tcPr>
            <w:tcW w:w="4820" w:type="dxa"/>
          </w:tcPr>
          <w:p w:rsidR="00C0701E" w:rsidRPr="00D55406" w:rsidRDefault="00B56E74" w:rsidP="002802A5">
            <w:pPr>
              <w:jc w:val="both"/>
              <w:rPr>
                <w:color w:val="FF0000"/>
                <w:szCs w:val="20"/>
                <w:lang w:val="es-PE"/>
              </w:rPr>
            </w:pPr>
            <w:r w:rsidRPr="00B56E74">
              <w:rPr>
                <w:szCs w:val="20"/>
                <w:lang w:val="es-PE"/>
              </w:rPr>
              <w:t>Destaca el compromiso como país,</w:t>
            </w:r>
            <w:r w:rsidR="00033088">
              <w:rPr>
                <w:szCs w:val="20"/>
                <w:lang w:val="es-PE"/>
              </w:rPr>
              <w:t xml:space="preserve"> ya que</w:t>
            </w:r>
            <w:r w:rsidRPr="00B56E74">
              <w:rPr>
                <w:szCs w:val="20"/>
                <w:lang w:val="es-PE"/>
              </w:rPr>
              <w:t xml:space="preserve"> para el Perú constituye una práctica exitosa en materia de transparencia en el ámbito de la industria extractiva</w:t>
            </w:r>
            <w:r w:rsidR="00033088">
              <w:rPr>
                <w:szCs w:val="20"/>
                <w:lang w:val="es-PE"/>
              </w:rPr>
              <w:t>. De esta forma, se genera</w:t>
            </w:r>
            <w:r w:rsidRPr="00B56E74">
              <w:rPr>
                <w:szCs w:val="20"/>
                <w:lang w:val="es-PE"/>
              </w:rPr>
              <w:t xml:space="preserve"> espacios de participación para el control social</w:t>
            </w:r>
            <w:r w:rsidR="002802A5">
              <w:rPr>
                <w:szCs w:val="20"/>
                <w:lang w:val="es-PE"/>
              </w:rPr>
              <w:t>,</w:t>
            </w:r>
            <w:r w:rsidRPr="00B56E74">
              <w:rPr>
                <w:szCs w:val="20"/>
                <w:lang w:val="es-PE"/>
              </w:rPr>
              <w:t xml:space="preserve"> basada en la transparencia sobre el uso de los ingresos que perciben los gobiernos regionales, </w:t>
            </w:r>
            <w:r w:rsidR="002802A5">
              <w:rPr>
                <w:szCs w:val="20"/>
                <w:lang w:val="es-PE"/>
              </w:rPr>
              <w:t>lo cual visibiliza, además, la participación de</w:t>
            </w:r>
            <w:r>
              <w:rPr>
                <w:szCs w:val="20"/>
                <w:lang w:val="es-PE"/>
              </w:rPr>
              <w:t xml:space="preserve"> gobiernos regionales que promueven el gobierno abierto.</w:t>
            </w:r>
          </w:p>
        </w:tc>
      </w:tr>
      <w:tr w:rsidR="00C0701E" w:rsidRPr="00295641" w:rsidTr="00DF077D">
        <w:tc>
          <w:tcPr>
            <w:tcW w:w="4219" w:type="dxa"/>
            <w:gridSpan w:val="2"/>
            <w:shd w:val="clear" w:color="auto" w:fill="C6D9F1" w:themeFill="text2" w:themeFillTint="33"/>
            <w:vAlign w:val="center"/>
          </w:tcPr>
          <w:p w:rsidR="00C0701E" w:rsidRPr="00295641" w:rsidRDefault="00C0701E" w:rsidP="00DF077D">
            <w:pPr>
              <w:autoSpaceDE w:val="0"/>
              <w:autoSpaceDN w:val="0"/>
              <w:adjustRightInd w:val="0"/>
              <w:rPr>
                <w:rFonts w:cs="Gotham-Book"/>
                <w:b/>
                <w:color w:val="000000" w:themeColor="text1"/>
              </w:rPr>
            </w:pPr>
            <w:r w:rsidRPr="00295641">
              <w:rPr>
                <w:rFonts w:cs="Gotham-Book"/>
                <w:b/>
                <w:color w:val="000000" w:themeColor="text1"/>
              </w:rPr>
              <w:t>Ambición</w:t>
            </w:r>
          </w:p>
          <w:p w:rsidR="00C0701E" w:rsidRPr="00295641" w:rsidRDefault="00C0701E" w:rsidP="00DF077D">
            <w:pPr>
              <w:autoSpaceDE w:val="0"/>
              <w:autoSpaceDN w:val="0"/>
              <w:adjustRightInd w:val="0"/>
              <w:rPr>
                <w:rFonts w:cs="Gotham-BookItalic"/>
                <w:b/>
                <w:iCs/>
                <w:color w:val="000000" w:themeColor="text1"/>
              </w:rPr>
            </w:pPr>
          </w:p>
        </w:tc>
        <w:tc>
          <w:tcPr>
            <w:tcW w:w="4820" w:type="dxa"/>
          </w:tcPr>
          <w:p w:rsidR="00C0701E" w:rsidRPr="00D55406" w:rsidRDefault="00B56E74" w:rsidP="00B56E74">
            <w:pPr>
              <w:jc w:val="both"/>
              <w:rPr>
                <w:color w:val="FF0000"/>
                <w:szCs w:val="20"/>
                <w:lang w:val="es-PE"/>
              </w:rPr>
            </w:pPr>
            <w:r w:rsidRPr="00B56E74">
              <w:rPr>
                <w:szCs w:val="20"/>
                <w:lang w:val="es-PE"/>
              </w:rPr>
              <w:t xml:space="preserve">Se espera que la </w:t>
            </w:r>
            <w:r>
              <w:rPr>
                <w:color w:val="000000" w:themeColor="text1"/>
              </w:rPr>
              <w:t>Comisión Multisectorial Permanente EITI Perú amplíe las gestiones en otros gobiernos regionales incrementando la conformación de comisiones EITI.</w:t>
            </w:r>
          </w:p>
        </w:tc>
      </w:tr>
    </w:tbl>
    <w:p w:rsidR="008B16E3" w:rsidRDefault="008B16E3">
      <w:r>
        <w:br w:type="page"/>
      </w:r>
    </w:p>
    <w:tbl>
      <w:tblPr>
        <w:tblStyle w:val="Tablaconcuadrcula"/>
        <w:tblW w:w="0" w:type="auto"/>
        <w:tblLayout w:type="fixed"/>
        <w:tblLook w:val="04A0" w:firstRow="1" w:lastRow="0" w:firstColumn="1" w:lastColumn="0" w:noHBand="0" w:noVBand="1"/>
      </w:tblPr>
      <w:tblGrid>
        <w:gridCol w:w="1526"/>
        <w:gridCol w:w="2693"/>
        <w:gridCol w:w="1729"/>
        <w:gridCol w:w="1644"/>
        <w:gridCol w:w="1447"/>
      </w:tblGrid>
      <w:tr w:rsidR="00C0701E" w:rsidRPr="00295641" w:rsidTr="00DF077D">
        <w:tc>
          <w:tcPr>
            <w:tcW w:w="1526" w:type="dxa"/>
            <w:vMerge w:val="restart"/>
            <w:shd w:val="clear" w:color="auto" w:fill="C6D9F1" w:themeFill="text2" w:themeFillTint="33"/>
            <w:vAlign w:val="center"/>
          </w:tcPr>
          <w:p w:rsidR="00C0701E" w:rsidRPr="00295641" w:rsidRDefault="00C0701E" w:rsidP="00DF077D">
            <w:pPr>
              <w:rPr>
                <w:b/>
                <w:color w:val="000000" w:themeColor="text1"/>
              </w:rPr>
            </w:pPr>
            <w:r w:rsidRPr="00295641">
              <w:rPr>
                <w:rFonts w:cs="Gotham-Book"/>
                <w:b/>
                <w:color w:val="000000" w:themeColor="text1"/>
              </w:rPr>
              <w:t>Cumplimiento</w:t>
            </w:r>
          </w:p>
        </w:tc>
        <w:tc>
          <w:tcPr>
            <w:tcW w:w="2693" w:type="dxa"/>
            <w:shd w:val="clear" w:color="auto" w:fill="C6D9F1" w:themeFill="text2" w:themeFillTint="33"/>
          </w:tcPr>
          <w:p w:rsidR="00C0701E" w:rsidRPr="00295641" w:rsidRDefault="00C0701E" w:rsidP="00DF077D">
            <w:pPr>
              <w:jc w:val="center"/>
              <w:rPr>
                <w:b/>
                <w:color w:val="000000" w:themeColor="text1"/>
              </w:rPr>
            </w:pPr>
            <w:r w:rsidRPr="00295641">
              <w:rPr>
                <w:rFonts w:cs="Gotham-Book"/>
                <w:b/>
                <w:color w:val="000000" w:themeColor="text1"/>
              </w:rPr>
              <w:t>No iniciado</w:t>
            </w:r>
          </w:p>
        </w:tc>
        <w:tc>
          <w:tcPr>
            <w:tcW w:w="1729" w:type="dxa"/>
            <w:shd w:val="clear" w:color="auto" w:fill="C6D9F1" w:themeFill="text2" w:themeFillTint="33"/>
          </w:tcPr>
          <w:p w:rsidR="00C0701E" w:rsidRPr="00295641" w:rsidRDefault="00C0701E" w:rsidP="00DF077D">
            <w:pPr>
              <w:jc w:val="center"/>
              <w:rPr>
                <w:b/>
                <w:color w:val="000000" w:themeColor="text1"/>
              </w:rPr>
            </w:pPr>
            <w:r w:rsidRPr="00295641">
              <w:rPr>
                <w:rFonts w:cs="Gotham-Book"/>
                <w:b/>
                <w:color w:val="000000" w:themeColor="text1"/>
              </w:rPr>
              <w:t>Limitado</w:t>
            </w:r>
          </w:p>
        </w:tc>
        <w:tc>
          <w:tcPr>
            <w:tcW w:w="1644" w:type="dxa"/>
            <w:shd w:val="clear" w:color="auto" w:fill="C6D9F1" w:themeFill="text2" w:themeFillTint="33"/>
          </w:tcPr>
          <w:p w:rsidR="00C0701E" w:rsidRPr="00295641" w:rsidRDefault="00C0701E" w:rsidP="00DF077D">
            <w:pPr>
              <w:jc w:val="center"/>
              <w:rPr>
                <w:b/>
                <w:color w:val="000000" w:themeColor="text1"/>
              </w:rPr>
            </w:pPr>
            <w:r w:rsidRPr="00295641">
              <w:rPr>
                <w:rFonts w:cs="Gotham-Book"/>
                <w:b/>
                <w:color w:val="000000" w:themeColor="text1"/>
              </w:rPr>
              <w:t>Sustancial</w:t>
            </w:r>
          </w:p>
        </w:tc>
        <w:tc>
          <w:tcPr>
            <w:tcW w:w="1447" w:type="dxa"/>
            <w:shd w:val="clear" w:color="auto" w:fill="C6D9F1" w:themeFill="text2" w:themeFillTint="33"/>
          </w:tcPr>
          <w:p w:rsidR="00C0701E" w:rsidRPr="00295641" w:rsidRDefault="00C0701E" w:rsidP="00DF077D">
            <w:pPr>
              <w:jc w:val="center"/>
              <w:rPr>
                <w:b/>
                <w:color w:val="000000" w:themeColor="text1"/>
              </w:rPr>
            </w:pPr>
            <w:r w:rsidRPr="00295641">
              <w:rPr>
                <w:rFonts w:cs="Gotham-Book"/>
                <w:b/>
                <w:color w:val="000000" w:themeColor="text1"/>
              </w:rPr>
              <w:t>Completo</w:t>
            </w:r>
          </w:p>
        </w:tc>
      </w:tr>
      <w:tr w:rsidR="00C0701E" w:rsidRPr="00295641" w:rsidTr="00DF077D">
        <w:tc>
          <w:tcPr>
            <w:tcW w:w="1526" w:type="dxa"/>
            <w:vMerge/>
            <w:shd w:val="clear" w:color="auto" w:fill="C6D9F1" w:themeFill="text2" w:themeFillTint="33"/>
            <w:vAlign w:val="center"/>
          </w:tcPr>
          <w:p w:rsidR="00C0701E" w:rsidRPr="00295641" w:rsidRDefault="00C0701E" w:rsidP="00DF077D">
            <w:pPr>
              <w:rPr>
                <w:b/>
                <w:color w:val="000000" w:themeColor="text1"/>
              </w:rPr>
            </w:pPr>
          </w:p>
        </w:tc>
        <w:tc>
          <w:tcPr>
            <w:tcW w:w="2693" w:type="dxa"/>
          </w:tcPr>
          <w:p w:rsidR="00C0701E" w:rsidRPr="00295641" w:rsidRDefault="00C0701E" w:rsidP="00DF077D">
            <w:pPr>
              <w:jc w:val="center"/>
              <w:rPr>
                <w:b/>
                <w:color w:val="000000" w:themeColor="text1"/>
              </w:rPr>
            </w:pPr>
          </w:p>
        </w:tc>
        <w:tc>
          <w:tcPr>
            <w:tcW w:w="1729" w:type="dxa"/>
          </w:tcPr>
          <w:p w:rsidR="00C0701E" w:rsidRPr="00295641" w:rsidRDefault="00C0701E" w:rsidP="00DF077D">
            <w:pPr>
              <w:jc w:val="center"/>
              <w:rPr>
                <w:b/>
                <w:color w:val="000000" w:themeColor="text1"/>
              </w:rPr>
            </w:pPr>
          </w:p>
        </w:tc>
        <w:tc>
          <w:tcPr>
            <w:tcW w:w="1644" w:type="dxa"/>
          </w:tcPr>
          <w:p w:rsidR="00C0701E" w:rsidRPr="00295641" w:rsidRDefault="00C0701E" w:rsidP="00DF077D">
            <w:pPr>
              <w:jc w:val="center"/>
              <w:rPr>
                <w:b/>
                <w:color w:val="000000" w:themeColor="text1"/>
              </w:rPr>
            </w:pPr>
          </w:p>
        </w:tc>
        <w:tc>
          <w:tcPr>
            <w:tcW w:w="1447" w:type="dxa"/>
            <w:shd w:val="clear" w:color="auto" w:fill="FFFFFF" w:themeFill="background1"/>
          </w:tcPr>
          <w:p w:rsidR="00C0701E" w:rsidRPr="00295641" w:rsidRDefault="00B77EE6" w:rsidP="00DF077D">
            <w:pPr>
              <w:jc w:val="center"/>
              <w:rPr>
                <w:b/>
                <w:color w:val="000000" w:themeColor="text1"/>
              </w:rPr>
            </w:pPr>
            <w:r>
              <w:rPr>
                <w:b/>
                <w:color w:val="000000" w:themeColor="text1"/>
              </w:rPr>
              <w:t>X</w:t>
            </w:r>
          </w:p>
        </w:tc>
      </w:tr>
      <w:tr w:rsidR="00C0701E" w:rsidRPr="00295641" w:rsidTr="00DF077D">
        <w:tc>
          <w:tcPr>
            <w:tcW w:w="1526" w:type="dxa"/>
            <w:shd w:val="clear" w:color="auto" w:fill="C6D9F1" w:themeFill="text2" w:themeFillTint="33"/>
            <w:vAlign w:val="center"/>
          </w:tcPr>
          <w:p w:rsidR="00C0701E" w:rsidRPr="00295641" w:rsidRDefault="00C0701E" w:rsidP="00DF077D">
            <w:pPr>
              <w:autoSpaceDE w:val="0"/>
              <w:autoSpaceDN w:val="0"/>
              <w:adjustRightInd w:val="0"/>
              <w:rPr>
                <w:rFonts w:cs="Gotham-Book"/>
                <w:b/>
                <w:color w:val="000000" w:themeColor="text1"/>
              </w:rPr>
            </w:pPr>
            <w:r w:rsidRPr="00295641">
              <w:rPr>
                <w:rFonts w:cs="Gotham-Book"/>
                <w:b/>
                <w:color w:val="000000" w:themeColor="text1"/>
              </w:rPr>
              <w:t>Descripción de los resultados</w:t>
            </w:r>
          </w:p>
          <w:p w:rsidR="00C0701E" w:rsidRPr="00295641" w:rsidRDefault="00C0701E" w:rsidP="00DF077D">
            <w:pPr>
              <w:autoSpaceDE w:val="0"/>
              <w:autoSpaceDN w:val="0"/>
              <w:adjustRightInd w:val="0"/>
              <w:rPr>
                <w:rFonts w:cs="Gotham-BookItalic"/>
                <w:b/>
                <w:iCs/>
                <w:color w:val="000000" w:themeColor="text1"/>
              </w:rPr>
            </w:pPr>
          </w:p>
        </w:tc>
        <w:tc>
          <w:tcPr>
            <w:tcW w:w="7513" w:type="dxa"/>
            <w:gridSpan w:val="4"/>
          </w:tcPr>
          <w:p w:rsidR="00C0701E" w:rsidRPr="005E32C3" w:rsidRDefault="00B77EE6" w:rsidP="00DF077D">
            <w:pPr>
              <w:jc w:val="both"/>
              <w:rPr>
                <w:b/>
                <w:i/>
                <w:color w:val="000000" w:themeColor="text1"/>
              </w:rPr>
            </w:pPr>
            <w:r w:rsidRPr="005E32C3">
              <w:rPr>
                <w:b/>
                <w:i/>
                <w:color w:val="000000" w:themeColor="text1"/>
              </w:rPr>
              <w:t>Como acciones se contempló que 03 Gobiernos Regionales publican la respectiva Ordenanza que crea la Comisión EITI en su región.</w:t>
            </w:r>
          </w:p>
          <w:p w:rsidR="003F1BBB" w:rsidRDefault="003F1BBB" w:rsidP="003F1BBB">
            <w:pPr>
              <w:jc w:val="both"/>
              <w:rPr>
                <w:color w:val="000000" w:themeColor="text1"/>
              </w:rPr>
            </w:pPr>
            <w:r>
              <w:rPr>
                <w:color w:val="000000" w:themeColor="text1"/>
              </w:rPr>
              <w:t xml:space="preserve">El Ministerio reportó el cumplimiento del compromiso al 100%, informando </w:t>
            </w:r>
            <w:r w:rsidR="008B16E3">
              <w:rPr>
                <w:color w:val="000000" w:themeColor="text1"/>
              </w:rPr>
              <w:t>sobre</w:t>
            </w:r>
            <w:r>
              <w:rPr>
                <w:color w:val="000000" w:themeColor="text1"/>
              </w:rPr>
              <w:t xml:space="preserve"> los procesos regionales EITI:</w:t>
            </w:r>
          </w:p>
          <w:p w:rsidR="003F1BBB" w:rsidRDefault="003F1BBB" w:rsidP="003F1BBB">
            <w:pPr>
              <w:jc w:val="both"/>
              <w:rPr>
                <w:color w:val="000000" w:themeColor="text1"/>
              </w:rPr>
            </w:pPr>
            <w:r>
              <w:rPr>
                <w:color w:val="000000" w:themeColor="text1"/>
              </w:rPr>
              <w:t>1. Proceso Regional Piura.  Documento Referencial: Ordenanza Regional N° 289-2014/GRP-CR.</w:t>
            </w:r>
          </w:p>
          <w:p w:rsidR="00F25989" w:rsidRDefault="00F25989" w:rsidP="003F1BBB">
            <w:pPr>
              <w:jc w:val="both"/>
              <w:rPr>
                <w:color w:val="000000" w:themeColor="text1"/>
                <w:lang w:val="en-US"/>
              </w:rPr>
            </w:pPr>
            <w:r w:rsidRPr="00F25989">
              <w:rPr>
                <w:color w:val="000000" w:themeColor="text1"/>
                <w:lang w:val="en-US"/>
              </w:rPr>
              <w:t xml:space="preserve">EITI Piura: </w:t>
            </w:r>
            <w:r>
              <w:rPr>
                <w:color w:val="000000" w:themeColor="text1"/>
                <w:lang w:val="en-US"/>
              </w:rPr>
              <w:t xml:space="preserve">  </w:t>
            </w:r>
            <w:hyperlink r:id="rId24" w:history="1">
              <w:r w:rsidRPr="00085904">
                <w:rPr>
                  <w:rStyle w:val="Hipervnculo"/>
                  <w:lang w:val="en-US"/>
                </w:rPr>
                <w:t>http://eitipiura.regionpiura.gob.pe/</w:t>
              </w:r>
            </w:hyperlink>
          </w:p>
          <w:p w:rsidR="003F1BBB" w:rsidRDefault="003F1BBB" w:rsidP="003F1BBB">
            <w:pPr>
              <w:jc w:val="both"/>
              <w:rPr>
                <w:color w:val="000000" w:themeColor="text1"/>
              </w:rPr>
            </w:pPr>
            <w:r>
              <w:rPr>
                <w:color w:val="000000" w:themeColor="text1"/>
              </w:rPr>
              <w:t>2. Proceso Regional Moquegua: Documento Referencial: Ordenanza Regional N° 002-2014/CR-GRM</w:t>
            </w:r>
          </w:p>
          <w:p w:rsidR="00F25989" w:rsidRDefault="00F25989" w:rsidP="003F1BBB">
            <w:pPr>
              <w:jc w:val="both"/>
              <w:rPr>
                <w:color w:val="000000" w:themeColor="text1"/>
              </w:rPr>
            </w:pPr>
            <w:r>
              <w:rPr>
                <w:color w:val="000000" w:themeColor="text1"/>
              </w:rPr>
              <w:t xml:space="preserve">EITI Moquegua: </w:t>
            </w:r>
            <w:hyperlink r:id="rId25" w:history="1">
              <w:r w:rsidRPr="00085904">
                <w:rPr>
                  <w:rStyle w:val="Hipervnculo"/>
                </w:rPr>
                <w:t>http://regionmoquegua.gob.pe/web13/transparencia/eiti.html</w:t>
              </w:r>
            </w:hyperlink>
          </w:p>
          <w:p w:rsidR="003F1BBB" w:rsidRDefault="003F1BBB" w:rsidP="003F1BBB">
            <w:pPr>
              <w:jc w:val="both"/>
              <w:rPr>
                <w:color w:val="000000" w:themeColor="text1"/>
              </w:rPr>
            </w:pPr>
            <w:r>
              <w:rPr>
                <w:color w:val="000000" w:themeColor="text1"/>
              </w:rPr>
              <w:t>Estos procesos regionales de EITI en Moq</w:t>
            </w:r>
            <w:r w:rsidR="008B16E3">
              <w:rPr>
                <w:color w:val="000000" w:themeColor="text1"/>
              </w:rPr>
              <w:t xml:space="preserve">uegua y Piura </w:t>
            </w:r>
            <w:r>
              <w:rPr>
                <w:color w:val="000000" w:themeColor="text1"/>
              </w:rPr>
              <w:t xml:space="preserve">tienen Comisiones Regionales EITI y se vienen </w:t>
            </w:r>
            <w:r w:rsidR="008B16E3">
              <w:rPr>
                <w:color w:val="000000" w:themeColor="text1"/>
              </w:rPr>
              <w:t>implementando de forma regular. Ambos procesos</w:t>
            </w:r>
            <w:r>
              <w:rPr>
                <w:color w:val="000000" w:themeColor="text1"/>
              </w:rPr>
              <w:t xml:space="preserve"> tienen Estudios de Transparencia Regional sobre las transferencias y usos de recursos que provienen de las actividades extractivas, los mismos que se vienen difundiendo en varios espacios regionales.</w:t>
            </w:r>
          </w:p>
          <w:p w:rsidR="00F25989" w:rsidRDefault="00F25989" w:rsidP="003F1BBB">
            <w:pPr>
              <w:jc w:val="both"/>
              <w:rPr>
                <w:color w:val="000000" w:themeColor="text1"/>
              </w:rPr>
            </w:pPr>
          </w:p>
          <w:p w:rsidR="003F1BBB" w:rsidRDefault="003F1BBB" w:rsidP="003F1BBB">
            <w:pPr>
              <w:jc w:val="both"/>
              <w:rPr>
                <w:color w:val="000000" w:themeColor="text1"/>
              </w:rPr>
            </w:pPr>
            <w:r>
              <w:rPr>
                <w:color w:val="000000" w:themeColor="text1"/>
              </w:rPr>
              <w:t xml:space="preserve">3. Proceso Regional Loreto.  Documento Referencial: Ordenanza Regional N° 023-2012-GRL-CI.  </w:t>
            </w:r>
          </w:p>
          <w:p w:rsidR="003F1BBB" w:rsidRDefault="003F1BBB" w:rsidP="003F1BBB">
            <w:pPr>
              <w:jc w:val="both"/>
              <w:rPr>
                <w:color w:val="000000" w:themeColor="text1"/>
              </w:rPr>
            </w:pPr>
            <w:r>
              <w:rPr>
                <w:color w:val="000000" w:themeColor="text1"/>
              </w:rPr>
              <w:t>Este proceso regional viene siendo fortalecido en cuanto a participación y organización.</w:t>
            </w:r>
          </w:p>
          <w:p w:rsidR="003F1BBB" w:rsidRDefault="003F1BBB" w:rsidP="003F1BBB">
            <w:pPr>
              <w:jc w:val="both"/>
              <w:rPr>
                <w:color w:val="000000" w:themeColor="text1"/>
              </w:rPr>
            </w:pPr>
          </w:p>
          <w:p w:rsidR="003F1BBB" w:rsidRDefault="003F1BBB" w:rsidP="00F25989">
            <w:pPr>
              <w:jc w:val="both"/>
              <w:rPr>
                <w:color w:val="000000" w:themeColor="text1"/>
              </w:rPr>
            </w:pPr>
            <w:r>
              <w:rPr>
                <w:color w:val="000000" w:themeColor="text1"/>
              </w:rPr>
              <w:t>La Comisión Mult</w:t>
            </w:r>
            <w:r w:rsidR="008B16E3">
              <w:rPr>
                <w:color w:val="000000" w:themeColor="text1"/>
              </w:rPr>
              <w:t>isectorial Permanente EITI Perú</w:t>
            </w:r>
            <w:r>
              <w:rPr>
                <w:color w:val="000000" w:themeColor="text1"/>
              </w:rPr>
              <w:t xml:space="preserve"> ha </w:t>
            </w:r>
            <w:r w:rsidR="00F25989">
              <w:rPr>
                <w:color w:val="000000" w:themeColor="text1"/>
              </w:rPr>
              <w:t>procedido a la ampliación de la</w:t>
            </w:r>
            <w:r>
              <w:rPr>
                <w:color w:val="000000" w:themeColor="text1"/>
              </w:rPr>
              <w:t>s gestiones en otras regiones del país (nuevos procesos).  A la fecha</w:t>
            </w:r>
            <w:r w:rsidR="008B16E3">
              <w:rPr>
                <w:color w:val="000000" w:themeColor="text1"/>
              </w:rPr>
              <w:t>,</w:t>
            </w:r>
            <w:r>
              <w:rPr>
                <w:color w:val="000000" w:themeColor="text1"/>
              </w:rPr>
              <w:t xml:space="preserve"> </w:t>
            </w:r>
            <w:r w:rsidR="008B16E3">
              <w:rPr>
                <w:color w:val="000000" w:themeColor="text1"/>
              </w:rPr>
              <w:t xml:space="preserve">se encuentra </w:t>
            </w:r>
            <w:r>
              <w:rPr>
                <w:color w:val="000000" w:themeColor="text1"/>
              </w:rPr>
              <w:t xml:space="preserve">realizando el proceso de gestión y coordinación </w:t>
            </w:r>
            <w:r w:rsidR="008B16E3">
              <w:rPr>
                <w:color w:val="000000" w:themeColor="text1"/>
              </w:rPr>
              <w:t>respectiva</w:t>
            </w:r>
            <w:r>
              <w:rPr>
                <w:color w:val="000000" w:themeColor="text1"/>
              </w:rPr>
              <w:t xml:space="preserve"> para su formalización e implementación.</w:t>
            </w:r>
          </w:p>
          <w:p w:rsidR="00F25989" w:rsidRDefault="002F3E0D" w:rsidP="00F25989">
            <w:pPr>
              <w:jc w:val="both"/>
              <w:rPr>
                <w:color w:val="000000" w:themeColor="text1"/>
              </w:rPr>
            </w:pPr>
            <w:hyperlink r:id="rId26" w:history="1">
              <w:r w:rsidR="00F25989" w:rsidRPr="00085904">
                <w:rPr>
                  <w:rStyle w:val="Hipervnculo"/>
                </w:rPr>
                <w:t>http://eitiperu.minem.gob.pe</w:t>
              </w:r>
            </w:hyperlink>
          </w:p>
          <w:p w:rsidR="00F25989" w:rsidRDefault="00F25989" w:rsidP="00F25989">
            <w:pPr>
              <w:jc w:val="both"/>
              <w:rPr>
                <w:color w:val="000000" w:themeColor="text1"/>
              </w:rPr>
            </w:pPr>
          </w:p>
          <w:p w:rsidR="00F25989" w:rsidRPr="00295641" w:rsidRDefault="00F25989" w:rsidP="00F25989">
            <w:pPr>
              <w:jc w:val="both"/>
              <w:rPr>
                <w:color w:val="000000" w:themeColor="text1"/>
              </w:rPr>
            </w:pPr>
            <w:r>
              <w:rPr>
                <w:color w:val="000000" w:themeColor="text1"/>
              </w:rPr>
              <w:t xml:space="preserve">Fuente: información proporcionada vía correo electrónico </w:t>
            </w:r>
            <w:r w:rsidR="008B16E3">
              <w:rPr>
                <w:color w:val="000000" w:themeColor="text1"/>
              </w:rPr>
              <w:t>(</w:t>
            </w:r>
            <w:hyperlink r:id="rId27" w:history="1">
              <w:r w:rsidRPr="00085904">
                <w:rPr>
                  <w:rStyle w:val="Hipervnculo"/>
                </w:rPr>
                <w:t>rperez@minem.gob.pe</w:t>
              </w:r>
            </w:hyperlink>
            <w:r w:rsidR="008B16E3">
              <w:rPr>
                <w:rStyle w:val="Hipervnculo"/>
              </w:rPr>
              <w:t>)</w:t>
            </w:r>
            <w:r>
              <w:rPr>
                <w:color w:val="000000" w:themeColor="text1"/>
              </w:rPr>
              <w:t>, del 28.04.16</w:t>
            </w:r>
          </w:p>
        </w:tc>
      </w:tr>
      <w:tr w:rsidR="00C0701E" w:rsidRPr="00295641" w:rsidTr="00DF077D">
        <w:tc>
          <w:tcPr>
            <w:tcW w:w="1526" w:type="dxa"/>
            <w:shd w:val="clear" w:color="auto" w:fill="C6D9F1" w:themeFill="text2" w:themeFillTint="33"/>
            <w:vAlign w:val="center"/>
          </w:tcPr>
          <w:p w:rsidR="00C0701E" w:rsidRPr="00295641" w:rsidRDefault="00C0701E" w:rsidP="00DF077D">
            <w:pPr>
              <w:rPr>
                <w:b/>
                <w:color w:val="000000" w:themeColor="text1"/>
              </w:rPr>
            </w:pPr>
            <w:r w:rsidRPr="00295641">
              <w:rPr>
                <w:rFonts w:cs="Gotham-Book"/>
                <w:b/>
                <w:color w:val="000000" w:themeColor="text1"/>
              </w:rPr>
              <w:t>Fecha de conclusión</w:t>
            </w:r>
          </w:p>
        </w:tc>
        <w:tc>
          <w:tcPr>
            <w:tcW w:w="7513" w:type="dxa"/>
            <w:gridSpan w:val="4"/>
          </w:tcPr>
          <w:p w:rsidR="00C0701E" w:rsidRPr="00295641" w:rsidRDefault="00F25989" w:rsidP="00DF077D">
            <w:pPr>
              <w:jc w:val="both"/>
              <w:rPr>
                <w:color w:val="000000" w:themeColor="text1"/>
              </w:rPr>
            </w:pPr>
            <w:proofErr w:type="spellStart"/>
            <w:r>
              <w:rPr>
                <w:color w:val="000000" w:themeColor="text1"/>
              </w:rPr>
              <w:t>Concluído</w:t>
            </w:r>
            <w:proofErr w:type="spellEnd"/>
            <w:r>
              <w:rPr>
                <w:color w:val="000000" w:themeColor="text1"/>
              </w:rPr>
              <w:t>.</w:t>
            </w:r>
          </w:p>
        </w:tc>
      </w:tr>
      <w:tr w:rsidR="00C0701E" w:rsidRPr="00295641" w:rsidTr="00DF077D">
        <w:tc>
          <w:tcPr>
            <w:tcW w:w="1526" w:type="dxa"/>
            <w:shd w:val="clear" w:color="auto" w:fill="C6D9F1" w:themeFill="text2" w:themeFillTint="33"/>
            <w:vAlign w:val="center"/>
          </w:tcPr>
          <w:p w:rsidR="00C0701E" w:rsidRPr="00295641" w:rsidRDefault="00C0701E" w:rsidP="00DF077D">
            <w:pPr>
              <w:rPr>
                <w:b/>
                <w:color w:val="000000" w:themeColor="text1"/>
              </w:rPr>
            </w:pPr>
            <w:r w:rsidRPr="00295641">
              <w:rPr>
                <w:rFonts w:cs="Gotham-Book"/>
                <w:b/>
                <w:color w:val="000000" w:themeColor="text1"/>
              </w:rPr>
              <w:t>Próximos pasos</w:t>
            </w:r>
          </w:p>
        </w:tc>
        <w:tc>
          <w:tcPr>
            <w:tcW w:w="7513" w:type="dxa"/>
            <w:gridSpan w:val="4"/>
          </w:tcPr>
          <w:p w:rsidR="00C0701E" w:rsidRPr="00295641" w:rsidRDefault="001F1972" w:rsidP="00DF077D">
            <w:pPr>
              <w:jc w:val="both"/>
              <w:rPr>
                <w:color w:val="000000" w:themeColor="text1"/>
              </w:rPr>
            </w:pPr>
            <w:r>
              <w:rPr>
                <w:color w:val="000000" w:themeColor="text1"/>
              </w:rPr>
              <w:t>Se espera que se incorporen otras regiones próximamente</w:t>
            </w:r>
          </w:p>
        </w:tc>
      </w:tr>
      <w:tr w:rsidR="00C0701E" w:rsidRPr="00295641" w:rsidTr="00DF077D">
        <w:tc>
          <w:tcPr>
            <w:tcW w:w="9039" w:type="dxa"/>
            <w:gridSpan w:val="5"/>
          </w:tcPr>
          <w:p w:rsidR="00C0701E" w:rsidRPr="00295641" w:rsidRDefault="00C0701E" w:rsidP="00DF077D">
            <w:pPr>
              <w:jc w:val="both"/>
              <w:rPr>
                <w:rFonts w:cs="Gotham-Book"/>
                <w:b/>
                <w:color w:val="000000" w:themeColor="text1"/>
              </w:rPr>
            </w:pPr>
          </w:p>
          <w:p w:rsidR="00C0701E" w:rsidRPr="00295641" w:rsidRDefault="00C0701E" w:rsidP="00DF077D">
            <w:pPr>
              <w:jc w:val="both"/>
              <w:rPr>
                <w:color w:val="000000" w:themeColor="text1"/>
              </w:rPr>
            </w:pPr>
            <w:r>
              <w:rPr>
                <w:rFonts w:cs="Gotham-Book"/>
                <w:b/>
                <w:color w:val="000000" w:themeColor="text1"/>
              </w:rPr>
              <w:t>Información adicional</w:t>
            </w:r>
          </w:p>
        </w:tc>
      </w:tr>
      <w:tr w:rsidR="001F1972" w:rsidRPr="00295641" w:rsidTr="00DF077D">
        <w:tc>
          <w:tcPr>
            <w:tcW w:w="9039" w:type="dxa"/>
            <w:gridSpan w:val="5"/>
          </w:tcPr>
          <w:p w:rsidR="001F1972" w:rsidRPr="001F1972" w:rsidRDefault="001F1972" w:rsidP="00DF077D">
            <w:pPr>
              <w:jc w:val="both"/>
              <w:rPr>
                <w:rFonts w:cs="Gotham-Book"/>
                <w:color w:val="000000" w:themeColor="text1"/>
              </w:rPr>
            </w:pPr>
            <w:r w:rsidRPr="001F1972">
              <w:rPr>
                <w:rFonts w:cs="Gotham-Book"/>
                <w:color w:val="000000" w:themeColor="text1"/>
              </w:rPr>
              <w:t xml:space="preserve">Perú es el </w:t>
            </w:r>
            <w:r>
              <w:rPr>
                <w:rFonts w:cs="Gotham-Book"/>
                <w:color w:val="000000" w:themeColor="text1"/>
              </w:rPr>
              <w:t>primer país que logró la implementación del EITI a nivel de gobiernos subnacionales.  Con ello</w:t>
            </w:r>
            <w:r w:rsidR="008B16E3">
              <w:rPr>
                <w:rFonts w:cs="Gotham-Book"/>
                <w:color w:val="000000" w:themeColor="text1"/>
              </w:rPr>
              <w:t>,</w:t>
            </w:r>
            <w:r>
              <w:rPr>
                <w:rFonts w:cs="Gotham-Book"/>
                <w:color w:val="000000" w:themeColor="text1"/>
              </w:rPr>
              <w:t xml:space="preserve"> no solo se busca transparentar los recursos de la industria extractiva, sino también conocer cómo estos ingresos son trasladados a los gobiernos regionales o locales, y su uso para el beneficio de la población.</w:t>
            </w:r>
          </w:p>
        </w:tc>
      </w:tr>
    </w:tbl>
    <w:p w:rsidR="007C1FFC" w:rsidRDefault="007C1FFC"/>
    <w:p w:rsidR="00272BDF" w:rsidRDefault="00272BDF"/>
    <w:p w:rsidR="00272BDF" w:rsidRDefault="00272BDF"/>
    <w:p w:rsidR="00272BDF" w:rsidRDefault="00272BDF"/>
    <w:tbl>
      <w:tblPr>
        <w:tblStyle w:val="Tablaconcuadrcula"/>
        <w:tblW w:w="9039" w:type="dxa"/>
        <w:tblLayout w:type="fixed"/>
        <w:tblLook w:val="04A0" w:firstRow="1" w:lastRow="0" w:firstColumn="1" w:lastColumn="0" w:noHBand="0" w:noVBand="1"/>
      </w:tblPr>
      <w:tblGrid>
        <w:gridCol w:w="2109"/>
        <w:gridCol w:w="409"/>
        <w:gridCol w:w="1701"/>
        <w:gridCol w:w="1729"/>
        <w:gridCol w:w="1644"/>
        <w:gridCol w:w="1447"/>
      </w:tblGrid>
      <w:tr w:rsidR="00DF077D" w:rsidRPr="00295641" w:rsidTr="003F3745">
        <w:tc>
          <w:tcPr>
            <w:tcW w:w="9039" w:type="dxa"/>
            <w:gridSpan w:val="6"/>
            <w:shd w:val="clear" w:color="auto" w:fill="548DD4" w:themeFill="text2" w:themeFillTint="99"/>
          </w:tcPr>
          <w:p w:rsidR="00DF077D" w:rsidRPr="00295641" w:rsidRDefault="00DF077D" w:rsidP="00DF077D">
            <w:pPr>
              <w:ind w:left="720"/>
              <w:jc w:val="center"/>
              <w:rPr>
                <w:b/>
              </w:rPr>
            </w:pPr>
            <w:r>
              <w:rPr>
                <w:b/>
              </w:rPr>
              <w:t>Componente: Participación Ciudadana</w:t>
            </w:r>
          </w:p>
        </w:tc>
      </w:tr>
      <w:tr w:rsidR="00DF077D" w:rsidRPr="00295641" w:rsidTr="003F3745">
        <w:tc>
          <w:tcPr>
            <w:tcW w:w="9039" w:type="dxa"/>
            <w:gridSpan w:val="6"/>
            <w:shd w:val="clear" w:color="auto" w:fill="548DD4" w:themeFill="text2" w:themeFillTint="99"/>
          </w:tcPr>
          <w:p w:rsidR="00DF077D" w:rsidRPr="00DF077D" w:rsidRDefault="001C55F9" w:rsidP="00DF077D">
            <w:pPr>
              <w:ind w:left="720"/>
              <w:rPr>
                <w:b/>
              </w:rPr>
            </w:pPr>
            <w:r w:rsidRPr="001C55F9">
              <w:rPr>
                <w:b/>
                <w:u w:val="single"/>
              </w:rPr>
              <w:t xml:space="preserve">Compromiso </w:t>
            </w:r>
            <w:r w:rsidR="00DF077D" w:rsidRPr="001C55F9">
              <w:rPr>
                <w:b/>
                <w:u w:val="single"/>
              </w:rPr>
              <w:t>7</w:t>
            </w:r>
            <w:r w:rsidR="00DF077D" w:rsidRPr="00DF077D">
              <w:rPr>
                <w:b/>
              </w:rPr>
              <w:t>.</w:t>
            </w:r>
            <w:r w:rsidR="00DF077D">
              <w:rPr>
                <w:b/>
              </w:rPr>
              <w:t xml:space="preserve"> </w:t>
            </w:r>
            <w:r w:rsidR="00DF077D" w:rsidRPr="00DF077D">
              <w:rPr>
                <w:b/>
              </w:rPr>
              <w:t>Fortalecer</w:t>
            </w:r>
            <w:r w:rsidR="00DF077D">
              <w:rPr>
                <w:b/>
              </w:rPr>
              <w:t xml:space="preserve"> la gestión de la participación ciudadana</w:t>
            </w:r>
          </w:p>
        </w:tc>
      </w:tr>
      <w:tr w:rsidR="003F3745" w:rsidRPr="00295641" w:rsidTr="003F3745">
        <w:tc>
          <w:tcPr>
            <w:tcW w:w="4219" w:type="dxa"/>
            <w:gridSpan w:val="3"/>
            <w:shd w:val="clear" w:color="auto" w:fill="C6D9F1" w:themeFill="text2" w:themeFillTint="33"/>
            <w:vAlign w:val="center"/>
          </w:tcPr>
          <w:p w:rsidR="003F3745" w:rsidRPr="00295641" w:rsidRDefault="003F3745" w:rsidP="003F3745">
            <w:pPr>
              <w:autoSpaceDE w:val="0"/>
              <w:autoSpaceDN w:val="0"/>
              <w:adjustRightInd w:val="0"/>
              <w:rPr>
                <w:rFonts w:cs="Gotham-Book"/>
                <w:b/>
                <w:color w:val="000000" w:themeColor="text1"/>
              </w:rPr>
            </w:pPr>
            <w:r w:rsidRPr="00295641">
              <w:rPr>
                <w:rFonts w:cs="Gotham-Book"/>
                <w:b/>
                <w:color w:val="000000" w:themeColor="text1"/>
              </w:rPr>
              <w:t>Secretaría/Ministerio</w:t>
            </w:r>
          </w:p>
          <w:p w:rsidR="003F3745" w:rsidRPr="00295641" w:rsidRDefault="003F3745" w:rsidP="003F3745">
            <w:pPr>
              <w:rPr>
                <w:b/>
                <w:color w:val="000000" w:themeColor="text1"/>
              </w:rPr>
            </w:pPr>
            <w:r w:rsidRPr="00295641">
              <w:rPr>
                <w:rFonts w:cs="Gotham-Book"/>
                <w:b/>
                <w:color w:val="000000" w:themeColor="text1"/>
              </w:rPr>
              <w:t>Responsable</w:t>
            </w:r>
          </w:p>
        </w:tc>
        <w:tc>
          <w:tcPr>
            <w:tcW w:w="4820" w:type="dxa"/>
            <w:gridSpan w:val="3"/>
          </w:tcPr>
          <w:p w:rsidR="003F3745" w:rsidRPr="00295641" w:rsidRDefault="003F3745" w:rsidP="003F3745">
            <w:pPr>
              <w:jc w:val="both"/>
              <w:rPr>
                <w:color w:val="000000" w:themeColor="text1"/>
              </w:rPr>
            </w:pPr>
            <w:r>
              <w:rPr>
                <w:color w:val="000000" w:themeColor="text1"/>
              </w:rPr>
              <w:t>Presidencia del Consejo de Ministros</w:t>
            </w:r>
            <w:r w:rsidR="00067EC2">
              <w:rPr>
                <w:color w:val="000000" w:themeColor="text1"/>
              </w:rPr>
              <w:t>,</w:t>
            </w:r>
            <w:r>
              <w:rPr>
                <w:color w:val="000000" w:themeColor="text1"/>
              </w:rPr>
              <w:t xml:space="preserve"> a través de la Secretaría de Gestión Pública</w:t>
            </w:r>
          </w:p>
        </w:tc>
      </w:tr>
      <w:tr w:rsidR="003F3745" w:rsidRPr="00295641" w:rsidTr="003F3745">
        <w:tc>
          <w:tcPr>
            <w:tcW w:w="4219" w:type="dxa"/>
            <w:gridSpan w:val="3"/>
            <w:shd w:val="clear" w:color="auto" w:fill="C6D9F1" w:themeFill="text2" w:themeFillTint="33"/>
            <w:vAlign w:val="center"/>
          </w:tcPr>
          <w:p w:rsidR="003F3745" w:rsidRPr="00295641" w:rsidRDefault="003F3745" w:rsidP="003F3745">
            <w:pPr>
              <w:autoSpaceDE w:val="0"/>
              <w:autoSpaceDN w:val="0"/>
              <w:adjustRightInd w:val="0"/>
              <w:rPr>
                <w:rFonts w:cs="Gotham-Book"/>
                <w:b/>
                <w:color w:val="000000" w:themeColor="text1"/>
              </w:rPr>
            </w:pPr>
            <w:r w:rsidRPr="00295641">
              <w:rPr>
                <w:rFonts w:cs="Gotham-Book"/>
                <w:b/>
                <w:color w:val="000000" w:themeColor="text1"/>
              </w:rPr>
              <w:t>Nombre de la persona  responsable</w:t>
            </w:r>
          </w:p>
        </w:tc>
        <w:tc>
          <w:tcPr>
            <w:tcW w:w="4820" w:type="dxa"/>
            <w:gridSpan w:val="3"/>
          </w:tcPr>
          <w:p w:rsidR="003F3745" w:rsidRPr="00295641" w:rsidRDefault="003F3745" w:rsidP="003F3745">
            <w:pPr>
              <w:jc w:val="both"/>
              <w:rPr>
                <w:color w:val="000000" w:themeColor="text1"/>
              </w:rPr>
            </w:pPr>
            <w:r>
              <w:rPr>
                <w:color w:val="000000" w:themeColor="text1"/>
              </w:rPr>
              <w:t>Fernando Zavala Lombardi</w:t>
            </w:r>
          </w:p>
        </w:tc>
      </w:tr>
      <w:tr w:rsidR="003F3745" w:rsidRPr="00295641" w:rsidTr="003F3745">
        <w:tc>
          <w:tcPr>
            <w:tcW w:w="4219" w:type="dxa"/>
            <w:gridSpan w:val="3"/>
            <w:shd w:val="clear" w:color="auto" w:fill="C6D9F1" w:themeFill="text2" w:themeFillTint="33"/>
            <w:vAlign w:val="center"/>
          </w:tcPr>
          <w:p w:rsidR="003F3745" w:rsidRPr="00295641" w:rsidRDefault="003F3745" w:rsidP="003F3745">
            <w:pPr>
              <w:rPr>
                <w:b/>
                <w:color w:val="000000" w:themeColor="text1"/>
              </w:rPr>
            </w:pPr>
            <w:r w:rsidRPr="00295641">
              <w:rPr>
                <w:rFonts w:cs="Gotham-Book"/>
                <w:b/>
                <w:color w:val="000000" w:themeColor="text1"/>
              </w:rPr>
              <w:t>Puesto</w:t>
            </w:r>
          </w:p>
        </w:tc>
        <w:tc>
          <w:tcPr>
            <w:tcW w:w="4820" w:type="dxa"/>
            <w:gridSpan w:val="3"/>
          </w:tcPr>
          <w:p w:rsidR="003F3745" w:rsidRPr="00295641" w:rsidRDefault="003F3745" w:rsidP="003F3745">
            <w:pPr>
              <w:jc w:val="both"/>
              <w:rPr>
                <w:color w:val="000000" w:themeColor="text1"/>
              </w:rPr>
            </w:pPr>
            <w:r>
              <w:rPr>
                <w:color w:val="000000" w:themeColor="text1"/>
              </w:rPr>
              <w:t>Presidente del Consejo de Ministros</w:t>
            </w:r>
          </w:p>
        </w:tc>
      </w:tr>
      <w:tr w:rsidR="003F3745" w:rsidRPr="00295641" w:rsidTr="003F3745">
        <w:tc>
          <w:tcPr>
            <w:tcW w:w="4219" w:type="dxa"/>
            <w:gridSpan w:val="3"/>
            <w:shd w:val="clear" w:color="auto" w:fill="C6D9F1" w:themeFill="text2" w:themeFillTint="33"/>
            <w:vAlign w:val="center"/>
          </w:tcPr>
          <w:p w:rsidR="003F3745" w:rsidRPr="00295641" w:rsidRDefault="003F3745" w:rsidP="003F3745">
            <w:pPr>
              <w:autoSpaceDE w:val="0"/>
              <w:autoSpaceDN w:val="0"/>
              <w:adjustRightInd w:val="0"/>
              <w:rPr>
                <w:rFonts w:cs="Gotham-Book"/>
                <w:b/>
                <w:color w:val="000000" w:themeColor="text1"/>
              </w:rPr>
            </w:pPr>
            <w:r w:rsidRPr="00295641">
              <w:rPr>
                <w:rFonts w:cs="Gotham-Book"/>
                <w:b/>
                <w:color w:val="000000" w:themeColor="text1"/>
              </w:rPr>
              <w:t>Correo electrónico</w:t>
            </w:r>
          </w:p>
        </w:tc>
        <w:tc>
          <w:tcPr>
            <w:tcW w:w="4820" w:type="dxa"/>
            <w:gridSpan w:val="3"/>
          </w:tcPr>
          <w:p w:rsidR="003F3745" w:rsidRPr="00295641" w:rsidRDefault="002F3E0D" w:rsidP="003F3745">
            <w:pPr>
              <w:jc w:val="both"/>
              <w:rPr>
                <w:rFonts w:cs="Arial"/>
                <w:color w:val="0000FF"/>
                <w:u w:val="single"/>
              </w:rPr>
            </w:pPr>
            <w:hyperlink r:id="rId28" w:history="1">
              <w:r w:rsidR="003F3745" w:rsidRPr="002977A0">
                <w:rPr>
                  <w:rStyle w:val="Hipervnculo"/>
                  <w:rFonts w:cs="Arial"/>
                </w:rPr>
                <w:t>fzavala@pcm.gob.pe</w:t>
              </w:r>
            </w:hyperlink>
          </w:p>
        </w:tc>
      </w:tr>
      <w:tr w:rsidR="003F3745" w:rsidRPr="00295641" w:rsidTr="003F3745">
        <w:tc>
          <w:tcPr>
            <w:tcW w:w="4219" w:type="dxa"/>
            <w:gridSpan w:val="3"/>
            <w:shd w:val="clear" w:color="auto" w:fill="C6D9F1" w:themeFill="text2" w:themeFillTint="33"/>
            <w:vAlign w:val="center"/>
          </w:tcPr>
          <w:p w:rsidR="003F3745" w:rsidRPr="00295641" w:rsidRDefault="003F3745" w:rsidP="003F3745">
            <w:pPr>
              <w:rPr>
                <w:b/>
                <w:color w:val="000000" w:themeColor="text1"/>
              </w:rPr>
            </w:pPr>
            <w:r w:rsidRPr="00295641">
              <w:rPr>
                <w:rFonts w:cs="Gotham-Book"/>
                <w:b/>
                <w:color w:val="000000" w:themeColor="text1"/>
              </w:rPr>
              <w:t>Teléfono</w:t>
            </w:r>
          </w:p>
        </w:tc>
        <w:tc>
          <w:tcPr>
            <w:tcW w:w="4820" w:type="dxa"/>
            <w:gridSpan w:val="3"/>
          </w:tcPr>
          <w:p w:rsidR="003F3745" w:rsidRPr="00295641" w:rsidRDefault="003F3745" w:rsidP="003F3745">
            <w:pPr>
              <w:jc w:val="both"/>
              <w:rPr>
                <w:color w:val="000000" w:themeColor="text1"/>
              </w:rPr>
            </w:pPr>
            <w:r>
              <w:rPr>
                <w:color w:val="000000" w:themeColor="text1"/>
              </w:rPr>
              <w:t>51-1-2197000</w:t>
            </w:r>
          </w:p>
        </w:tc>
      </w:tr>
      <w:tr w:rsidR="00DF077D" w:rsidRPr="00295641" w:rsidTr="003F3745">
        <w:tc>
          <w:tcPr>
            <w:tcW w:w="2109" w:type="dxa"/>
            <w:vMerge w:val="restart"/>
            <w:shd w:val="clear" w:color="auto" w:fill="C6D9F1" w:themeFill="text2" w:themeFillTint="33"/>
            <w:vAlign w:val="center"/>
          </w:tcPr>
          <w:p w:rsidR="00DF077D" w:rsidRPr="00295641" w:rsidRDefault="00DF077D" w:rsidP="00DF077D">
            <w:pPr>
              <w:rPr>
                <w:rFonts w:cs="Gotham-Book"/>
                <w:b/>
                <w:color w:val="000000" w:themeColor="text1"/>
              </w:rPr>
            </w:pPr>
            <w:r>
              <w:rPr>
                <w:rFonts w:cs="Gotham-Book"/>
                <w:b/>
                <w:color w:val="000000" w:themeColor="text1"/>
              </w:rPr>
              <w:t>Otros actores involucrados</w:t>
            </w:r>
          </w:p>
        </w:tc>
        <w:tc>
          <w:tcPr>
            <w:tcW w:w="2110" w:type="dxa"/>
            <w:gridSpan w:val="2"/>
            <w:shd w:val="clear" w:color="auto" w:fill="C6D9F1" w:themeFill="text2" w:themeFillTint="33"/>
            <w:vAlign w:val="center"/>
          </w:tcPr>
          <w:p w:rsidR="00DF077D" w:rsidRPr="00295641" w:rsidRDefault="00DF077D" w:rsidP="00DF077D">
            <w:pPr>
              <w:rPr>
                <w:rFonts w:cs="Gotham-Book"/>
                <w:b/>
                <w:color w:val="000000" w:themeColor="text1"/>
              </w:rPr>
            </w:pPr>
            <w:r>
              <w:rPr>
                <w:rFonts w:cs="Gotham-Book"/>
                <w:b/>
                <w:color w:val="000000" w:themeColor="text1"/>
              </w:rPr>
              <w:t>Gobierno</w:t>
            </w:r>
          </w:p>
        </w:tc>
        <w:tc>
          <w:tcPr>
            <w:tcW w:w="4820" w:type="dxa"/>
            <w:gridSpan w:val="3"/>
          </w:tcPr>
          <w:p w:rsidR="00DF077D" w:rsidRPr="00295641" w:rsidRDefault="00DF077D" w:rsidP="00DF077D">
            <w:pPr>
              <w:jc w:val="both"/>
              <w:rPr>
                <w:color w:val="000000" w:themeColor="text1"/>
              </w:rPr>
            </w:pPr>
            <w:r>
              <w:rPr>
                <w:color w:val="000000" w:themeColor="text1"/>
              </w:rPr>
              <w:t>No aplica</w:t>
            </w:r>
          </w:p>
        </w:tc>
      </w:tr>
      <w:tr w:rsidR="00DF077D" w:rsidRPr="00295641" w:rsidTr="003F3745">
        <w:tc>
          <w:tcPr>
            <w:tcW w:w="2109" w:type="dxa"/>
            <w:vMerge/>
            <w:shd w:val="clear" w:color="auto" w:fill="C6D9F1" w:themeFill="text2" w:themeFillTint="33"/>
            <w:vAlign w:val="center"/>
          </w:tcPr>
          <w:p w:rsidR="00DF077D" w:rsidRPr="00295641" w:rsidRDefault="00DF077D" w:rsidP="00DF077D">
            <w:pPr>
              <w:rPr>
                <w:rFonts w:cs="Gotham-Book"/>
                <w:b/>
                <w:color w:val="000000" w:themeColor="text1"/>
              </w:rPr>
            </w:pPr>
          </w:p>
        </w:tc>
        <w:tc>
          <w:tcPr>
            <w:tcW w:w="2110" w:type="dxa"/>
            <w:gridSpan w:val="2"/>
            <w:shd w:val="clear" w:color="auto" w:fill="C6D9F1" w:themeFill="text2" w:themeFillTint="33"/>
            <w:vAlign w:val="center"/>
          </w:tcPr>
          <w:p w:rsidR="00DF077D" w:rsidRPr="00295641" w:rsidRDefault="00DF077D" w:rsidP="00DF077D">
            <w:pPr>
              <w:rPr>
                <w:rFonts w:cs="Gotham-Book"/>
                <w:b/>
                <w:color w:val="000000" w:themeColor="text1"/>
              </w:rPr>
            </w:pPr>
            <w:r>
              <w:rPr>
                <w:rFonts w:cs="Gotham-Book"/>
                <w:b/>
                <w:color w:val="000000" w:themeColor="text1"/>
              </w:rPr>
              <w:t>Sociedad civil, iniciativa privada, grupos de trabajo o multilaterales</w:t>
            </w:r>
          </w:p>
        </w:tc>
        <w:tc>
          <w:tcPr>
            <w:tcW w:w="4820" w:type="dxa"/>
            <w:gridSpan w:val="3"/>
          </w:tcPr>
          <w:p w:rsidR="00DF077D" w:rsidRPr="00295641" w:rsidRDefault="00DF077D" w:rsidP="00DF077D">
            <w:pPr>
              <w:jc w:val="both"/>
              <w:rPr>
                <w:color w:val="000000" w:themeColor="text1"/>
              </w:rPr>
            </w:pPr>
          </w:p>
        </w:tc>
      </w:tr>
      <w:tr w:rsidR="00DF077D" w:rsidRPr="00295641" w:rsidTr="003F3745">
        <w:tc>
          <w:tcPr>
            <w:tcW w:w="4219" w:type="dxa"/>
            <w:gridSpan w:val="3"/>
            <w:shd w:val="clear" w:color="auto" w:fill="C6D9F1" w:themeFill="text2" w:themeFillTint="33"/>
            <w:vAlign w:val="center"/>
          </w:tcPr>
          <w:p w:rsidR="00DF077D" w:rsidRPr="00295641" w:rsidRDefault="00DF077D" w:rsidP="00DF077D">
            <w:pPr>
              <w:rPr>
                <w:rFonts w:cs="Gotham-Book"/>
                <w:b/>
                <w:color w:val="000000" w:themeColor="text1"/>
              </w:rPr>
            </w:pPr>
            <w:r>
              <w:rPr>
                <w:rFonts w:cs="Gotham-Book"/>
                <w:b/>
                <w:color w:val="000000" w:themeColor="text1"/>
              </w:rPr>
              <w:t>Status quo o problema/</w:t>
            </w:r>
            <w:r>
              <w:rPr>
                <w:rFonts w:cs="Gotham-Book"/>
                <w:b/>
                <w:color w:val="000000" w:themeColor="text1"/>
              </w:rPr>
              <w:br/>
              <w:t>desafío que será atendido</w:t>
            </w:r>
          </w:p>
        </w:tc>
        <w:tc>
          <w:tcPr>
            <w:tcW w:w="4820" w:type="dxa"/>
            <w:gridSpan w:val="3"/>
          </w:tcPr>
          <w:p w:rsidR="0070372D" w:rsidRDefault="0070372D" w:rsidP="0070372D">
            <w:pPr>
              <w:jc w:val="both"/>
              <w:rPr>
                <w:color w:val="000000" w:themeColor="text1"/>
              </w:rPr>
            </w:pPr>
            <w:r>
              <w:rPr>
                <w:color w:val="000000" w:themeColor="text1"/>
              </w:rPr>
              <w:t>De acuerdo a la Carta Iberoamericana de la Participación Ciudadana en la Gestión Pública (p.3), la participación ciudadana se entiende como un proceso de construcción social de las políticas públicas, fomentando la expresión y defensa de sus intereses y un mayor conocimiento de los asuntos públicos.</w:t>
            </w:r>
          </w:p>
          <w:p w:rsidR="00DF077D" w:rsidRPr="00295641" w:rsidRDefault="0070372D" w:rsidP="0070372D">
            <w:pPr>
              <w:jc w:val="both"/>
              <w:rPr>
                <w:color w:val="000000" w:themeColor="text1"/>
              </w:rPr>
            </w:pPr>
            <w:r>
              <w:rPr>
                <w:color w:val="000000" w:themeColor="text1"/>
              </w:rPr>
              <w:t>Si bien en nuestro país existen mecanismos regulados, es necesaria l</w:t>
            </w:r>
            <w:r w:rsidR="003F3745">
              <w:rPr>
                <w:color w:val="000000" w:themeColor="text1"/>
              </w:rPr>
              <w:t xml:space="preserve">a </w:t>
            </w:r>
            <w:r>
              <w:rPr>
                <w:color w:val="000000" w:themeColor="text1"/>
              </w:rPr>
              <w:t xml:space="preserve">implementación </w:t>
            </w:r>
            <w:r w:rsidR="003F3745">
              <w:rPr>
                <w:color w:val="000000" w:themeColor="text1"/>
              </w:rPr>
              <w:t xml:space="preserve">de lineamientos y orientaciones sobre la gestión de las políticas </w:t>
            </w:r>
            <w:r w:rsidR="00067EC2">
              <w:rPr>
                <w:color w:val="000000" w:themeColor="text1"/>
              </w:rPr>
              <w:t>de participación ciudadana</w:t>
            </w:r>
            <w:r>
              <w:rPr>
                <w:color w:val="000000" w:themeColor="text1"/>
              </w:rPr>
              <w:t xml:space="preserve">. Esto permitirá fortalecer dichos mecanismos, a fin de que se desarrollen de forma adecuada y activa. </w:t>
            </w:r>
          </w:p>
        </w:tc>
      </w:tr>
      <w:tr w:rsidR="00DF077D" w:rsidRPr="00295641" w:rsidTr="003F3745">
        <w:tc>
          <w:tcPr>
            <w:tcW w:w="4219" w:type="dxa"/>
            <w:gridSpan w:val="3"/>
            <w:shd w:val="clear" w:color="auto" w:fill="C6D9F1" w:themeFill="text2" w:themeFillTint="33"/>
            <w:vAlign w:val="center"/>
          </w:tcPr>
          <w:p w:rsidR="00DF077D" w:rsidRPr="00295641" w:rsidRDefault="00DF077D" w:rsidP="00DF077D">
            <w:pPr>
              <w:rPr>
                <w:b/>
                <w:color w:val="000000" w:themeColor="text1"/>
              </w:rPr>
            </w:pPr>
            <w:r w:rsidRPr="00295641">
              <w:rPr>
                <w:rFonts w:cs="Gotham-Book"/>
                <w:b/>
                <w:color w:val="000000" w:themeColor="text1"/>
              </w:rPr>
              <w:t>Objetivo principal</w:t>
            </w:r>
          </w:p>
        </w:tc>
        <w:tc>
          <w:tcPr>
            <w:tcW w:w="4820" w:type="dxa"/>
            <w:gridSpan w:val="3"/>
          </w:tcPr>
          <w:p w:rsidR="00DF077D" w:rsidRPr="00EB66E2" w:rsidRDefault="00067EC2" w:rsidP="00265D44">
            <w:pPr>
              <w:jc w:val="both"/>
              <w:rPr>
                <w:bCs/>
              </w:rPr>
            </w:pPr>
            <w:r>
              <w:rPr>
                <w:bCs/>
              </w:rPr>
              <w:t>Sensibilizar y orientar</w:t>
            </w:r>
            <w:r w:rsidR="00A6024D">
              <w:rPr>
                <w:bCs/>
              </w:rPr>
              <w:t xml:space="preserve"> a los funcionarios públicos para la adecuada gestión de la participación ciudadana, como vía para contribuir a una mejora en la calidad de la gestión pública, de acuerdo con la normativa nacional y la Carta Iberoamericana de la Participación ciudadana.</w:t>
            </w:r>
          </w:p>
        </w:tc>
      </w:tr>
      <w:tr w:rsidR="00DF077D" w:rsidRPr="00295641" w:rsidTr="003F3745">
        <w:tc>
          <w:tcPr>
            <w:tcW w:w="4219" w:type="dxa"/>
            <w:gridSpan w:val="3"/>
            <w:shd w:val="clear" w:color="auto" w:fill="C6D9F1" w:themeFill="text2" w:themeFillTint="33"/>
            <w:vAlign w:val="center"/>
          </w:tcPr>
          <w:p w:rsidR="00DF077D" w:rsidRPr="00295641" w:rsidRDefault="00DF077D" w:rsidP="00DF077D">
            <w:pPr>
              <w:autoSpaceDE w:val="0"/>
              <w:autoSpaceDN w:val="0"/>
              <w:adjustRightInd w:val="0"/>
              <w:rPr>
                <w:rFonts w:cs="Gotham-Book"/>
                <w:b/>
                <w:color w:val="000000" w:themeColor="text1"/>
              </w:rPr>
            </w:pPr>
            <w:r>
              <w:rPr>
                <w:rFonts w:cs="Gotham-Book"/>
                <w:b/>
                <w:color w:val="000000" w:themeColor="text1"/>
              </w:rPr>
              <w:t xml:space="preserve">Breve </w:t>
            </w:r>
            <w:r w:rsidRPr="00295641">
              <w:rPr>
                <w:rFonts w:cs="Gotham-Book"/>
                <w:b/>
                <w:color w:val="000000" w:themeColor="text1"/>
              </w:rPr>
              <w:t>Descripción del</w:t>
            </w:r>
          </w:p>
          <w:p w:rsidR="00DF077D" w:rsidRPr="00295641" w:rsidRDefault="00DF077D" w:rsidP="00DF077D">
            <w:pPr>
              <w:autoSpaceDE w:val="0"/>
              <w:autoSpaceDN w:val="0"/>
              <w:adjustRightInd w:val="0"/>
              <w:rPr>
                <w:rFonts w:cs="Gotham-Book"/>
                <w:b/>
                <w:color w:val="000000" w:themeColor="text1"/>
              </w:rPr>
            </w:pPr>
            <w:r w:rsidRPr="00295641">
              <w:rPr>
                <w:rFonts w:cs="Gotham-Book"/>
                <w:b/>
                <w:color w:val="000000" w:themeColor="text1"/>
              </w:rPr>
              <w:t>Compromiso</w:t>
            </w:r>
          </w:p>
        </w:tc>
        <w:tc>
          <w:tcPr>
            <w:tcW w:w="4820" w:type="dxa"/>
            <w:gridSpan w:val="3"/>
          </w:tcPr>
          <w:p w:rsidR="00DF077D" w:rsidRPr="00D55406" w:rsidRDefault="00A6024D" w:rsidP="00DF077D">
            <w:pPr>
              <w:jc w:val="both"/>
              <w:rPr>
                <w:color w:val="FF0000"/>
                <w:szCs w:val="20"/>
                <w:lang w:val="es-PE"/>
              </w:rPr>
            </w:pPr>
            <w:r w:rsidRPr="00A6024D">
              <w:rPr>
                <w:szCs w:val="20"/>
                <w:lang w:val="es-PE"/>
              </w:rPr>
              <w:t>Fortalecer la gestión de la participación ciudadana en las entidades públicas de los tres niveles de gobierno a través de lineamientos y orientaciones que contribuyan a una adecuada gestión.</w:t>
            </w:r>
          </w:p>
        </w:tc>
      </w:tr>
      <w:tr w:rsidR="00DF077D" w:rsidRPr="00295641" w:rsidTr="003F3745">
        <w:tc>
          <w:tcPr>
            <w:tcW w:w="4219" w:type="dxa"/>
            <w:gridSpan w:val="3"/>
            <w:shd w:val="clear" w:color="auto" w:fill="C6D9F1" w:themeFill="text2" w:themeFillTint="33"/>
            <w:vAlign w:val="center"/>
          </w:tcPr>
          <w:p w:rsidR="00DF077D" w:rsidRPr="00295641" w:rsidRDefault="00DF077D" w:rsidP="00DF077D">
            <w:pPr>
              <w:autoSpaceDE w:val="0"/>
              <w:autoSpaceDN w:val="0"/>
              <w:adjustRightInd w:val="0"/>
              <w:rPr>
                <w:rFonts w:cs="Gotham-Book"/>
                <w:b/>
                <w:color w:val="000000" w:themeColor="text1"/>
              </w:rPr>
            </w:pPr>
            <w:r w:rsidRPr="00295641">
              <w:rPr>
                <w:rFonts w:cs="Gotham-Book"/>
                <w:b/>
                <w:color w:val="000000" w:themeColor="text1"/>
              </w:rPr>
              <w:t>Relevancia</w:t>
            </w:r>
          </w:p>
          <w:p w:rsidR="00DF077D" w:rsidRPr="00295641" w:rsidRDefault="00DF077D" w:rsidP="00DF077D">
            <w:pPr>
              <w:autoSpaceDE w:val="0"/>
              <w:autoSpaceDN w:val="0"/>
              <w:adjustRightInd w:val="0"/>
              <w:rPr>
                <w:b/>
                <w:color w:val="000000" w:themeColor="text1"/>
              </w:rPr>
            </w:pPr>
          </w:p>
        </w:tc>
        <w:tc>
          <w:tcPr>
            <w:tcW w:w="4820" w:type="dxa"/>
            <w:gridSpan w:val="3"/>
          </w:tcPr>
          <w:p w:rsidR="00DF077D" w:rsidRPr="00D55406" w:rsidRDefault="00925413" w:rsidP="00DF077D">
            <w:pPr>
              <w:jc w:val="both"/>
              <w:rPr>
                <w:color w:val="FF0000"/>
                <w:szCs w:val="20"/>
                <w:lang w:val="es-PE"/>
              </w:rPr>
            </w:pPr>
            <w:r w:rsidRPr="00265D44">
              <w:rPr>
                <w:szCs w:val="20"/>
                <w:lang w:val="es-PE"/>
              </w:rPr>
              <w:t>El compromiso contribuye a fortalecer la efectividad de los mecanismos de participación ciudadana existentes</w:t>
            </w:r>
            <w:r w:rsidR="00265D44">
              <w:rPr>
                <w:szCs w:val="20"/>
                <w:lang w:val="es-PE"/>
              </w:rPr>
              <w:t>, como principio de Gobierno Abierto</w:t>
            </w:r>
            <w:r w:rsidR="00141D64">
              <w:rPr>
                <w:szCs w:val="20"/>
                <w:lang w:val="es-PE"/>
              </w:rPr>
              <w:t>.</w:t>
            </w:r>
          </w:p>
        </w:tc>
      </w:tr>
      <w:tr w:rsidR="00DF077D" w:rsidRPr="00295641" w:rsidTr="003F3745">
        <w:tc>
          <w:tcPr>
            <w:tcW w:w="4219" w:type="dxa"/>
            <w:gridSpan w:val="3"/>
            <w:shd w:val="clear" w:color="auto" w:fill="C6D9F1" w:themeFill="text2" w:themeFillTint="33"/>
            <w:vAlign w:val="center"/>
          </w:tcPr>
          <w:p w:rsidR="00DF077D" w:rsidRPr="00295641" w:rsidRDefault="00DF077D" w:rsidP="00DF077D">
            <w:pPr>
              <w:autoSpaceDE w:val="0"/>
              <w:autoSpaceDN w:val="0"/>
              <w:adjustRightInd w:val="0"/>
              <w:rPr>
                <w:rFonts w:cs="Gotham-Book"/>
                <w:b/>
                <w:color w:val="000000" w:themeColor="text1"/>
              </w:rPr>
            </w:pPr>
            <w:r w:rsidRPr="00295641">
              <w:rPr>
                <w:rFonts w:cs="Gotham-Book"/>
                <w:b/>
                <w:color w:val="000000" w:themeColor="text1"/>
              </w:rPr>
              <w:t>Ambición</w:t>
            </w:r>
          </w:p>
          <w:p w:rsidR="00DF077D" w:rsidRPr="00295641" w:rsidRDefault="00DF077D" w:rsidP="00DF077D">
            <w:pPr>
              <w:autoSpaceDE w:val="0"/>
              <w:autoSpaceDN w:val="0"/>
              <w:adjustRightInd w:val="0"/>
              <w:rPr>
                <w:rFonts w:cs="Gotham-BookItalic"/>
                <w:b/>
                <w:iCs/>
                <w:color w:val="000000" w:themeColor="text1"/>
              </w:rPr>
            </w:pPr>
          </w:p>
        </w:tc>
        <w:tc>
          <w:tcPr>
            <w:tcW w:w="4820" w:type="dxa"/>
            <w:gridSpan w:val="3"/>
          </w:tcPr>
          <w:p w:rsidR="00DF077D" w:rsidRPr="00D55406" w:rsidRDefault="00265D44" w:rsidP="00265D44">
            <w:pPr>
              <w:jc w:val="both"/>
              <w:rPr>
                <w:color w:val="FF0000"/>
                <w:szCs w:val="20"/>
                <w:lang w:val="es-PE"/>
              </w:rPr>
            </w:pPr>
            <w:r w:rsidRPr="00265D44">
              <w:rPr>
                <w:szCs w:val="20"/>
                <w:lang w:val="es-PE"/>
              </w:rPr>
              <w:t>Se espera que los servidores civiles gestionen de manera adecuada la participación ciudadana para contribuir en la mejora de la calidad de la gestión pública</w:t>
            </w:r>
            <w:r w:rsidR="00DF077D" w:rsidRPr="00265D44">
              <w:rPr>
                <w:szCs w:val="20"/>
                <w:lang w:val="es-PE"/>
              </w:rPr>
              <w:t>.</w:t>
            </w:r>
            <w:r w:rsidR="00DF077D" w:rsidRPr="00D55406">
              <w:rPr>
                <w:color w:val="FF0000"/>
                <w:szCs w:val="20"/>
                <w:lang w:val="es-PE"/>
              </w:rPr>
              <w:t xml:space="preserve"> </w:t>
            </w:r>
          </w:p>
        </w:tc>
      </w:tr>
      <w:tr w:rsidR="00DF077D" w:rsidRPr="00295641" w:rsidTr="003F3745">
        <w:tc>
          <w:tcPr>
            <w:tcW w:w="2518" w:type="dxa"/>
            <w:gridSpan w:val="2"/>
            <w:vMerge w:val="restart"/>
            <w:shd w:val="clear" w:color="auto" w:fill="C6D9F1" w:themeFill="text2" w:themeFillTint="33"/>
            <w:vAlign w:val="center"/>
          </w:tcPr>
          <w:p w:rsidR="00DF077D" w:rsidRPr="00295641" w:rsidRDefault="00DF077D" w:rsidP="00DF077D">
            <w:pPr>
              <w:rPr>
                <w:b/>
                <w:color w:val="000000" w:themeColor="text1"/>
              </w:rPr>
            </w:pPr>
            <w:r w:rsidRPr="00295641">
              <w:rPr>
                <w:rFonts w:cs="Gotham-Book"/>
                <w:b/>
                <w:color w:val="000000" w:themeColor="text1"/>
              </w:rPr>
              <w:t>Cumplimiento</w:t>
            </w:r>
          </w:p>
        </w:tc>
        <w:tc>
          <w:tcPr>
            <w:tcW w:w="1701" w:type="dxa"/>
            <w:shd w:val="clear" w:color="auto" w:fill="C6D9F1" w:themeFill="text2" w:themeFillTint="33"/>
          </w:tcPr>
          <w:p w:rsidR="00DF077D" w:rsidRPr="00295641" w:rsidRDefault="00DF077D" w:rsidP="00DF077D">
            <w:pPr>
              <w:jc w:val="center"/>
              <w:rPr>
                <w:b/>
                <w:color w:val="000000" w:themeColor="text1"/>
              </w:rPr>
            </w:pPr>
            <w:r w:rsidRPr="00295641">
              <w:rPr>
                <w:rFonts w:cs="Gotham-Book"/>
                <w:b/>
                <w:color w:val="000000" w:themeColor="text1"/>
              </w:rPr>
              <w:t>No iniciado</w:t>
            </w:r>
          </w:p>
        </w:tc>
        <w:tc>
          <w:tcPr>
            <w:tcW w:w="1729" w:type="dxa"/>
            <w:shd w:val="clear" w:color="auto" w:fill="C6D9F1" w:themeFill="text2" w:themeFillTint="33"/>
          </w:tcPr>
          <w:p w:rsidR="00DF077D" w:rsidRPr="00295641" w:rsidRDefault="00DF077D" w:rsidP="00DF077D">
            <w:pPr>
              <w:jc w:val="center"/>
              <w:rPr>
                <w:b/>
                <w:color w:val="000000" w:themeColor="text1"/>
              </w:rPr>
            </w:pPr>
            <w:r w:rsidRPr="00295641">
              <w:rPr>
                <w:rFonts w:cs="Gotham-Book"/>
                <w:b/>
                <w:color w:val="000000" w:themeColor="text1"/>
              </w:rPr>
              <w:t>Limitado</w:t>
            </w:r>
          </w:p>
        </w:tc>
        <w:tc>
          <w:tcPr>
            <w:tcW w:w="1644" w:type="dxa"/>
            <w:shd w:val="clear" w:color="auto" w:fill="C6D9F1" w:themeFill="text2" w:themeFillTint="33"/>
          </w:tcPr>
          <w:p w:rsidR="00DF077D" w:rsidRPr="00295641" w:rsidRDefault="00DF077D" w:rsidP="00DF077D">
            <w:pPr>
              <w:jc w:val="center"/>
              <w:rPr>
                <w:b/>
                <w:color w:val="000000" w:themeColor="text1"/>
              </w:rPr>
            </w:pPr>
            <w:r w:rsidRPr="00295641">
              <w:rPr>
                <w:rFonts w:cs="Gotham-Book"/>
                <w:b/>
                <w:color w:val="000000" w:themeColor="text1"/>
              </w:rPr>
              <w:t>Sustancial</w:t>
            </w:r>
          </w:p>
        </w:tc>
        <w:tc>
          <w:tcPr>
            <w:tcW w:w="1447" w:type="dxa"/>
            <w:shd w:val="clear" w:color="auto" w:fill="C6D9F1" w:themeFill="text2" w:themeFillTint="33"/>
          </w:tcPr>
          <w:p w:rsidR="00DF077D" w:rsidRPr="00295641" w:rsidRDefault="00DF077D" w:rsidP="00DF077D">
            <w:pPr>
              <w:jc w:val="center"/>
              <w:rPr>
                <w:b/>
                <w:color w:val="000000" w:themeColor="text1"/>
              </w:rPr>
            </w:pPr>
            <w:r w:rsidRPr="00295641">
              <w:rPr>
                <w:rFonts w:cs="Gotham-Book"/>
                <w:b/>
                <w:color w:val="000000" w:themeColor="text1"/>
              </w:rPr>
              <w:t>Completo</w:t>
            </w:r>
          </w:p>
        </w:tc>
      </w:tr>
      <w:tr w:rsidR="00DF077D" w:rsidRPr="00295641" w:rsidTr="003F3745">
        <w:tc>
          <w:tcPr>
            <w:tcW w:w="2518" w:type="dxa"/>
            <w:gridSpan w:val="2"/>
            <w:vMerge/>
            <w:shd w:val="clear" w:color="auto" w:fill="C6D9F1" w:themeFill="text2" w:themeFillTint="33"/>
            <w:vAlign w:val="center"/>
          </w:tcPr>
          <w:p w:rsidR="00DF077D" w:rsidRPr="00295641" w:rsidRDefault="00DF077D" w:rsidP="00DF077D">
            <w:pPr>
              <w:rPr>
                <w:b/>
                <w:color w:val="000000" w:themeColor="text1"/>
              </w:rPr>
            </w:pPr>
          </w:p>
        </w:tc>
        <w:tc>
          <w:tcPr>
            <w:tcW w:w="1701" w:type="dxa"/>
          </w:tcPr>
          <w:p w:rsidR="00DF077D" w:rsidRPr="00295641" w:rsidRDefault="00925413" w:rsidP="00DF077D">
            <w:pPr>
              <w:jc w:val="center"/>
              <w:rPr>
                <w:b/>
                <w:color w:val="000000" w:themeColor="text1"/>
              </w:rPr>
            </w:pPr>
            <w:r>
              <w:rPr>
                <w:b/>
                <w:color w:val="000000" w:themeColor="text1"/>
              </w:rPr>
              <w:t>X</w:t>
            </w:r>
          </w:p>
        </w:tc>
        <w:tc>
          <w:tcPr>
            <w:tcW w:w="1729" w:type="dxa"/>
          </w:tcPr>
          <w:p w:rsidR="00DF077D" w:rsidRPr="00295641" w:rsidRDefault="00DF077D" w:rsidP="00DF077D">
            <w:pPr>
              <w:jc w:val="center"/>
              <w:rPr>
                <w:b/>
                <w:color w:val="000000" w:themeColor="text1"/>
              </w:rPr>
            </w:pPr>
          </w:p>
        </w:tc>
        <w:tc>
          <w:tcPr>
            <w:tcW w:w="1644" w:type="dxa"/>
          </w:tcPr>
          <w:p w:rsidR="00DF077D" w:rsidRPr="00295641" w:rsidRDefault="00DF077D" w:rsidP="00DF077D">
            <w:pPr>
              <w:jc w:val="center"/>
              <w:rPr>
                <w:b/>
                <w:color w:val="000000" w:themeColor="text1"/>
              </w:rPr>
            </w:pPr>
          </w:p>
        </w:tc>
        <w:tc>
          <w:tcPr>
            <w:tcW w:w="1447" w:type="dxa"/>
            <w:shd w:val="clear" w:color="auto" w:fill="FFFFFF" w:themeFill="background1"/>
          </w:tcPr>
          <w:p w:rsidR="00DF077D" w:rsidRPr="00295641" w:rsidRDefault="00DF077D" w:rsidP="00DF077D">
            <w:pPr>
              <w:jc w:val="center"/>
              <w:rPr>
                <w:b/>
                <w:color w:val="000000" w:themeColor="text1"/>
              </w:rPr>
            </w:pPr>
          </w:p>
        </w:tc>
      </w:tr>
      <w:tr w:rsidR="00DF077D" w:rsidRPr="00295641" w:rsidTr="003F3745">
        <w:tc>
          <w:tcPr>
            <w:tcW w:w="2518" w:type="dxa"/>
            <w:gridSpan w:val="2"/>
            <w:shd w:val="clear" w:color="auto" w:fill="C6D9F1" w:themeFill="text2" w:themeFillTint="33"/>
            <w:vAlign w:val="center"/>
          </w:tcPr>
          <w:p w:rsidR="00DF077D" w:rsidRPr="00295641" w:rsidRDefault="00DF077D" w:rsidP="00DF077D">
            <w:pPr>
              <w:autoSpaceDE w:val="0"/>
              <w:autoSpaceDN w:val="0"/>
              <w:adjustRightInd w:val="0"/>
              <w:rPr>
                <w:rFonts w:cs="Gotham-Book"/>
                <w:b/>
                <w:color w:val="000000" w:themeColor="text1"/>
              </w:rPr>
            </w:pPr>
            <w:r w:rsidRPr="00295641">
              <w:rPr>
                <w:rFonts w:cs="Gotham-Book"/>
                <w:b/>
                <w:color w:val="000000" w:themeColor="text1"/>
              </w:rPr>
              <w:t>Descripción de los resultados</w:t>
            </w:r>
          </w:p>
          <w:p w:rsidR="00DF077D" w:rsidRPr="00295641" w:rsidRDefault="00DF077D" w:rsidP="00DF077D">
            <w:pPr>
              <w:autoSpaceDE w:val="0"/>
              <w:autoSpaceDN w:val="0"/>
              <w:adjustRightInd w:val="0"/>
              <w:rPr>
                <w:rFonts w:cs="Gotham-BookItalic"/>
                <w:b/>
                <w:iCs/>
                <w:color w:val="000000" w:themeColor="text1"/>
              </w:rPr>
            </w:pPr>
          </w:p>
        </w:tc>
        <w:tc>
          <w:tcPr>
            <w:tcW w:w="6521" w:type="dxa"/>
            <w:gridSpan w:val="4"/>
          </w:tcPr>
          <w:p w:rsidR="00DF077D" w:rsidRPr="001C55F9" w:rsidRDefault="00A6024D" w:rsidP="00DF077D">
            <w:pPr>
              <w:jc w:val="both"/>
              <w:rPr>
                <w:b/>
                <w:i/>
                <w:szCs w:val="20"/>
                <w:lang w:val="es-PE"/>
              </w:rPr>
            </w:pPr>
            <w:r w:rsidRPr="001C55F9">
              <w:rPr>
                <w:b/>
                <w:i/>
                <w:szCs w:val="20"/>
                <w:lang w:val="es-PE"/>
              </w:rPr>
              <w:t>1. Conformación de un grupo de trabajo</w:t>
            </w:r>
            <w:r w:rsidR="00925413" w:rsidRPr="001C55F9">
              <w:rPr>
                <w:b/>
                <w:i/>
                <w:szCs w:val="20"/>
                <w:lang w:val="es-PE"/>
              </w:rPr>
              <w:t xml:space="preserve"> (integrado por entidades públicas y sociedad civil) para elaborar la propuesta de lineamientos.</w:t>
            </w:r>
          </w:p>
          <w:p w:rsidR="00925413" w:rsidRPr="001C55F9" w:rsidRDefault="00925413" w:rsidP="00DF077D">
            <w:pPr>
              <w:jc w:val="both"/>
              <w:rPr>
                <w:b/>
                <w:i/>
                <w:szCs w:val="20"/>
                <w:lang w:val="es-PE"/>
              </w:rPr>
            </w:pPr>
            <w:r w:rsidRPr="001C55F9">
              <w:rPr>
                <w:b/>
                <w:i/>
                <w:szCs w:val="20"/>
                <w:lang w:val="es-PE"/>
              </w:rPr>
              <w:t>2. Propuesta de lineamientos terminados.</w:t>
            </w:r>
          </w:p>
          <w:p w:rsidR="00925413" w:rsidRPr="001C55F9" w:rsidRDefault="00925413" w:rsidP="00DF077D">
            <w:pPr>
              <w:jc w:val="both"/>
              <w:rPr>
                <w:b/>
                <w:i/>
                <w:szCs w:val="20"/>
                <w:lang w:val="es-PE"/>
              </w:rPr>
            </w:pPr>
            <w:r w:rsidRPr="001C55F9">
              <w:rPr>
                <w:b/>
                <w:i/>
                <w:szCs w:val="20"/>
                <w:lang w:val="es-PE"/>
              </w:rPr>
              <w:t>3. Aprobación de la propuesta de lineamientos por la Alta Dirección de PCM.</w:t>
            </w:r>
          </w:p>
          <w:p w:rsidR="00925413" w:rsidRPr="001C55F9" w:rsidRDefault="00925413" w:rsidP="00DF077D">
            <w:pPr>
              <w:jc w:val="both"/>
              <w:rPr>
                <w:b/>
                <w:i/>
                <w:szCs w:val="20"/>
                <w:lang w:val="es-PE"/>
              </w:rPr>
            </w:pPr>
            <w:r w:rsidRPr="001C55F9">
              <w:rPr>
                <w:b/>
                <w:i/>
                <w:szCs w:val="20"/>
                <w:lang w:val="es-PE"/>
              </w:rPr>
              <w:t>4. Publicación de la norma que aprueba los lineamientos</w:t>
            </w:r>
          </w:p>
          <w:p w:rsidR="00925413" w:rsidRPr="001C55F9" w:rsidRDefault="00925413" w:rsidP="00DF077D">
            <w:pPr>
              <w:jc w:val="both"/>
              <w:rPr>
                <w:b/>
                <w:i/>
                <w:szCs w:val="20"/>
                <w:lang w:val="es-PE"/>
              </w:rPr>
            </w:pPr>
            <w:r w:rsidRPr="001C55F9">
              <w:rPr>
                <w:b/>
                <w:i/>
                <w:szCs w:val="20"/>
                <w:lang w:val="es-PE"/>
              </w:rPr>
              <w:t>5. Implementación de los lineamientos.</w:t>
            </w:r>
          </w:p>
          <w:p w:rsidR="00DF077D" w:rsidRPr="00925413" w:rsidRDefault="00925413" w:rsidP="00265D44">
            <w:pPr>
              <w:jc w:val="both"/>
              <w:rPr>
                <w:color w:val="000000" w:themeColor="text1"/>
                <w:lang w:val="es-PE"/>
              </w:rPr>
            </w:pPr>
            <w:r>
              <w:rPr>
                <w:szCs w:val="20"/>
                <w:lang w:val="es-PE"/>
              </w:rPr>
              <w:t>Se ha reprogramado la implementación del compromiso para el primer semestre del 2017.</w:t>
            </w:r>
          </w:p>
        </w:tc>
      </w:tr>
      <w:tr w:rsidR="00DF077D" w:rsidRPr="00295641" w:rsidTr="003F3745">
        <w:tc>
          <w:tcPr>
            <w:tcW w:w="2518" w:type="dxa"/>
            <w:gridSpan w:val="2"/>
            <w:shd w:val="clear" w:color="auto" w:fill="C6D9F1" w:themeFill="text2" w:themeFillTint="33"/>
            <w:vAlign w:val="center"/>
          </w:tcPr>
          <w:p w:rsidR="00DF077D" w:rsidRPr="00295641" w:rsidRDefault="00DF077D" w:rsidP="00DF077D">
            <w:pPr>
              <w:rPr>
                <w:b/>
                <w:color w:val="000000" w:themeColor="text1"/>
              </w:rPr>
            </w:pPr>
            <w:r w:rsidRPr="00295641">
              <w:rPr>
                <w:rFonts w:cs="Gotham-Book"/>
                <w:b/>
                <w:color w:val="000000" w:themeColor="text1"/>
              </w:rPr>
              <w:t>Fecha de conclusión</w:t>
            </w:r>
          </w:p>
        </w:tc>
        <w:tc>
          <w:tcPr>
            <w:tcW w:w="6521" w:type="dxa"/>
            <w:gridSpan w:val="4"/>
          </w:tcPr>
          <w:p w:rsidR="00DF077D" w:rsidRPr="00295641" w:rsidRDefault="00925413" w:rsidP="00DF077D">
            <w:pPr>
              <w:jc w:val="both"/>
              <w:rPr>
                <w:color w:val="000000" w:themeColor="text1"/>
              </w:rPr>
            </w:pPr>
            <w:r>
              <w:rPr>
                <w:color w:val="000000" w:themeColor="text1"/>
              </w:rPr>
              <w:t>Junio 2017.</w:t>
            </w:r>
          </w:p>
        </w:tc>
      </w:tr>
      <w:tr w:rsidR="00DF077D" w:rsidRPr="00295641" w:rsidTr="003F3745">
        <w:tc>
          <w:tcPr>
            <w:tcW w:w="2518" w:type="dxa"/>
            <w:gridSpan w:val="2"/>
            <w:shd w:val="clear" w:color="auto" w:fill="C6D9F1" w:themeFill="text2" w:themeFillTint="33"/>
            <w:vAlign w:val="center"/>
          </w:tcPr>
          <w:p w:rsidR="00DF077D" w:rsidRPr="00295641" w:rsidRDefault="00DF077D" w:rsidP="00DF077D">
            <w:pPr>
              <w:rPr>
                <w:b/>
                <w:color w:val="000000" w:themeColor="text1"/>
              </w:rPr>
            </w:pPr>
            <w:r w:rsidRPr="00295641">
              <w:rPr>
                <w:rFonts w:cs="Gotham-Book"/>
                <w:b/>
                <w:color w:val="000000" w:themeColor="text1"/>
              </w:rPr>
              <w:t>Próximos pasos</w:t>
            </w:r>
          </w:p>
        </w:tc>
        <w:tc>
          <w:tcPr>
            <w:tcW w:w="6521" w:type="dxa"/>
            <w:gridSpan w:val="4"/>
          </w:tcPr>
          <w:p w:rsidR="00DF077D" w:rsidRPr="00295641" w:rsidRDefault="00265D44" w:rsidP="00DF077D">
            <w:pPr>
              <w:jc w:val="both"/>
              <w:rPr>
                <w:color w:val="000000" w:themeColor="text1"/>
              </w:rPr>
            </w:pPr>
            <w:r>
              <w:rPr>
                <w:color w:val="000000" w:themeColor="text1"/>
              </w:rPr>
              <w:t>Implementar las actividades consideradas para el cumplimiento del compromiso.</w:t>
            </w:r>
          </w:p>
        </w:tc>
      </w:tr>
      <w:tr w:rsidR="00DF077D" w:rsidRPr="00295641" w:rsidTr="003F3745">
        <w:tc>
          <w:tcPr>
            <w:tcW w:w="9039" w:type="dxa"/>
            <w:gridSpan w:val="6"/>
          </w:tcPr>
          <w:p w:rsidR="00DF077D" w:rsidRPr="00295641" w:rsidRDefault="00DF077D" w:rsidP="00DF077D">
            <w:pPr>
              <w:jc w:val="both"/>
              <w:rPr>
                <w:rFonts w:cs="Gotham-Book"/>
                <w:b/>
                <w:color w:val="000000" w:themeColor="text1"/>
              </w:rPr>
            </w:pPr>
          </w:p>
          <w:p w:rsidR="00DF077D" w:rsidRPr="00295641" w:rsidRDefault="00DF077D" w:rsidP="00DF077D">
            <w:pPr>
              <w:jc w:val="both"/>
              <w:rPr>
                <w:color w:val="000000" w:themeColor="text1"/>
              </w:rPr>
            </w:pPr>
            <w:r>
              <w:rPr>
                <w:rFonts w:cs="Gotham-Book"/>
                <w:b/>
                <w:color w:val="000000" w:themeColor="text1"/>
              </w:rPr>
              <w:t>Información adicional</w:t>
            </w:r>
          </w:p>
        </w:tc>
      </w:tr>
      <w:tr w:rsidR="00DF077D" w:rsidRPr="00295641" w:rsidTr="003F3745">
        <w:tc>
          <w:tcPr>
            <w:tcW w:w="9039" w:type="dxa"/>
            <w:gridSpan w:val="6"/>
          </w:tcPr>
          <w:p w:rsidR="00DF077D" w:rsidRPr="00295641" w:rsidRDefault="00DF077D" w:rsidP="00925413">
            <w:pPr>
              <w:jc w:val="both"/>
              <w:rPr>
                <w:rFonts w:cs="Gotham-Book"/>
                <w:b/>
                <w:color w:val="000000" w:themeColor="text1"/>
              </w:rPr>
            </w:pPr>
          </w:p>
        </w:tc>
      </w:tr>
    </w:tbl>
    <w:p w:rsidR="007C1FFC" w:rsidRDefault="007C1FFC"/>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tbl>
      <w:tblPr>
        <w:tblStyle w:val="Tablaconcuadrcula"/>
        <w:tblW w:w="9039" w:type="dxa"/>
        <w:tblLayout w:type="fixed"/>
        <w:tblLook w:val="04A0" w:firstRow="1" w:lastRow="0" w:firstColumn="1" w:lastColumn="0" w:noHBand="0" w:noVBand="1"/>
      </w:tblPr>
      <w:tblGrid>
        <w:gridCol w:w="1526"/>
        <w:gridCol w:w="29"/>
        <w:gridCol w:w="554"/>
        <w:gridCol w:w="409"/>
        <w:gridCol w:w="1701"/>
        <w:gridCol w:w="1729"/>
        <w:gridCol w:w="1644"/>
        <w:gridCol w:w="1447"/>
      </w:tblGrid>
      <w:tr w:rsidR="00265D44" w:rsidRPr="00265D44" w:rsidTr="00416DF6">
        <w:tc>
          <w:tcPr>
            <w:tcW w:w="9039" w:type="dxa"/>
            <w:gridSpan w:val="8"/>
            <w:shd w:val="clear" w:color="auto" w:fill="548DD4" w:themeFill="text2" w:themeFillTint="99"/>
          </w:tcPr>
          <w:p w:rsidR="00265D44" w:rsidRPr="001C55F9" w:rsidRDefault="001C55F9" w:rsidP="001C55F9">
            <w:pPr>
              <w:ind w:left="720"/>
              <w:jc w:val="center"/>
              <w:rPr>
                <w:b/>
              </w:rPr>
            </w:pPr>
            <w:r>
              <w:rPr>
                <w:b/>
              </w:rPr>
              <w:t>Componente:</w:t>
            </w:r>
            <w:r w:rsidR="00265D44" w:rsidRPr="001C55F9">
              <w:rPr>
                <w:b/>
              </w:rPr>
              <w:t xml:space="preserve"> PARTICIPACION CIUDADANA</w:t>
            </w:r>
          </w:p>
        </w:tc>
      </w:tr>
      <w:tr w:rsidR="00265D44" w:rsidRPr="00265D44" w:rsidTr="00416DF6">
        <w:tc>
          <w:tcPr>
            <w:tcW w:w="9039" w:type="dxa"/>
            <w:gridSpan w:val="8"/>
            <w:shd w:val="clear" w:color="auto" w:fill="548DD4" w:themeFill="text2" w:themeFillTint="99"/>
          </w:tcPr>
          <w:p w:rsidR="00265D44" w:rsidRPr="001C55F9" w:rsidRDefault="00265D44" w:rsidP="007E51B6">
            <w:pPr>
              <w:ind w:left="720"/>
              <w:jc w:val="both"/>
              <w:rPr>
                <w:b/>
              </w:rPr>
            </w:pPr>
            <w:r w:rsidRPr="001C55F9">
              <w:rPr>
                <w:b/>
                <w:u w:val="single"/>
              </w:rPr>
              <w:t>Compromiso 8:</w:t>
            </w:r>
            <w:r w:rsidRPr="001C55F9">
              <w:rPr>
                <w:b/>
              </w:rPr>
              <w:t xml:space="preserve"> Mejorar los conocimientos y habilidades de los func</w:t>
            </w:r>
            <w:r w:rsidR="007E51B6" w:rsidRPr="001C55F9">
              <w:rPr>
                <w:b/>
              </w:rPr>
              <w:t xml:space="preserve">ionarios y servidores públicos y </w:t>
            </w:r>
            <w:r w:rsidRPr="001C55F9">
              <w:rPr>
                <w:b/>
              </w:rPr>
              <w:t>de los pueblos indígenas para la implementación de la Ley de Consulta Previa</w:t>
            </w:r>
            <w:r w:rsidR="007E51B6" w:rsidRPr="001C55F9">
              <w:rPr>
                <w:b/>
              </w:rPr>
              <w:t>.</w:t>
            </w:r>
            <w:r w:rsidRPr="001C55F9">
              <w:rPr>
                <w:b/>
              </w:rPr>
              <w:t xml:space="preserve"> </w:t>
            </w:r>
          </w:p>
        </w:tc>
      </w:tr>
      <w:tr w:rsidR="00265D44" w:rsidRPr="00265D44" w:rsidTr="00416DF6">
        <w:tc>
          <w:tcPr>
            <w:tcW w:w="4219" w:type="dxa"/>
            <w:gridSpan w:val="5"/>
            <w:shd w:val="clear" w:color="auto" w:fill="C6D9F1" w:themeFill="text2" w:themeFillTint="33"/>
            <w:vAlign w:val="center"/>
          </w:tcPr>
          <w:p w:rsidR="00265D44" w:rsidRPr="00265D44" w:rsidRDefault="00265D44" w:rsidP="00265D44">
            <w:pPr>
              <w:autoSpaceDE w:val="0"/>
              <w:autoSpaceDN w:val="0"/>
              <w:adjustRightInd w:val="0"/>
              <w:rPr>
                <w:rFonts w:cs="Gotham-Book"/>
                <w:color w:val="000000" w:themeColor="text1"/>
              </w:rPr>
            </w:pPr>
            <w:r w:rsidRPr="00265D44">
              <w:rPr>
                <w:rFonts w:cs="Gotham-Book"/>
                <w:color w:val="000000" w:themeColor="text1"/>
              </w:rPr>
              <w:t>Secretaría/Ministerio</w:t>
            </w:r>
          </w:p>
          <w:p w:rsidR="00265D44" w:rsidRPr="00265D44" w:rsidRDefault="00265D44" w:rsidP="00265D44">
            <w:pPr>
              <w:rPr>
                <w:color w:val="000000" w:themeColor="text1"/>
              </w:rPr>
            </w:pPr>
            <w:r w:rsidRPr="00265D44">
              <w:rPr>
                <w:rFonts w:cs="Gotham-Book"/>
                <w:color w:val="000000" w:themeColor="text1"/>
              </w:rPr>
              <w:t>Responsable</w:t>
            </w:r>
          </w:p>
        </w:tc>
        <w:tc>
          <w:tcPr>
            <w:tcW w:w="4820" w:type="dxa"/>
            <w:gridSpan w:val="3"/>
          </w:tcPr>
          <w:p w:rsidR="00265D44" w:rsidRPr="00265D44" w:rsidRDefault="00265D44" w:rsidP="00265D44">
            <w:pPr>
              <w:jc w:val="both"/>
              <w:rPr>
                <w:color w:val="000000" w:themeColor="text1"/>
              </w:rPr>
            </w:pPr>
            <w:r w:rsidRPr="00265D44">
              <w:rPr>
                <w:color w:val="000000" w:themeColor="text1"/>
              </w:rPr>
              <w:t>Ministerio de Cultura, a través del Viceministerio de Interculturalidad</w:t>
            </w:r>
          </w:p>
        </w:tc>
      </w:tr>
      <w:tr w:rsidR="00265D44" w:rsidRPr="00265D44" w:rsidTr="00416DF6">
        <w:tc>
          <w:tcPr>
            <w:tcW w:w="4219" w:type="dxa"/>
            <w:gridSpan w:val="5"/>
            <w:shd w:val="clear" w:color="auto" w:fill="C6D9F1" w:themeFill="text2" w:themeFillTint="33"/>
            <w:vAlign w:val="center"/>
          </w:tcPr>
          <w:p w:rsidR="00265D44" w:rsidRPr="00265D44" w:rsidRDefault="00265D44" w:rsidP="00265D44">
            <w:pPr>
              <w:autoSpaceDE w:val="0"/>
              <w:autoSpaceDN w:val="0"/>
              <w:adjustRightInd w:val="0"/>
              <w:rPr>
                <w:rFonts w:cs="Gotham-Book"/>
                <w:color w:val="000000" w:themeColor="text1"/>
              </w:rPr>
            </w:pPr>
            <w:r w:rsidRPr="00265D44">
              <w:rPr>
                <w:rFonts w:cs="Gotham-Book"/>
                <w:color w:val="000000" w:themeColor="text1"/>
              </w:rPr>
              <w:t>Nombre de la persona  responsable</w:t>
            </w:r>
          </w:p>
        </w:tc>
        <w:tc>
          <w:tcPr>
            <w:tcW w:w="4820" w:type="dxa"/>
            <w:gridSpan w:val="3"/>
          </w:tcPr>
          <w:p w:rsidR="00265D44" w:rsidRPr="00265D44" w:rsidRDefault="00265D44" w:rsidP="00265D44">
            <w:pPr>
              <w:jc w:val="both"/>
              <w:rPr>
                <w:color w:val="000000" w:themeColor="text1"/>
              </w:rPr>
            </w:pPr>
            <w:r w:rsidRPr="00265D44">
              <w:rPr>
                <w:color w:val="000000" w:themeColor="text1"/>
              </w:rPr>
              <w:t>Alfredo Martín Luna Briceño</w:t>
            </w:r>
          </w:p>
        </w:tc>
      </w:tr>
      <w:tr w:rsidR="00265D44" w:rsidRPr="00265D44" w:rsidTr="00416DF6">
        <w:tc>
          <w:tcPr>
            <w:tcW w:w="4219" w:type="dxa"/>
            <w:gridSpan w:val="5"/>
            <w:shd w:val="clear" w:color="auto" w:fill="C6D9F1" w:themeFill="text2" w:themeFillTint="33"/>
            <w:vAlign w:val="center"/>
          </w:tcPr>
          <w:p w:rsidR="00265D44" w:rsidRPr="00265D44" w:rsidRDefault="00265D44" w:rsidP="00265D44">
            <w:pPr>
              <w:rPr>
                <w:color w:val="000000" w:themeColor="text1"/>
              </w:rPr>
            </w:pPr>
            <w:r w:rsidRPr="00265D44">
              <w:rPr>
                <w:rFonts w:cs="Gotham-Book"/>
                <w:color w:val="000000" w:themeColor="text1"/>
              </w:rPr>
              <w:t>Puesto</w:t>
            </w:r>
          </w:p>
        </w:tc>
        <w:tc>
          <w:tcPr>
            <w:tcW w:w="4820" w:type="dxa"/>
            <w:gridSpan w:val="3"/>
          </w:tcPr>
          <w:p w:rsidR="00265D44" w:rsidRPr="00265D44" w:rsidRDefault="00265D44" w:rsidP="00265D44">
            <w:pPr>
              <w:jc w:val="both"/>
            </w:pPr>
            <w:r w:rsidRPr="00265D44">
              <w:t>Viceministro de Interculturalidad</w:t>
            </w:r>
          </w:p>
        </w:tc>
      </w:tr>
      <w:tr w:rsidR="00265D44" w:rsidRPr="00265D44" w:rsidTr="00416DF6">
        <w:tc>
          <w:tcPr>
            <w:tcW w:w="4219" w:type="dxa"/>
            <w:gridSpan w:val="5"/>
            <w:shd w:val="clear" w:color="auto" w:fill="C6D9F1" w:themeFill="text2" w:themeFillTint="33"/>
            <w:vAlign w:val="center"/>
          </w:tcPr>
          <w:p w:rsidR="00265D44" w:rsidRPr="00265D44" w:rsidRDefault="00265D44" w:rsidP="00265D44">
            <w:pPr>
              <w:autoSpaceDE w:val="0"/>
              <w:autoSpaceDN w:val="0"/>
              <w:adjustRightInd w:val="0"/>
              <w:rPr>
                <w:rFonts w:cs="Gotham-Book"/>
                <w:color w:val="000000" w:themeColor="text1"/>
              </w:rPr>
            </w:pPr>
            <w:r w:rsidRPr="00265D44">
              <w:rPr>
                <w:rFonts w:cs="Gotham-Book"/>
                <w:color w:val="000000" w:themeColor="text1"/>
              </w:rPr>
              <w:t>Correo electrónico</w:t>
            </w:r>
          </w:p>
        </w:tc>
        <w:tc>
          <w:tcPr>
            <w:tcW w:w="4820" w:type="dxa"/>
            <w:gridSpan w:val="3"/>
          </w:tcPr>
          <w:p w:rsidR="00265D44" w:rsidRPr="00265D44" w:rsidRDefault="002F3E0D" w:rsidP="00265D44">
            <w:pPr>
              <w:jc w:val="both"/>
              <w:rPr>
                <w:rFonts w:cs="Arial"/>
                <w:color w:val="0000FF"/>
                <w:u w:val="single"/>
              </w:rPr>
            </w:pPr>
            <w:hyperlink r:id="rId29" w:history="1">
              <w:r w:rsidR="00265D44" w:rsidRPr="00265D44">
                <w:rPr>
                  <w:rFonts w:ascii="Arial" w:hAnsi="Arial" w:cs="Arial"/>
                  <w:color w:val="1F497D" w:themeColor="text2"/>
                  <w:sz w:val="18"/>
                  <w:szCs w:val="18"/>
                  <w:u w:val="single"/>
                  <w:bdr w:val="none" w:sz="0" w:space="0" w:color="auto" w:frame="1"/>
                  <w:shd w:val="clear" w:color="auto" w:fill="FFFFFF"/>
                </w:rPr>
                <w:t>aluna@cultura.gob.pe</w:t>
              </w:r>
            </w:hyperlink>
          </w:p>
        </w:tc>
      </w:tr>
      <w:tr w:rsidR="00265D44" w:rsidRPr="00265D44" w:rsidTr="00416DF6">
        <w:tc>
          <w:tcPr>
            <w:tcW w:w="4219" w:type="dxa"/>
            <w:gridSpan w:val="5"/>
            <w:shd w:val="clear" w:color="auto" w:fill="C6D9F1" w:themeFill="text2" w:themeFillTint="33"/>
            <w:vAlign w:val="center"/>
          </w:tcPr>
          <w:p w:rsidR="00265D44" w:rsidRPr="00265D44" w:rsidRDefault="00265D44" w:rsidP="00265D44">
            <w:pPr>
              <w:rPr>
                <w:color w:val="000000" w:themeColor="text1"/>
              </w:rPr>
            </w:pPr>
            <w:r w:rsidRPr="00265D44">
              <w:rPr>
                <w:rFonts w:cs="Gotham-Book"/>
                <w:color w:val="000000" w:themeColor="text1"/>
              </w:rPr>
              <w:t>Teléfono</w:t>
            </w:r>
          </w:p>
        </w:tc>
        <w:tc>
          <w:tcPr>
            <w:tcW w:w="4820" w:type="dxa"/>
            <w:gridSpan w:val="3"/>
          </w:tcPr>
          <w:p w:rsidR="00265D44" w:rsidRPr="00265D44" w:rsidRDefault="00265D44" w:rsidP="00265D44">
            <w:pPr>
              <w:jc w:val="both"/>
              <w:rPr>
                <w:color w:val="000000" w:themeColor="text1"/>
              </w:rPr>
            </w:pPr>
            <w:r w:rsidRPr="00265D44">
              <w:t>(511) 618-9393</w:t>
            </w:r>
          </w:p>
        </w:tc>
      </w:tr>
      <w:tr w:rsidR="00265D44" w:rsidRPr="00265D44" w:rsidTr="00416DF6">
        <w:tc>
          <w:tcPr>
            <w:tcW w:w="1555" w:type="dxa"/>
            <w:gridSpan w:val="2"/>
            <w:vMerge w:val="restart"/>
            <w:shd w:val="clear" w:color="auto" w:fill="C6D9F1" w:themeFill="text2" w:themeFillTint="33"/>
            <w:vAlign w:val="center"/>
          </w:tcPr>
          <w:p w:rsidR="00265D44" w:rsidRPr="00265D44" w:rsidRDefault="00265D44" w:rsidP="00265D44">
            <w:pPr>
              <w:rPr>
                <w:rFonts w:cs="Gotham-Book"/>
                <w:color w:val="000000" w:themeColor="text1"/>
              </w:rPr>
            </w:pPr>
            <w:r w:rsidRPr="00265D44">
              <w:rPr>
                <w:rFonts w:cs="Gotham-Book"/>
                <w:color w:val="000000" w:themeColor="text1"/>
              </w:rPr>
              <w:t>Otros actores involucrados</w:t>
            </w:r>
          </w:p>
        </w:tc>
        <w:tc>
          <w:tcPr>
            <w:tcW w:w="2664" w:type="dxa"/>
            <w:gridSpan w:val="3"/>
            <w:shd w:val="clear" w:color="auto" w:fill="C6D9F1" w:themeFill="text2" w:themeFillTint="33"/>
            <w:vAlign w:val="center"/>
          </w:tcPr>
          <w:p w:rsidR="00265D44" w:rsidRPr="00265D44" w:rsidRDefault="00265D44" w:rsidP="00265D44">
            <w:pPr>
              <w:rPr>
                <w:rFonts w:cs="Gotham-Book"/>
                <w:color w:val="000000" w:themeColor="text1"/>
              </w:rPr>
            </w:pPr>
            <w:r w:rsidRPr="00265D44">
              <w:rPr>
                <w:rFonts w:cs="Gotham-Book"/>
                <w:color w:val="000000" w:themeColor="text1"/>
              </w:rPr>
              <w:t>Gobierno</w:t>
            </w:r>
          </w:p>
        </w:tc>
        <w:tc>
          <w:tcPr>
            <w:tcW w:w="4820" w:type="dxa"/>
            <w:gridSpan w:val="3"/>
          </w:tcPr>
          <w:p w:rsidR="00265D44" w:rsidRPr="00265D44" w:rsidRDefault="00265D44" w:rsidP="00265D44">
            <w:pPr>
              <w:jc w:val="both"/>
              <w:rPr>
                <w:color w:val="000000" w:themeColor="text1"/>
              </w:rPr>
            </w:pPr>
          </w:p>
        </w:tc>
      </w:tr>
      <w:tr w:rsidR="00265D44" w:rsidRPr="00265D44" w:rsidTr="00416DF6">
        <w:trPr>
          <w:trHeight w:val="821"/>
        </w:trPr>
        <w:tc>
          <w:tcPr>
            <w:tcW w:w="1555" w:type="dxa"/>
            <w:gridSpan w:val="2"/>
            <w:vMerge/>
            <w:shd w:val="clear" w:color="auto" w:fill="C6D9F1" w:themeFill="text2" w:themeFillTint="33"/>
            <w:vAlign w:val="center"/>
          </w:tcPr>
          <w:p w:rsidR="00265D44" w:rsidRPr="00265D44" w:rsidRDefault="00265D44" w:rsidP="00265D44">
            <w:pPr>
              <w:rPr>
                <w:rFonts w:cs="Gotham-Book"/>
                <w:color w:val="000000" w:themeColor="text1"/>
              </w:rPr>
            </w:pPr>
          </w:p>
        </w:tc>
        <w:tc>
          <w:tcPr>
            <w:tcW w:w="2664" w:type="dxa"/>
            <w:gridSpan w:val="3"/>
            <w:shd w:val="clear" w:color="auto" w:fill="C6D9F1" w:themeFill="text2" w:themeFillTint="33"/>
            <w:vAlign w:val="center"/>
          </w:tcPr>
          <w:p w:rsidR="00265D44" w:rsidRPr="00265D44" w:rsidRDefault="00265D44" w:rsidP="00265D44">
            <w:pPr>
              <w:rPr>
                <w:rFonts w:cs="Gotham-Book"/>
                <w:color w:val="000000" w:themeColor="text1"/>
              </w:rPr>
            </w:pPr>
            <w:r w:rsidRPr="00265D44">
              <w:rPr>
                <w:rFonts w:cs="Gotham-Book"/>
                <w:color w:val="000000" w:themeColor="text1"/>
              </w:rPr>
              <w:t>Sociedad civil, iniciativa privada, grupos de trabajo o multilaterales</w:t>
            </w:r>
          </w:p>
        </w:tc>
        <w:tc>
          <w:tcPr>
            <w:tcW w:w="4820" w:type="dxa"/>
            <w:gridSpan w:val="3"/>
          </w:tcPr>
          <w:p w:rsidR="00265D44" w:rsidRPr="00265D44" w:rsidRDefault="00265D44" w:rsidP="00265D44">
            <w:pPr>
              <w:jc w:val="both"/>
              <w:rPr>
                <w:color w:val="000000" w:themeColor="text1"/>
              </w:rPr>
            </w:pPr>
          </w:p>
        </w:tc>
      </w:tr>
      <w:tr w:rsidR="00265D44" w:rsidRPr="00265D44" w:rsidTr="00416DF6">
        <w:tc>
          <w:tcPr>
            <w:tcW w:w="4219" w:type="dxa"/>
            <w:gridSpan w:val="5"/>
            <w:shd w:val="clear" w:color="auto" w:fill="C6D9F1" w:themeFill="text2" w:themeFillTint="33"/>
            <w:vAlign w:val="center"/>
          </w:tcPr>
          <w:p w:rsidR="00265D44" w:rsidRPr="00265D44" w:rsidRDefault="00265D44" w:rsidP="00265D44">
            <w:pPr>
              <w:rPr>
                <w:rFonts w:cs="Gotham-Book"/>
                <w:color w:val="000000" w:themeColor="text1"/>
              </w:rPr>
            </w:pPr>
            <w:r w:rsidRPr="00265D44">
              <w:rPr>
                <w:rFonts w:cs="Gotham-Book"/>
                <w:color w:val="000000" w:themeColor="text1"/>
              </w:rPr>
              <w:t>Status quo o problema/</w:t>
            </w:r>
            <w:r w:rsidRPr="00265D44">
              <w:rPr>
                <w:rFonts w:cs="Gotham-Book"/>
                <w:color w:val="000000" w:themeColor="text1"/>
              </w:rPr>
              <w:br/>
              <w:t>desafío que será atendido</w:t>
            </w:r>
          </w:p>
        </w:tc>
        <w:tc>
          <w:tcPr>
            <w:tcW w:w="4820" w:type="dxa"/>
            <w:gridSpan w:val="3"/>
          </w:tcPr>
          <w:p w:rsidR="00265D44" w:rsidRPr="00265D44" w:rsidRDefault="00000388" w:rsidP="00690EE6">
            <w:pPr>
              <w:jc w:val="both"/>
              <w:rPr>
                <w:color w:val="000000" w:themeColor="text1"/>
              </w:rPr>
            </w:pPr>
            <w:r>
              <w:rPr>
                <w:rFonts w:cs="Calibri"/>
              </w:rPr>
              <w:t>Se advierte la necesidad de promover una mayor difusión y conocimiento de la Ley de Consulta Previa a l</w:t>
            </w:r>
            <w:r w:rsidR="00265D44" w:rsidRPr="00265D44">
              <w:rPr>
                <w:rFonts w:cs="Calibri"/>
              </w:rPr>
              <w:t>os pueblos indígenas y los funcionarios y funcionarias de los tres niveles de gobierno</w:t>
            </w:r>
            <w:r>
              <w:rPr>
                <w:rFonts w:cs="Calibri"/>
              </w:rPr>
              <w:t>,</w:t>
            </w:r>
            <w:r w:rsidR="00265D44" w:rsidRPr="00265D44">
              <w:rPr>
                <w:rFonts w:cs="Calibri"/>
              </w:rPr>
              <w:t xml:space="preserve"> encargados de llevar a cabo la implement</w:t>
            </w:r>
            <w:r>
              <w:rPr>
                <w:rFonts w:cs="Calibri"/>
              </w:rPr>
              <w:t>ación del derecho a la consulta, a fin de que se garantice</w:t>
            </w:r>
            <w:r w:rsidR="00690EE6">
              <w:rPr>
                <w:rFonts w:cs="Calibri"/>
              </w:rPr>
              <w:t>n</w:t>
            </w:r>
            <w:r>
              <w:rPr>
                <w:rFonts w:cs="Calibri"/>
              </w:rPr>
              <w:t xml:space="preserve"> </w:t>
            </w:r>
            <w:r w:rsidR="00690EE6">
              <w:rPr>
                <w:rFonts w:cs="Calibri"/>
              </w:rPr>
              <w:t xml:space="preserve">los objetivos </w:t>
            </w:r>
            <w:r>
              <w:rPr>
                <w:rFonts w:cs="Calibri"/>
              </w:rPr>
              <w:t>de dicho proceso.</w:t>
            </w:r>
          </w:p>
        </w:tc>
      </w:tr>
      <w:tr w:rsidR="00265D44" w:rsidRPr="00265D44" w:rsidTr="00416DF6">
        <w:tc>
          <w:tcPr>
            <w:tcW w:w="4219" w:type="dxa"/>
            <w:gridSpan w:val="5"/>
            <w:shd w:val="clear" w:color="auto" w:fill="C6D9F1" w:themeFill="text2" w:themeFillTint="33"/>
            <w:vAlign w:val="center"/>
          </w:tcPr>
          <w:p w:rsidR="00265D44" w:rsidRPr="00265D44" w:rsidRDefault="00265D44" w:rsidP="00265D44">
            <w:pPr>
              <w:rPr>
                <w:color w:val="000000" w:themeColor="text1"/>
              </w:rPr>
            </w:pPr>
            <w:r w:rsidRPr="00265D44">
              <w:rPr>
                <w:rFonts w:cs="Gotham-Book"/>
                <w:color w:val="000000" w:themeColor="text1"/>
              </w:rPr>
              <w:t>Objetivo principal</w:t>
            </w:r>
          </w:p>
        </w:tc>
        <w:tc>
          <w:tcPr>
            <w:tcW w:w="4820" w:type="dxa"/>
            <w:gridSpan w:val="3"/>
          </w:tcPr>
          <w:p w:rsidR="00265D44" w:rsidRPr="00265D44" w:rsidRDefault="00265D44" w:rsidP="00141D64">
            <w:pPr>
              <w:jc w:val="both"/>
            </w:pPr>
            <w:r w:rsidRPr="00265D44">
              <w:rPr>
                <w:rFonts w:cs="Calibri"/>
              </w:rPr>
              <w:t xml:space="preserve">Fortalecer el rol de asistencia técnica a los pueblos indígenas y a funcionarias (os) públicos del Viceministerio de Interculturalidad del Ministerio de Cultura </w:t>
            </w:r>
            <w:r w:rsidR="00141D64">
              <w:rPr>
                <w:rFonts w:cs="Calibri"/>
              </w:rPr>
              <w:t xml:space="preserve">para promover un mayor </w:t>
            </w:r>
            <w:r w:rsidRPr="00265D44">
              <w:rPr>
                <w:rFonts w:cs="Calibri"/>
              </w:rPr>
              <w:t xml:space="preserve"> cumplimiento de la Ley de Consulta Previa.</w:t>
            </w:r>
          </w:p>
        </w:tc>
      </w:tr>
      <w:tr w:rsidR="00265D44" w:rsidRPr="00265D44" w:rsidTr="00416DF6">
        <w:tc>
          <w:tcPr>
            <w:tcW w:w="4219" w:type="dxa"/>
            <w:gridSpan w:val="5"/>
            <w:shd w:val="clear" w:color="auto" w:fill="C6D9F1" w:themeFill="text2" w:themeFillTint="33"/>
            <w:vAlign w:val="center"/>
          </w:tcPr>
          <w:p w:rsidR="00265D44" w:rsidRPr="00265D44" w:rsidRDefault="00265D44" w:rsidP="00265D44">
            <w:pPr>
              <w:autoSpaceDE w:val="0"/>
              <w:autoSpaceDN w:val="0"/>
              <w:adjustRightInd w:val="0"/>
              <w:rPr>
                <w:rFonts w:cs="Gotham-Book"/>
                <w:color w:val="000000" w:themeColor="text1"/>
              </w:rPr>
            </w:pPr>
            <w:r w:rsidRPr="00265D44">
              <w:rPr>
                <w:rFonts w:cs="Gotham-Book"/>
                <w:color w:val="000000" w:themeColor="text1"/>
              </w:rPr>
              <w:t>Breve descripción del Compromiso</w:t>
            </w:r>
          </w:p>
        </w:tc>
        <w:tc>
          <w:tcPr>
            <w:tcW w:w="4820" w:type="dxa"/>
            <w:gridSpan w:val="3"/>
          </w:tcPr>
          <w:p w:rsidR="00265D44" w:rsidRPr="00265D44" w:rsidRDefault="00265D44" w:rsidP="00265D44">
            <w:pPr>
              <w:jc w:val="both"/>
            </w:pPr>
            <w:r w:rsidRPr="00265D44">
              <w:t>Mejorar los conocimientos y desarrollar habilidades de los funcionarios y servidores públicos, así como de los pueblos indígenas para la implementación de la Ley de Consulta Previa y su reglamento, ampliando progresivamente la cobertura de la capacitación.</w:t>
            </w:r>
          </w:p>
          <w:p w:rsidR="00265D44" w:rsidRPr="00265D44" w:rsidRDefault="00265D44" w:rsidP="00265D44">
            <w:pPr>
              <w:jc w:val="both"/>
            </w:pPr>
            <w:r w:rsidRPr="00265D44">
              <w:t xml:space="preserve">Actividades del compromiso: </w:t>
            </w:r>
          </w:p>
          <w:p w:rsidR="00265D44" w:rsidRPr="00265D44" w:rsidRDefault="00265D44" w:rsidP="00265D44">
            <w:pPr>
              <w:numPr>
                <w:ilvl w:val="0"/>
                <w:numId w:val="30"/>
              </w:numPr>
              <w:jc w:val="both"/>
              <w:rPr>
                <w:szCs w:val="20"/>
                <w:lang w:val="es-PE"/>
              </w:rPr>
            </w:pPr>
            <w:r w:rsidRPr="00265D44">
              <w:t>Aprobación del Plan de Capacitación</w:t>
            </w:r>
          </w:p>
          <w:p w:rsidR="00265D44" w:rsidRPr="00265D44" w:rsidRDefault="00265D44" w:rsidP="00265D44">
            <w:pPr>
              <w:numPr>
                <w:ilvl w:val="0"/>
                <w:numId w:val="30"/>
              </w:numPr>
              <w:jc w:val="both"/>
              <w:rPr>
                <w:szCs w:val="20"/>
                <w:lang w:val="es-PE"/>
              </w:rPr>
            </w:pPr>
            <w:r w:rsidRPr="00265D44">
              <w:t xml:space="preserve">Implementación del Plan de Capacitación </w:t>
            </w:r>
          </w:p>
          <w:p w:rsidR="00265D44" w:rsidRPr="00265D44" w:rsidRDefault="00265D44" w:rsidP="00265D44">
            <w:pPr>
              <w:ind w:left="720"/>
              <w:jc w:val="both"/>
              <w:rPr>
                <w:szCs w:val="20"/>
                <w:lang w:val="es-PE"/>
              </w:rPr>
            </w:pPr>
          </w:p>
        </w:tc>
      </w:tr>
      <w:tr w:rsidR="00265D44" w:rsidRPr="00265D44" w:rsidTr="00416DF6">
        <w:tc>
          <w:tcPr>
            <w:tcW w:w="4219" w:type="dxa"/>
            <w:gridSpan w:val="5"/>
            <w:shd w:val="clear" w:color="auto" w:fill="C6D9F1" w:themeFill="text2" w:themeFillTint="33"/>
            <w:vAlign w:val="center"/>
          </w:tcPr>
          <w:p w:rsidR="00265D44" w:rsidRPr="00265D44" w:rsidRDefault="00265D44" w:rsidP="00265D44">
            <w:pPr>
              <w:autoSpaceDE w:val="0"/>
              <w:autoSpaceDN w:val="0"/>
              <w:adjustRightInd w:val="0"/>
              <w:rPr>
                <w:rFonts w:cs="Gotham-Book"/>
                <w:color w:val="000000" w:themeColor="text1"/>
              </w:rPr>
            </w:pPr>
            <w:r w:rsidRPr="00265D44">
              <w:rPr>
                <w:rFonts w:cs="Gotham-Book"/>
                <w:color w:val="000000" w:themeColor="text1"/>
              </w:rPr>
              <w:t>Relevancia</w:t>
            </w:r>
          </w:p>
          <w:p w:rsidR="00265D44" w:rsidRPr="00265D44" w:rsidRDefault="00265D44" w:rsidP="00265D44">
            <w:pPr>
              <w:autoSpaceDE w:val="0"/>
              <w:autoSpaceDN w:val="0"/>
              <w:adjustRightInd w:val="0"/>
              <w:rPr>
                <w:color w:val="000000" w:themeColor="text1"/>
              </w:rPr>
            </w:pPr>
          </w:p>
        </w:tc>
        <w:tc>
          <w:tcPr>
            <w:tcW w:w="4820" w:type="dxa"/>
            <w:gridSpan w:val="3"/>
          </w:tcPr>
          <w:p w:rsidR="00265D44" w:rsidRPr="00265D44" w:rsidRDefault="00265D44" w:rsidP="00265D44">
            <w:pPr>
              <w:jc w:val="both"/>
              <w:rPr>
                <w:szCs w:val="20"/>
                <w:lang w:val="es-PE"/>
              </w:rPr>
            </w:pPr>
            <w:r w:rsidRPr="00265D44">
              <w:rPr>
                <w:szCs w:val="20"/>
                <w:lang w:val="es-PE"/>
              </w:rPr>
              <w:t>El compromiso asumido por el Ministerio de Cultura ha contribuido a fortalecer conocimientos y desarrollar habilidades en funcionarios públicos, as</w:t>
            </w:r>
            <w:r w:rsidRPr="00265D44">
              <w:t>í como de alcanzar un acuerdo o c</w:t>
            </w:r>
            <w:r w:rsidR="00767F8F">
              <w:t xml:space="preserve">onsenso </w:t>
            </w:r>
            <w:r w:rsidRPr="00265D44">
              <w:t>entre el Estado y los pueblos indígenas para la implementación de la Ley de Consulta Previa y su reglamento, resaltando su importancia como un espacio de diálogo entre el Estado y los pueblos indígenas u originarios, siendo estos, partícipes en la toma de decisiones para garantizar los derechos lingüísticos de todos los hablantes de lenguas indígenas u originarias.</w:t>
            </w:r>
          </w:p>
          <w:p w:rsidR="00265D44" w:rsidRPr="00265D44" w:rsidRDefault="00265D44" w:rsidP="00265D44">
            <w:pPr>
              <w:jc w:val="both"/>
              <w:rPr>
                <w:color w:val="FF0000"/>
                <w:szCs w:val="20"/>
                <w:lang w:val="es-PE"/>
              </w:rPr>
            </w:pPr>
          </w:p>
        </w:tc>
      </w:tr>
      <w:tr w:rsidR="00265D44" w:rsidRPr="00265D44" w:rsidTr="00416DF6">
        <w:tc>
          <w:tcPr>
            <w:tcW w:w="4219" w:type="dxa"/>
            <w:gridSpan w:val="5"/>
            <w:shd w:val="clear" w:color="auto" w:fill="C6D9F1" w:themeFill="text2" w:themeFillTint="33"/>
            <w:vAlign w:val="center"/>
          </w:tcPr>
          <w:p w:rsidR="00265D44" w:rsidRPr="00265D44" w:rsidRDefault="00265D44" w:rsidP="00265D44">
            <w:pPr>
              <w:autoSpaceDE w:val="0"/>
              <w:autoSpaceDN w:val="0"/>
              <w:adjustRightInd w:val="0"/>
              <w:rPr>
                <w:rFonts w:cs="Gotham-Book"/>
                <w:color w:val="000000" w:themeColor="text1"/>
              </w:rPr>
            </w:pPr>
            <w:r w:rsidRPr="00265D44">
              <w:rPr>
                <w:rFonts w:cs="Gotham-Book"/>
                <w:color w:val="000000" w:themeColor="text1"/>
              </w:rPr>
              <w:t>Ambición</w:t>
            </w:r>
          </w:p>
          <w:p w:rsidR="00265D44" w:rsidRPr="00265D44" w:rsidRDefault="00265D44" w:rsidP="00265D44">
            <w:pPr>
              <w:autoSpaceDE w:val="0"/>
              <w:autoSpaceDN w:val="0"/>
              <w:adjustRightInd w:val="0"/>
              <w:rPr>
                <w:rFonts w:cs="Gotham-BookItalic"/>
                <w:color w:val="000000" w:themeColor="text1"/>
              </w:rPr>
            </w:pPr>
          </w:p>
        </w:tc>
        <w:tc>
          <w:tcPr>
            <w:tcW w:w="4820" w:type="dxa"/>
            <w:gridSpan w:val="3"/>
          </w:tcPr>
          <w:p w:rsidR="00265D44" w:rsidRPr="00265D44" w:rsidRDefault="00265D44" w:rsidP="00265D44">
            <w:pPr>
              <w:jc w:val="both"/>
              <w:rPr>
                <w:szCs w:val="20"/>
                <w:lang w:val="es-PE"/>
              </w:rPr>
            </w:pPr>
            <w:r w:rsidRPr="00265D44">
              <w:rPr>
                <w:szCs w:val="20"/>
                <w:lang w:val="es-PE"/>
              </w:rPr>
              <w:t xml:space="preserve">Se espera </w:t>
            </w:r>
            <w:r w:rsidR="007E51B6" w:rsidRPr="00265D44">
              <w:rPr>
                <w:szCs w:val="20"/>
                <w:lang w:val="es-PE"/>
              </w:rPr>
              <w:t>fortale</w:t>
            </w:r>
            <w:r w:rsidR="007E51B6">
              <w:rPr>
                <w:szCs w:val="20"/>
                <w:lang w:val="es-PE"/>
              </w:rPr>
              <w:t>cer</w:t>
            </w:r>
            <w:r w:rsidRPr="00265D44">
              <w:rPr>
                <w:szCs w:val="20"/>
                <w:lang w:val="es-PE"/>
              </w:rPr>
              <w:t xml:space="preserve"> conocimientos y habilidades en funcionarios y servidores </w:t>
            </w:r>
            <w:r w:rsidR="007E51B6">
              <w:rPr>
                <w:szCs w:val="20"/>
                <w:lang w:val="es-PE"/>
              </w:rPr>
              <w:t xml:space="preserve">para un </w:t>
            </w:r>
            <w:r w:rsidRPr="00265D44">
              <w:rPr>
                <w:szCs w:val="20"/>
                <w:lang w:val="es-PE"/>
              </w:rPr>
              <w:t>efectiv</w:t>
            </w:r>
            <w:r w:rsidR="007E51B6">
              <w:rPr>
                <w:szCs w:val="20"/>
                <w:lang w:val="es-PE"/>
              </w:rPr>
              <w:t>o</w:t>
            </w:r>
            <w:r w:rsidRPr="00265D44">
              <w:rPr>
                <w:szCs w:val="20"/>
                <w:lang w:val="es-PE"/>
              </w:rPr>
              <w:t xml:space="preserve"> uso de las </w:t>
            </w:r>
            <w:r w:rsidR="007E51B6" w:rsidRPr="00265D44">
              <w:rPr>
                <w:szCs w:val="20"/>
                <w:lang w:val="es-PE"/>
              </w:rPr>
              <w:t>lenguas indígenas</w:t>
            </w:r>
            <w:r w:rsidRPr="00265D44">
              <w:rPr>
                <w:szCs w:val="20"/>
                <w:lang w:val="es-PE"/>
              </w:rPr>
              <w:t xml:space="preserve"> u originarias en los espacios públicos y privados.</w:t>
            </w:r>
          </w:p>
          <w:p w:rsidR="00265D44" w:rsidRPr="00265D44" w:rsidRDefault="00265D44" w:rsidP="007E51B6">
            <w:pPr>
              <w:jc w:val="both"/>
              <w:rPr>
                <w:color w:val="FF0000"/>
                <w:szCs w:val="20"/>
                <w:lang w:val="es-PE"/>
              </w:rPr>
            </w:pPr>
            <w:r w:rsidRPr="00265D44">
              <w:rPr>
                <w:szCs w:val="20"/>
                <w:lang w:val="es-PE"/>
              </w:rPr>
              <w:t>Además</w:t>
            </w:r>
            <w:r w:rsidR="00767F8F">
              <w:rPr>
                <w:szCs w:val="20"/>
                <w:lang w:val="es-PE"/>
              </w:rPr>
              <w:t>,</w:t>
            </w:r>
            <w:r w:rsidRPr="00265D44">
              <w:rPr>
                <w:szCs w:val="20"/>
                <w:lang w:val="es-PE"/>
              </w:rPr>
              <w:t xml:space="preserve"> se </w:t>
            </w:r>
            <w:r w:rsidR="007E51B6">
              <w:rPr>
                <w:szCs w:val="20"/>
                <w:lang w:val="es-PE"/>
              </w:rPr>
              <w:t xml:space="preserve">espera </w:t>
            </w:r>
            <w:r w:rsidRPr="00265D44">
              <w:rPr>
                <w:szCs w:val="20"/>
                <w:lang w:val="es-PE"/>
              </w:rPr>
              <w:t xml:space="preserve">garantizar a través de un diálogo </w:t>
            </w:r>
            <w:r w:rsidR="007E51B6" w:rsidRPr="00265D44">
              <w:rPr>
                <w:szCs w:val="20"/>
                <w:lang w:val="es-PE"/>
              </w:rPr>
              <w:t>intercultural su</w:t>
            </w:r>
            <w:r w:rsidRPr="00265D44">
              <w:rPr>
                <w:szCs w:val="20"/>
                <w:lang w:val="es-PE"/>
              </w:rPr>
              <w:t xml:space="preserve"> </w:t>
            </w:r>
            <w:r w:rsidR="007E51B6" w:rsidRPr="00265D44">
              <w:rPr>
                <w:szCs w:val="20"/>
                <w:lang w:val="es-PE"/>
              </w:rPr>
              <w:t>inclusión en</w:t>
            </w:r>
            <w:r w:rsidRPr="00265D44">
              <w:rPr>
                <w:szCs w:val="20"/>
                <w:lang w:val="es-PE"/>
              </w:rPr>
              <w:t xml:space="preserve"> los procesos de tomas de decisión del Estado y la adopción de medidas respetuosas a sus derechos colectivos.</w:t>
            </w:r>
          </w:p>
        </w:tc>
      </w:tr>
      <w:tr w:rsidR="00265D44" w:rsidRPr="00265D44" w:rsidTr="00416DF6">
        <w:tc>
          <w:tcPr>
            <w:tcW w:w="2518" w:type="dxa"/>
            <w:gridSpan w:val="4"/>
            <w:vMerge w:val="restart"/>
            <w:shd w:val="clear" w:color="auto" w:fill="C6D9F1" w:themeFill="text2" w:themeFillTint="33"/>
            <w:vAlign w:val="center"/>
          </w:tcPr>
          <w:p w:rsidR="00265D44" w:rsidRPr="00265D44" w:rsidRDefault="00265D44" w:rsidP="00265D44">
            <w:pPr>
              <w:rPr>
                <w:color w:val="000000" w:themeColor="text1"/>
              </w:rPr>
            </w:pPr>
            <w:r w:rsidRPr="00265D44">
              <w:rPr>
                <w:rFonts w:cs="Gotham-Book"/>
                <w:color w:val="000000" w:themeColor="text1"/>
              </w:rPr>
              <w:t>Cumplimiento</w:t>
            </w:r>
          </w:p>
        </w:tc>
        <w:tc>
          <w:tcPr>
            <w:tcW w:w="1701" w:type="dxa"/>
            <w:shd w:val="clear" w:color="auto" w:fill="C6D9F1" w:themeFill="text2" w:themeFillTint="33"/>
          </w:tcPr>
          <w:p w:rsidR="00265D44" w:rsidRPr="00265D44" w:rsidRDefault="00265D44" w:rsidP="00265D44">
            <w:pPr>
              <w:jc w:val="center"/>
              <w:rPr>
                <w:color w:val="000000" w:themeColor="text1"/>
              </w:rPr>
            </w:pPr>
            <w:r w:rsidRPr="00265D44">
              <w:rPr>
                <w:rFonts w:cs="Gotham-Book"/>
                <w:color w:val="000000" w:themeColor="text1"/>
              </w:rPr>
              <w:t>No iniciado</w:t>
            </w:r>
          </w:p>
        </w:tc>
        <w:tc>
          <w:tcPr>
            <w:tcW w:w="1729" w:type="dxa"/>
            <w:shd w:val="clear" w:color="auto" w:fill="C6D9F1" w:themeFill="text2" w:themeFillTint="33"/>
          </w:tcPr>
          <w:p w:rsidR="00265D44" w:rsidRPr="00265D44" w:rsidRDefault="00265D44" w:rsidP="00265D44">
            <w:pPr>
              <w:jc w:val="center"/>
              <w:rPr>
                <w:color w:val="000000" w:themeColor="text1"/>
              </w:rPr>
            </w:pPr>
            <w:r w:rsidRPr="00265D44">
              <w:rPr>
                <w:rFonts w:cs="Gotham-Book"/>
                <w:color w:val="000000" w:themeColor="text1"/>
              </w:rPr>
              <w:t>Limitado</w:t>
            </w:r>
          </w:p>
        </w:tc>
        <w:tc>
          <w:tcPr>
            <w:tcW w:w="1644" w:type="dxa"/>
            <w:shd w:val="clear" w:color="auto" w:fill="C6D9F1" w:themeFill="text2" w:themeFillTint="33"/>
          </w:tcPr>
          <w:p w:rsidR="00265D44" w:rsidRPr="00265D44" w:rsidRDefault="00265D44" w:rsidP="00265D44">
            <w:pPr>
              <w:jc w:val="center"/>
              <w:rPr>
                <w:color w:val="000000" w:themeColor="text1"/>
              </w:rPr>
            </w:pPr>
            <w:r w:rsidRPr="00265D44">
              <w:rPr>
                <w:rFonts w:cs="Gotham-Book"/>
                <w:color w:val="000000" w:themeColor="text1"/>
              </w:rPr>
              <w:t>Sustancial</w:t>
            </w:r>
          </w:p>
        </w:tc>
        <w:tc>
          <w:tcPr>
            <w:tcW w:w="1447" w:type="dxa"/>
            <w:shd w:val="clear" w:color="auto" w:fill="C6D9F1" w:themeFill="text2" w:themeFillTint="33"/>
          </w:tcPr>
          <w:p w:rsidR="00265D44" w:rsidRPr="00265D44" w:rsidRDefault="00265D44" w:rsidP="00265D44">
            <w:pPr>
              <w:jc w:val="center"/>
              <w:rPr>
                <w:color w:val="000000" w:themeColor="text1"/>
              </w:rPr>
            </w:pPr>
            <w:r w:rsidRPr="00265D44">
              <w:rPr>
                <w:rFonts w:cs="Gotham-Book"/>
                <w:color w:val="000000" w:themeColor="text1"/>
              </w:rPr>
              <w:t>Completo</w:t>
            </w:r>
          </w:p>
        </w:tc>
      </w:tr>
      <w:tr w:rsidR="00265D44" w:rsidRPr="00265D44" w:rsidTr="00416DF6">
        <w:tc>
          <w:tcPr>
            <w:tcW w:w="2518" w:type="dxa"/>
            <w:gridSpan w:val="4"/>
            <w:vMerge/>
            <w:shd w:val="clear" w:color="auto" w:fill="C6D9F1" w:themeFill="text2" w:themeFillTint="33"/>
            <w:vAlign w:val="center"/>
          </w:tcPr>
          <w:p w:rsidR="00265D44" w:rsidRPr="00265D44" w:rsidRDefault="00265D44" w:rsidP="00265D44">
            <w:pPr>
              <w:rPr>
                <w:color w:val="000000" w:themeColor="text1"/>
              </w:rPr>
            </w:pPr>
          </w:p>
        </w:tc>
        <w:tc>
          <w:tcPr>
            <w:tcW w:w="1701" w:type="dxa"/>
          </w:tcPr>
          <w:p w:rsidR="00265D44" w:rsidRPr="00265D44" w:rsidRDefault="00265D44" w:rsidP="00265D44">
            <w:pPr>
              <w:jc w:val="center"/>
              <w:rPr>
                <w:color w:val="000000" w:themeColor="text1"/>
              </w:rPr>
            </w:pPr>
          </w:p>
        </w:tc>
        <w:tc>
          <w:tcPr>
            <w:tcW w:w="1729" w:type="dxa"/>
          </w:tcPr>
          <w:p w:rsidR="00265D44" w:rsidRPr="00265D44" w:rsidRDefault="00265D44" w:rsidP="00265D44">
            <w:pPr>
              <w:jc w:val="center"/>
              <w:rPr>
                <w:color w:val="000000" w:themeColor="text1"/>
              </w:rPr>
            </w:pPr>
          </w:p>
        </w:tc>
        <w:tc>
          <w:tcPr>
            <w:tcW w:w="1644" w:type="dxa"/>
          </w:tcPr>
          <w:p w:rsidR="00265D44" w:rsidRPr="00265D44" w:rsidRDefault="00265D44" w:rsidP="00265D44">
            <w:pPr>
              <w:jc w:val="center"/>
              <w:rPr>
                <w:color w:val="000000" w:themeColor="text1"/>
              </w:rPr>
            </w:pPr>
          </w:p>
        </w:tc>
        <w:tc>
          <w:tcPr>
            <w:tcW w:w="1447" w:type="dxa"/>
            <w:shd w:val="clear" w:color="auto" w:fill="FFFFFF" w:themeFill="background1"/>
          </w:tcPr>
          <w:p w:rsidR="00265D44" w:rsidRPr="001C55F9" w:rsidRDefault="001C55F9" w:rsidP="00265D44">
            <w:pPr>
              <w:jc w:val="center"/>
              <w:rPr>
                <w:b/>
                <w:color w:val="000000" w:themeColor="text1"/>
              </w:rPr>
            </w:pPr>
            <w:r>
              <w:rPr>
                <w:b/>
                <w:color w:val="000000" w:themeColor="text1"/>
              </w:rPr>
              <w:t>X</w:t>
            </w:r>
          </w:p>
        </w:tc>
      </w:tr>
      <w:tr w:rsidR="00265D44" w:rsidRPr="00265D44" w:rsidTr="00416DF6">
        <w:tc>
          <w:tcPr>
            <w:tcW w:w="2518" w:type="dxa"/>
            <w:gridSpan w:val="4"/>
            <w:shd w:val="clear" w:color="auto" w:fill="C6D9F1" w:themeFill="text2" w:themeFillTint="33"/>
            <w:vAlign w:val="center"/>
          </w:tcPr>
          <w:p w:rsidR="00265D44" w:rsidRPr="00265D44" w:rsidRDefault="00265D44" w:rsidP="00265D44">
            <w:pPr>
              <w:autoSpaceDE w:val="0"/>
              <w:autoSpaceDN w:val="0"/>
              <w:adjustRightInd w:val="0"/>
              <w:rPr>
                <w:rFonts w:cs="Gotham-Book"/>
                <w:color w:val="000000" w:themeColor="text1"/>
              </w:rPr>
            </w:pPr>
            <w:r w:rsidRPr="00265D44">
              <w:rPr>
                <w:rFonts w:cs="Gotham-Book"/>
                <w:color w:val="000000" w:themeColor="text1"/>
              </w:rPr>
              <w:t>Descripción de los resultados</w:t>
            </w:r>
          </w:p>
          <w:p w:rsidR="00265D44" w:rsidRPr="00265D44" w:rsidRDefault="00265D44" w:rsidP="00265D44">
            <w:pPr>
              <w:autoSpaceDE w:val="0"/>
              <w:autoSpaceDN w:val="0"/>
              <w:adjustRightInd w:val="0"/>
              <w:rPr>
                <w:rFonts w:cs="Gotham-BookItalic"/>
                <w:color w:val="000000" w:themeColor="text1"/>
              </w:rPr>
            </w:pPr>
          </w:p>
        </w:tc>
        <w:tc>
          <w:tcPr>
            <w:tcW w:w="6521" w:type="dxa"/>
            <w:gridSpan w:val="4"/>
          </w:tcPr>
          <w:p w:rsidR="00265D44" w:rsidRPr="00265D44" w:rsidRDefault="00265D44" w:rsidP="00265D44">
            <w:pPr>
              <w:jc w:val="both"/>
              <w:rPr>
                <w:szCs w:val="20"/>
                <w:lang w:val="es-PE"/>
              </w:rPr>
            </w:pPr>
            <w:r w:rsidRPr="00265D44">
              <w:rPr>
                <w:szCs w:val="20"/>
                <w:lang w:val="es-PE"/>
              </w:rPr>
              <w:t>Durante el 2015</w:t>
            </w:r>
            <w:r w:rsidR="00767F8F">
              <w:rPr>
                <w:szCs w:val="20"/>
                <w:lang w:val="es-PE"/>
              </w:rPr>
              <w:t>,</w:t>
            </w:r>
            <w:r w:rsidRPr="00265D44">
              <w:rPr>
                <w:szCs w:val="20"/>
                <w:lang w:val="es-PE"/>
              </w:rPr>
              <w:t xml:space="preserve"> s</w:t>
            </w:r>
            <w:r w:rsidR="00767F8F">
              <w:rPr>
                <w:szCs w:val="20"/>
                <w:lang w:val="es-PE"/>
              </w:rPr>
              <w:t>e capacitaron a 4504 personas.</w:t>
            </w:r>
          </w:p>
          <w:p w:rsidR="00265D44" w:rsidRPr="00265D44" w:rsidRDefault="00265D44" w:rsidP="00265D44">
            <w:pPr>
              <w:jc w:val="both"/>
              <w:rPr>
                <w:color w:val="000000" w:themeColor="text1"/>
                <w:lang w:val="es-PE"/>
              </w:rPr>
            </w:pPr>
            <w:r w:rsidRPr="00265D44">
              <w:rPr>
                <w:szCs w:val="20"/>
                <w:lang w:val="es-PE"/>
              </w:rPr>
              <w:t>Durante el 2016</w:t>
            </w:r>
            <w:r w:rsidR="00767F8F">
              <w:rPr>
                <w:szCs w:val="20"/>
                <w:lang w:val="es-PE"/>
              </w:rPr>
              <w:t>,</w:t>
            </w:r>
            <w:r w:rsidRPr="00265D44">
              <w:rPr>
                <w:szCs w:val="20"/>
                <w:lang w:val="es-PE"/>
              </w:rPr>
              <w:t xml:space="preserve"> con fecha de corte 08/09/</w:t>
            </w:r>
            <w:r w:rsidR="007E51B6" w:rsidRPr="00265D44">
              <w:rPr>
                <w:szCs w:val="20"/>
                <w:lang w:val="es-PE"/>
              </w:rPr>
              <w:t>2016</w:t>
            </w:r>
            <w:r w:rsidR="00767F8F">
              <w:rPr>
                <w:szCs w:val="20"/>
                <w:lang w:val="es-PE"/>
              </w:rPr>
              <w:t>,</w:t>
            </w:r>
            <w:r w:rsidR="007E51B6" w:rsidRPr="00265D44">
              <w:rPr>
                <w:szCs w:val="20"/>
                <w:lang w:val="es-PE"/>
              </w:rPr>
              <w:t xml:space="preserve"> se</w:t>
            </w:r>
            <w:r w:rsidRPr="00265D44">
              <w:rPr>
                <w:szCs w:val="20"/>
                <w:lang w:val="es-PE"/>
              </w:rPr>
              <w:t xml:space="preserve"> llegó </w:t>
            </w:r>
            <w:r w:rsidR="00767F8F">
              <w:rPr>
                <w:szCs w:val="20"/>
                <w:lang w:val="es-PE"/>
              </w:rPr>
              <w:t>a capacitar a 1162.</w:t>
            </w:r>
          </w:p>
          <w:p w:rsidR="00265D44" w:rsidRPr="00265D44" w:rsidRDefault="00265D44" w:rsidP="00265D44">
            <w:pPr>
              <w:jc w:val="both"/>
              <w:rPr>
                <w:color w:val="000000" w:themeColor="text1"/>
              </w:rPr>
            </w:pPr>
            <w:r w:rsidRPr="00265D44">
              <w:rPr>
                <w:color w:val="000000" w:themeColor="text1"/>
              </w:rPr>
              <w:t>Existe un programa de Capacitación de la Dirección de Consulta Previa. Se consideran cinco tipos de actividades de capacitación</w:t>
            </w:r>
            <w:r w:rsidR="00416DF6">
              <w:rPr>
                <w:color w:val="000000" w:themeColor="text1"/>
              </w:rPr>
              <w:t>:</w:t>
            </w:r>
          </w:p>
          <w:p w:rsidR="00265D44" w:rsidRPr="00265D44" w:rsidRDefault="00265D44" w:rsidP="00265D44">
            <w:pPr>
              <w:numPr>
                <w:ilvl w:val="0"/>
                <w:numId w:val="28"/>
              </w:numPr>
              <w:jc w:val="both"/>
              <w:rPr>
                <w:color w:val="000000" w:themeColor="text1"/>
              </w:rPr>
            </w:pPr>
            <w:r w:rsidRPr="00265D44">
              <w:rPr>
                <w:color w:val="000000" w:themeColor="text1"/>
              </w:rPr>
              <w:t>Talleres con líderes y lideresas.</w:t>
            </w:r>
          </w:p>
          <w:p w:rsidR="00265D44" w:rsidRPr="00265D44" w:rsidRDefault="00265D44" w:rsidP="00265D44">
            <w:pPr>
              <w:numPr>
                <w:ilvl w:val="0"/>
                <w:numId w:val="28"/>
              </w:numPr>
              <w:jc w:val="both"/>
              <w:rPr>
                <w:color w:val="000000" w:themeColor="text1"/>
              </w:rPr>
            </w:pPr>
            <w:r w:rsidRPr="00265D44">
              <w:rPr>
                <w:color w:val="000000" w:themeColor="text1"/>
              </w:rPr>
              <w:t>Talleres con líderes y lideresas en el marco de procesos de consulta.</w:t>
            </w:r>
          </w:p>
          <w:p w:rsidR="00265D44" w:rsidRPr="00265D44" w:rsidRDefault="00265D44" w:rsidP="00265D44">
            <w:pPr>
              <w:numPr>
                <w:ilvl w:val="0"/>
                <w:numId w:val="28"/>
              </w:numPr>
              <w:jc w:val="both"/>
              <w:rPr>
                <w:color w:val="000000" w:themeColor="text1"/>
              </w:rPr>
            </w:pPr>
            <w:r w:rsidRPr="00265D44">
              <w:rPr>
                <w:color w:val="000000" w:themeColor="text1"/>
              </w:rPr>
              <w:t>Talleres con funcionarios y funcionarias</w:t>
            </w:r>
            <w:r w:rsidR="00416DF6">
              <w:rPr>
                <w:color w:val="000000" w:themeColor="text1"/>
              </w:rPr>
              <w:t>.</w:t>
            </w:r>
          </w:p>
          <w:p w:rsidR="00265D44" w:rsidRPr="00265D44" w:rsidRDefault="00265D44" w:rsidP="00265D44">
            <w:pPr>
              <w:numPr>
                <w:ilvl w:val="0"/>
                <w:numId w:val="28"/>
              </w:numPr>
              <w:jc w:val="both"/>
              <w:rPr>
                <w:color w:val="000000" w:themeColor="text1"/>
              </w:rPr>
            </w:pPr>
            <w:r w:rsidRPr="00265D44">
              <w:rPr>
                <w:color w:val="000000" w:themeColor="text1"/>
              </w:rPr>
              <w:t>Talleres con funcionarios y funcionarias en el marco de procesos de consulta.</w:t>
            </w:r>
          </w:p>
          <w:p w:rsidR="00265D44" w:rsidRPr="00265D44" w:rsidRDefault="00265D44" w:rsidP="00265D44">
            <w:pPr>
              <w:numPr>
                <w:ilvl w:val="0"/>
                <w:numId w:val="28"/>
              </w:numPr>
              <w:jc w:val="both"/>
              <w:rPr>
                <w:color w:val="000000" w:themeColor="text1"/>
              </w:rPr>
            </w:pPr>
            <w:r w:rsidRPr="00265D44">
              <w:rPr>
                <w:color w:val="000000" w:themeColor="text1"/>
              </w:rPr>
              <w:t>Curso de especialización sobre el derecho a consulta previa.</w:t>
            </w:r>
          </w:p>
          <w:p w:rsidR="00265D44" w:rsidRPr="00265D44" w:rsidRDefault="00265D44" w:rsidP="00265D44">
            <w:pPr>
              <w:jc w:val="both"/>
              <w:rPr>
                <w:color w:val="000000" w:themeColor="text1"/>
              </w:rPr>
            </w:pPr>
            <w:r w:rsidRPr="00265D44">
              <w:rPr>
                <w:color w:val="000000" w:themeColor="text1"/>
              </w:rPr>
              <w:t>A la fecha</w:t>
            </w:r>
            <w:r w:rsidR="00416DF6">
              <w:rPr>
                <w:color w:val="000000" w:themeColor="text1"/>
              </w:rPr>
              <w:t>,</w:t>
            </w:r>
            <w:r w:rsidRPr="00265D44">
              <w:rPr>
                <w:color w:val="000000" w:themeColor="text1"/>
              </w:rPr>
              <w:t xml:space="preserve"> se han realizado:</w:t>
            </w:r>
            <w:r w:rsidRPr="00265D44">
              <w:rPr>
                <w:color w:val="000000" w:themeColor="text1"/>
                <w:vertAlign w:val="superscript"/>
              </w:rPr>
              <w:footnoteReference w:id="2"/>
            </w:r>
          </w:p>
          <w:p w:rsidR="00265D44" w:rsidRPr="00265D44" w:rsidRDefault="00265D44" w:rsidP="00265D44">
            <w:pPr>
              <w:numPr>
                <w:ilvl w:val="0"/>
                <w:numId w:val="29"/>
              </w:numPr>
              <w:ind w:left="459"/>
              <w:jc w:val="both"/>
              <w:rPr>
                <w:color w:val="000000" w:themeColor="text1"/>
              </w:rPr>
            </w:pPr>
            <w:r w:rsidRPr="00265D44">
              <w:rPr>
                <w:color w:val="000000" w:themeColor="text1"/>
              </w:rPr>
              <w:t>7 talleres con líderes y lideresas con un total de 362 participantes.</w:t>
            </w:r>
          </w:p>
          <w:p w:rsidR="00265D44" w:rsidRPr="00265D44" w:rsidRDefault="00265D44" w:rsidP="00265D44">
            <w:pPr>
              <w:numPr>
                <w:ilvl w:val="0"/>
                <w:numId w:val="29"/>
              </w:numPr>
              <w:ind w:left="459"/>
              <w:jc w:val="both"/>
              <w:rPr>
                <w:color w:val="000000" w:themeColor="text1"/>
              </w:rPr>
            </w:pPr>
            <w:r w:rsidRPr="00265D44">
              <w:rPr>
                <w:color w:val="000000" w:themeColor="text1"/>
              </w:rPr>
              <w:t>3 talleres con líderes y lideresas en el marco de procesos de consulta con un total de 193 participantes.</w:t>
            </w:r>
          </w:p>
          <w:p w:rsidR="00265D44" w:rsidRPr="00265D44" w:rsidRDefault="00265D44" w:rsidP="00265D44">
            <w:pPr>
              <w:numPr>
                <w:ilvl w:val="0"/>
                <w:numId w:val="29"/>
              </w:numPr>
              <w:ind w:left="459"/>
              <w:jc w:val="both"/>
              <w:rPr>
                <w:color w:val="000000" w:themeColor="text1"/>
              </w:rPr>
            </w:pPr>
            <w:r w:rsidRPr="00265D44">
              <w:rPr>
                <w:color w:val="000000" w:themeColor="text1"/>
              </w:rPr>
              <w:t>11 talleres con funcionarios y funcionarias, con un total de 450 participantes.</w:t>
            </w:r>
          </w:p>
          <w:p w:rsidR="00265D44" w:rsidRPr="00265D44" w:rsidRDefault="00265D44" w:rsidP="00265D44">
            <w:pPr>
              <w:numPr>
                <w:ilvl w:val="0"/>
                <w:numId w:val="29"/>
              </w:numPr>
              <w:ind w:left="459"/>
              <w:jc w:val="both"/>
              <w:rPr>
                <w:color w:val="000000" w:themeColor="text1"/>
              </w:rPr>
            </w:pPr>
            <w:r w:rsidRPr="00265D44">
              <w:rPr>
                <w:color w:val="000000" w:themeColor="text1"/>
              </w:rPr>
              <w:t>2 talleres con funcionarios y funcionarias en el marco de procesos de consulta, con un total de 21 participantes.</w:t>
            </w:r>
          </w:p>
          <w:p w:rsidR="00265D44" w:rsidRPr="00265D44" w:rsidRDefault="00265D44" w:rsidP="00265D44">
            <w:pPr>
              <w:numPr>
                <w:ilvl w:val="0"/>
                <w:numId w:val="29"/>
              </w:numPr>
              <w:ind w:left="459"/>
              <w:jc w:val="both"/>
              <w:rPr>
                <w:color w:val="000000" w:themeColor="text1"/>
              </w:rPr>
            </w:pPr>
            <w:r w:rsidRPr="00265D44">
              <w:rPr>
                <w:color w:val="000000" w:themeColor="text1"/>
              </w:rPr>
              <w:t>1 curso de especialización sobre el derecho a consulta previa, con un total de 136 participantes.</w:t>
            </w:r>
          </w:p>
          <w:p w:rsidR="00265D44" w:rsidRPr="00265D44" w:rsidRDefault="007E51B6" w:rsidP="00265D44">
            <w:pPr>
              <w:jc w:val="both"/>
              <w:rPr>
                <w:szCs w:val="20"/>
                <w:lang w:val="es-PE"/>
              </w:rPr>
            </w:pPr>
            <w:r>
              <w:rPr>
                <w:szCs w:val="20"/>
                <w:lang w:val="es-PE"/>
              </w:rPr>
              <w:t>Fuente</w:t>
            </w:r>
            <w:r w:rsidRPr="00265D44">
              <w:rPr>
                <w:szCs w:val="20"/>
                <w:lang w:val="es-PE"/>
              </w:rPr>
              <w:t>: Oficio N° 000077-2016/DCP/VMI/MC</w:t>
            </w:r>
          </w:p>
        </w:tc>
      </w:tr>
      <w:tr w:rsidR="00265D44" w:rsidRPr="00265D44" w:rsidTr="00416DF6">
        <w:tc>
          <w:tcPr>
            <w:tcW w:w="2518" w:type="dxa"/>
            <w:gridSpan w:val="4"/>
            <w:shd w:val="clear" w:color="auto" w:fill="C6D9F1" w:themeFill="text2" w:themeFillTint="33"/>
            <w:vAlign w:val="center"/>
          </w:tcPr>
          <w:p w:rsidR="00265D44" w:rsidRPr="00265D44" w:rsidRDefault="00265D44" w:rsidP="00265D44">
            <w:pPr>
              <w:rPr>
                <w:color w:val="000000" w:themeColor="text1"/>
              </w:rPr>
            </w:pPr>
            <w:r w:rsidRPr="00265D44">
              <w:rPr>
                <w:rFonts w:cs="Gotham-Book"/>
                <w:color w:val="000000" w:themeColor="text1"/>
              </w:rPr>
              <w:t>Fecha de conclusión</w:t>
            </w:r>
          </w:p>
        </w:tc>
        <w:tc>
          <w:tcPr>
            <w:tcW w:w="6521" w:type="dxa"/>
            <w:gridSpan w:val="4"/>
          </w:tcPr>
          <w:p w:rsidR="00265D44" w:rsidRPr="00265D44" w:rsidRDefault="00416DF6" w:rsidP="00265D44">
            <w:pPr>
              <w:jc w:val="both"/>
              <w:rPr>
                <w:color w:val="FF0000"/>
              </w:rPr>
            </w:pPr>
            <w:r>
              <w:t>Concluido</w:t>
            </w:r>
          </w:p>
        </w:tc>
      </w:tr>
      <w:tr w:rsidR="00265D44" w:rsidRPr="00265D44" w:rsidTr="00416DF6">
        <w:tc>
          <w:tcPr>
            <w:tcW w:w="2518" w:type="dxa"/>
            <w:gridSpan w:val="4"/>
            <w:shd w:val="clear" w:color="auto" w:fill="C6D9F1" w:themeFill="text2" w:themeFillTint="33"/>
            <w:vAlign w:val="center"/>
          </w:tcPr>
          <w:p w:rsidR="00265D44" w:rsidRPr="00265D44" w:rsidRDefault="00265D44" w:rsidP="00265D44">
            <w:pPr>
              <w:rPr>
                <w:color w:val="000000" w:themeColor="text1"/>
              </w:rPr>
            </w:pPr>
            <w:r w:rsidRPr="00265D44">
              <w:rPr>
                <w:rFonts w:cs="Gotham-Book"/>
                <w:color w:val="000000" w:themeColor="text1"/>
              </w:rPr>
              <w:t>Próximos pasos</w:t>
            </w:r>
          </w:p>
        </w:tc>
        <w:tc>
          <w:tcPr>
            <w:tcW w:w="6521" w:type="dxa"/>
            <w:gridSpan w:val="4"/>
          </w:tcPr>
          <w:p w:rsidR="00265D44" w:rsidRPr="00265D44" w:rsidRDefault="00265D44" w:rsidP="00265D44">
            <w:pPr>
              <w:jc w:val="both"/>
              <w:rPr>
                <w:color w:val="FF0000"/>
              </w:rPr>
            </w:pPr>
          </w:p>
        </w:tc>
      </w:tr>
      <w:tr w:rsidR="00265D44" w:rsidRPr="00265D44" w:rsidTr="00416DF6">
        <w:trPr>
          <w:trHeight w:val="212"/>
        </w:trPr>
        <w:tc>
          <w:tcPr>
            <w:tcW w:w="9039" w:type="dxa"/>
            <w:gridSpan w:val="8"/>
          </w:tcPr>
          <w:p w:rsidR="00265D44" w:rsidRPr="00265D44" w:rsidRDefault="00416DF6" w:rsidP="00265D44">
            <w:pPr>
              <w:jc w:val="both"/>
              <w:rPr>
                <w:color w:val="000000" w:themeColor="text1"/>
              </w:rPr>
            </w:pPr>
            <w:r>
              <w:rPr>
                <w:rFonts w:cs="Gotham-Book"/>
                <w:color w:val="000000" w:themeColor="text1"/>
              </w:rPr>
              <w:t>Información adicional</w:t>
            </w:r>
          </w:p>
        </w:tc>
      </w:tr>
      <w:tr w:rsidR="00D362B8" w:rsidRPr="00295641" w:rsidTr="00416DF6">
        <w:tc>
          <w:tcPr>
            <w:tcW w:w="9039" w:type="dxa"/>
            <w:gridSpan w:val="8"/>
            <w:shd w:val="clear" w:color="auto" w:fill="548DD4" w:themeFill="text2" w:themeFillTint="99"/>
          </w:tcPr>
          <w:p w:rsidR="00D362B8" w:rsidRPr="00295641" w:rsidRDefault="00AD750F" w:rsidP="00D21EEF">
            <w:pPr>
              <w:ind w:left="720"/>
              <w:jc w:val="center"/>
              <w:rPr>
                <w:b/>
              </w:rPr>
            </w:pPr>
            <w:proofErr w:type="spellStart"/>
            <w:r>
              <w:rPr>
                <w:b/>
              </w:rPr>
              <w:t>omponente</w:t>
            </w:r>
            <w:proofErr w:type="spellEnd"/>
            <w:r>
              <w:rPr>
                <w:b/>
              </w:rPr>
              <w:t>: Participación Ciudadana</w:t>
            </w:r>
          </w:p>
        </w:tc>
      </w:tr>
      <w:tr w:rsidR="00AD750F" w:rsidRPr="00295641" w:rsidTr="00416DF6">
        <w:tc>
          <w:tcPr>
            <w:tcW w:w="9039" w:type="dxa"/>
            <w:gridSpan w:val="8"/>
            <w:shd w:val="clear" w:color="auto" w:fill="548DD4" w:themeFill="text2" w:themeFillTint="99"/>
          </w:tcPr>
          <w:p w:rsidR="00AD750F" w:rsidRDefault="000921DE" w:rsidP="009562AF">
            <w:pPr>
              <w:ind w:left="720"/>
              <w:jc w:val="center"/>
              <w:rPr>
                <w:b/>
              </w:rPr>
            </w:pPr>
            <w:r w:rsidRPr="000921DE">
              <w:rPr>
                <w:b/>
                <w:u w:val="single"/>
              </w:rPr>
              <w:t xml:space="preserve">Compromiso </w:t>
            </w:r>
            <w:r w:rsidR="009562AF" w:rsidRPr="000921DE">
              <w:rPr>
                <w:b/>
                <w:u w:val="single"/>
              </w:rPr>
              <w:t>9</w:t>
            </w:r>
            <w:r w:rsidR="009562AF">
              <w:rPr>
                <w:b/>
              </w:rPr>
              <w:t xml:space="preserve">. Institucionalizar la participación ciudadana mediante mecanismos de vigilancia social a los procesos </w:t>
            </w:r>
            <w:r w:rsidR="009562AF" w:rsidRPr="00137011">
              <w:rPr>
                <w:b/>
                <w:szCs w:val="20"/>
                <w:lang w:val="es-PE"/>
              </w:rPr>
              <w:t>del Programa Nacional de Alimentación Escolar PNAE- “Qali Warma”</w:t>
            </w:r>
          </w:p>
        </w:tc>
      </w:tr>
      <w:tr w:rsidR="00D362B8" w:rsidRPr="00295641" w:rsidTr="00416DF6">
        <w:tc>
          <w:tcPr>
            <w:tcW w:w="4219" w:type="dxa"/>
            <w:gridSpan w:val="5"/>
            <w:shd w:val="clear" w:color="auto" w:fill="C6D9F1" w:themeFill="text2" w:themeFillTint="33"/>
            <w:vAlign w:val="center"/>
          </w:tcPr>
          <w:p w:rsidR="00D362B8" w:rsidRPr="00295641" w:rsidRDefault="00D362B8" w:rsidP="00D362B8">
            <w:pPr>
              <w:autoSpaceDE w:val="0"/>
              <w:autoSpaceDN w:val="0"/>
              <w:adjustRightInd w:val="0"/>
              <w:rPr>
                <w:rFonts w:cs="Gotham-Book"/>
                <w:b/>
                <w:color w:val="000000" w:themeColor="text1"/>
              </w:rPr>
            </w:pPr>
            <w:r w:rsidRPr="00295641">
              <w:rPr>
                <w:rFonts w:cs="Gotham-Book"/>
                <w:b/>
                <w:color w:val="000000" w:themeColor="text1"/>
              </w:rPr>
              <w:t>Secretaría/Ministerio</w:t>
            </w:r>
          </w:p>
          <w:p w:rsidR="00D362B8" w:rsidRPr="00295641" w:rsidRDefault="00D362B8" w:rsidP="00D362B8">
            <w:pPr>
              <w:rPr>
                <w:b/>
                <w:color w:val="000000" w:themeColor="text1"/>
              </w:rPr>
            </w:pPr>
            <w:r w:rsidRPr="00295641">
              <w:rPr>
                <w:rFonts w:cs="Gotham-Book"/>
                <w:b/>
                <w:color w:val="000000" w:themeColor="text1"/>
              </w:rPr>
              <w:t>Responsable</w:t>
            </w:r>
          </w:p>
        </w:tc>
        <w:tc>
          <w:tcPr>
            <w:tcW w:w="4820" w:type="dxa"/>
            <w:gridSpan w:val="3"/>
          </w:tcPr>
          <w:p w:rsidR="00D362B8" w:rsidRPr="00295641" w:rsidRDefault="00D21EEF" w:rsidP="00D362B8">
            <w:pPr>
              <w:jc w:val="both"/>
              <w:rPr>
                <w:color w:val="000000" w:themeColor="text1"/>
              </w:rPr>
            </w:pPr>
            <w:r>
              <w:rPr>
                <w:color w:val="000000" w:themeColor="text1"/>
              </w:rPr>
              <w:t>Ministerio de Desarrollo e Inclusión Social</w:t>
            </w:r>
          </w:p>
        </w:tc>
      </w:tr>
      <w:tr w:rsidR="00D362B8" w:rsidRPr="00295641" w:rsidTr="00416DF6">
        <w:tc>
          <w:tcPr>
            <w:tcW w:w="4219" w:type="dxa"/>
            <w:gridSpan w:val="5"/>
            <w:shd w:val="clear" w:color="auto" w:fill="C6D9F1" w:themeFill="text2" w:themeFillTint="33"/>
            <w:vAlign w:val="center"/>
          </w:tcPr>
          <w:p w:rsidR="00D362B8" w:rsidRPr="00295641" w:rsidRDefault="00D362B8" w:rsidP="00D362B8">
            <w:pPr>
              <w:autoSpaceDE w:val="0"/>
              <w:autoSpaceDN w:val="0"/>
              <w:adjustRightInd w:val="0"/>
              <w:rPr>
                <w:rFonts w:cs="Gotham-Book"/>
                <w:b/>
                <w:color w:val="000000" w:themeColor="text1"/>
              </w:rPr>
            </w:pPr>
            <w:r w:rsidRPr="00295641">
              <w:rPr>
                <w:rFonts w:cs="Gotham-Book"/>
                <w:b/>
                <w:color w:val="000000" w:themeColor="text1"/>
              </w:rPr>
              <w:t>Nombre de la persona  responsable</w:t>
            </w:r>
          </w:p>
        </w:tc>
        <w:tc>
          <w:tcPr>
            <w:tcW w:w="4820" w:type="dxa"/>
            <w:gridSpan w:val="3"/>
          </w:tcPr>
          <w:p w:rsidR="00D362B8" w:rsidRPr="00295641" w:rsidRDefault="00484745" w:rsidP="00D362B8">
            <w:pPr>
              <w:jc w:val="both"/>
              <w:rPr>
                <w:color w:val="000000" w:themeColor="text1"/>
              </w:rPr>
            </w:pPr>
            <w:r>
              <w:rPr>
                <w:color w:val="000000" w:themeColor="text1"/>
              </w:rPr>
              <w:t>Lucía Cayetana Aljovín Gazzani</w:t>
            </w:r>
          </w:p>
        </w:tc>
      </w:tr>
      <w:tr w:rsidR="00D362B8" w:rsidRPr="00295641" w:rsidTr="00416DF6">
        <w:tc>
          <w:tcPr>
            <w:tcW w:w="4219" w:type="dxa"/>
            <w:gridSpan w:val="5"/>
            <w:shd w:val="clear" w:color="auto" w:fill="C6D9F1" w:themeFill="text2" w:themeFillTint="33"/>
            <w:vAlign w:val="center"/>
          </w:tcPr>
          <w:p w:rsidR="00D362B8" w:rsidRPr="00295641" w:rsidRDefault="00D362B8" w:rsidP="00D362B8">
            <w:pPr>
              <w:rPr>
                <w:b/>
                <w:color w:val="000000" w:themeColor="text1"/>
              </w:rPr>
            </w:pPr>
            <w:r w:rsidRPr="00295641">
              <w:rPr>
                <w:rFonts w:cs="Gotham-Book"/>
                <w:b/>
                <w:color w:val="000000" w:themeColor="text1"/>
              </w:rPr>
              <w:t>Puesto</w:t>
            </w:r>
          </w:p>
        </w:tc>
        <w:tc>
          <w:tcPr>
            <w:tcW w:w="4820" w:type="dxa"/>
            <w:gridSpan w:val="3"/>
          </w:tcPr>
          <w:p w:rsidR="00D362B8" w:rsidRPr="00295641" w:rsidRDefault="00484745" w:rsidP="00D362B8">
            <w:pPr>
              <w:jc w:val="both"/>
              <w:rPr>
                <w:color w:val="000000" w:themeColor="text1"/>
              </w:rPr>
            </w:pPr>
            <w:r>
              <w:rPr>
                <w:color w:val="000000" w:themeColor="text1"/>
              </w:rPr>
              <w:t>Ministra</w:t>
            </w:r>
          </w:p>
        </w:tc>
      </w:tr>
      <w:tr w:rsidR="00D362B8" w:rsidRPr="00295641" w:rsidTr="00416DF6">
        <w:tc>
          <w:tcPr>
            <w:tcW w:w="4219" w:type="dxa"/>
            <w:gridSpan w:val="5"/>
            <w:shd w:val="clear" w:color="auto" w:fill="C6D9F1" w:themeFill="text2" w:themeFillTint="33"/>
            <w:vAlign w:val="center"/>
          </w:tcPr>
          <w:p w:rsidR="00D362B8" w:rsidRPr="00295641" w:rsidRDefault="00D362B8" w:rsidP="00D362B8">
            <w:pPr>
              <w:autoSpaceDE w:val="0"/>
              <w:autoSpaceDN w:val="0"/>
              <w:adjustRightInd w:val="0"/>
              <w:rPr>
                <w:rFonts w:cs="Gotham-Book"/>
                <w:b/>
                <w:color w:val="000000" w:themeColor="text1"/>
              </w:rPr>
            </w:pPr>
            <w:r w:rsidRPr="00295641">
              <w:rPr>
                <w:rFonts w:cs="Gotham-Book"/>
                <w:b/>
                <w:color w:val="000000" w:themeColor="text1"/>
              </w:rPr>
              <w:t>Correo electrónico</w:t>
            </w:r>
          </w:p>
        </w:tc>
        <w:tc>
          <w:tcPr>
            <w:tcW w:w="4820" w:type="dxa"/>
            <w:gridSpan w:val="3"/>
          </w:tcPr>
          <w:p w:rsidR="00484745" w:rsidRPr="00295641" w:rsidRDefault="00484745" w:rsidP="00D362B8">
            <w:pPr>
              <w:jc w:val="both"/>
              <w:rPr>
                <w:rFonts w:cs="Arial"/>
                <w:color w:val="0000FF"/>
                <w:u w:val="single"/>
              </w:rPr>
            </w:pPr>
            <w:r>
              <w:rPr>
                <w:rFonts w:cs="Arial"/>
                <w:color w:val="0000FF"/>
                <w:u w:val="single"/>
              </w:rPr>
              <w:t>despachoministerial1@midis.gob.pe</w:t>
            </w:r>
          </w:p>
        </w:tc>
      </w:tr>
      <w:tr w:rsidR="00D362B8" w:rsidRPr="00295641" w:rsidTr="00416DF6">
        <w:tc>
          <w:tcPr>
            <w:tcW w:w="4219" w:type="dxa"/>
            <w:gridSpan w:val="5"/>
            <w:shd w:val="clear" w:color="auto" w:fill="C6D9F1" w:themeFill="text2" w:themeFillTint="33"/>
            <w:vAlign w:val="center"/>
          </w:tcPr>
          <w:p w:rsidR="00D362B8" w:rsidRPr="00295641" w:rsidRDefault="00D362B8" w:rsidP="00D362B8">
            <w:pPr>
              <w:rPr>
                <w:b/>
                <w:color w:val="000000" w:themeColor="text1"/>
              </w:rPr>
            </w:pPr>
            <w:r w:rsidRPr="00295641">
              <w:rPr>
                <w:rFonts w:cs="Gotham-Book"/>
                <w:b/>
                <w:color w:val="000000" w:themeColor="text1"/>
              </w:rPr>
              <w:t>Teléfono</w:t>
            </w:r>
          </w:p>
        </w:tc>
        <w:tc>
          <w:tcPr>
            <w:tcW w:w="4820" w:type="dxa"/>
            <w:gridSpan w:val="3"/>
          </w:tcPr>
          <w:p w:rsidR="00D362B8" w:rsidRPr="00295641" w:rsidRDefault="00484745" w:rsidP="00484745">
            <w:pPr>
              <w:jc w:val="both"/>
              <w:rPr>
                <w:color w:val="000000" w:themeColor="text1"/>
              </w:rPr>
            </w:pPr>
            <w:r>
              <w:rPr>
                <w:color w:val="000000" w:themeColor="text1"/>
              </w:rPr>
              <w:t xml:space="preserve">51-1-6318000 </w:t>
            </w:r>
            <w:proofErr w:type="spellStart"/>
            <w:r>
              <w:rPr>
                <w:color w:val="000000" w:themeColor="text1"/>
              </w:rPr>
              <w:t>Ax</w:t>
            </w:r>
            <w:proofErr w:type="spellEnd"/>
            <w:r>
              <w:rPr>
                <w:color w:val="000000" w:themeColor="text1"/>
              </w:rPr>
              <w:t>. 1561</w:t>
            </w:r>
          </w:p>
        </w:tc>
      </w:tr>
      <w:tr w:rsidR="00A56D20" w:rsidRPr="00295641" w:rsidTr="00416DF6">
        <w:tc>
          <w:tcPr>
            <w:tcW w:w="2109" w:type="dxa"/>
            <w:gridSpan w:val="3"/>
            <w:vMerge w:val="restart"/>
            <w:shd w:val="clear" w:color="auto" w:fill="C6D9F1" w:themeFill="text2" w:themeFillTint="33"/>
            <w:vAlign w:val="center"/>
          </w:tcPr>
          <w:p w:rsidR="00A56D20" w:rsidRPr="00295641" w:rsidRDefault="00A56D20" w:rsidP="00D362B8">
            <w:pPr>
              <w:rPr>
                <w:rFonts w:cs="Gotham-Book"/>
                <w:b/>
                <w:color w:val="000000" w:themeColor="text1"/>
              </w:rPr>
            </w:pPr>
            <w:r>
              <w:rPr>
                <w:rFonts w:cs="Gotham-Book"/>
                <w:b/>
                <w:color w:val="000000" w:themeColor="text1"/>
              </w:rPr>
              <w:t>Otros actores involucrados</w:t>
            </w:r>
          </w:p>
        </w:tc>
        <w:tc>
          <w:tcPr>
            <w:tcW w:w="2110" w:type="dxa"/>
            <w:gridSpan w:val="2"/>
            <w:shd w:val="clear" w:color="auto" w:fill="C6D9F1" w:themeFill="text2" w:themeFillTint="33"/>
            <w:vAlign w:val="center"/>
          </w:tcPr>
          <w:p w:rsidR="00A56D20" w:rsidRPr="00295641" w:rsidRDefault="00A56D20" w:rsidP="00D362B8">
            <w:pPr>
              <w:rPr>
                <w:rFonts w:cs="Gotham-Book"/>
                <w:b/>
                <w:color w:val="000000" w:themeColor="text1"/>
              </w:rPr>
            </w:pPr>
            <w:r>
              <w:rPr>
                <w:rFonts w:cs="Gotham-Book"/>
                <w:b/>
                <w:color w:val="000000" w:themeColor="text1"/>
              </w:rPr>
              <w:t>Gobierno</w:t>
            </w:r>
          </w:p>
        </w:tc>
        <w:tc>
          <w:tcPr>
            <w:tcW w:w="4820" w:type="dxa"/>
            <w:gridSpan w:val="3"/>
          </w:tcPr>
          <w:p w:rsidR="00A56D20" w:rsidRPr="00295641" w:rsidRDefault="00484745" w:rsidP="00D362B8">
            <w:pPr>
              <w:jc w:val="both"/>
              <w:rPr>
                <w:color w:val="000000" w:themeColor="text1"/>
              </w:rPr>
            </w:pPr>
            <w:r>
              <w:rPr>
                <w:color w:val="000000" w:themeColor="text1"/>
              </w:rPr>
              <w:t>NO APLICA</w:t>
            </w:r>
          </w:p>
        </w:tc>
      </w:tr>
      <w:tr w:rsidR="00A56D20" w:rsidRPr="00295641" w:rsidTr="00416DF6">
        <w:tc>
          <w:tcPr>
            <w:tcW w:w="2109" w:type="dxa"/>
            <w:gridSpan w:val="3"/>
            <w:vMerge/>
            <w:shd w:val="clear" w:color="auto" w:fill="C6D9F1" w:themeFill="text2" w:themeFillTint="33"/>
            <w:vAlign w:val="center"/>
          </w:tcPr>
          <w:p w:rsidR="00A56D20" w:rsidRPr="00295641" w:rsidRDefault="00A56D20" w:rsidP="00D362B8">
            <w:pPr>
              <w:rPr>
                <w:rFonts w:cs="Gotham-Book"/>
                <w:b/>
                <w:color w:val="000000" w:themeColor="text1"/>
              </w:rPr>
            </w:pPr>
          </w:p>
        </w:tc>
        <w:tc>
          <w:tcPr>
            <w:tcW w:w="2110" w:type="dxa"/>
            <w:gridSpan w:val="2"/>
            <w:shd w:val="clear" w:color="auto" w:fill="C6D9F1" w:themeFill="text2" w:themeFillTint="33"/>
            <w:vAlign w:val="center"/>
          </w:tcPr>
          <w:p w:rsidR="00A56D20" w:rsidRPr="00295641" w:rsidRDefault="00A56D20" w:rsidP="00D362B8">
            <w:pPr>
              <w:rPr>
                <w:rFonts w:cs="Gotham-Book"/>
                <w:b/>
                <w:color w:val="000000" w:themeColor="text1"/>
              </w:rPr>
            </w:pPr>
            <w:r>
              <w:rPr>
                <w:rFonts w:cs="Gotham-Book"/>
                <w:b/>
                <w:color w:val="000000" w:themeColor="text1"/>
              </w:rPr>
              <w:t>Sociedad civil, iniciativa privada, grupos de trabajo o multilaterales</w:t>
            </w:r>
          </w:p>
        </w:tc>
        <w:tc>
          <w:tcPr>
            <w:tcW w:w="4820" w:type="dxa"/>
            <w:gridSpan w:val="3"/>
          </w:tcPr>
          <w:p w:rsidR="00A56D20" w:rsidRPr="00295641" w:rsidRDefault="00A56D20" w:rsidP="00D362B8">
            <w:pPr>
              <w:jc w:val="both"/>
              <w:rPr>
                <w:color w:val="000000" w:themeColor="text1"/>
              </w:rPr>
            </w:pPr>
          </w:p>
        </w:tc>
      </w:tr>
      <w:tr w:rsidR="00A56D20" w:rsidRPr="00295641" w:rsidTr="00416DF6">
        <w:tc>
          <w:tcPr>
            <w:tcW w:w="4219" w:type="dxa"/>
            <w:gridSpan w:val="5"/>
            <w:shd w:val="clear" w:color="auto" w:fill="C6D9F1" w:themeFill="text2" w:themeFillTint="33"/>
            <w:vAlign w:val="center"/>
          </w:tcPr>
          <w:p w:rsidR="00A56D20" w:rsidRPr="00295641" w:rsidRDefault="00A56D20" w:rsidP="00D362B8">
            <w:pPr>
              <w:rPr>
                <w:rFonts w:cs="Gotham-Book"/>
                <w:b/>
                <w:color w:val="000000" w:themeColor="text1"/>
              </w:rPr>
            </w:pPr>
            <w:r>
              <w:rPr>
                <w:rFonts w:cs="Gotham-Book"/>
                <w:b/>
                <w:color w:val="000000" w:themeColor="text1"/>
              </w:rPr>
              <w:t>Status quo o problema/</w:t>
            </w:r>
            <w:r>
              <w:rPr>
                <w:rFonts w:cs="Gotham-Book"/>
                <w:b/>
                <w:color w:val="000000" w:themeColor="text1"/>
              </w:rPr>
              <w:br/>
              <w:t>desafío que será atendido</w:t>
            </w:r>
          </w:p>
        </w:tc>
        <w:tc>
          <w:tcPr>
            <w:tcW w:w="4820" w:type="dxa"/>
            <w:gridSpan w:val="3"/>
          </w:tcPr>
          <w:p w:rsidR="00A56D20" w:rsidRPr="00295641" w:rsidRDefault="00D21EEF" w:rsidP="000326E9">
            <w:pPr>
              <w:jc w:val="both"/>
              <w:rPr>
                <w:color w:val="000000" w:themeColor="text1"/>
              </w:rPr>
            </w:pPr>
            <w:r>
              <w:rPr>
                <w:color w:val="000000" w:themeColor="text1"/>
              </w:rPr>
              <w:t xml:space="preserve">Se ha identificado </w:t>
            </w:r>
            <w:r w:rsidR="00FC3E8A">
              <w:rPr>
                <w:color w:val="000000" w:themeColor="text1"/>
              </w:rPr>
              <w:t xml:space="preserve">la necesidad de fortalecer la gestión social y </w:t>
            </w:r>
            <w:r>
              <w:rPr>
                <w:color w:val="000000" w:themeColor="text1"/>
              </w:rPr>
              <w:t>vigilancia de la gestión del servicio de alim</w:t>
            </w:r>
            <w:r w:rsidR="00FC3E8A">
              <w:rPr>
                <w:color w:val="000000" w:themeColor="text1"/>
              </w:rPr>
              <w:t>entación del PNAE “Qali Warma”, a fin de monitorear y evaluar la calidad del Programa, a través de mecanismos de control</w:t>
            </w:r>
            <w:r w:rsidR="002D2BFC">
              <w:rPr>
                <w:color w:val="000000" w:themeColor="text1"/>
              </w:rPr>
              <w:t xml:space="preserve"> y participación ciudadana</w:t>
            </w:r>
            <w:r w:rsidR="00FC3E8A">
              <w:rPr>
                <w:color w:val="000000" w:themeColor="text1"/>
              </w:rPr>
              <w:t>.</w:t>
            </w:r>
          </w:p>
        </w:tc>
      </w:tr>
      <w:tr w:rsidR="00D362B8" w:rsidRPr="00295641" w:rsidTr="00416DF6">
        <w:tc>
          <w:tcPr>
            <w:tcW w:w="4219" w:type="dxa"/>
            <w:gridSpan w:val="5"/>
            <w:shd w:val="clear" w:color="auto" w:fill="C6D9F1" w:themeFill="text2" w:themeFillTint="33"/>
            <w:vAlign w:val="center"/>
          </w:tcPr>
          <w:p w:rsidR="00D362B8" w:rsidRPr="00295641" w:rsidRDefault="00D362B8" w:rsidP="00D362B8">
            <w:pPr>
              <w:rPr>
                <w:b/>
                <w:color w:val="000000" w:themeColor="text1"/>
              </w:rPr>
            </w:pPr>
            <w:r w:rsidRPr="00295641">
              <w:rPr>
                <w:rFonts w:cs="Gotham-Book"/>
                <w:b/>
                <w:color w:val="000000" w:themeColor="text1"/>
              </w:rPr>
              <w:t>Objetivo principal</w:t>
            </w:r>
          </w:p>
        </w:tc>
        <w:tc>
          <w:tcPr>
            <w:tcW w:w="4820" w:type="dxa"/>
            <w:gridSpan w:val="3"/>
          </w:tcPr>
          <w:p w:rsidR="00D362B8" w:rsidRPr="00D21EEF" w:rsidRDefault="00D21EEF" w:rsidP="00D362B8">
            <w:pPr>
              <w:jc w:val="both"/>
              <w:rPr>
                <w:bCs/>
              </w:rPr>
            </w:pPr>
            <w:r w:rsidRPr="00D21EEF">
              <w:rPr>
                <w:bCs/>
              </w:rPr>
              <w:t>Coad</w:t>
            </w:r>
            <w:r>
              <w:rPr>
                <w:bCs/>
              </w:rPr>
              <w:t>yuvar a la mejora de la gestión y la rendición de cuentas del PNAE  “Qali Warma”</w:t>
            </w:r>
          </w:p>
        </w:tc>
      </w:tr>
      <w:tr w:rsidR="00D362B8" w:rsidRPr="00295641" w:rsidTr="00416DF6">
        <w:tc>
          <w:tcPr>
            <w:tcW w:w="4219" w:type="dxa"/>
            <w:gridSpan w:val="5"/>
            <w:shd w:val="clear" w:color="auto" w:fill="C6D9F1" w:themeFill="text2" w:themeFillTint="33"/>
            <w:vAlign w:val="center"/>
          </w:tcPr>
          <w:p w:rsidR="00D362B8" w:rsidRPr="00295641" w:rsidRDefault="00A56D20" w:rsidP="00D362B8">
            <w:pPr>
              <w:autoSpaceDE w:val="0"/>
              <w:autoSpaceDN w:val="0"/>
              <w:adjustRightInd w:val="0"/>
              <w:rPr>
                <w:rFonts w:cs="Gotham-Book"/>
                <w:b/>
                <w:color w:val="000000" w:themeColor="text1"/>
              </w:rPr>
            </w:pPr>
            <w:r>
              <w:rPr>
                <w:rFonts w:cs="Gotham-Book"/>
                <w:b/>
                <w:color w:val="000000" w:themeColor="text1"/>
              </w:rPr>
              <w:t xml:space="preserve">Breve </w:t>
            </w:r>
            <w:r w:rsidR="00D362B8" w:rsidRPr="00295641">
              <w:rPr>
                <w:rFonts w:cs="Gotham-Book"/>
                <w:b/>
                <w:color w:val="000000" w:themeColor="text1"/>
              </w:rPr>
              <w:t>Descripción del</w:t>
            </w:r>
          </w:p>
          <w:p w:rsidR="00D362B8" w:rsidRPr="00295641" w:rsidRDefault="00D362B8" w:rsidP="00D362B8">
            <w:pPr>
              <w:autoSpaceDE w:val="0"/>
              <w:autoSpaceDN w:val="0"/>
              <w:adjustRightInd w:val="0"/>
              <w:rPr>
                <w:rFonts w:cs="Gotham-Book"/>
                <w:b/>
                <w:color w:val="000000" w:themeColor="text1"/>
              </w:rPr>
            </w:pPr>
            <w:r w:rsidRPr="00295641">
              <w:rPr>
                <w:rFonts w:cs="Gotham-Book"/>
                <w:b/>
                <w:color w:val="000000" w:themeColor="text1"/>
              </w:rPr>
              <w:t>Compromiso</w:t>
            </w:r>
          </w:p>
        </w:tc>
        <w:tc>
          <w:tcPr>
            <w:tcW w:w="4820" w:type="dxa"/>
            <w:gridSpan w:val="3"/>
          </w:tcPr>
          <w:p w:rsidR="00D362B8" w:rsidRPr="004C1255" w:rsidRDefault="004C1255" w:rsidP="004C1255">
            <w:pPr>
              <w:jc w:val="both"/>
              <w:rPr>
                <w:szCs w:val="20"/>
                <w:lang w:val="es-PE"/>
              </w:rPr>
            </w:pPr>
            <w:r w:rsidRPr="004C1255">
              <w:rPr>
                <w:szCs w:val="20"/>
                <w:lang w:val="es-PE"/>
              </w:rPr>
              <w:t>Institucionalizar la participación ciudadana mediante los mecanismos de vigilancia social a los procesos del Programa Nacional de Alimentación Escolar PNAE- “Qali Warma” a cargo del Ministerio de Desarrollo e Inclusión Social –MIDIS.</w:t>
            </w:r>
          </w:p>
        </w:tc>
      </w:tr>
      <w:tr w:rsidR="00D362B8" w:rsidRPr="00295641" w:rsidTr="00416DF6">
        <w:tc>
          <w:tcPr>
            <w:tcW w:w="4219" w:type="dxa"/>
            <w:gridSpan w:val="5"/>
            <w:shd w:val="clear" w:color="auto" w:fill="C6D9F1" w:themeFill="text2" w:themeFillTint="33"/>
            <w:vAlign w:val="center"/>
          </w:tcPr>
          <w:p w:rsidR="00D362B8" w:rsidRPr="00295641" w:rsidRDefault="00D362B8" w:rsidP="00D362B8">
            <w:pPr>
              <w:autoSpaceDE w:val="0"/>
              <w:autoSpaceDN w:val="0"/>
              <w:adjustRightInd w:val="0"/>
              <w:rPr>
                <w:rFonts w:cs="Gotham-Book"/>
                <w:b/>
                <w:color w:val="000000" w:themeColor="text1"/>
              </w:rPr>
            </w:pPr>
            <w:r w:rsidRPr="00295641">
              <w:rPr>
                <w:rFonts w:cs="Gotham-Book"/>
                <w:b/>
                <w:color w:val="000000" w:themeColor="text1"/>
              </w:rPr>
              <w:t>Relevancia</w:t>
            </w:r>
          </w:p>
          <w:p w:rsidR="00D362B8" w:rsidRPr="00295641" w:rsidRDefault="00D362B8" w:rsidP="00D362B8">
            <w:pPr>
              <w:autoSpaceDE w:val="0"/>
              <w:autoSpaceDN w:val="0"/>
              <w:adjustRightInd w:val="0"/>
              <w:rPr>
                <w:b/>
                <w:color w:val="000000" w:themeColor="text1"/>
              </w:rPr>
            </w:pPr>
          </w:p>
        </w:tc>
        <w:tc>
          <w:tcPr>
            <w:tcW w:w="4820" w:type="dxa"/>
            <w:gridSpan w:val="3"/>
          </w:tcPr>
          <w:p w:rsidR="00D362B8" w:rsidRPr="00D55406" w:rsidRDefault="00ED5561" w:rsidP="009174F1">
            <w:pPr>
              <w:jc w:val="both"/>
              <w:rPr>
                <w:color w:val="FF0000"/>
                <w:szCs w:val="20"/>
                <w:lang w:val="es-PE"/>
              </w:rPr>
            </w:pPr>
            <w:r w:rsidRPr="00342527">
              <w:rPr>
                <w:szCs w:val="20"/>
                <w:lang w:val="es-PE"/>
              </w:rPr>
              <w:t>El compromiso asumido por el MIDIS ha contribuido a fortalecer la capacidad de fiscalización y vigilancia de la ciudadanía sobre un programa social de servicio alimentario con complemento educativo, permitiendo emprender tareas de colaboración que coadyuven al logro de la mejor gestión de Qali Warma, realizar la vigilancia social en las entidades educativas, generando</w:t>
            </w:r>
            <w:r w:rsidR="009174F1">
              <w:rPr>
                <w:szCs w:val="20"/>
                <w:lang w:val="es-PE"/>
              </w:rPr>
              <w:t>, además,</w:t>
            </w:r>
            <w:r w:rsidRPr="00342527">
              <w:rPr>
                <w:szCs w:val="20"/>
                <w:lang w:val="es-PE"/>
              </w:rPr>
              <w:t xml:space="preserve"> información sobre la gestión con un enfoque preventivo y propositivo, de generación de alertas y recomendaciones con acciones de veeduría y vigilancia, fortaleciendo el modelo de cogestión, </w:t>
            </w:r>
            <w:r w:rsidR="009174F1">
              <w:rPr>
                <w:szCs w:val="20"/>
                <w:lang w:val="es-PE"/>
              </w:rPr>
              <w:t>a través</w:t>
            </w:r>
            <w:r w:rsidRPr="00342527">
              <w:rPr>
                <w:szCs w:val="20"/>
                <w:lang w:val="es-PE"/>
              </w:rPr>
              <w:t xml:space="preserve"> acciones de monitoreo social a la gesti</w:t>
            </w:r>
            <w:r w:rsidR="009174F1">
              <w:rPr>
                <w:szCs w:val="20"/>
                <w:lang w:val="es-PE"/>
              </w:rPr>
              <w:t>ón del Programa.</w:t>
            </w:r>
          </w:p>
        </w:tc>
      </w:tr>
      <w:tr w:rsidR="00D362B8" w:rsidRPr="00295641" w:rsidTr="00416DF6">
        <w:tc>
          <w:tcPr>
            <w:tcW w:w="4219" w:type="dxa"/>
            <w:gridSpan w:val="5"/>
            <w:shd w:val="clear" w:color="auto" w:fill="C6D9F1" w:themeFill="text2" w:themeFillTint="33"/>
            <w:vAlign w:val="center"/>
          </w:tcPr>
          <w:p w:rsidR="00D362B8" w:rsidRPr="00295641" w:rsidRDefault="00D362B8" w:rsidP="00D362B8">
            <w:pPr>
              <w:autoSpaceDE w:val="0"/>
              <w:autoSpaceDN w:val="0"/>
              <w:adjustRightInd w:val="0"/>
              <w:rPr>
                <w:rFonts w:cs="Gotham-Book"/>
                <w:b/>
                <w:color w:val="000000" w:themeColor="text1"/>
              </w:rPr>
            </w:pPr>
            <w:r w:rsidRPr="00295641">
              <w:rPr>
                <w:rFonts w:cs="Gotham-Book"/>
                <w:b/>
                <w:color w:val="000000" w:themeColor="text1"/>
              </w:rPr>
              <w:t>Ambición</w:t>
            </w:r>
          </w:p>
          <w:p w:rsidR="00D362B8" w:rsidRPr="00295641" w:rsidRDefault="00D362B8" w:rsidP="00D362B8">
            <w:pPr>
              <w:autoSpaceDE w:val="0"/>
              <w:autoSpaceDN w:val="0"/>
              <w:adjustRightInd w:val="0"/>
              <w:rPr>
                <w:rFonts w:cs="Gotham-BookItalic"/>
                <w:b/>
                <w:iCs/>
                <w:color w:val="000000" w:themeColor="text1"/>
              </w:rPr>
            </w:pPr>
          </w:p>
        </w:tc>
        <w:tc>
          <w:tcPr>
            <w:tcW w:w="4820" w:type="dxa"/>
            <w:gridSpan w:val="3"/>
          </w:tcPr>
          <w:p w:rsidR="00342527" w:rsidRPr="00D55406" w:rsidRDefault="00342527" w:rsidP="00342527">
            <w:pPr>
              <w:jc w:val="both"/>
              <w:rPr>
                <w:color w:val="FF0000"/>
                <w:szCs w:val="20"/>
                <w:lang w:val="es-PE"/>
              </w:rPr>
            </w:pPr>
            <w:r>
              <w:rPr>
                <w:szCs w:val="20"/>
                <w:lang w:val="es-PE"/>
              </w:rPr>
              <w:t xml:space="preserve">Se espera que el Programa Qali Warma </w:t>
            </w:r>
            <w:r w:rsidR="00A73B3E">
              <w:rPr>
                <w:szCs w:val="20"/>
                <w:lang w:val="es-PE"/>
              </w:rPr>
              <w:t>fortalezca su</w:t>
            </w:r>
            <w:r>
              <w:rPr>
                <w:szCs w:val="20"/>
                <w:lang w:val="es-PE"/>
              </w:rPr>
              <w:t xml:space="preserve"> proceso de gestión social haciendo sostenible las acciones emprendidas como mantener actualizado el mapeo de actores, la supervisión, monitoreo y evaluación del </w:t>
            </w:r>
            <w:r w:rsidR="00A73B3E">
              <w:rPr>
                <w:szCs w:val="20"/>
                <w:lang w:val="es-PE"/>
              </w:rPr>
              <w:t>Programa con</w:t>
            </w:r>
            <w:r>
              <w:rPr>
                <w:szCs w:val="20"/>
                <w:lang w:val="es-PE"/>
              </w:rPr>
              <w:t xml:space="preserve"> los diferentes mecanismos de control como las veedurías y sistemas de alertas, fortaleciendo </w:t>
            </w:r>
            <w:r w:rsidR="009B0ED0">
              <w:rPr>
                <w:szCs w:val="20"/>
                <w:lang w:val="es-PE"/>
              </w:rPr>
              <w:t xml:space="preserve">su </w:t>
            </w:r>
            <w:r>
              <w:rPr>
                <w:szCs w:val="20"/>
                <w:lang w:val="es-PE"/>
              </w:rPr>
              <w:t>modelo de cogestión</w:t>
            </w:r>
            <w:r w:rsidR="009B0ED0">
              <w:rPr>
                <w:szCs w:val="20"/>
                <w:lang w:val="es-PE"/>
              </w:rPr>
              <w:t>.</w:t>
            </w:r>
          </w:p>
          <w:p w:rsidR="00D362B8" w:rsidRPr="00D55406" w:rsidRDefault="00D362B8" w:rsidP="00342527">
            <w:pPr>
              <w:jc w:val="both"/>
              <w:rPr>
                <w:color w:val="FF0000"/>
                <w:szCs w:val="20"/>
                <w:lang w:val="es-PE"/>
              </w:rPr>
            </w:pPr>
          </w:p>
        </w:tc>
      </w:tr>
      <w:tr w:rsidR="00D362B8" w:rsidRPr="00295641" w:rsidTr="00416DF6">
        <w:tc>
          <w:tcPr>
            <w:tcW w:w="1526" w:type="dxa"/>
            <w:vMerge w:val="restart"/>
            <w:shd w:val="clear" w:color="auto" w:fill="C6D9F1" w:themeFill="text2" w:themeFillTint="33"/>
            <w:vAlign w:val="center"/>
          </w:tcPr>
          <w:p w:rsidR="00D362B8" w:rsidRPr="00295641" w:rsidRDefault="00D362B8" w:rsidP="00D362B8">
            <w:pPr>
              <w:rPr>
                <w:b/>
                <w:color w:val="000000" w:themeColor="text1"/>
              </w:rPr>
            </w:pPr>
            <w:r w:rsidRPr="00295641">
              <w:rPr>
                <w:rFonts w:cs="Gotham-Book"/>
                <w:b/>
                <w:color w:val="000000" w:themeColor="text1"/>
              </w:rPr>
              <w:t>Cumplimiento</w:t>
            </w:r>
          </w:p>
        </w:tc>
        <w:tc>
          <w:tcPr>
            <w:tcW w:w="2693" w:type="dxa"/>
            <w:gridSpan w:val="4"/>
            <w:shd w:val="clear" w:color="auto" w:fill="C6D9F1" w:themeFill="text2" w:themeFillTint="33"/>
          </w:tcPr>
          <w:p w:rsidR="00D362B8" w:rsidRPr="00295641" w:rsidRDefault="00D362B8" w:rsidP="00D362B8">
            <w:pPr>
              <w:jc w:val="center"/>
              <w:rPr>
                <w:b/>
                <w:color w:val="000000" w:themeColor="text1"/>
              </w:rPr>
            </w:pPr>
            <w:r w:rsidRPr="00295641">
              <w:rPr>
                <w:rFonts w:cs="Gotham-Book"/>
                <w:b/>
                <w:color w:val="000000" w:themeColor="text1"/>
              </w:rPr>
              <w:t>No iniciado</w:t>
            </w:r>
          </w:p>
        </w:tc>
        <w:tc>
          <w:tcPr>
            <w:tcW w:w="1729" w:type="dxa"/>
            <w:shd w:val="clear" w:color="auto" w:fill="C6D9F1" w:themeFill="text2" w:themeFillTint="33"/>
          </w:tcPr>
          <w:p w:rsidR="00D362B8" w:rsidRPr="00295641" w:rsidRDefault="00D362B8" w:rsidP="00D362B8">
            <w:pPr>
              <w:jc w:val="center"/>
              <w:rPr>
                <w:b/>
                <w:color w:val="000000" w:themeColor="text1"/>
              </w:rPr>
            </w:pPr>
            <w:r w:rsidRPr="00295641">
              <w:rPr>
                <w:rFonts w:cs="Gotham-Book"/>
                <w:b/>
                <w:color w:val="000000" w:themeColor="text1"/>
              </w:rPr>
              <w:t>Limitado</w:t>
            </w:r>
          </w:p>
        </w:tc>
        <w:tc>
          <w:tcPr>
            <w:tcW w:w="1644" w:type="dxa"/>
            <w:shd w:val="clear" w:color="auto" w:fill="C6D9F1" w:themeFill="text2" w:themeFillTint="33"/>
          </w:tcPr>
          <w:p w:rsidR="00D362B8" w:rsidRPr="00295641" w:rsidRDefault="00D362B8" w:rsidP="00D362B8">
            <w:pPr>
              <w:jc w:val="center"/>
              <w:rPr>
                <w:b/>
                <w:color w:val="000000" w:themeColor="text1"/>
              </w:rPr>
            </w:pPr>
            <w:r w:rsidRPr="00295641">
              <w:rPr>
                <w:rFonts w:cs="Gotham-Book"/>
                <w:b/>
                <w:color w:val="000000" w:themeColor="text1"/>
              </w:rPr>
              <w:t>Sustancial</w:t>
            </w:r>
          </w:p>
        </w:tc>
        <w:tc>
          <w:tcPr>
            <w:tcW w:w="1447" w:type="dxa"/>
            <w:shd w:val="clear" w:color="auto" w:fill="C6D9F1" w:themeFill="text2" w:themeFillTint="33"/>
          </w:tcPr>
          <w:p w:rsidR="00D362B8" w:rsidRPr="00295641" w:rsidRDefault="00D362B8" w:rsidP="00D362B8">
            <w:pPr>
              <w:jc w:val="center"/>
              <w:rPr>
                <w:b/>
                <w:color w:val="000000" w:themeColor="text1"/>
              </w:rPr>
            </w:pPr>
            <w:r w:rsidRPr="00295641">
              <w:rPr>
                <w:rFonts w:cs="Gotham-Book"/>
                <w:b/>
                <w:color w:val="000000" w:themeColor="text1"/>
              </w:rPr>
              <w:t>Completo</w:t>
            </w:r>
          </w:p>
        </w:tc>
      </w:tr>
      <w:tr w:rsidR="00D362B8" w:rsidRPr="00295641" w:rsidTr="00416DF6">
        <w:tc>
          <w:tcPr>
            <w:tcW w:w="1526" w:type="dxa"/>
            <w:vMerge/>
            <w:shd w:val="clear" w:color="auto" w:fill="C6D9F1" w:themeFill="text2" w:themeFillTint="33"/>
            <w:vAlign w:val="center"/>
          </w:tcPr>
          <w:p w:rsidR="00D362B8" w:rsidRPr="00295641" w:rsidRDefault="00D362B8" w:rsidP="00D362B8">
            <w:pPr>
              <w:rPr>
                <w:b/>
                <w:color w:val="000000" w:themeColor="text1"/>
              </w:rPr>
            </w:pPr>
          </w:p>
        </w:tc>
        <w:tc>
          <w:tcPr>
            <w:tcW w:w="2693" w:type="dxa"/>
            <w:gridSpan w:val="4"/>
          </w:tcPr>
          <w:p w:rsidR="00D362B8" w:rsidRPr="00295641" w:rsidRDefault="00D362B8" w:rsidP="00D362B8">
            <w:pPr>
              <w:jc w:val="center"/>
              <w:rPr>
                <w:b/>
                <w:color w:val="000000" w:themeColor="text1"/>
              </w:rPr>
            </w:pPr>
          </w:p>
        </w:tc>
        <w:tc>
          <w:tcPr>
            <w:tcW w:w="1729" w:type="dxa"/>
          </w:tcPr>
          <w:p w:rsidR="00D362B8" w:rsidRPr="00295641" w:rsidRDefault="00D362B8" w:rsidP="00D362B8">
            <w:pPr>
              <w:jc w:val="center"/>
              <w:rPr>
                <w:b/>
                <w:color w:val="000000" w:themeColor="text1"/>
              </w:rPr>
            </w:pPr>
          </w:p>
        </w:tc>
        <w:tc>
          <w:tcPr>
            <w:tcW w:w="1644" w:type="dxa"/>
          </w:tcPr>
          <w:p w:rsidR="00D362B8" w:rsidRPr="00295641" w:rsidRDefault="00A73B3E" w:rsidP="00A73B3E">
            <w:pPr>
              <w:jc w:val="center"/>
              <w:rPr>
                <w:b/>
                <w:color w:val="000000" w:themeColor="text1"/>
              </w:rPr>
            </w:pPr>
            <w:r>
              <w:rPr>
                <w:b/>
                <w:color w:val="000000" w:themeColor="text1"/>
              </w:rPr>
              <w:t>X</w:t>
            </w:r>
          </w:p>
        </w:tc>
        <w:tc>
          <w:tcPr>
            <w:tcW w:w="1447" w:type="dxa"/>
            <w:shd w:val="clear" w:color="auto" w:fill="FFFFFF" w:themeFill="background1"/>
          </w:tcPr>
          <w:p w:rsidR="00D362B8" w:rsidRPr="00295641" w:rsidRDefault="00D362B8" w:rsidP="00D362B8">
            <w:pPr>
              <w:jc w:val="center"/>
              <w:rPr>
                <w:b/>
                <w:color w:val="000000" w:themeColor="text1"/>
              </w:rPr>
            </w:pPr>
          </w:p>
        </w:tc>
      </w:tr>
      <w:tr w:rsidR="00D362B8" w:rsidRPr="00295641" w:rsidTr="00416DF6">
        <w:trPr>
          <w:trHeight w:val="8784"/>
        </w:trPr>
        <w:tc>
          <w:tcPr>
            <w:tcW w:w="1526" w:type="dxa"/>
            <w:shd w:val="clear" w:color="auto" w:fill="C6D9F1" w:themeFill="text2" w:themeFillTint="33"/>
            <w:vAlign w:val="center"/>
          </w:tcPr>
          <w:p w:rsidR="00D362B8" w:rsidRPr="00295641" w:rsidRDefault="00D362B8" w:rsidP="00D362B8">
            <w:pPr>
              <w:autoSpaceDE w:val="0"/>
              <w:autoSpaceDN w:val="0"/>
              <w:adjustRightInd w:val="0"/>
              <w:rPr>
                <w:rFonts w:cs="Gotham-Book"/>
                <w:b/>
                <w:color w:val="000000" w:themeColor="text1"/>
              </w:rPr>
            </w:pPr>
            <w:r w:rsidRPr="00295641">
              <w:rPr>
                <w:rFonts w:cs="Gotham-Book"/>
                <w:b/>
                <w:color w:val="000000" w:themeColor="text1"/>
              </w:rPr>
              <w:t>Descripción de los resultados</w:t>
            </w:r>
          </w:p>
          <w:p w:rsidR="00D362B8" w:rsidRPr="00295641" w:rsidRDefault="00D362B8" w:rsidP="00D362B8">
            <w:pPr>
              <w:autoSpaceDE w:val="0"/>
              <w:autoSpaceDN w:val="0"/>
              <w:adjustRightInd w:val="0"/>
              <w:rPr>
                <w:rFonts w:cs="Gotham-BookItalic"/>
                <w:b/>
                <w:iCs/>
                <w:color w:val="000000" w:themeColor="text1"/>
              </w:rPr>
            </w:pPr>
          </w:p>
        </w:tc>
        <w:tc>
          <w:tcPr>
            <w:tcW w:w="7513" w:type="dxa"/>
            <w:gridSpan w:val="7"/>
          </w:tcPr>
          <w:tbl>
            <w:tblP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3"/>
              <w:gridCol w:w="567"/>
              <w:gridCol w:w="908"/>
              <w:gridCol w:w="5074"/>
              <w:gridCol w:w="1134"/>
            </w:tblGrid>
            <w:tr w:rsidR="00A73B3E" w:rsidRPr="00A73B3E" w:rsidTr="00276384">
              <w:trPr>
                <w:gridAfter w:val="1"/>
                <w:wAfter w:w="1134" w:type="dxa"/>
                <w:trHeight w:val="350"/>
              </w:trPr>
              <w:tc>
                <w:tcPr>
                  <w:tcW w:w="963" w:type="dxa"/>
                  <w:vMerge w:val="restart"/>
                  <w:shd w:val="clear" w:color="auto" w:fill="DBE5F1" w:themeFill="accent1" w:themeFillTint="33"/>
                  <w:noWrap/>
                  <w:vAlign w:val="center"/>
                  <w:hideMark/>
                </w:tcPr>
                <w:p w:rsidR="00A73B3E" w:rsidRPr="00A73B3E" w:rsidRDefault="00A73B3E" w:rsidP="00B26CD5">
                  <w:pPr>
                    <w:spacing w:after="0" w:line="240" w:lineRule="auto"/>
                    <w:jc w:val="center"/>
                    <w:rPr>
                      <w:rFonts w:ascii="Calibri" w:eastAsia="Times New Roman" w:hAnsi="Calibri" w:cs="Times New Roman"/>
                      <w:b/>
                      <w:bCs/>
                      <w:color w:val="000000"/>
                      <w:sz w:val="16"/>
                      <w:szCs w:val="16"/>
                      <w:lang w:eastAsia="es-PE"/>
                    </w:rPr>
                  </w:pPr>
                  <w:r w:rsidRPr="00A73B3E">
                    <w:rPr>
                      <w:rFonts w:ascii="Calibri" w:eastAsia="Times New Roman" w:hAnsi="Calibri" w:cs="Times New Roman"/>
                      <w:b/>
                      <w:bCs/>
                      <w:color w:val="000000"/>
                      <w:sz w:val="16"/>
                      <w:szCs w:val="16"/>
                      <w:lang w:eastAsia="es-PE"/>
                    </w:rPr>
                    <w:t>Actividad</w:t>
                  </w:r>
                </w:p>
              </w:tc>
              <w:tc>
                <w:tcPr>
                  <w:tcW w:w="567" w:type="dxa"/>
                  <w:vMerge w:val="restart"/>
                  <w:shd w:val="clear" w:color="auto" w:fill="DBE5F1" w:themeFill="accent1" w:themeFillTint="33"/>
                  <w:vAlign w:val="center"/>
                  <w:hideMark/>
                </w:tcPr>
                <w:p w:rsidR="00A73B3E" w:rsidRPr="00A73B3E" w:rsidRDefault="00A73B3E" w:rsidP="00B26CD5">
                  <w:pPr>
                    <w:spacing w:after="0" w:line="240" w:lineRule="auto"/>
                    <w:jc w:val="center"/>
                    <w:rPr>
                      <w:rFonts w:ascii="Calibri" w:eastAsia="Times New Roman" w:hAnsi="Calibri" w:cs="Times New Roman"/>
                      <w:b/>
                      <w:bCs/>
                      <w:color w:val="000000"/>
                      <w:sz w:val="14"/>
                      <w:szCs w:val="14"/>
                      <w:lang w:eastAsia="es-PE"/>
                    </w:rPr>
                  </w:pPr>
                  <w:r w:rsidRPr="00A73B3E">
                    <w:rPr>
                      <w:rFonts w:ascii="Calibri" w:eastAsia="Times New Roman" w:hAnsi="Calibri" w:cs="Times New Roman"/>
                      <w:b/>
                      <w:bCs/>
                      <w:color w:val="000000"/>
                      <w:sz w:val="14"/>
                      <w:szCs w:val="14"/>
                      <w:lang w:eastAsia="es-PE"/>
                    </w:rPr>
                    <w:t>NIVEL DE AVANCE 2016</w:t>
                  </w:r>
                </w:p>
              </w:tc>
              <w:tc>
                <w:tcPr>
                  <w:tcW w:w="908" w:type="dxa"/>
                  <w:vMerge w:val="restart"/>
                  <w:shd w:val="clear" w:color="auto" w:fill="DBE5F1" w:themeFill="accent1" w:themeFillTint="33"/>
                  <w:vAlign w:val="center"/>
                  <w:hideMark/>
                </w:tcPr>
                <w:p w:rsidR="00A73B3E" w:rsidRPr="00A73B3E" w:rsidRDefault="00A73B3E" w:rsidP="00A73B3E">
                  <w:pPr>
                    <w:spacing w:after="0" w:line="240" w:lineRule="auto"/>
                    <w:jc w:val="center"/>
                    <w:rPr>
                      <w:rFonts w:ascii="Calibri" w:eastAsia="Times New Roman" w:hAnsi="Calibri" w:cs="Times New Roman"/>
                      <w:b/>
                      <w:bCs/>
                      <w:color w:val="000000"/>
                      <w:sz w:val="14"/>
                      <w:szCs w:val="14"/>
                      <w:lang w:eastAsia="es-PE"/>
                    </w:rPr>
                  </w:pPr>
                  <w:r w:rsidRPr="00A73B3E">
                    <w:rPr>
                      <w:rFonts w:ascii="Calibri" w:eastAsia="Times New Roman" w:hAnsi="Calibri" w:cs="Times New Roman"/>
                      <w:b/>
                      <w:bCs/>
                      <w:color w:val="000000"/>
                      <w:sz w:val="14"/>
                      <w:szCs w:val="14"/>
                      <w:lang w:eastAsia="es-PE"/>
                    </w:rPr>
                    <w:t>*FECHA REPROGRAMADA</w:t>
                  </w:r>
                </w:p>
              </w:tc>
              <w:tc>
                <w:tcPr>
                  <w:tcW w:w="5074" w:type="dxa"/>
                  <w:vMerge w:val="restart"/>
                  <w:shd w:val="clear" w:color="auto" w:fill="DBE5F1" w:themeFill="accent1" w:themeFillTint="33"/>
                  <w:vAlign w:val="center"/>
                  <w:hideMark/>
                </w:tcPr>
                <w:p w:rsidR="00A73B3E" w:rsidRPr="00A73B3E" w:rsidRDefault="00A73B3E" w:rsidP="00B26CD5">
                  <w:pPr>
                    <w:spacing w:after="0" w:line="240" w:lineRule="auto"/>
                    <w:jc w:val="center"/>
                    <w:rPr>
                      <w:rFonts w:ascii="Calibri" w:eastAsia="Times New Roman" w:hAnsi="Calibri" w:cs="Times New Roman"/>
                      <w:b/>
                      <w:bCs/>
                      <w:color w:val="000000"/>
                      <w:sz w:val="16"/>
                      <w:szCs w:val="16"/>
                      <w:lang w:eastAsia="es-PE"/>
                    </w:rPr>
                  </w:pPr>
                  <w:r w:rsidRPr="00A73B3E">
                    <w:rPr>
                      <w:rFonts w:ascii="Calibri" w:eastAsia="Times New Roman" w:hAnsi="Calibri" w:cs="Times New Roman"/>
                      <w:b/>
                      <w:bCs/>
                      <w:color w:val="000000"/>
                      <w:sz w:val="16"/>
                      <w:szCs w:val="16"/>
                      <w:lang w:eastAsia="es-PE"/>
                    </w:rPr>
                    <w:t>AVANCES REGISTRADOS A LA FECHA</w:t>
                  </w:r>
                  <w:r w:rsidRPr="00A73B3E">
                    <w:rPr>
                      <w:rFonts w:ascii="Calibri" w:eastAsia="Times New Roman" w:hAnsi="Calibri" w:cs="Times New Roman"/>
                      <w:b/>
                      <w:bCs/>
                      <w:color w:val="000000"/>
                      <w:sz w:val="16"/>
                      <w:szCs w:val="16"/>
                      <w:lang w:eastAsia="es-PE"/>
                    </w:rPr>
                    <w:br/>
                    <w:t>AGOSTO 2016</w:t>
                  </w:r>
                </w:p>
              </w:tc>
            </w:tr>
            <w:tr w:rsidR="00A73B3E" w:rsidRPr="00A73B3E" w:rsidTr="00276384">
              <w:trPr>
                <w:gridAfter w:val="1"/>
                <w:wAfter w:w="1134" w:type="dxa"/>
                <w:trHeight w:val="195"/>
              </w:trPr>
              <w:tc>
                <w:tcPr>
                  <w:tcW w:w="963" w:type="dxa"/>
                  <w:vMerge/>
                  <w:shd w:val="clear" w:color="auto" w:fill="DBE5F1" w:themeFill="accent1" w:themeFillTint="33"/>
                  <w:vAlign w:val="center"/>
                  <w:hideMark/>
                </w:tcPr>
                <w:p w:rsidR="00A73B3E" w:rsidRPr="00A73B3E" w:rsidRDefault="00A73B3E" w:rsidP="00B26CD5">
                  <w:pPr>
                    <w:spacing w:after="0" w:line="240" w:lineRule="auto"/>
                    <w:rPr>
                      <w:rFonts w:ascii="Calibri" w:eastAsia="Times New Roman" w:hAnsi="Calibri" w:cs="Times New Roman"/>
                      <w:b/>
                      <w:bCs/>
                      <w:color w:val="000000"/>
                      <w:sz w:val="16"/>
                      <w:szCs w:val="16"/>
                      <w:lang w:eastAsia="es-PE"/>
                    </w:rPr>
                  </w:pPr>
                </w:p>
              </w:tc>
              <w:tc>
                <w:tcPr>
                  <w:tcW w:w="567" w:type="dxa"/>
                  <w:vMerge/>
                  <w:shd w:val="clear" w:color="auto" w:fill="DBE5F1" w:themeFill="accent1" w:themeFillTint="33"/>
                  <w:vAlign w:val="center"/>
                  <w:hideMark/>
                </w:tcPr>
                <w:p w:rsidR="00A73B3E" w:rsidRPr="00A73B3E" w:rsidRDefault="00A73B3E" w:rsidP="00B26CD5">
                  <w:pPr>
                    <w:spacing w:after="0" w:line="240" w:lineRule="auto"/>
                    <w:rPr>
                      <w:rFonts w:ascii="Calibri" w:eastAsia="Times New Roman" w:hAnsi="Calibri" w:cs="Times New Roman"/>
                      <w:b/>
                      <w:bCs/>
                      <w:color w:val="000000"/>
                      <w:sz w:val="16"/>
                      <w:szCs w:val="16"/>
                      <w:lang w:eastAsia="es-PE"/>
                    </w:rPr>
                  </w:pPr>
                </w:p>
              </w:tc>
              <w:tc>
                <w:tcPr>
                  <w:tcW w:w="908" w:type="dxa"/>
                  <w:vMerge/>
                  <w:shd w:val="clear" w:color="auto" w:fill="DBE5F1" w:themeFill="accent1" w:themeFillTint="33"/>
                  <w:vAlign w:val="center"/>
                  <w:hideMark/>
                </w:tcPr>
                <w:p w:rsidR="00A73B3E" w:rsidRPr="00A73B3E" w:rsidRDefault="00A73B3E" w:rsidP="00B26CD5">
                  <w:pPr>
                    <w:spacing w:after="0" w:line="240" w:lineRule="auto"/>
                    <w:rPr>
                      <w:rFonts w:ascii="Calibri" w:eastAsia="Times New Roman" w:hAnsi="Calibri" w:cs="Times New Roman"/>
                      <w:b/>
                      <w:bCs/>
                      <w:color w:val="000000"/>
                      <w:sz w:val="16"/>
                      <w:szCs w:val="16"/>
                      <w:lang w:eastAsia="es-PE"/>
                    </w:rPr>
                  </w:pPr>
                </w:p>
              </w:tc>
              <w:tc>
                <w:tcPr>
                  <w:tcW w:w="5074" w:type="dxa"/>
                  <w:vMerge/>
                  <w:shd w:val="clear" w:color="auto" w:fill="DBE5F1" w:themeFill="accent1" w:themeFillTint="33"/>
                  <w:vAlign w:val="center"/>
                  <w:hideMark/>
                </w:tcPr>
                <w:p w:rsidR="00A73B3E" w:rsidRPr="00A73B3E" w:rsidRDefault="00A73B3E" w:rsidP="00B26CD5">
                  <w:pPr>
                    <w:spacing w:after="0" w:line="240" w:lineRule="auto"/>
                    <w:rPr>
                      <w:rFonts w:ascii="Calibri" w:eastAsia="Times New Roman" w:hAnsi="Calibri" w:cs="Times New Roman"/>
                      <w:b/>
                      <w:bCs/>
                      <w:color w:val="000000"/>
                      <w:sz w:val="16"/>
                      <w:szCs w:val="16"/>
                      <w:lang w:eastAsia="es-PE"/>
                    </w:rPr>
                  </w:pPr>
                </w:p>
              </w:tc>
            </w:tr>
            <w:tr w:rsidR="00A73B3E" w:rsidRPr="00A73B3E" w:rsidTr="00276384">
              <w:trPr>
                <w:gridAfter w:val="1"/>
                <w:wAfter w:w="1134" w:type="dxa"/>
                <w:trHeight w:val="2693"/>
              </w:trPr>
              <w:tc>
                <w:tcPr>
                  <w:tcW w:w="963" w:type="dxa"/>
                  <w:shd w:val="clear" w:color="auto" w:fill="auto"/>
                  <w:vAlign w:val="center"/>
                  <w:hideMark/>
                </w:tcPr>
                <w:p w:rsidR="00A73B3E" w:rsidRPr="00A73B3E" w:rsidRDefault="00A73B3E" w:rsidP="00B26CD5">
                  <w:pPr>
                    <w:spacing w:after="0" w:line="240" w:lineRule="auto"/>
                    <w:jc w:val="both"/>
                    <w:rPr>
                      <w:rFonts w:ascii="Calibri" w:eastAsia="Times New Roman" w:hAnsi="Calibri" w:cs="Times New Roman"/>
                      <w:color w:val="000000"/>
                      <w:sz w:val="16"/>
                      <w:szCs w:val="16"/>
                      <w:lang w:eastAsia="es-PE"/>
                    </w:rPr>
                  </w:pPr>
                  <w:r w:rsidRPr="00A73B3E">
                    <w:rPr>
                      <w:rFonts w:ascii="Calibri" w:eastAsia="Times New Roman" w:hAnsi="Calibri" w:cs="Times New Roman"/>
                      <w:color w:val="000000"/>
                      <w:sz w:val="16"/>
                      <w:szCs w:val="16"/>
                      <w:lang w:eastAsia="es-PE"/>
                    </w:rPr>
                    <w:t>1. Revisar y validar el Directorio de actores sociales con interés en la vigilancia de la gestión del PNAE “Qali Warma”.</w:t>
                  </w:r>
                </w:p>
              </w:tc>
              <w:tc>
                <w:tcPr>
                  <w:tcW w:w="567" w:type="dxa"/>
                  <w:shd w:val="clear" w:color="auto" w:fill="auto"/>
                  <w:vAlign w:val="center"/>
                  <w:hideMark/>
                </w:tcPr>
                <w:p w:rsidR="00A73B3E" w:rsidRPr="00A73B3E" w:rsidRDefault="00A73B3E" w:rsidP="00B26CD5">
                  <w:pPr>
                    <w:spacing w:after="0" w:line="240" w:lineRule="auto"/>
                    <w:jc w:val="center"/>
                    <w:rPr>
                      <w:rFonts w:ascii="Calibri" w:eastAsia="Times New Roman" w:hAnsi="Calibri" w:cs="Times New Roman"/>
                      <w:color w:val="000000"/>
                      <w:sz w:val="16"/>
                      <w:szCs w:val="16"/>
                      <w:lang w:eastAsia="es-PE"/>
                    </w:rPr>
                  </w:pPr>
                  <w:r w:rsidRPr="00A73B3E">
                    <w:rPr>
                      <w:rFonts w:ascii="Calibri" w:eastAsia="Times New Roman" w:hAnsi="Calibri" w:cs="Times New Roman"/>
                      <w:color w:val="000000"/>
                      <w:sz w:val="16"/>
                      <w:szCs w:val="16"/>
                      <w:lang w:eastAsia="es-PE"/>
                    </w:rPr>
                    <w:t xml:space="preserve">100% </w:t>
                  </w:r>
                  <w:r w:rsidRPr="00A73B3E">
                    <w:rPr>
                      <w:rFonts w:ascii="Calibri" w:eastAsia="Times New Roman" w:hAnsi="Calibri" w:cs="Times New Roman"/>
                      <w:color w:val="000000"/>
                      <w:sz w:val="16"/>
                      <w:szCs w:val="16"/>
                      <w:lang w:eastAsia="es-PE"/>
                    </w:rPr>
                    <w:br/>
                    <w:t>(1)</w:t>
                  </w:r>
                </w:p>
              </w:tc>
              <w:tc>
                <w:tcPr>
                  <w:tcW w:w="908" w:type="dxa"/>
                  <w:shd w:val="clear" w:color="auto" w:fill="auto"/>
                  <w:vAlign w:val="center"/>
                  <w:hideMark/>
                </w:tcPr>
                <w:p w:rsidR="00A73B3E" w:rsidRPr="00A73B3E" w:rsidRDefault="00A73B3E" w:rsidP="00B26CD5">
                  <w:pPr>
                    <w:spacing w:after="0" w:line="240" w:lineRule="auto"/>
                    <w:jc w:val="center"/>
                    <w:rPr>
                      <w:rFonts w:ascii="Calibri" w:eastAsia="Times New Roman" w:hAnsi="Calibri" w:cs="Times New Roman"/>
                      <w:b/>
                      <w:bCs/>
                      <w:color w:val="000000"/>
                      <w:sz w:val="16"/>
                      <w:szCs w:val="16"/>
                      <w:lang w:eastAsia="es-PE"/>
                    </w:rPr>
                  </w:pPr>
                  <w:r w:rsidRPr="00A73B3E">
                    <w:rPr>
                      <w:rFonts w:ascii="Calibri" w:eastAsia="Times New Roman" w:hAnsi="Calibri" w:cs="Times New Roman"/>
                      <w:b/>
                      <w:bCs/>
                      <w:color w:val="000000"/>
                      <w:sz w:val="16"/>
                      <w:szCs w:val="16"/>
                      <w:lang w:eastAsia="es-PE"/>
                    </w:rPr>
                    <w:t>Jun. 2017 (2)</w:t>
                  </w:r>
                </w:p>
              </w:tc>
              <w:tc>
                <w:tcPr>
                  <w:tcW w:w="5074" w:type="dxa"/>
                  <w:shd w:val="clear" w:color="000000" w:fill="FFFFFF"/>
                  <w:vAlign w:val="center"/>
                  <w:hideMark/>
                </w:tcPr>
                <w:p w:rsidR="00A73B3E" w:rsidRPr="00A73B3E" w:rsidRDefault="00A73B3E" w:rsidP="00276384">
                  <w:pPr>
                    <w:spacing w:after="0" w:line="240" w:lineRule="auto"/>
                    <w:jc w:val="both"/>
                    <w:rPr>
                      <w:rFonts w:ascii="Calibri" w:eastAsia="Times New Roman" w:hAnsi="Calibri" w:cs="Times New Roman"/>
                      <w:color w:val="000000"/>
                      <w:sz w:val="16"/>
                      <w:szCs w:val="16"/>
                      <w:lang w:eastAsia="es-PE"/>
                    </w:rPr>
                  </w:pPr>
                  <w:r w:rsidRPr="00A73B3E">
                    <w:rPr>
                      <w:rFonts w:ascii="Calibri" w:eastAsia="Times New Roman" w:hAnsi="Calibri" w:cs="Times New Roman"/>
                      <w:color w:val="000000"/>
                      <w:sz w:val="16"/>
                      <w:szCs w:val="16"/>
                      <w:lang w:eastAsia="es-PE"/>
                    </w:rPr>
                    <w:t>El Programa informa que el  Mapeo de Actores se elaboró en el año 2015</w:t>
                  </w:r>
                  <w:r w:rsidR="00292AB2">
                    <w:rPr>
                      <w:rFonts w:ascii="Calibri" w:eastAsia="Times New Roman" w:hAnsi="Calibri" w:cs="Times New Roman"/>
                      <w:color w:val="000000"/>
                      <w:sz w:val="16"/>
                      <w:szCs w:val="16"/>
                      <w:lang w:eastAsia="es-PE"/>
                    </w:rPr>
                    <w:t>, el cual es un proceso</w:t>
                  </w:r>
                  <w:r w:rsidRPr="00A73B3E">
                    <w:rPr>
                      <w:rFonts w:ascii="Calibri" w:eastAsia="Times New Roman" w:hAnsi="Calibri" w:cs="Times New Roman"/>
                      <w:color w:val="000000"/>
                      <w:sz w:val="16"/>
                      <w:szCs w:val="16"/>
                      <w:lang w:eastAsia="es-PE"/>
                    </w:rPr>
                    <w:t xml:space="preserve"> permanente y continuo, par</w:t>
                  </w:r>
                  <w:r w:rsidR="00292AB2">
                    <w:rPr>
                      <w:rFonts w:ascii="Calibri" w:eastAsia="Times New Roman" w:hAnsi="Calibri" w:cs="Times New Roman"/>
                      <w:color w:val="000000"/>
                      <w:sz w:val="16"/>
                      <w:szCs w:val="16"/>
                      <w:lang w:eastAsia="es-PE"/>
                    </w:rPr>
                    <w:t>a su validación</w:t>
                  </w:r>
                  <w:r w:rsidR="00276384">
                    <w:rPr>
                      <w:rFonts w:ascii="Calibri" w:eastAsia="Times New Roman" w:hAnsi="Calibri" w:cs="Times New Roman"/>
                      <w:color w:val="000000"/>
                      <w:sz w:val="16"/>
                      <w:szCs w:val="16"/>
                      <w:lang w:eastAsia="es-PE"/>
                    </w:rPr>
                    <w:t xml:space="preserve"> y</w:t>
                  </w:r>
                  <w:r w:rsidR="00292AB2">
                    <w:rPr>
                      <w:rFonts w:ascii="Calibri" w:eastAsia="Times New Roman" w:hAnsi="Calibri" w:cs="Times New Roman"/>
                      <w:color w:val="000000"/>
                      <w:sz w:val="16"/>
                      <w:szCs w:val="16"/>
                      <w:lang w:eastAsia="es-PE"/>
                    </w:rPr>
                    <w:t xml:space="preserve"> </w:t>
                  </w:r>
                  <w:proofErr w:type="spellStart"/>
                  <w:r w:rsidR="00292AB2">
                    <w:rPr>
                      <w:rFonts w:ascii="Calibri" w:eastAsia="Times New Roman" w:hAnsi="Calibri" w:cs="Times New Roman"/>
                      <w:color w:val="000000"/>
                      <w:sz w:val="16"/>
                      <w:szCs w:val="16"/>
                      <w:lang w:eastAsia="es-PE"/>
                    </w:rPr>
                    <w:t>y</w:t>
                  </w:r>
                  <w:proofErr w:type="spellEnd"/>
                  <w:r w:rsidR="00292AB2">
                    <w:rPr>
                      <w:rFonts w:ascii="Calibri" w:eastAsia="Times New Roman" w:hAnsi="Calibri" w:cs="Times New Roman"/>
                      <w:color w:val="000000"/>
                      <w:sz w:val="16"/>
                      <w:szCs w:val="16"/>
                      <w:lang w:eastAsia="es-PE"/>
                    </w:rPr>
                    <w:t xml:space="preserve"> actualización. </w:t>
                  </w:r>
                  <w:r w:rsidRPr="00A73B3E">
                    <w:rPr>
                      <w:rFonts w:ascii="Calibri" w:eastAsia="Times New Roman" w:hAnsi="Calibri" w:cs="Times New Roman"/>
                      <w:color w:val="000000"/>
                      <w:sz w:val="16"/>
                      <w:szCs w:val="16"/>
                      <w:lang w:eastAsia="es-PE"/>
                    </w:rPr>
                    <w:t xml:space="preserve"> </w:t>
                  </w:r>
                  <w:r w:rsidR="00A34967">
                    <w:rPr>
                      <w:rFonts w:ascii="Calibri" w:eastAsia="Times New Roman" w:hAnsi="Calibri" w:cs="Times New Roman"/>
                      <w:color w:val="000000"/>
                      <w:sz w:val="16"/>
                      <w:szCs w:val="16"/>
                      <w:lang w:eastAsia="es-PE"/>
                    </w:rPr>
                    <w:t>A ello se agrega la</w:t>
                  </w:r>
                  <w:r w:rsidRPr="00A73B3E">
                    <w:rPr>
                      <w:rFonts w:ascii="Calibri" w:eastAsia="Times New Roman" w:hAnsi="Calibri" w:cs="Times New Roman"/>
                      <w:color w:val="000000"/>
                      <w:sz w:val="16"/>
                      <w:szCs w:val="16"/>
                      <w:lang w:eastAsia="es-PE"/>
                    </w:rPr>
                    <w:t xml:space="preserve"> asistencia técnica </w:t>
                  </w:r>
                  <w:r w:rsidR="00A34967">
                    <w:rPr>
                      <w:rFonts w:ascii="Calibri" w:eastAsia="Times New Roman" w:hAnsi="Calibri" w:cs="Times New Roman"/>
                      <w:color w:val="000000"/>
                      <w:sz w:val="16"/>
                      <w:szCs w:val="16"/>
                      <w:lang w:eastAsia="es-PE"/>
                    </w:rPr>
                    <w:t xml:space="preserve"> que </w:t>
                  </w:r>
                  <w:r w:rsidRPr="00A73B3E">
                    <w:rPr>
                      <w:rFonts w:ascii="Calibri" w:eastAsia="Times New Roman" w:hAnsi="Calibri" w:cs="Times New Roman"/>
                      <w:color w:val="000000"/>
                      <w:sz w:val="16"/>
                      <w:szCs w:val="16"/>
                      <w:lang w:eastAsia="es-PE"/>
                    </w:rPr>
                    <w:t xml:space="preserve">se realizan también con otros actores para contrastar los instrumentos (matrices, cuadros, guías de acceso a información, etc.), hasta precisiones teóricas, a partir de la experiencia. El seguimiento al trabajo de asistencia técnica que se realice con </w:t>
                  </w:r>
                  <w:r w:rsidR="00276384">
                    <w:rPr>
                      <w:rFonts w:ascii="Calibri" w:eastAsia="Times New Roman" w:hAnsi="Calibri" w:cs="Times New Roman"/>
                      <w:color w:val="000000"/>
                      <w:sz w:val="16"/>
                      <w:szCs w:val="16"/>
                      <w:lang w:eastAsia="es-PE"/>
                    </w:rPr>
                    <w:t>dichos actores</w:t>
                  </w:r>
                  <w:r w:rsidRPr="00A73B3E">
                    <w:rPr>
                      <w:rFonts w:ascii="Calibri" w:eastAsia="Times New Roman" w:hAnsi="Calibri" w:cs="Times New Roman"/>
                      <w:color w:val="000000"/>
                      <w:sz w:val="16"/>
                      <w:szCs w:val="16"/>
                      <w:lang w:eastAsia="es-PE"/>
                    </w:rPr>
                    <w:t xml:space="preserve"> permitirá hacer un balance a nivel de Qali Warma y en cada unidad territorial, de las posibilidades y limitaciones de esta metodología.</w:t>
                  </w:r>
                  <w:r w:rsidRPr="00A73B3E">
                    <w:rPr>
                      <w:rFonts w:ascii="Calibri" w:eastAsia="Times New Roman" w:hAnsi="Calibri" w:cs="Times New Roman"/>
                      <w:color w:val="000000"/>
                      <w:sz w:val="16"/>
                      <w:szCs w:val="16"/>
                      <w:lang w:eastAsia="es-PE"/>
                    </w:rPr>
                    <w:br/>
                    <w:t>A partir del mes de agosto del año 2016</w:t>
                  </w:r>
                  <w:r w:rsidR="00276384">
                    <w:rPr>
                      <w:rFonts w:ascii="Calibri" w:eastAsia="Times New Roman" w:hAnsi="Calibri" w:cs="Times New Roman"/>
                      <w:color w:val="000000"/>
                      <w:sz w:val="16"/>
                      <w:szCs w:val="16"/>
                      <w:lang w:eastAsia="es-PE"/>
                    </w:rPr>
                    <w:t>,</w:t>
                  </w:r>
                  <w:r w:rsidRPr="00A73B3E">
                    <w:rPr>
                      <w:rFonts w:ascii="Calibri" w:eastAsia="Times New Roman" w:hAnsi="Calibri" w:cs="Times New Roman"/>
                      <w:color w:val="000000"/>
                      <w:sz w:val="16"/>
                      <w:szCs w:val="16"/>
                      <w:lang w:eastAsia="es-PE"/>
                    </w:rPr>
                    <w:t xml:space="preserve"> la Unidad de Supervisión, Monitoreo y Evaluación del Programa, está recibiendo información para actualizar el mapeo de actores, incorporando a las instituciones y a los representantes, que vienen trabajando este año. Se debe señalar que en el mapeo se evidencia lo trabajado con las gobernaciones, de manera especial con los tenientes gobernadores, que son líderes en sus comunidades y son voluntarios.</w:t>
                  </w:r>
                  <w:r w:rsidRPr="00A73B3E">
                    <w:rPr>
                      <w:rFonts w:ascii="Calibri" w:eastAsia="Times New Roman" w:hAnsi="Calibri" w:cs="Times New Roman"/>
                      <w:color w:val="000000"/>
                      <w:sz w:val="16"/>
                      <w:szCs w:val="16"/>
                      <w:lang w:eastAsia="es-PE"/>
                    </w:rPr>
                    <w:br/>
                    <w:t>Se adjunta al presente la "Base de Mapeo / Identificación de actores con interés en la vigilancia social al PNAE QALI WARMA 2015" (actualizada 2016).</w:t>
                  </w:r>
                </w:p>
              </w:tc>
            </w:tr>
            <w:tr w:rsidR="00A73B3E" w:rsidRPr="00A73B3E" w:rsidTr="00276384">
              <w:trPr>
                <w:gridAfter w:val="1"/>
                <w:wAfter w:w="1134" w:type="dxa"/>
                <w:trHeight w:val="2306"/>
              </w:trPr>
              <w:tc>
                <w:tcPr>
                  <w:tcW w:w="963" w:type="dxa"/>
                  <w:shd w:val="clear" w:color="auto" w:fill="auto"/>
                  <w:vAlign w:val="center"/>
                  <w:hideMark/>
                </w:tcPr>
                <w:p w:rsidR="00A73B3E" w:rsidRPr="00A73B3E" w:rsidRDefault="00A73B3E" w:rsidP="00B26CD5">
                  <w:pPr>
                    <w:spacing w:after="0" w:line="240" w:lineRule="auto"/>
                    <w:jc w:val="both"/>
                    <w:rPr>
                      <w:rFonts w:ascii="Calibri" w:eastAsia="Times New Roman" w:hAnsi="Calibri" w:cs="Times New Roman"/>
                      <w:color w:val="000000"/>
                      <w:sz w:val="16"/>
                      <w:szCs w:val="16"/>
                      <w:lang w:eastAsia="es-PE"/>
                    </w:rPr>
                  </w:pPr>
                  <w:r w:rsidRPr="00A73B3E">
                    <w:rPr>
                      <w:rFonts w:ascii="Calibri" w:eastAsia="Times New Roman" w:hAnsi="Calibri" w:cs="Times New Roman"/>
                      <w:color w:val="000000"/>
                      <w:sz w:val="16"/>
                      <w:szCs w:val="16"/>
                      <w:lang w:eastAsia="es-PE"/>
                    </w:rPr>
                    <w:t>2. Reuniones de trabajo realizadas con actores sociales identificados, para comprometerlos en la vigilancia.</w:t>
                  </w:r>
                </w:p>
              </w:tc>
              <w:tc>
                <w:tcPr>
                  <w:tcW w:w="567" w:type="dxa"/>
                  <w:shd w:val="clear" w:color="auto" w:fill="auto"/>
                  <w:noWrap/>
                  <w:vAlign w:val="center"/>
                  <w:hideMark/>
                </w:tcPr>
                <w:p w:rsidR="00A73B3E" w:rsidRPr="00A73B3E" w:rsidRDefault="00A73B3E" w:rsidP="00B26CD5">
                  <w:pPr>
                    <w:spacing w:after="0" w:line="240" w:lineRule="auto"/>
                    <w:jc w:val="center"/>
                    <w:rPr>
                      <w:rFonts w:ascii="Calibri" w:eastAsia="Times New Roman" w:hAnsi="Calibri" w:cs="Times New Roman"/>
                      <w:color w:val="000000"/>
                      <w:sz w:val="16"/>
                      <w:szCs w:val="16"/>
                      <w:lang w:eastAsia="es-PE"/>
                    </w:rPr>
                  </w:pPr>
                  <w:r w:rsidRPr="00A73B3E">
                    <w:rPr>
                      <w:rFonts w:ascii="Calibri" w:eastAsia="Times New Roman" w:hAnsi="Calibri" w:cs="Times New Roman"/>
                      <w:color w:val="000000"/>
                      <w:sz w:val="16"/>
                      <w:szCs w:val="16"/>
                      <w:lang w:eastAsia="es-PE"/>
                    </w:rPr>
                    <w:t>(2)</w:t>
                  </w:r>
                </w:p>
              </w:tc>
              <w:tc>
                <w:tcPr>
                  <w:tcW w:w="908" w:type="dxa"/>
                  <w:shd w:val="clear" w:color="000000" w:fill="FFFFFF"/>
                  <w:vAlign w:val="center"/>
                  <w:hideMark/>
                </w:tcPr>
                <w:p w:rsidR="00A73B3E" w:rsidRPr="00A73B3E" w:rsidRDefault="00A73B3E" w:rsidP="00B26CD5">
                  <w:pPr>
                    <w:spacing w:after="0" w:line="240" w:lineRule="auto"/>
                    <w:jc w:val="center"/>
                    <w:rPr>
                      <w:rFonts w:ascii="Calibri" w:eastAsia="Times New Roman" w:hAnsi="Calibri" w:cs="Times New Roman"/>
                      <w:b/>
                      <w:bCs/>
                      <w:color w:val="000000"/>
                      <w:sz w:val="16"/>
                      <w:szCs w:val="16"/>
                      <w:lang w:eastAsia="es-PE"/>
                    </w:rPr>
                  </w:pPr>
                  <w:r w:rsidRPr="00A73B3E">
                    <w:rPr>
                      <w:rFonts w:ascii="Calibri" w:eastAsia="Times New Roman" w:hAnsi="Calibri" w:cs="Times New Roman"/>
                      <w:b/>
                      <w:bCs/>
                      <w:color w:val="000000"/>
                      <w:sz w:val="16"/>
                      <w:szCs w:val="16"/>
                      <w:lang w:eastAsia="es-PE"/>
                    </w:rPr>
                    <w:t xml:space="preserve">Jun. 2017 </w:t>
                  </w:r>
                </w:p>
              </w:tc>
              <w:tc>
                <w:tcPr>
                  <w:tcW w:w="5074" w:type="dxa"/>
                  <w:shd w:val="clear" w:color="000000" w:fill="FFFFFF"/>
                  <w:vAlign w:val="center"/>
                  <w:hideMark/>
                </w:tcPr>
                <w:p w:rsidR="00A73B3E" w:rsidRPr="00A73B3E" w:rsidRDefault="00A73B3E" w:rsidP="00276384">
                  <w:pPr>
                    <w:spacing w:after="0" w:line="240" w:lineRule="auto"/>
                    <w:jc w:val="both"/>
                    <w:rPr>
                      <w:rFonts w:ascii="Calibri" w:eastAsia="Times New Roman" w:hAnsi="Calibri" w:cs="Times New Roman"/>
                      <w:color w:val="000000"/>
                      <w:sz w:val="16"/>
                      <w:szCs w:val="16"/>
                      <w:lang w:eastAsia="es-PE"/>
                    </w:rPr>
                  </w:pPr>
                  <w:r w:rsidRPr="00A73B3E">
                    <w:rPr>
                      <w:rFonts w:ascii="Calibri" w:eastAsia="Times New Roman" w:hAnsi="Calibri" w:cs="Times New Roman"/>
                      <w:color w:val="000000"/>
                      <w:sz w:val="16"/>
                      <w:szCs w:val="16"/>
                      <w:lang w:eastAsia="es-PE"/>
                    </w:rPr>
                    <w:t xml:space="preserve">En el presente año, se acreditaron 300 veedores para participar en los 116 Comités de Compras. Se ha verificado la participación efectiva de 254 personas, en diferentes etapas del proceso de compras. También se conoce que esta participación ha sido en 452 momentos o etapas de los proceso de compras. Algunos de ellos han estado presentes en </w:t>
                  </w:r>
                  <w:r w:rsidR="00276384">
                    <w:rPr>
                      <w:rFonts w:ascii="Calibri" w:eastAsia="Times New Roman" w:hAnsi="Calibri" w:cs="Times New Roman"/>
                      <w:color w:val="000000"/>
                      <w:sz w:val="16"/>
                      <w:szCs w:val="16"/>
                      <w:lang w:eastAsia="es-PE"/>
                    </w:rPr>
                    <w:t>más de una etapa.</w:t>
                  </w:r>
                  <w:r w:rsidR="00276384">
                    <w:rPr>
                      <w:rFonts w:ascii="Calibri" w:eastAsia="Times New Roman" w:hAnsi="Calibri" w:cs="Times New Roman"/>
                      <w:color w:val="000000"/>
                      <w:sz w:val="16"/>
                      <w:szCs w:val="16"/>
                      <w:lang w:eastAsia="es-PE"/>
                    </w:rPr>
                    <w:br/>
                    <w:t xml:space="preserve">Del total de personas que efectivamente han participado, </w:t>
                  </w:r>
                  <w:r w:rsidRPr="00A73B3E">
                    <w:rPr>
                      <w:rFonts w:ascii="Calibri" w:eastAsia="Times New Roman" w:hAnsi="Calibri" w:cs="Times New Roman"/>
                      <w:color w:val="000000"/>
                      <w:sz w:val="16"/>
                      <w:szCs w:val="16"/>
                      <w:lang w:eastAsia="es-PE"/>
                    </w:rPr>
                    <w:t xml:space="preserve">137 son veedores acreditados por el Comité de Transparencia y Vigilancia Ciudadana, 69 por la Mesa de Concertación para la Lucha contra la Pobreza, 07  de las Direcciones Regionales de Educación, 39 de las Unidades de Gestión Educativa Local, 01 del Ministerio Público y 01 del Juzgado de Paz  2 . </w:t>
                  </w:r>
                  <w:r w:rsidRPr="00A73B3E">
                    <w:rPr>
                      <w:rFonts w:ascii="Calibri" w:eastAsia="Times New Roman" w:hAnsi="Calibri" w:cs="Times New Roman"/>
                      <w:color w:val="000000"/>
                      <w:sz w:val="16"/>
                      <w:szCs w:val="16"/>
                      <w:lang w:eastAsia="es-PE"/>
                    </w:rPr>
                    <w:br/>
                    <w:t xml:space="preserve">Se ha logrado identificar que las etapas </w:t>
                  </w:r>
                  <w:r w:rsidR="00276384">
                    <w:rPr>
                      <w:rFonts w:ascii="Calibri" w:eastAsia="Times New Roman" w:hAnsi="Calibri" w:cs="Times New Roman"/>
                      <w:color w:val="000000"/>
                      <w:sz w:val="16"/>
                      <w:szCs w:val="16"/>
                      <w:lang w:eastAsia="es-PE"/>
                    </w:rPr>
                    <w:t>con mayor participación</w:t>
                  </w:r>
                  <w:r w:rsidRPr="00A73B3E">
                    <w:rPr>
                      <w:rFonts w:ascii="Calibri" w:eastAsia="Times New Roman" w:hAnsi="Calibri" w:cs="Times New Roman"/>
                      <w:color w:val="000000"/>
                      <w:sz w:val="16"/>
                      <w:szCs w:val="16"/>
                      <w:lang w:eastAsia="es-PE"/>
                    </w:rPr>
                    <w:t xml:space="preserve"> </w:t>
                  </w:r>
                  <w:r w:rsidR="00276384">
                    <w:rPr>
                      <w:rFonts w:ascii="Calibri" w:eastAsia="Times New Roman" w:hAnsi="Calibri" w:cs="Times New Roman"/>
                      <w:color w:val="000000"/>
                      <w:sz w:val="16"/>
                      <w:szCs w:val="16"/>
                      <w:lang w:eastAsia="es-PE"/>
                    </w:rPr>
                    <w:t>son aquellas vinculadas a la</w:t>
                  </w:r>
                  <w:r w:rsidRPr="00A73B3E">
                    <w:rPr>
                      <w:rFonts w:ascii="Calibri" w:eastAsia="Times New Roman" w:hAnsi="Calibri" w:cs="Times New Roman"/>
                      <w:color w:val="000000"/>
                      <w:sz w:val="16"/>
                      <w:szCs w:val="16"/>
                      <w:lang w:eastAsia="es-PE"/>
                    </w:rPr>
                    <w:t xml:space="preserve"> Presentación de Propuestas</w:t>
                  </w:r>
                  <w:r w:rsidR="00276384">
                    <w:rPr>
                      <w:rFonts w:ascii="Calibri" w:eastAsia="Times New Roman" w:hAnsi="Calibri" w:cs="Times New Roman"/>
                      <w:color w:val="000000"/>
                      <w:sz w:val="16"/>
                      <w:szCs w:val="16"/>
                      <w:lang w:eastAsia="es-PE"/>
                    </w:rPr>
                    <w:t>,</w:t>
                  </w:r>
                  <w:r w:rsidRPr="00A73B3E">
                    <w:rPr>
                      <w:rFonts w:ascii="Calibri" w:eastAsia="Times New Roman" w:hAnsi="Calibri" w:cs="Times New Roman"/>
                      <w:color w:val="000000"/>
                      <w:sz w:val="16"/>
                      <w:szCs w:val="16"/>
                      <w:lang w:eastAsia="es-PE"/>
                    </w:rPr>
                    <w:t xml:space="preserve"> con un total de 376 [considerar en las cifras que algunos van a más de un Comité de Compras], para la Evaluación de Propuestas Técnicas y Económicas 391, y para </w:t>
                  </w:r>
                  <w:r w:rsidR="00276384">
                    <w:rPr>
                      <w:rFonts w:ascii="Calibri" w:eastAsia="Times New Roman" w:hAnsi="Calibri" w:cs="Times New Roman"/>
                      <w:color w:val="000000"/>
                      <w:sz w:val="16"/>
                      <w:szCs w:val="16"/>
                      <w:lang w:eastAsia="es-PE"/>
                    </w:rPr>
                    <w:t>la Selección de Propuestas 338, respectivamente.</w:t>
                  </w:r>
                </w:p>
              </w:tc>
            </w:tr>
            <w:tr w:rsidR="00A73B3E" w:rsidRPr="00A73B3E" w:rsidTr="00276384">
              <w:trPr>
                <w:gridAfter w:val="1"/>
                <w:wAfter w:w="1134" w:type="dxa"/>
                <w:trHeight w:val="407"/>
              </w:trPr>
              <w:tc>
                <w:tcPr>
                  <w:tcW w:w="963" w:type="dxa"/>
                  <w:shd w:val="clear" w:color="auto" w:fill="auto"/>
                  <w:vAlign w:val="center"/>
                  <w:hideMark/>
                </w:tcPr>
                <w:p w:rsidR="00A73B3E" w:rsidRPr="00A73B3E" w:rsidRDefault="00A73B3E" w:rsidP="00B26CD5">
                  <w:pPr>
                    <w:spacing w:after="0" w:line="240" w:lineRule="auto"/>
                    <w:jc w:val="both"/>
                    <w:rPr>
                      <w:rFonts w:ascii="Calibri" w:eastAsia="Times New Roman" w:hAnsi="Calibri" w:cs="Times New Roman"/>
                      <w:color w:val="000000"/>
                      <w:sz w:val="16"/>
                      <w:szCs w:val="16"/>
                      <w:lang w:eastAsia="es-PE"/>
                    </w:rPr>
                  </w:pPr>
                  <w:r w:rsidRPr="00A73B3E">
                    <w:rPr>
                      <w:rFonts w:ascii="Calibri" w:eastAsia="Times New Roman" w:hAnsi="Calibri" w:cs="Times New Roman"/>
                      <w:color w:val="000000"/>
                      <w:sz w:val="16"/>
                      <w:szCs w:val="16"/>
                      <w:lang w:eastAsia="es-PE"/>
                    </w:rPr>
                    <w:t>3. Implementación del programa de capacitación a los actores sociales identificados.</w:t>
                  </w:r>
                </w:p>
              </w:tc>
              <w:tc>
                <w:tcPr>
                  <w:tcW w:w="567" w:type="dxa"/>
                  <w:shd w:val="clear" w:color="auto" w:fill="auto"/>
                  <w:noWrap/>
                  <w:vAlign w:val="center"/>
                  <w:hideMark/>
                </w:tcPr>
                <w:p w:rsidR="00A73B3E" w:rsidRPr="00A73B3E" w:rsidRDefault="00A73B3E" w:rsidP="00B26CD5">
                  <w:pPr>
                    <w:spacing w:after="0" w:line="240" w:lineRule="auto"/>
                    <w:jc w:val="center"/>
                    <w:rPr>
                      <w:rFonts w:ascii="Calibri" w:eastAsia="Times New Roman" w:hAnsi="Calibri" w:cs="Times New Roman"/>
                      <w:color w:val="000000"/>
                      <w:sz w:val="16"/>
                      <w:szCs w:val="16"/>
                      <w:lang w:eastAsia="es-PE"/>
                    </w:rPr>
                  </w:pPr>
                  <w:r w:rsidRPr="00A73B3E">
                    <w:rPr>
                      <w:rFonts w:ascii="Calibri" w:eastAsia="Times New Roman" w:hAnsi="Calibri" w:cs="Times New Roman"/>
                      <w:color w:val="000000"/>
                      <w:sz w:val="16"/>
                      <w:szCs w:val="16"/>
                      <w:lang w:eastAsia="es-PE"/>
                    </w:rPr>
                    <w:t>(2)</w:t>
                  </w:r>
                </w:p>
              </w:tc>
              <w:tc>
                <w:tcPr>
                  <w:tcW w:w="908" w:type="dxa"/>
                  <w:shd w:val="clear" w:color="000000" w:fill="FFFFFF"/>
                  <w:vAlign w:val="center"/>
                  <w:hideMark/>
                </w:tcPr>
                <w:p w:rsidR="00A73B3E" w:rsidRPr="00A73B3E" w:rsidRDefault="00A73B3E" w:rsidP="00B26CD5">
                  <w:pPr>
                    <w:spacing w:after="0" w:line="240" w:lineRule="auto"/>
                    <w:jc w:val="center"/>
                    <w:rPr>
                      <w:rFonts w:ascii="Calibri" w:eastAsia="Times New Roman" w:hAnsi="Calibri" w:cs="Times New Roman"/>
                      <w:b/>
                      <w:bCs/>
                      <w:color w:val="000000"/>
                      <w:sz w:val="16"/>
                      <w:szCs w:val="16"/>
                      <w:lang w:eastAsia="es-PE"/>
                    </w:rPr>
                  </w:pPr>
                  <w:r w:rsidRPr="00A73B3E">
                    <w:rPr>
                      <w:rFonts w:ascii="Calibri" w:eastAsia="Times New Roman" w:hAnsi="Calibri" w:cs="Times New Roman"/>
                      <w:b/>
                      <w:bCs/>
                      <w:color w:val="000000"/>
                      <w:sz w:val="16"/>
                      <w:szCs w:val="16"/>
                      <w:lang w:eastAsia="es-PE"/>
                    </w:rPr>
                    <w:t xml:space="preserve">Jun. 2017 </w:t>
                  </w:r>
                </w:p>
              </w:tc>
              <w:tc>
                <w:tcPr>
                  <w:tcW w:w="5074" w:type="dxa"/>
                  <w:shd w:val="clear" w:color="000000" w:fill="FFFFFF"/>
                  <w:vAlign w:val="center"/>
                  <w:hideMark/>
                </w:tcPr>
                <w:p w:rsidR="00A73B3E" w:rsidRPr="00A73B3E" w:rsidRDefault="00A73B3E" w:rsidP="00B26CD5">
                  <w:pPr>
                    <w:spacing w:after="0" w:line="240" w:lineRule="auto"/>
                    <w:jc w:val="both"/>
                    <w:rPr>
                      <w:rFonts w:ascii="Calibri" w:eastAsia="Times New Roman" w:hAnsi="Calibri" w:cs="Times New Roman"/>
                      <w:color w:val="000000"/>
                      <w:sz w:val="16"/>
                      <w:szCs w:val="16"/>
                      <w:lang w:eastAsia="es-PE"/>
                    </w:rPr>
                  </w:pPr>
                  <w:r w:rsidRPr="00A73B3E">
                    <w:rPr>
                      <w:rFonts w:ascii="Calibri" w:eastAsia="Times New Roman" w:hAnsi="Calibri" w:cs="Times New Roman"/>
                      <w:color w:val="000000"/>
                      <w:sz w:val="16"/>
                      <w:szCs w:val="16"/>
                      <w:lang w:eastAsia="es-PE"/>
                    </w:rPr>
                    <w:t xml:space="preserve">Durante el año 2016, se llevaron a cabo un total de 395 asistencias técnicas a 5,931 actores sociales, donde se abordaron temas como información sobre lineamientos básicos del Programa, el modelo de cogestión, el proceso de compra, comité de alimentación escolar, modalidades de atención, monitoreo social, instrumentos de la vigilancia social, alertas entre otros temas de interés. </w:t>
                  </w:r>
                </w:p>
              </w:tc>
            </w:tr>
            <w:tr w:rsidR="00A73B3E" w:rsidRPr="00A73B3E" w:rsidTr="00276384">
              <w:trPr>
                <w:gridAfter w:val="1"/>
                <w:wAfter w:w="1134" w:type="dxa"/>
                <w:trHeight w:val="3525"/>
              </w:trPr>
              <w:tc>
                <w:tcPr>
                  <w:tcW w:w="963" w:type="dxa"/>
                  <w:shd w:val="clear" w:color="auto" w:fill="auto"/>
                  <w:vAlign w:val="center"/>
                  <w:hideMark/>
                </w:tcPr>
                <w:p w:rsidR="00A73B3E" w:rsidRPr="00A73B3E" w:rsidRDefault="00A73B3E" w:rsidP="00B26CD5">
                  <w:pPr>
                    <w:spacing w:after="0" w:line="240" w:lineRule="auto"/>
                    <w:jc w:val="both"/>
                    <w:rPr>
                      <w:rFonts w:ascii="Calibri" w:eastAsia="Times New Roman" w:hAnsi="Calibri" w:cs="Times New Roman"/>
                      <w:color w:val="000000"/>
                      <w:sz w:val="16"/>
                      <w:szCs w:val="16"/>
                      <w:lang w:eastAsia="es-PE"/>
                    </w:rPr>
                  </w:pPr>
                  <w:r w:rsidRPr="00A73B3E">
                    <w:rPr>
                      <w:rFonts w:ascii="Calibri" w:eastAsia="Times New Roman" w:hAnsi="Calibri" w:cs="Times New Roman"/>
                      <w:color w:val="000000"/>
                      <w:sz w:val="16"/>
                      <w:szCs w:val="16"/>
                      <w:lang w:eastAsia="es-PE"/>
                    </w:rPr>
                    <w:t>4. Convenios firmados con los actores sociales identificados para el seguimiento de la gestión del PNAE “Qali Warma”.</w:t>
                  </w:r>
                </w:p>
              </w:tc>
              <w:tc>
                <w:tcPr>
                  <w:tcW w:w="567" w:type="dxa"/>
                  <w:shd w:val="clear" w:color="auto" w:fill="auto"/>
                  <w:noWrap/>
                  <w:vAlign w:val="center"/>
                  <w:hideMark/>
                </w:tcPr>
                <w:p w:rsidR="00A73B3E" w:rsidRPr="00A73B3E" w:rsidRDefault="00A73B3E" w:rsidP="00B26CD5">
                  <w:pPr>
                    <w:spacing w:after="0" w:line="240" w:lineRule="auto"/>
                    <w:jc w:val="center"/>
                    <w:rPr>
                      <w:rFonts w:ascii="Calibri" w:eastAsia="Times New Roman" w:hAnsi="Calibri" w:cs="Times New Roman"/>
                      <w:color w:val="000000"/>
                      <w:sz w:val="16"/>
                      <w:szCs w:val="16"/>
                      <w:lang w:eastAsia="es-PE"/>
                    </w:rPr>
                  </w:pPr>
                  <w:r w:rsidRPr="00A73B3E">
                    <w:rPr>
                      <w:rFonts w:ascii="Calibri" w:eastAsia="Times New Roman" w:hAnsi="Calibri" w:cs="Times New Roman"/>
                      <w:color w:val="000000"/>
                      <w:sz w:val="16"/>
                      <w:szCs w:val="16"/>
                      <w:lang w:eastAsia="es-PE"/>
                    </w:rPr>
                    <w:t>(2)</w:t>
                  </w:r>
                </w:p>
              </w:tc>
              <w:tc>
                <w:tcPr>
                  <w:tcW w:w="908" w:type="dxa"/>
                  <w:shd w:val="clear" w:color="000000" w:fill="FFFFFF"/>
                  <w:noWrap/>
                  <w:vAlign w:val="center"/>
                  <w:hideMark/>
                </w:tcPr>
                <w:p w:rsidR="00A73B3E" w:rsidRPr="00A73B3E" w:rsidRDefault="00A73B3E" w:rsidP="00B26CD5">
                  <w:pPr>
                    <w:spacing w:after="0" w:line="240" w:lineRule="auto"/>
                    <w:jc w:val="center"/>
                    <w:rPr>
                      <w:rFonts w:ascii="Calibri" w:eastAsia="Times New Roman" w:hAnsi="Calibri" w:cs="Times New Roman"/>
                      <w:b/>
                      <w:bCs/>
                      <w:color w:val="000000"/>
                      <w:sz w:val="16"/>
                      <w:szCs w:val="16"/>
                      <w:lang w:eastAsia="es-PE"/>
                    </w:rPr>
                  </w:pPr>
                  <w:r w:rsidRPr="00A73B3E">
                    <w:rPr>
                      <w:rFonts w:ascii="Calibri" w:eastAsia="Times New Roman" w:hAnsi="Calibri" w:cs="Times New Roman"/>
                      <w:b/>
                      <w:bCs/>
                      <w:color w:val="000000"/>
                      <w:sz w:val="16"/>
                      <w:szCs w:val="16"/>
                      <w:lang w:eastAsia="es-PE"/>
                    </w:rPr>
                    <w:t>Jun. 2017</w:t>
                  </w:r>
                </w:p>
              </w:tc>
              <w:tc>
                <w:tcPr>
                  <w:tcW w:w="5074" w:type="dxa"/>
                  <w:shd w:val="clear" w:color="000000" w:fill="FFFFFF"/>
                  <w:vAlign w:val="center"/>
                  <w:hideMark/>
                </w:tcPr>
                <w:p w:rsidR="00A73B3E" w:rsidRPr="00A73B3E" w:rsidRDefault="00A73B3E" w:rsidP="00B26CD5">
                  <w:pPr>
                    <w:spacing w:after="0" w:line="240" w:lineRule="auto"/>
                    <w:jc w:val="both"/>
                    <w:rPr>
                      <w:rFonts w:ascii="Calibri" w:eastAsia="Times New Roman" w:hAnsi="Calibri" w:cs="Times New Roman"/>
                      <w:color w:val="000000"/>
                      <w:sz w:val="16"/>
                      <w:szCs w:val="16"/>
                      <w:lang w:eastAsia="es-PE"/>
                    </w:rPr>
                  </w:pPr>
                  <w:r w:rsidRPr="00A73B3E">
                    <w:rPr>
                      <w:rFonts w:ascii="Calibri" w:eastAsia="Times New Roman" w:hAnsi="Calibri" w:cs="Times New Roman"/>
                      <w:color w:val="000000"/>
                      <w:sz w:val="16"/>
                      <w:szCs w:val="16"/>
                      <w:lang w:eastAsia="es-PE"/>
                    </w:rPr>
                    <w:t>A la fecha</w:t>
                  </w:r>
                  <w:r w:rsidR="008616E3">
                    <w:rPr>
                      <w:rFonts w:ascii="Calibri" w:eastAsia="Times New Roman" w:hAnsi="Calibri" w:cs="Times New Roman"/>
                      <w:color w:val="000000"/>
                      <w:sz w:val="16"/>
                      <w:szCs w:val="16"/>
                      <w:lang w:eastAsia="es-PE"/>
                    </w:rPr>
                    <w:t>,</w:t>
                  </w:r>
                  <w:r w:rsidRPr="00A73B3E">
                    <w:rPr>
                      <w:rFonts w:ascii="Calibri" w:eastAsia="Times New Roman" w:hAnsi="Calibri" w:cs="Times New Roman"/>
                      <w:color w:val="000000"/>
                      <w:sz w:val="16"/>
                      <w:szCs w:val="16"/>
                      <w:lang w:eastAsia="es-PE"/>
                    </w:rPr>
                    <w:t xml:space="preserve"> se cuenta con cinco convenios vigentes suscritos en materia de vigilancia social: 1) Unidad Territorial Cajamarca 2: Convenio de colaboración interinstitucional entre Centro Ideas y el Programa Nacional de Alimentación Escolar Qali Warma, 2) Unidad Territorial Amazonas: Convenio de colaboración interinstitucional entre la Asociación Civil Nación </w:t>
                  </w:r>
                  <w:proofErr w:type="spellStart"/>
                  <w:r w:rsidRPr="00A73B3E">
                    <w:rPr>
                      <w:rFonts w:ascii="Calibri" w:eastAsia="Times New Roman" w:hAnsi="Calibri" w:cs="Times New Roman"/>
                      <w:color w:val="000000"/>
                      <w:sz w:val="16"/>
                      <w:szCs w:val="16"/>
                      <w:lang w:eastAsia="es-PE"/>
                    </w:rPr>
                    <w:t>Awajun</w:t>
                  </w:r>
                  <w:proofErr w:type="spellEnd"/>
                  <w:r w:rsidRPr="00A73B3E">
                    <w:rPr>
                      <w:rFonts w:ascii="Calibri" w:eastAsia="Times New Roman" w:hAnsi="Calibri" w:cs="Times New Roman"/>
                      <w:color w:val="000000"/>
                      <w:sz w:val="16"/>
                      <w:szCs w:val="16"/>
                      <w:lang w:eastAsia="es-PE"/>
                    </w:rPr>
                    <w:t xml:space="preserve"> y </w:t>
                  </w:r>
                  <w:proofErr w:type="spellStart"/>
                  <w:r w:rsidRPr="00A73B3E">
                    <w:rPr>
                      <w:rFonts w:ascii="Calibri" w:eastAsia="Times New Roman" w:hAnsi="Calibri" w:cs="Times New Roman"/>
                      <w:color w:val="000000"/>
                      <w:sz w:val="16"/>
                      <w:szCs w:val="16"/>
                      <w:lang w:eastAsia="es-PE"/>
                    </w:rPr>
                    <w:t>Wampis</w:t>
                  </w:r>
                  <w:proofErr w:type="spellEnd"/>
                  <w:r w:rsidRPr="00A73B3E">
                    <w:rPr>
                      <w:rFonts w:ascii="Calibri" w:eastAsia="Times New Roman" w:hAnsi="Calibri" w:cs="Times New Roman"/>
                      <w:color w:val="000000"/>
                      <w:sz w:val="16"/>
                      <w:szCs w:val="16"/>
                      <w:lang w:eastAsia="es-PE"/>
                    </w:rPr>
                    <w:t xml:space="preserve"> del Perú y el Programa Nacional de Alimentación Escolar Qali Warma, 3) Unidad Territorial Junín: Convenio de colaboración entre la Asociación de Comunidades Nativas de </w:t>
                  </w:r>
                  <w:proofErr w:type="spellStart"/>
                  <w:r w:rsidRPr="00A73B3E">
                    <w:rPr>
                      <w:rFonts w:ascii="Calibri" w:eastAsia="Times New Roman" w:hAnsi="Calibri" w:cs="Times New Roman"/>
                      <w:color w:val="000000"/>
                      <w:sz w:val="16"/>
                      <w:szCs w:val="16"/>
                      <w:lang w:eastAsia="es-PE"/>
                    </w:rPr>
                    <w:t>Pichanaqui</w:t>
                  </w:r>
                  <w:proofErr w:type="spellEnd"/>
                  <w:r w:rsidRPr="00A73B3E">
                    <w:rPr>
                      <w:rFonts w:ascii="Calibri" w:eastAsia="Times New Roman" w:hAnsi="Calibri" w:cs="Times New Roman"/>
                      <w:color w:val="000000"/>
                      <w:sz w:val="16"/>
                      <w:szCs w:val="16"/>
                      <w:lang w:eastAsia="es-PE"/>
                    </w:rPr>
                    <w:t xml:space="preserve">- ACECONAP y  el Programa Nacional de Alimentación Escolar Qali Warma, 4) Unidad Territorial Junín: Convenio de colaboración entre la Central </w:t>
                  </w:r>
                  <w:proofErr w:type="spellStart"/>
                  <w:r w:rsidRPr="00A73B3E">
                    <w:rPr>
                      <w:rFonts w:ascii="Calibri" w:eastAsia="Times New Roman" w:hAnsi="Calibri" w:cs="Times New Roman"/>
                      <w:color w:val="000000"/>
                      <w:sz w:val="16"/>
                      <w:szCs w:val="16"/>
                      <w:lang w:eastAsia="es-PE"/>
                    </w:rPr>
                    <w:t>Ashánica</w:t>
                  </w:r>
                  <w:proofErr w:type="spellEnd"/>
                  <w:r w:rsidRPr="00A73B3E">
                    <w:rPr>
                      <w:rFonts w:ascii="Calibri" w:eastAsia="Times New Roman" w:hAnsi="Calibri" w:cs="Times New Roman"/>
                      <w:color w:val="000000"/>
                      <w:sz w:val="16"/>
                      <w:szCs w:val="16"/>
                      <w:lang w:eastAsia="es-PE"/>
                    </w:rPr>
                    <w:t xml:space="preserve"> del Rio Ene (CARE) y el Programa Nacional de Alimentación Escolar Qali Warma, 5) Unidad Territorial Cajamarca 1: Convenio de colaboración interinstitucional entre Cuerpo de PAZ-PERÚ y el Programa Nacional de Alimentación Escolar Qali Warma.</w:t>
                  </w:r>
                  <w:r w:rsidRPr="00A73B3E">
                    <w:rPr>
                      <w:rFonts w:ascii="Calibri" w:eastAsia="Times New Roman" w:hAnsi="Calibri" w:cs="Times New Roman"/>
                      <w:color w:val="000000"/>
                      <w:sz w:val="16"/>
                      <w:szCs w:val="16"/>
                      <w:lang w:eastAsia="es-PE"/>
                    </w:rPr>
                    <w:br/>
                  </w:r>
                  <w:r w:rsidRPr="00A73B3E">
                    <w:rPr>
                      <w:rFonts w:ascii="Calibri" w:eastAsia="Times New Roman" w:hAnsi="Calibri" w:cs="Times New Roman"/>
                      <w:color w:val="000000"/>
                      <w:sz w:val="16"/>
                      <w:szCs w:val="16"/>
                      <w:lang w:eastAsia="es-PE"/>
                    </w:rPr>
                    <w:br/>
                    <w:t>Asimismo, se encuentran en proceso de renovación los siguientes convenios: 1) Unidad Territorial Amazonas: Convenio de colaboración interinstitucional entre la Federación de APAFAS de la Región Amazonas y el Programa Nacional de Alimentación Escolar Qali Warma, 2) Unidad Territorial Junín: Convenio de colaboración entre las Organizaciones Indígenas de la Selva Central y  el Programa Nacional de Alimentación Escolar Qali Warma.</w:t>
                  </w:r>
                </w:p>
              </w:tc>
            </w:tr>
            <w:tr w:rsidR="00A73B3E" w:rsidRPr="00A73B3E" w:rsidTr="00276384">
              <w:trPr>
                <w:gridAfter w:val="1"/>
                <w:wAfter w:w="1134" w:type="dxa"/>
                <w:trHeight w:val="1941"/>
              </w:trPr>
              <w:tc>
                <w:tcPr>
                  <w:tcW w:w="963" w:type="dxa"/>
                  <w:shd w:val="clear" w:color="auto" w:fill="auto"/>
                  <w:vAlign w:val="center"/>
                  <w:hideMark/>
                </w:tcPr>
                <w:p w:rsidR="00A73B3E" w:rsidRPr="00A73B3E" w:rsidRDefault="00A73B3E" w:rsidP="00B26CD5">
                  <w:pPr>
                    <w:spacing w:after="0" w:line="240" w:lineRule="auto"/>
                    <w:rPr>
                      <w:rFonts w:ascii="Calibri" w:eastAsia="Times New Roman" w:hAnsi="Calibri" w:cs="Times New Roman"/>
                      <w:color w:val="000000"/>
                      <w:sz w:val="16"/>
                      <w:szCs w:val="16"/>
                      <w:lang w:eastAsia="es-PE"/>
                    </w:rPr>
                  </w:pPr>
                  <w:r w:rsidRPr="00A73B3E">
                    <w:rPr>
                      <w:rFonts w:ascii="Calibri" w:eastAsia="Times New Roman" w:hAnsi="Calibri" w:cs="Times New Roman"/>
                      <w:color w:val="000000"/>
                      <w:sz w:val="16"/>
                      <w:szCs w:val="16"/>
                      <w:lang w:eastAsia="es-PE"/>
                    </w:rPr>
                    <w:t>5. Implementación de las acciones de vigilancia ciudadana.</w:t>
                  </w:r>
                </w:p>
              </w:tc>
              <w:tc>
                <w:tcPr>
                  <w:tcW w:w="567" w:type="dxa"/>
                  <w:shd w:val="clear" w:color="auto" w:fill="auto"/>
                  <w:noWrap/>
                  <w:vAlign w:val="center"/>
                  <w:hideMark/>
                </w:tcPr>
                <w:p w:rsidR="00A73B3E" w:rsidRPr="00A73B3E" w:rsidRDefault="00A73B3E" w:rsidP="00B26CD5">
                  <w:pPr>
                    <w:spacing w:after="0" w:line="240" w:lineRule="auto"/>
                    <w:jc w:val="center"/>
                    <w:rPr>
                      <w:rFonts w:ascii="Calibri" w:eastAsia="Times New Roman" w:hAnsi="Calibri" w:cs="Times New Roman"/>
                      <w:color w:val="000000"/>
                      <w:sz w:val="16"/>
                      <w:szCs w:val="16"/>
                      <w:lang w:eastAsia="es-PE"/>
                    </w:rPr>
                  </w:pPr>
                  <w:r w:rsidRPr="00A73B3E">
                    <w:rPr>
                      <w:rFonts w:ascii="Calibri" w:eastAsia="Times New Roman" w:hAnsi="Calibri" w:cs="Times New Roman"/>
                      <w:color w:val="000000"/>
                      <w:sz w:val="16"/>
                      <w:szCs w:val="16"/>
                      <w:lang w:eastAsia="es-PE"/>
                    </w:rPr>
                    <w:t>(2)</w:t>
                  </w:r>
                </w:p>
              </w:tc>
              <w:tc>
                <w:tcPr>
                  <w:tcW w:w="908" w:type="dxa"/>
                  <w:shd w:val="clear" w:color="000000" w:fill="FFFFFF"/>
                  <w:vAlign w:val="center"/>
                  <w:hideMark/>
                </w:tcPr>
                <w:p w:rsidR="00A73B3E" w:rsidRPr="00A73B3E" w:rsidRDefault="00A73B3E" w:rsidP="00B26CD5">
                  <w:pPr>
                    <w:spacing w:after="0" w:line="240" w:lineRule="auto"/>
                    <w:jc w:val="center"/>
                    <w:rPr>
                      <w:rFonts w:ascii="Calibri" w:eastAsia="Times New Roman" w:hAnsi="Calibri" w:cs="Times New Roman"/>
                      <w:b/>
                      <w:bCs/>
                      <w:color w:val="000000"/>
                      <w:sz w:val="16"/>
                      <w:szCs w:val="16"/>
                      <w:lang w:eastAsia="es-PE"/>
                    </w:rPr>
                  </w:pPr>
                  <w:r w:rsidRPr="00A73B3E">
                    <w:rPr>
                      <w:rFonts w:ascii="Calibri" w:eastAsia="Times New Roman" w:hAnsi="Calibri" w:cs="Times New Roman"/>
                      <w:b/>
                      <w:bCs/>
                      <w:color w:val="000000"/>
                      <w:sz w:val="16"/>
                      <w:szCs w:val="16"/>
                      <w:lang w:eastAsia="es-PE"/>
                    </w:rPr>
                    <w:t xml:space="preserve">Jun. 2017 </w:t>
                  </w:r>
                </w:p>
              </w:tc>
              <w:tc>
                <w:tcPr>
                  <w:tcW w:w="5074" w:type="dxa"/>
                  <w:shd w:val="clear" w:color="000000" w:fill="FFFFFF"/>
                  <w:vAlign w:val="center"/>
                  <w:hideMark/>
                </w:tcPr>
                <w:p w:rsidR="00131DC0" w:rsidRDefault="00A73B3E" w:rsidP="00131DC0">
                  <w:pPr>
                    <w:spacing w:after="0" w:line="240" w:lineRule="auto"/>
                    <w:jc w:val="both"/>
                    <w:rPr>
                      <w:rFonts w:ascii="Calibri" w:eastAsia="Times New Roman" w:hAnsi="Calibri" w:cs="Times New Roman"/>
                      <w:color w:val="000000"/>
                      <w:sz w:val="16"/>
                      <w:szCs w:val="16"/>
                      <w:lang w:eastAsia="es-PE"/>
                    </w:rPr>
                  </w:pPr>
                  <w:r w:rsidRPr="00A73B3E">
                    <w:rPr>
                      <w:rFonts w:ascii="Calibri" w:eastAsia="Times New Roman" w:hAnsi="Calibri" w:cs="Times New Roman"/>
                      <w:color w:val="000000"/>
                      <w:sz w:val="16"/>
                      <w:szCs w:val="16"/>
                      <w:lang w:eastAsia="es-PE"/>
                    </w:rPr>
                    <w:t xml:space="preserve">Las acciones de vigilancia </w:t>
                  </w:r>
                  <w:r w:rsidR="008616E3">
                    <w:rPr>
                      <w:rFonts w:ascii="Calibri" w:eastAsia="Times New Roman" w:hAnsi="Calibri" w:cs="Times New Roman"/>
                      <w:color w:val="000000"/>
                      <w:sz w:val="16"/>
                      <w:szCs w:val="16"/>
                      <w:lang w:eastAsia="es-PE"/>
                    </w:rPr>
                    <w:t>se realizan, a través de</w:t>
                  </w:r>
                  <w:r w:rsidRPr="00A73B3E">
                    <w:rPr>
                      <w:rFonts w:ascii="Calibri" w:eastAsia="Times New Roman" w:hAnsi="Calibri" w:cs="Times New Roman"/>
                      <w:color w:val="000000"/>
                      <w:sz w:val="16"/>
                      <w:szCs w:val="16"/>
                      <w:lang w:eastAsia="es-PE"/>
                    </w:rPr>
                    <w:t xml:space="preserve"> personas que se comprometen voluntariamente a ello. Las reuniones (talleres, conversaciones) que se llevan a cabo como asistencia técnica permiten reflexionar acerca de la participación como un derecho de las personas</w:t>
                  </w:r>
                  <w:r w:rsidR="008616E3">
                    <w:rPr>
                      <w:rFonts w:ascii="Calibri" w:eastAsia="Times New Roman" w:hAnsi="Calibri" w:cs="Times New Roman"/>
                      <w:color w:val="000000"/>
                      <w:sz w:val="16"/>
                      <w:szCs w:val="16"/>
                      <w:lang w:eastAsia="es-PE"/>
                    </w:rPr>
                    <w:t xml:space="preserve">, </w:t>
                  </w:r>
                  <w:r w:rsidRPr="00A73B3E">
                    <w:rPr>
                      <w:rFonts w:ascii="Calibri" w:eastAsia="Times New Roman" w:hAnsi="Calibri" w:cs="Times New Roman"/>
                      <w:color w:val="000000"/>
                      <w:sz w:val="16"/>
                      <w:szCs w:val="16"/>
                      <w:lang w:eastAsia="es-PE"/>
                    </w:rPr>
                    <w:t xml:space="preserve"> que se expresa en las acciones de vigilancia de las características específicas del pr</w:t>
                  </w:r>
                  <w:r w:rsidR="008616E3">
                    <w:rPr>
                      <w:rFonts w:ascii="Calibri" w:eastAsia="Times New Roman" w:hAnsi="Calibri" w:cs="Times New Roman"/>
                      <w:color w:val="000000"/>
                      <w:sz w:val="16"/>
                      <w:szCs w:val="16"/>
                      <w:lang w:eastAsia="es-PE"/>
                    </w:rPr>
                    <w:t>ograma, así como los mecanismos. E</w:t>
                  </w:r>
                  <w:r w:rsidRPr="00A73B3E">
                    <w:rPr>
                      <w:rFonts w:ascii="Calibri" w:eastAsia="Times New Roman" w:hAnsi="Calibri" w:cs="Times New Roman"/>
                      <w:color w:val="000000"/>
                      <w:sz w:val="16"/>
                      <w:szCs w:val="16"/>
                      <w:lang w:eastAsia="es-PE"/>
                    </w:rPr>
                    <w:t xml:space="preserve">n este caso, las fichas de vigilancia, se pueden aplicar para recoger la información en dichas acciones. Adicionalmente, se ha desarrollado un acta de compromiso voluntario. </w:t>
                  </w:r>
                </w:p>
                <w:p w:rsidR="00A73B3E" w:rsidRPr="00A73B3E" w:rsidRDefault="00A73B3E" w:rsidP="00131DC0">
                  <w:pPr>
                    <w:spacing w:after="0" w:line="240" w:lineRule="auto"/>
                    <w:jc w:val="both"/>
                    <w:rPr>
                      <w:rFonts w:ascii="Calibri" w:eastAsia="Times New Roman" w:hAnsi="Calibri" w:cs="Times New Roman"/>
                      <w:color w:val="000000"/>
                      <w:sz w:val="16"/>
                      <w:szCs w:val="16"/>
                      <w:lang w:eastAsia="es-PE"/>
                    </w:rPr>
                  </w:pPr>
                  <w:r w:rsidRPr="00A73B3E">
                    <w:rPr>
                      <w:rFonts w:ascii="Calibri" w:eastAsia="Times New Roman" w:hAnsi="Calibri" w:cs="Times New Roman"/>
                      <w:color w:val="000000"/>
                      <w:sz w:val="16"/>
                      <w:szCs w:val="16"/>
                      <w:lang w:eastAsia="es-PE"/>
                    </w:rPr>
                    <w:t xml:space="preserve">En el marco de la vigilancia realizada, se </w:t>
                  </w:r>
                  <w:r w:rsidR="00131DC0">
                    <w:rPr>
                      <w:rFonts w:ascii="Calibri" w:eastAsia="Times New Roman" w:hAnsi="Calibri" w:cs="Times New Roman"/>
                      <w:color w:val="000000"/>
                      <w:sz w:val="16"/>
                      <w:szCs w:val="16"/>
                      <w:lang w:eastAsia="es-PE"/>
                    </w:rPr>
                    <w:t>realiza</w:t>
                  </w:r>
                  <w:r w:rsidRPr="00A73B3E">
                    <w:rPr>
                      <w:rFonts w:ascii="Calibri" w:eastAsia="Times New Roman" w:hAnsi="Calibri" w:cs="Times New Roman"/>
                      <w:color w:val="000000"/>
                      <w:sz w:val="16"/>
                      <w:szCs w:val="16"/>
                      <w:lang w:eastAsia="es-PE"/>
                    </w:rPr>
                    <w:t xml:space="preserve"> el seguimiento de las respuestas a las alertas planteadas. En este Informe se detalla que</w:t>
                  </w:r>
                  <w:r w:rsidR="00131DC0">
                    <w:rPr>
                      <w:rFonts w:ascii="Calibri" w:eastAsia="Times New Roman" w:hAnsi="Calibri" w:cs="Times New Roman"/>
                      <w:color w:val="000000"/>
                      <w:sz w:val="16"/>
                      <w:szCs w:val="16"/>
                      <w:lang w:eastAsia="es-PE"/>
                    </w:rPr>
                    <w:t>,</w:t>
                  </w:r>
                  <w:r w:rsidRPr="00A73B3E">
                    <w:rPr>
                      <w:rFonts w:ascii="Calibri" w:eastAsia="Times New Roman" w:hAnsi="Calibri" w:cs="Times New Roman"/>
                      <w:color w:val="000000"/>
                      <w:sz w:val="16"/>
                      <w:szCs w:val="16"/>
                      <w:lang w:eastAsia="es-PE"/>
                    </w:rPr>
                    <w:t xml:space="preserve"> a julio de este año, se han recibido 493 casos de alerta (el doble del año 2015), de los cuales</w:t>
                  </w:r>
                  <w:r w:rsidR="00131DC0">
                    <w:rPr>
                      <w:rFonts w:ascii="Calibri" w:eastAsia="Times New Roman" w:hAnsi="Calibri" w:cs="Times New Roman"/>
                      <w:color w:val="000000"/>
                      <w:sz w:val="16"/>
                      <w:szCs w:val="16"/>
                      <w:lang w:eastAsia="es-PE"/>
                    </w:rPr>
                    <w:t>,</w:t>
                  </w:r>
                  <w:r w:rsidRPr="00A73B3E">
                    <w:rPr>
                      <w:rFonts w:ascii="Calibri" w:eastAsia="Times New Roman" w:hAnsi="Calibri" w:cs="Times New Roman"/>
                      <w:color w:val="000000"/>
                      <w:sz w:val="16"/>
                      <w:szCs w:val="16"/>
                      <w:lang w:eastAsia="es-PE"/>
                    </w:rPr>
                    <w:t xml:space="preserve"> se han respondido 477.</w:t>
                  </w:r>
                </w:p>
              </w:tc>
            </w:tr>
            <w:tr w:rsidR="00B26CD5" w:rsidRPr="00A73B3E" w:rsidTr="00A73B3E">
              <w:trPr>
                <w:trHeight w:val="221"/>
              </w:trPr>
              <w:tc>
                <w:tcPr>
                  <w:tcW w:w="8646" w:type="dxa"/>
                  <w:gridSpan w:val="5"/>
                  <w:shd w:val="clear" w:color="000000" w:fill="FFFFFF"/>
                  <w:vAlign w:val="center"/>
                  <w:hideMark/>
                </w:tcPr>
                <w:p w:rsidR="00B26CD5" w:rsidRPr="00A73B3E" w:rsidRDefault="00B26CD5" w:rsidP="00B26CD5">
                  <w:pPr>
                    <w:spacing w:after="0" w:line="240" w:lineRule="auto"/>
                    <w:rPr>
                      <w:rFonts w:ascii="Calibri" w:eastAsia="Times New Roman" w:hAnsi="Calibri" w:cs="Times New Roman"/>
                      <w:color w:val="000000"/>
                      <w:sz w:val="16"/>
                      <w:szCs w:val="16"/>
                      <w:lang w:eastAsia="es-PE"/>
                    </w:rPr>
                  </w:pPr>
                  <w:r w:rsidRPr="00A73B3E">
                    <w:rPr>
                      <w:rFonts w:ascii="Calibri" w:eastAsia="Times New Roman" w:hAnsi="Calibri" w:cs="Times New Roman"/>
                      <w:color w:val="000000"/>
                      <w:sz w:val="16"/>
                      <w:szCs w:val="16"/>
                      <w:lang w:eastAsia="es-PE"/>
                    </w:rPr>
                    <w:t>(1)  Se consigna un avance del 100% registrado en el año 2015, debido a que se llevó a cabo el Mapeo de Actores.</w:t>
                  </w:r>
                </w:p>
              </w:tc>
            </w:tr>
            <w:tr w:rsidR="00B26CD5" w:rsidRPr="00A73B3E" w:rsidTr="00A73B3E">
              <w:trPr>
                <w:trHeight w:val="681"/>
              </w:trPr>
              <w:tc>
                <w:tcPr>
                  <w:tcW w:w="8646" w:type="dxa"/>
                  <w:gridSpan w:val="5"/>
                  <w:shd w:val="clear" w:color="000000" w:fill="FFFFFF"/>
                  <w:vAlign w:val="center"/>
                  <w:hideMark/>
                </w:tcPr>
                <w:p w:rsidR="00B26CD5" w:rsidRPr="00A73B3E" w:rsidRDefault="00B26CD5" w:rsidP="00B26CD5">
                  <w:pPr>
                    <w:spacing w:after="0" w:line="240" w:lineRule="auto"/>
                    <w:rPr>
                      <w:rFonts w:ascii="Calibri" w:eastAsia="Times New Roman" w:hAnsi="Calibri" w:cs="Times New Roman"/>
                      <w:color w:val="000000"/>
                      <w:sz w:val="16"/>
                      <w:szCs w:val="16"/>
                      <w:lang w:eastAsia="es-PE"/>
                    </w:rPr>
                  </w:pPr>
                  <w:r w:rsidRPr="00A73B3E">
                    <w:rPr>
                      <w:rFonts w:ascii="Calibri" w:eastAsia="Times New Roman" w:hAnsi="Calibri" w:cs="Times New Roman"/>
                      <w:color w:val="000000"/>
                      <w:sz w:val="16"/>
                      <w:szCs w:val="16"/>
                      <w:lang w:eastAsia="es-PE"/>
                    </w:rPr>
                    <w:t xml:space="preserve">(2) No se consigna nivel de avance en porcentajes, debido a que el Plan de Acción de Gobierno Abierto 2015-2016 aprobado, no registra metas programadas.  Sin embargo, se presentan avances cualitativos. </w:t>
                  </w:r>
                  <w:r w:rsidRPr="00A73B3E">
                    <w:rPr>
                      <w:rFonts w:ascii="Calibri" w:eastAsia="Times New Roman" w:hAnsi="Calibri" w:cs="Times New Roman"/>
                      <w:color w:val="000000"/>
                      <w:sz w:val="16"/>
                      <w:szCs w:val="16"/>
                      <w:lang w:eastAsia="es-PE"/>
                    </w:rPr>
                    <w:br/>
                    <w:t>Cabe resaltar que</w:t>
                  </w:r>
                  <w:r w:rsidR="00A73B3E" w:rsidRPr="00A73B3E">
                    <w:rPr>
                      <w:rFonts w:ascii="Calibri" w:eastAsia="Times New Roman" w:hAnsi="Calibri" w:cs="Times New Roman"/>
                      <w:color w:val="000000"/>
                      <w:sz w:val="16"/>
                      <w:szCs w:val="16"/>
                      <w:lang w:eastAsia="es-PE"/>
                    </w:rPr>
                    <w:t>, dichas</w:t>
                  </w:r>
                  <w:r w:rsidRPr="00A73B3E">
                    <w:rPr>
                      <w:rFonts w:ascii="Calibri" w:eastAsia="Times New Roman" w:hAnsi="Calibri" w:cs="Times New Roman"/>
                      <w:color w:val="000000"/>
                      <w:sz w:val="16"/>
                      <w:szCs w:val="16"/>
                      <w:lang w:eastAsia="es-PE"/>
                    </w:rPr>
                    <w:t xml:space="preserve"> acciones son de carácter permanente y de continua actualización, por lo que se presenta como fecha reformulada el mes de junio de 2017.</w:t>
                  </w:r>
                </w:p>
              </w:tc>
            </w:tr>
          </w:tbl>
          <w:p w:rsidR="00D362B8" w:rsidRDefault="00D362B8" w:rsidP="00D362B8">
            <w:pPr>
              <w:jc w:val="both"/>
              <w:rPr>
                <w:color w:val="000000" w:themeColor="text1"/>
              </w:rPr>
            </w:pPr>
          </w:p>
          <w:p w:rsidR="00A73B3E" w:rsidRPr="00295641" w:rsidRDefault="00A73B3E" w:rsidP="00D362B8">
            <w:pPr>
              <w:jc w:val="both"/>
              <w:rPr>
                <w:color w:val="000000" w:themeColor="text1"/>
              </w:rPr>
            </w:pPr>
            <w:r>
              <w:rPr>
                <w:color w:val="000000" w:themeColor="text1"/>
              </w:rPr>
              <w:t>Fuente: Oficio N° 1218-2016-MIDIS/SG</w:t>
            </w:r>
          </w:p>
        </w:tc>
      </w:tr>
      <w:tr w:rsidR="00D362B8" w:rsidRPr="00295641" w:rsidTr="00416DF6">
        <w:trPr>
          <w:trHeight w:val="347"/>
        </w:trPr>
        <w:tc>
          <w:tcPr>
            <w:tcW w:w="1526" w:type="dxa"/>
            <w:shd w:val="clear" w:color="auto" w:fill="C6D9F1" w:themeFill="text2" w:themeFillTint="33"/>
            <w:vAlign w:val="center"/>
          </w:tcPr>
          <w:p w:rsidR="00D362B8" w:rsidRPr="00295641" w:rsidRDefault="00D362B8" w:rsidP="00D362B8">
            <w:pPr>
              <w:rPr>
                <w:b/>
                <w:color w:val="000000" w:themeColor="text1"/>
              </w:rPr>
            </w:pPr>
            <w:r w:rsidRPr="00295641">
              <w:rPr>
                <w:rFonts w:cs="Gotham-Book"/>
                <w:b/>
                <w:color w:val="000000" w:themeColor="text1"/>
              </w:rPr>
              <w:t>Fecha de conclusión</w:t>
            </w:r>
          </w:p>
        </w:tc>
        <w:tc>
          <w:tcPr>
            <w:tcW w:w="7513" w:type="dxa"/>
            <w:gridSpan w:val="7"/>
          </w:tcPr>
          <w:p w:rsidR="00D362B8" w:rsidRPr="00295641" w:rsidRDefault="000D293F" w:rsidP="00D362B8">
            <w:pPr>
              <w:jc w:val="both"/>
              <w:rPr>
                <w:color w:val="000000" w:themeColor="text1"/>
              </w:rPr>
            </w:pPr>
            <w:r>
              <w:rPr>
                <w:color w:val="000000" w:themeColor="text1"/>
              </w:rPr>
              <w:t>Junio 2017</w:t>
            </w:r>
          </w:p>
        </w:tc>
      </w:tr>
      <w:tr w:rsidR="00D362B8" w:rsidRPr="00295641" w:rsidTr="00416DF6">
        <w:tc>
          <w:tcPr>
            <w:tcW w:w="1526" w:type="dxa"/>
            <w:shd w:val="clear" w:color="auto" w:fill="C6D9F1" w:themeFill="text2" w:themeFillTint="33"/>
            <w:vAlign w:val="center"/>
          </w:tcPr>
          <w:p w:rsidR="00D362B8" w:rsidRPr="00295641" w:rsidRDefault="00D362B8" w:rsidP="00D362B8">
            <w:pPr>
              <w:rPr>
                <w:b/>
                <w:color w:val="000000" w:themeColor="text1"/>
              </w:rPr>
            </w:pPr>
            <w:r w:rsidRPr="00295641">
              <w:rPr>
                <w:rFonts w:cs="Gotham-Book"/>
                <w:b/>
                <w:color w:val="000000" w:themeColor="text1"/>
              </w:rPr>
              <w:t>Próximos pasos</w:t>
            </w:r>
          </w:p>
        </w:tc>
        <w:tc>
          <w:tcPr>
            <w:tcW w:w="7513" w:type="dxa"/>
            <w:gridSpan w:val="7"/>
          </w:tcPr>
          <w:p w:rsidR="00D362B8" w:rsidRPr="00295641" w:rsidRDefault="00484745" w:rsidP="00484745">
            <w:pPr>
              <w:jc w:val="both"/>
              <w:rPr>
                <w:color w:val="000000" w:themeColor="text1"/>
              </w:rPr>
            </w:pPr>
            <w:r>
              <w:rPr>
                <w:color w:val="000000" w:themeColor="text1"/>
              </w:rPr>
              <w:t>A excepción de la primera actividad, todas las demás</w:t>
            </w:r>
            <w:r w:rsidR="000D293F">
              <w:rPr>
                <w:color w:val="000000" w:themeColor="text1"/>
              </w:rPr>
              <w:t xml:space="preserve"> actividades </w:t>
            </w:r>
            <w:r>
              <w:rPr>
                <w:color w:val="000000" w:themeColor="text1"/>
              </w:rPr>
              <w:t xml:space="preserve">son </w:t>
            </w:r>
            <w:r w:rsidR="000D293F">
              <w:rPr>
                <w:color w:val="000000" w:themeColor="text1"/>
              </w:rPr>
              <w:t xml:space="preserve">de carácter permanente y de continua actualización, </w:t>
            </w:r>
            <w:r>
              <w:rPr>
                <w:color w:val="000000" w:themeColor="text1"/>
              </w:rPr>
              <w:t xml:space="preserve">por lo que se considera </w:t>
            </w:r>
            <w:r w:rsidR="000D293F">
              <w:rPr>
                <w:color w:val="000000" w:themeColor="text1"/>
              </w:rPr>
              <w:t>contin</w:t>
            </w:r>
            <w:r>
              <w:rPr>
                <w:color w:val="000000" w:themeColor="text1"/>
              </w:rPr>
              <w:t>uar</w:t>
            </w:r>
            <w:r w:rsidR="000D293F">
              <w:rPr>
                <w:color w:val="000000" w:themeColor="text1"/>
              </w:rPr>
              <w:t xml:space="preserve"> </w:t>
            </w:r>
            <w:r>
              <w:rPr>
                <w:color w:val="000000" w:themeColor="text1"/>
              </w:rPr>
              <w:t>su desarrollo.</w:t>
            </w:r>
          </w:p>
        </w:tc>
      </w:tr>
      <w:tr w:rsidR="00D362B8" w:rsidRPr="00295641" w:rsidTr="00416DF6">
        <w:tc>
          <w:tcPr>
            <w:tcW w:w="9039" w:type="dxa"/>
            <w:gridSpan w:val="8"/>
          </w:tcPr>
          <w:p w:rsidR="00D362B8" w:rsidRPr="00295641" w:rsidRDefault="00D362B8" w:rsidP="00D362B8">
            <w:pPr>
              <w:jc w:val="both"/>
              <w:rPr>
                <w:rFonts w:cs="Gotham-Book"/>
                <w:b/>
                <w:color w:val="000000" w:themeColor="text1"/>
              </w:rPr>
            </w:pPr>
          </w:p>
          <w:p w:rsidR="00D362B8" w:rsidRPr="00295641" w:rsidRDefault="00D55406" w:rsidP="00D55406">
            <w:pPr>
              <w:jc w:val="both"/>
              <w:rPr>
                <w:color w:val="000000" w:themeColor="text1"/>
              </w:rPr>
            </w:pPr>
            <w:r>
              <w:rPr>
                <w:rFonts w:cs="Gotham-Book"/>
                <w:b/>
                <w:color w:val="000000" w:themeColor="text1"/>
              </w:rPr>
              <w:t>Información adicional</w:t>
            </w:r>
          </w:p>
        </w:tc>
      </w:tr>
    </w:tbl>
    <w:p w:rsidR="00D55406" w:rsidRDefault="00D55406"/>
    <w:p w:rsidR="00272BDF" w:rsidRDefault="00272BDF"/>
    <w:p w:rsidR="00272BDF" w:rsidRDefault="00272BDF"/>
    <w:p w:rsidR="00272BDF" w:rsidRDefault="00272BDF"/>
    <w:p w:rsidR="00272BDF" w:rsidRDefault="00272BDF"/>
    <w:tbl>
      <w:tblPr>
        <w:tblStyle w:val="Tablaconcuadrcula"/>
        <w:tblW w:w="0" w:type="auto"/>
        <w:tblLayout w:type="fixed"/>
        <w:tblLook w:val="04A0" w:firstRow="1" w:lastRow="0" w:firstColumn="1" w:lastColumn="0" w:noHBand="0" w:noVBand="1"/>
      </w:tblPr>
      <w:tblGrid>
        <w:gridCol w:w="2109"/>
        <w:gridCol w:w="409"/>
        <w:gridCol w:w="1701"/>
        <w:gridCol w:w="1729"/>
        <w:gridCol w:w="1644"/>
        <w:gridCol w:w="1447"/>
      </w:tblGrid>
      <w:tr w:rsidR="006A5CBF" w:rsidRPr="00295641" w:rsidTr="00EB66E2">
        <w:tc>
          <w:tcPr>
            <w:tcW w:w="9039" w:type="dxa"/>
            <w:gridSpan w:val="6"/>
            <w:shd w:val="clear" w:color="auto" w:fill="548DD4" w:themeFill="text2" w:themeFillTint="99"/>
          </w:tcPr>
          <w:p w:rsidR="006A5CBF" w:rsidRPr="00295641" w:rsidRDefault="006A5CBF" w:rsidP="006A5CBF">
            <w:pPr>
              <w:ind w:left="720"/>
              <w:jc w:val="center"/>
              <w:rPr>
                <w:b/>
              </w:rPr>
            </w:pPr>
            <w:r>
              <w:rPr>
                <w:b/>
              </w:rPr>
              <w:t>Componente: Participación Ciudadana</w:t>
            </w:r>
          </w:p>
        </w:tc>
      </w:tr>
      <w:tr w:rsidR="006A5CBF" w:rsidRPr="00295641" w:rsidTr="00EB66E2">
        <w:tc>
          <w:tcPr>
            <w:tcW w:w="9039" w:type="dxa"/>
            <w:gridSpan w:val="6"/>
            <w:shd w:val="clear" w:color="auto" w:fill="548DD4" w:themeFill="text2" w:themeFillTint="99"/>
          </w:tcPr>
          <w:p w:rsidR="006A5CBF" w:rsidRDefault="000921DE" w:rsidP="006A5CBF">
            <w:pPr>
              <w:ind w:left="720"/>
              <w:rPr>
                <w:b/>
              </w:rPr>
            </w:pPr>
            <w:r w:rsidRPr="000921DE">
              <w:rPr>
                <w:b/>
                <w:u w:val="single"/>
              </w:rPr>
              <w:t xml:space="preserve">Compromiso </w:t>
            </w:r>
            <w:r w:rsidR="006A5CBF" w:rsidRPr="000921DE">
              <w:rPr>
                <w:b/>
                <w:u w:val="single"/>
              </w:rPr>
              <w:t>10</w:t>
            </w:r>
            <w:r w:rsidR="006A5CBF">
              <w:rPr>
                <w:b/>
              </w:rPr>
              <w:t>. Fomentar la participación ciudadana en los Acuerdos Plenarios de la Corte Suprema de la República</w:t>
            </w:r>
          </w:p>
        </w:tc>
      </w:tr>
      <w:tr w:rsidR="006A5CBF" w:rsidRPr="00295641" w:rsidTr="00EB66E2">
        <w:tc>
          <w:tcPr>
            <w:tcW w:w="4219" w:type="dxa"/>
            <w:gridSpan w:val="3"/>
            <w:shd w:val="clear" w:color="auto" w:fill="C6D9F1" w:themeFill="text2" w:themeFillTint="33"/>
            <w:vAlign w:val="center"/>
          </w:tcPr>
          <w:p w:rsidR="006A5CBF" w:rsidRPr="00295641" w:rsidRDefault="006A5CBF" w:rsidP="00EB66E2">
            <w:pPr>
              <w:autoSpaceDE w:val="0"/>
              <w:autoSpaceDN w:val="0"/>
              <w:adjustRightInd w:val="0"/>
              <w:rPr>
                <w:rFonts w:cs="Gotham-Book"/>
                <w:b/>
                <w:color w:val="000000" w:themeColor="text1"/>
              </w:rPr>
            </w:pPr>
            <w:r w:rsidRPr="00295641">
              <w:rPr>
                <w:rFonts w:cs="Gotham-Book"/>
                <w:b/>
                <w:color w:val="000000" w:themeColor="text1"/>
              </w:rPr>
              <w:t>Secretaría/Ministerio</w:t>
            </w:r>
          </w:p>
          <w:p w:rsidR="006A5CBF" w:rsidRPr="00295641" w:rsidRDefault="006A5CBF" w:rsidP="00EB66E2">
            <w:pPr>
              <w:rPr>
                <w:b/>
                <w:color w:val="000000" w:themeColor="text1"/>
              </w:rPr>
            </w:pPr>
            <w:r w:rsidRPr="00295641">
              <w:rPr>
                <w:rFonts w:cs="Gotham-Book"/>
                <w:b/>
                <w:color w:val="000000" w:themeColor="text1"/>
              </w:rPr>
              <w:t>Responsable</w:t>
            </w:r>
          </w:p>
        </w:tc>
        <w:tc>
          <w:tcPr>
            <w:tcW w:w="4820" w:type="dxa"/>
            <w:gridSpan w:val="3"/>
          </w:tcPr>
          <w:p w:rsidR="006A5CBF" w:rsidRPr="004F01B9" w:rsidRDefault="006A5CBF" w:rsidP="00EB66E2">
            <w:pPr>
              <w:jc w:val="both"/>
              <w:rPr>
                <w:color w:val="000000" w:themeColor="text1"/>
              </w:rPr>
            </w:pPr>
            <w:r w:rsidRPr="004F01B9">
              <w:rPr>
                <w:color w:val="000000" w:themeColor="text1"/>
              </w:rPr>
              <w:t>Poder Judicial- Corte Suprema de la República</w:t>
            </w:r>
          </w:p>
        </w:tc>
      </w:tr>
      <w:tr w:rsidR="006A5CBF" w:rsidRPr="00295641" w:rsidTr="00EB66E2">
        <w:tc>
          <w:tcPr>
            <w:tcW w:w="4219" w:type="dxa"/>
            <w:gridSpan w:val="3"/>
            <w:shd w:val="clear" w:color="auto" w:fill="C6D9F1" w:themeFill="text2" w:themeFillTint="33"/>
            <w:vAlign w:val="center"/>
          </w:tcPr>
          <w:p w:rsidR="006A5CBF" w:rsidRPr="00295641" w:rsidRDefault="006A5CBF" w:rsidP="00EB66E2">
            <w:pPr>
              <w:autoSpaceDE w:val="0"/>
              <w:autoSpaceDN w:val="0"/>
              <w:adjustRightInd w:val="0"/>
              <w:rPr>
                <w:rFonts w:cs="Gotham-Book"/>
                <w:b/>
                <w:color w:val="000000" w:themeColor="text1"/>
              </w:rPr>
            </w:pPr>
            <w:r w:rsidRPr="00295641">
              <w:rPr>
                <w:rFonts w:cs="Gotham-Book"/>
                <w:b/>
                <w:color w:val="000000" w:themeColor="text1"/>
              </w:rPr>
              <w:t>Nombre de la persona  responsable</w:t>
            </w:r>
          </w:p>
        </w:tc>
        <w:tc>
          <w:tcPr>
            <w:tcW w:w="4820" w:type="dxa"/>
            <w:gridSpan w:val="3"/>
          </w:tcPr>
          <w:p w:rsidR="006A5CBF" w:rsidRPr="00295641" w:rsidRDefault="006A5CBF" w:rsidP="00EB66E2">
            <w:pPr>
              <w:jc w:val="both"/>
              <w:rPr>
                <w:color w:val="000000" w:themeColor="text1"/>
              </w:rPr>
            </w:pPr>
            <w:r>
              <w:rPr>
                <w:color w:val="000000" w:themeColor="text1"/>
              </w:rPr>
              <w:t xml:space="preserve">Víctor Lucas </w:t>
            </w:r>
            <w:proofErr w:type="spellStart"/>
            <w:r>
              <w:rPr>
                <w:color w:val="000000" w:themeColor="text1"/>
              </w:rPr>
              <w:t>Ticona</w:t>
            </w:r>
            <w:proofErr w:type="spellEnd"/>
            <w:r>
              <w:rPr>
                <w:color w:val="000000" w:themeColor="text1"/>
              </w:rPr>
              <w:t xml:space="preserve"> Postigo</w:t>
            </w:r>
          </w:p>
        </w:tc>
      </w:tr>
      <w:tr w:rsidR="006A5CBF" w:rsidRPr="00295641" w:rsidTr="00EB66E2">
        <w:tc>
          <w:tcPr>
            <w:tcW w:w="4219" w:type="dxa"/>
            <w:gridSpan w:val="3"/>
            <w:shd w:val="clear" w:color="auto" w:fill="C6D9F1" w:themeFill="text2" w:themeFillTint="33"/>
            <w:vAlign w:val="center"/>
          </w:tcPr>
          <w:p w:rsidR="006A5CBF" w:rsidRPr="00295641" w:rsidRDefault="006A5CBF" w:rsidP="00EB66E2">
            <w:pPr>
              <w:rPr>
                <w:b/>
                <w:color w:val="000000" w:themeColor="text1"/>
              </w:rPr>
            </w:pPr>
            <w:r w:rsidRPr="00295641">
              <w:rPr>
                <w:rFonts w:cs="Gotham-Book"/>
                <w:b/>
                <w:color w:val="000000" w:themeColor="text1"/>
              </w:rPr>
              <w:t>Puesto</w:t>
            </w:r>
          </w:p>
        </w:tc>
        <w:tc>
          <w:tcPr>
            <w:tcW w:w="4820" w:type="dxa"/>
            <w:gridSpan w:val="3"/>
          </w:tcPr>
          <w:p w:rsidR="006A5CBF" w:rsidRPr="00295641" w:rsidRDefault="006A5CBF" w:rsidP="00EB66E2">
            <w:pPr>
              <w:jc w:val="both"/>
              <w:rPr>
                <w:color w:val="000000" w:themeColor="text1"/>
              </w:rPr>
            </w:pPr>
            <w:r>
              <w:rPr>
                <w:color w:val="000000" w:themeColor="text1"/>
              </w:rPr>
              <w:t>Presidente del Poder Judicial y de la Corte Suprema de Justicia</w:t>
            </w:r>
          </w:p>
        </w:tc>
      </w:tr>
      <w:tr w:rsidR="006A5CBF" w:rsidRPr="00295641" w:rsidTr="00EB66E2">
        <w:tc>
          <w:tcPr>
            <w:tcW w:w="4219" w:type="dxa"/>
            <w:gridSpan w:val="3"/>
            <w:shd w:val="clear" w:color="auto" w:fill="C6D9F1" w:themeFill="text2" w:themeFillTint="33"/>
            <w:vAlign w:val="center"/>
          </w:tcPr>
          <w:p w:rsidR="006A5CBF" w:rsidRPr="00295641" w:rsidRDefault="006A5CBF" w:rsidP="00EB66E2">
            <w:pPr>
              <w:autoSpaceDE w:val="0"/>
              <w:autoSpaceDN w:val="0"/>
              <w:adjustRightInd w:val="0"/>
              <w:rPr>
                <w:rFonts w:cs="Gotham-Book"/>
                <w:b/>
                <w:color w:val="000000" w:themeColor="text1"/>
              </w:rPr>
            </w:pPr>
            <w:r w:rsidRPr="00295641">
              <w:rPr>
                <w:rFonts w:cs="Gotham-Book"/>
                <w:b/>
                <w:color w:val="000000" w:themeColor="text1"/>
              </w:rPr>
              <w:t>Correo electrónico</w:t>
            </w:r>
          </w:p>
        </w:tc>
        <w:tc>
          <w:tcPr>
            <w:tcW w:w="4820" w:type="dxa"/>
            <w:gridSpan w:val="3"/>
          </w:tcPr>
          <w:p w:rsidR="006A5CBF" w:rsidRPr="00295641" w:rsidRDefault="00EB66E2" w:rsidP="00EB66E2">
            <w:pPr>
              <w:jc w:val="both"/>
              <w:rPr>
                <w:rFonts w:cs="Arial"/>
                <w:color w:val="0000FF"/>
                <w:u w:val="single"/>
              </w:rPr>
            </w:pPr>
            <w:r>
              <w:rPr>
                <w:rFonts w:cs="Arial"/>
                <w:color w:val="0000FF"/>
                <w:u w:val="single"/>
              </w:rPr>
              <w:t>vticona@pj.gob.pe</w:t>
            </w:r>
          </w:p>
        </w:tc>
      </w:tr>
      <w:tr w:rsidR="006A5CBF" w:rsidRPr="00295641" w:rsidTr="00EB66E2">
        <w:tc>
          <w:tcPr>
            <w:tcW w:w="4219" w:type="dxa"/>
            <w:gridSpan w:val="3"/>
            <w:shd w:val="clear" w:color="auto" w:fill="C6D9F1" w:themeFill="text2" w:themeFillTint="33"/>
            <w:vAlign w:val="center"/>
          </w:tcPr>
          <w:p w:rsidR="006A5CBF" w:rsidRPr="00295641" w:rsidRDefault="006A5CBF" w:rsidP="00EB66E2">
            <w:pPr>
              <w:rPr>
                <w:b/>
                <w:color w:val="000000" w:themeColor="text1"/>
              </w:rPr>
            </w:pPr>
            <w:r w:rsidRPr="00295641">
              <w:rPr>
                <w:rFonts w:cs="Gotham-Book"/>
                <w:b/>
                <w:color w:val="000000" w:themeColor="text1"/>
              </w:rPr>
              <w:t>Teléfono</w:t>
            </w:r>
          </w:p>
        </w:tc>
        <w:tc>
          <w:tcPr>
            <w:tcW w:w="4820" w:type="dxa"/>
            <w:gridSpan w:val="3"/>
          </w:tcPr>
          <w:p w:rsidR="006A5CBF" w:rsidRPr="00295641" w:rsidRDefault="00EB66E2" w:rsidP="00EB66E2">
            <w:pPr>
              <w:jc w:val="both"/>
              <w:rPr>
                <w:color w:val="000000" w:themeColor="text1"/>
              </w:rPr>
            </w:pPr>
            <w:r>
              <w:rPr>
                <w:color w:val="000000" w:themeColor="text1"/>
              </w:rPr>
              <w:t>51-1-428-3690</w:t>
            </w:r>
          </w:p>
        </w:tc>
      </w:tr>
      <w:tr w:rsidR="006A5CBF" w:rsidRPr="00295641" w:rsidTr="00EB66E2">
        <w:tc>
          <w:tcPr>
            <w:tcW w:w="2109" w:type="dxa"/>
            <w:vMerge w:val="restart"/>
            <w:shd w:val="clear" w:color="auto" w:fill="C6D9F1" w:themeFill="text2" w:themeFillTint="33"/>
            <w:vAlign w:val="center"/>
          </w:tcPr>
          <w:p w:rsidR="006A5CBF" w:rsidRPr="00295641" w:rsidRDefault="006A5CBF" w:rsidP="00EB66E2">
            <w:pPr>
              <w:rPr>
                <w:rFonts w:cs="Gotham-Book"/>
                <w:b/>
                <w:color w:val="000000" w:themeColor="text1"/>
              </w:rPr>
            </w:pPr>
            <w:r>
              <w:rPr>
                <w:rFonts w:cs="Gotham-Book"/>
                <w:b/>
                <w:color w:val="000000" w:themeColor="text1"/>
              </w:rPr>
              <w:t>Otros actores involucrados</w:t>
            </w:r>
          </w:p>
        </w:tc>
        <w:tc>
          <w:tcPr>
            <w:tcW w:w="2110" w:type="dxa"/>
            <w:gridSpan w:val="2"/>
            <w:shd w:val="clear" w:color="auto" w:fill="C6D9F1" w:themeFill="text2" w:themeFillTint="33"/>
            <w:vAlign w:val="center"/>
          </w:tcPr>
          <w:p w:rsidR="006A5CBF" w:rsidRPr="00295641" w:rsidRDefault="006A5CBF" w:rsidP="00EB66E2">
            <w:pPr>
              <w:rPr>
                <w:rFonts w:cs="Gotham-Book"/>
                <w:b/>
                <w:color w:val="000000" w:themeColor="text1"/>
              </w:rPr>
            </w:pPr>
            <w:r>
              <w:rPr>
                <w:rFonts w:cs="Gotham-Book"/>
                <w:b/>
                <w:color w:val="000000" w:themeColor="text1"/>
              </w:rPr>
              <w:t>Gobierno</w:t>
            </w:r>
          </w:p>
        </w:tc>
        <w:tc>
          <w:tcPr>
            <w:tcW w:w="4820" w:type="dxa"/>
            <w:gridSpan w:val="3"/>
          </w:tcPr>
          <w:p w:rsidR="006A5CBF" w:rsidRPr="00295641" w:rsidRDefault="00EB66E2" w:rsidP="00EB66E2">
            <w:pPr>
              <w:jc w:val="both"/>
              <w:rPr>
                <w:color w:val="000000" w:themeColor="text1"/>
              </w:rPr>
            </w:pPr>
            <w:r>
              <w:rPr>
                <w:color w:val="000000" w:themeColor="text1"/>
              </w:rPr>
              <w:t>No aplica</w:t>
            </w:r>
          </w:p>
        </w:tc>
      </w:tr>
      <w:tr w:rsidR="006A5CBF" w:rsidRPr="00295641" w:rsidTr="00EB66E2">
        <w:tc>
          <w:tcPr>
            <w:tcW w:w="2109" w:type="dxa"/>
            <w:vMerge/>
            <w:shd w:val="clear" w:color="auto" w:fill="C6D9F1" w:themeFill="text2" w:themeFillTint="33"/>
            <w:vAlign w:val="center"/>
          </w:tcPr>
          <w:p w:rsidR="006A5CBF" w:rsidRPr="00295641" w:rsidRDefault="006A5CBF" w:rsidP="00EB66E2">
            <w:pPr>
              <w:rPr>
                <w:rFonts w:cs="Gotham-Book"/>
                <w:b/>
                <w:color w:val="000000" w:themeColor="text1"/>
              </w:rPr>
            </w:pPr>
          </w:p>
        </w:tc>
        <w:tc>
          <w:tcPr>
            <w:tcW w:w="2110" w:type="dxa"/>
            <w:gridSpan w:val="2"/>
            <w:shd w:val="clear" w:color="auto" w:fill="C6D9F1" w:themeFill="text2" w:themeFillTint="33"/>
            <w:vAlign w:val="center"/>
          </w:tcPr>
          <w:p w:rsidR="006A5CBF" w:rsidRPr="00295641" w:rsidRDefault="006A5CBF" w:rsidP="00EB66E2">
            <w:pPr>
              <w:rPr>
                <w:rFonts w:cs="Gotham-Book"/>
                <w:b/>
                <w:color w:val="000000" w:themeColor="text1"/>
              </w:rPr>
            </w:pPr>
            <w:r>
              <w:rPr>
                <w:rFonts w:cs="Gotham-Book"/>
                <w:b/>
                <w:color w:val="000000" w:themeColor="text1"/>
              </w:rPr>
              <w:t>Sociedad civil, iniciativa privada, grupos de trabajo o multilaterales</w:t>
            </w:r>
          </w:p>
        </w:tc>
        <w:tc>
          <w:tcPr>
            <w:tcW w:w="4820" w:type="dxa"/>
            <w:gridSpan w:val="3"/>
          </w:tcPr>
          <w:p w:rsidR="006A5CBF" w:rsidRPr="00295641" w:rsidRDefault="006A5CBF" w:rsidP="00EB66E2">
            <w:pPr>
              <w:jc w:val="both"/>
              <w:rPr>
                <w:color w:val="000000" w:themeColor="text1"/>
              </w:rPr>
            </w:pPr>
          </w:p>
        </w:tc>
      </w:tr>
      <w:tr w:rsidR="006A5CBF" w:rsidRPr="00295641" w:rsidTr="00EB66E2">
        <w:tc>
          <w:tcPr>
            <w:tcW w:w="4219" w:type="dxa"/>
            <w:gridSpan w:val="3"/>
            <w:shd w:val="clear" w:color="auto" w:fill="C6D9F1" w:themeFill="text2" w:themeFillTint="33"/>
            <w:vAlign w:val="center"/>
          </w:tcPr>
          <w:p w:rsidR="006A5CBF" w:rsidRPr="00295641" w:rsidRDefault="006A5CBF" w:rsidP="00EB66E2">
            <w:pPr>
              <w:rPr>
                <w:rFonts w:cs="Gotham-Book"/>
                <w:b/>
                <w:color w:val="000000" w:themeColor="text1"/>
              </w:rPr>
            </w:pPr>
            <w:r>
              <w:rPr>
                <w:rFonts w:cs="Gotham-Book"/>
                <w:b/>
                <w:color w:val="000000" w:themeColor="text1"/>
              </w:rPr>
              <w:t>Status quo o problema/</w:t>
            </w:r>
            <w:r>
              <w:rPr>
                <w:rFonts w:cs="Gotham-Book"/>
                <w:b/>
                <w:color w:val="000000" w:themeColor="text1"/>
              </w:rPr>
              <w:br/>
              <w:t>desafío que será atendido</w:t>
            </w:r>
          </w:p>
        </w:tc>
        <w:tc>
          <w:tcPr>
            <w:tcW w:w="4820" w:type="dxa"/>
            <w:gridSpan w:val="3"/>
          </w:tcPr>
          <w:p w:rsidR="006A5CBF" w:rsidRPr="00295641" w:rsidRDefault="00EB66E2" w:rsidP="00E11724">
            <w:pPr>
              <w:jc w:val="both"/>
              <w:rPr>
                <w:color w:val="000000" w:themeColor="text1"/>
              </w:rPr>
            </w:pPr>
            <w:r>
              <w:rPr>
                <w:color w:val="000000" w:themeColor="text1"/>
              </w:rPr>
              <w:t>En la actualidad</w:t>
            </w:r>
            <w:r w:rsidR="00E11724">
              <w:rPr>
                <w:color w:val="000000" w:themeColor="text1"/>
              </w:rPr>
              <w:t>,</w:t>
            </w:r>
            <w:r>
              <w:rPr>
                <w:color w:val="000000" w:themeColor="text1"/>
              </w:rPr>
              <w:t xml:space="preserve"> la participación de los ciudadanos y ciudadanas, entidades privadas y otras entidades públicas en los acuerdos plenarios de la Corte Suprema de la República </w:t>
            </w:r>
            <w:r w:rsidR="00E11724">
              <w:rPr>
                <w:color w:val="000000" w:themeColor="text1"/>
              </w:rPr>
              <w:t xml:space="preserve">es competencia </w:t>
            </w:r>
            <w:r>
              <w:rPr>
                <w:color w:val="000000" w:themeColor="text1"/>
              </w:rPr>
              <w:t xml:space="preserve">del Vocal Supremo coordinador, el cual tiene </w:t>
            </w:r>
            <w:r w:rsidR="00E11724">
              <w:rPr>
                <w:color w:val="000000" w:themeColor="text1"/>
              </w:rPr>
              <w:t xml:space="preserve">decisión </w:t>
            </w:r>
            <w:r>
              <w:rPr>
                <w:color w:val="000000" w:themeColor="text1"/>
              </w:rPr>
              <w:t>para permitir la participación de estos actores.</w:t>
            </w:r>
          </w:p>
        </w:tc>
      </w:tr>
      <w:tr w:rsidR="006A5CBF" w:rsidRPr="00295641" w:rsidTr="00EB66E2">
        <w:tc>
          <w:tcPr>
            <w:tcW w:w="4219" w:type="dxa"/>
            <w:gridSpan w:val="3"/>
            <w:shd w:val="clear" w:color="auto" w:fill="C6D9F1" w:themeFill="text2" w:themeFillTint="33"/>
            <w:vAlign w:val="center"/>
          </w:tcPr>
          <w:p w:rsidR="006A5CBF" w:rsidRPr="00295641" w:rsidRDefault="006A5CBF" w:rsidP="00EB66E2">
            <w:pPr>
              <w:rPr>
                <w:b/>
                <w:color w:val="000000" w:themeColor="text1"/>
              </w:rPr>
            </w:pPr>
            <w:r w:rsidRPr="00295641">
              <w:rPr>
                <w:rFonts w:cs="Gotham-Book"/>
                <w:b/>
                <w:color w:val="000000" w:themeColor="text1"/>
              </w:rPr>
              <w:t>Objetivo principal</w:t>
            </w:r>
          </w:p>
        </w:tc>
        <w:tc>
          <w:tcPr>
            <w:tcW w:w="4820" w:type="dxa"/>
            <w:gridSpan w:val="3"/>
          </w:tcPr>
          <w:p w:rsidR="006A5CBF" w:rsidRPr="00EB66E2" w:rsidRDefault="00EB66E2" w:rsidP="00EB66E2">
            <w:pPr>
              <w:jc w:val="both"/>
              <w:rPr>
                <w:bCs/>
              </w:rPr>
            </w:pPr>
            <w:r w:rsidRPr="00EB66E2">
              <w:rPr>
                <w:bCs/>
              </w:rPr>
              <w:t>Regular e ins</w:t>
            </w:r>
            <w:r>
              <w:rPr>
                <w:bCs/>
              </w:rPr>
              <w:t>titucionalizar la participación de los ciudadanos y ciudadanas, entidades privadas y otras entidades públicas en los acuerdos plenarios de la Corte Suprema de la República.</w:t>
            </w:r>
          </w:p>
        </w:tc>
      </w:tr>
      <w:tr w:rsidR="006A5CBF" w:rsidRPr="00295641" w:rsidTr="00EB66E2">
        <w:tc>
          <w:tcPr>
            <w:tcW w:w="4219" w:type="dxa"/>
            <w:gridSpan w:val="3"/>
            <w:shd w:val="clear" w:color="auto" w:fill="C6D9F1" w:themeFill="text2" w:themeFillTint="33"/>
            <w:vAlign w:val="center"/>
          </w:tcPr>
          <w:p w:rsidR="006A5CBF" w:rsidRPr="00295641" w:rsidRDefault="006A5CBF" w:rsidP="00EB66E2">
            <w:pPr>
              <w:autoSpaceDE w:val="0"/>
              <w:autoSpaceDN w:val="0"/>
              <w:adjustRightInd w:val="0"/>
              <w:rPr>
                <w:rFonts w:cs="Gotham-Book"/>
                <w:b/>
                <w:color w:val="000000" w:themeColor="text1"/>
              </w:rPr>
            </w:pPr>
            <w:r>
              <w:rPr>
                <w:rFonts w:cs="Gotham-Book"/>
                <w:b/>
                <w:color w:val="000000" w:themeColor="text1"/>
              </w:rPr>
              <w:t xml:space="preserve">Breve </w:t>
            </w:r>
            <w:r w:rsidRPr="00295641">
              <w:rPr>
                <w:rFonts w:cs="Gotham-Book"/>
                <w:b/>
                <w:color w:val="000000" w:themeColor="text1"/>
              </w:rPr>
              <w:t>Descripción del</w:t>
            </w:r>
          </w:p>
          <w:p w:rsidR="006A5CBF" w:rsidRPr="00295641" w:rsidRDefault="006A5CBF" w:rsidP="00EB66E2">
            <w:pPr>
              <w:autoSpaceDE w:val="0"/>
              <w:autoSpaceDN w:val="0"/>
              <w:adjustRightInd w:val="0"/>
              <w:rPr>
                <w:rFonts w:cs="Gotham-Book"/>
                <w:b/>
                <w:color w:val="000000" w:themeColor="text1"/>
              </w:rPr>
            </w:pPr>
            <w:r w:rsidRPr="00295641">
              <w:rPr>
                <w:rFonts w:cs="Gotham-Book"/>
                <w:b/>
                <w:color w:val="000000" w:themeColor="text1"/>
              </w:rPr>
              <w:t>Compromiso</w:t>
            </w:r>
          </w:p>
        </w:tc>
        <w:tc>
          <w:tcPr>
            <w:tcW w:w="4820" w:type="dxa"/>
            <w:gridSpan w:val="3"/>
          </w:tcPr>
          <w:p w:rsidR="006A5CBF" w:rsidRPr="00D55406" w:rsidRDefault="00EB66E2" w:rsidP="00EB66E2">
            <w:pPr>
              <w:jc w:val="both"/>
              <w:rPr>
                <w:color w:val="FF0000"/>
                <w:szCs w:val="20"/>
                <w:lang w:val="es-PE"/>
              </w:rPr>
            </w:pPr>
            <w:r w:rsidRPr="00EB66E2">
              <w:rPr>
                <w:szCs w:val="20"/>
                <w:lang w:val="es-PE"/>
              </w:rPr>
              <w:t xml:space="preserve">Institucionalizar y fomentar la participación de los ciudadanos y ciudadanas y otras entidades públicas en los acuerdos plenarios de la Corte Suprema de la República. </w:t>
            </w:r>
          </w:p>
        </w:tc>
      </w:tr>
      <w:tr w:rsidR="006A5CBF" w:rsidRPr="00295641" w:rsidTr="00EB66E2">
        <w:tc>
          <w:tcPr>
            <w:tcW w:w="4219" w:type="dxa"/>
            <w:gridSpan w:val="3"/>
            <w:shd w:val="clear" w:color="auto" w:fill="C6D9F1" w:themeFill="text2" w:themeFillTint="33"/>
            <w:vAlign w:val="center"/>
          </w:tcPr>
          <w:p w:rsidR="006A5CBF" w:rsidRPr="000921DE" w:rsidRDefault="006A5CBF" w:rsidP="00EB66E2">
            <w:pPr>
              <w:autoSpaceDE w:val="0"/>
              <w:autoSpaceDN w:val="0"/>
              <w:adjustRightInd w:val="0"/>
              <w:rPr>
                <w:rFonts w:cs="Gotham-Book"/>
                <w:b/>
              </w:rPr>
            </w:pPr>
            <w:r w:rsidRPr="000921DE">
              <w:rPr>
                <w:rFonts w:cs="Gotham-Book"/>
                <w:b/>
              </w:rPr>
              <w:t>Relevancia</w:t>
            </w:r>
          </w:p>
          <w:p w:rsidR="006A5CBF" w:rsidRPr="000921DE" w:rsidRDefault="006A5CBF" w:rsidP="00EB66E2">
            <w:pPr>
              <w:autoSpaceDE w:val="0"/>
              <w:autoSpaceDN w:val="0"/>
              <w:adjustRightInd w:val="0"/>
              <w:rPr>
                <w:b/>
              </w:rPr>
            </w:pPr>
          </w:p>
        </w:tc>
        <w:tc>
          <w:tcPr>
            <w:tcW w:w="4820" w:type="dxa"/>
            <w:gridSpan w:val="3"/>
          </w:tcPr>
          <w:p w:rsidR="006A5CBF" w:rsidRPr="000921DE" w:rsidRDefault="00E11724" w:rsidP="000921DE">
            <w:pPr>
              <w:jc w:val="both"/>
              <w:rPr>
                <w:szCs w:val="20"/>
                <w:lang w:val="es-PE"/>
              </w:rPr>
            </w:pPr>
            <w:r>
              <w:rPr>
                <w:szCs w:val="20"/>
                <w:lang w:val="es-PE"/>
              </w:rPr>
              <w:t xml:space="preserve">El compromiso </w:t>
            </w:r>
            <w:r w:rsidR="0029488C">
              <w:rPr>
                <w:szCs w:val="20"/>
                <w:lang w:val="es-PE"/>
              </w:rPr>
              <w:t xml:space="preserve">contribuye a </w:t>
            </w:r>
            <w:r w:rsidR="000921DE" w:rsidRPr="000921DE">
              <w:rPr>
                <w:szCs w:val="20"/>
                <w:lang w:val="es-PE"/>
              </w:rPr>
              <w:t>permitir</w:t>
            </w:r>
            <w:r w:rsidR="0029488C">
              <w:rPr>
                <w:szCs w:val="20"/>
                <w:lang w:val="es-PE"/>
              </w:rPr>
              <w:t xml:space="preserve"> y fortalecer</w:t>
            </w:r>
            <w:r w:rsidR="000921DE" w:rsidRPr="000921DE">
              <w:rPr>
                <w:szCs w:val="20"/>
                <w:lang w:val="es-PE"/>
              </w:rPr>
              <w:t xml:space="preserve"> la participación de los ciudadanos y ciudadanas en los Acuerdos Plenarios de la Corte Suprema.</w:t>
            </w:r>
          </w:p>
        </w:tc>
      </w:tr>
      <w:tr w:rsidR="006A5CBF" w:rsidRPr="00295641" w:rsidTr="00EB66E2">
        <w:tc>
          <w:tcPr>
            <w:tcW w:w="4219" w:type="dxa"/>
            <w:gridSpan w:val="3"/>
            <w:shd w:val="clear" w:color="auto" w:fill="C6D9F1" w:themeFill="text2" w:themeFillTint="33"/>
            <w:vAlign w:val="center"/>
          </w:tcPr>
          <w:p w:rsidR="006A5CBF" w:rsidRPr="000921DE" w:rsidRDefault="006A5CBF" w:rsidP="00EB66E2">
            <w:pPr>
              <w:autoSpaceDE w:val="0"/>
              <w:autoSpaceDN w:val="0"/>
              <w:adjustRightInd w:val="0"/>
              <w:rPr>
                <w:rFonts w:cs="Gotham-Book"/>
                <w:b/>
              </w:rPr>
            </w:pPr>
            <w:r w:rsidRPr="000921DE">
              <w:rPr>
                <w:rFonts w:cs="Gotham-Book"/>
                <w:b/>
              </w:rPr>
              <w:t>Ambición</w:t>
            </w:r>
          </w:p>
          <w:p w:rsidR="006A5CBF" w:rsidRPr="000921DE" w:rsidRDefault="006A5CBF" w:rsidP="00EB66E2">
            <w:pPr>
              <w:autoSpaceDE w:val="0"/>
              <w:autoSpaceDN w:val="0"/>
              <w:adjustRightInd w:val="0"/>
              <w:rPr>
                <w:rFonts w:cs="Gotham-BookItalic"/>
                <w:b/>
                <w:iCs/>
              </w:rPr>
            </w:pPr>
          </w:p>
        </w:tc>
        <w:tc>
          <w:tcPr>
            <w:tcW w:w="4820" w:type="dxa"/>
            <w:gridSpan w:val="3"/>
          </w:tcPr>
          <w:p w:rsidR="006A5CBF" w:rsidRPr="000921DE" w:rsidRDefault="000921DE" w:rsidP="000921DE">
            <w:pPr>
              <w:jc w:val="both"/>
              <w:rPr>
                <w:szCs w:val="20"/>
                <w:lang w:val="es-PE"/>
              </w:rPr>
            </w:pPr>
            <w:r w:rsidRPr="000921DE">
              <w:rPr>
                <w:szCs w:val="20"/>
                <w:lang w:val="es-PE"/>
              </w:rPr>
              <w:t>Se espera la mayor apertura hacia los ciudadanos en los Acuerdos plenarios de la Corte Suprema, del Poder Judicial.</w:t>
            </w:r>
          </w:p>
        </w:tc>
      </w:tr>
      <w:tr w:rsidR="006A5CBF" w:rsidRPr="00295641" w:rsidTr="00EB66E2">
        <w:tc>
          <w:tcPr>
            <w:tcW w:w="2518" w:type="dxa"/>
            <w:gridSpan w:val="2"/>
            <w:vMerge w:val="restart"/>
            <w:shd w:val="clear" w:color="auto" w:fill="C6D9F1" w:themeFill="text2" w:themeFillTint="33"/>
            <w:vAlign w:val="center"/>
          </w:tcPr>
          <w:p w:rsidR="006A5CBF" w:rsidRPr="00295641" w:rsidRDefault="006A5CBF" w:rsidP="00EB66E2">
            <w:pPr>
              <w:rPr>
                <w:b/>
                <w:color w:val="000000" w:themeColor="text1"/>
              </w:rPr>
            </w:pPr>
            <w:r w:rsidRPr="00295641">
              <w:rPr>
                <w:rFonts w:cs="Gotham-Book"/>
                <w:b/>
                <w:color w:val="000000" w:themeColor="text1"/>
              </w:rPr>
              <w:t>Cumplimiento</w:t>
            </w:r>
          </w:p>
        </w:tc>
        <w:tc>
          <w:tcPr>
            <w:tcW w:w="1701" w:type="dxa"/>
            <w:shd w:val="clear" w:color="auto" w:fill="C6D9F1" w:themeFill="text2" w:themeFillTint="33"/>
          </w:tcPr>
          <w:p w:rsidR="006A5CBF" w:rsidRPr="00295641" w:rsidRDefault="006A5CBF" w:rsidP="00EB66E2">
            <w:pPr>
              <w:jc w:val="center"/>
              <w:rPr>
                <w:b/>
                <w:color w:val="000000" w:themeColor="text1"/>
              </w:rPr>
            </w:pPr>
            <w:r w:rsidRPr="00295641">
              <w:rPr>
                <w:rFonts w:cs="Gotham-Book"/>
                <w:b/>
                <w:color w:val="000000" w:themeColor="text1"/>
              </w:rPr>
              <w:t>No iniciado</w:t>
            </w:r>
          </w:p>
        </w:tc>
        <w:tc>
          <w:tcPr>
            <w:tcW w:w="1729" w:type="dxa"/>
            <w:shd w:val="clear" w:color="auto" w:fill="C6D9F1" w:themeFill="text2" w:themeFillTint="33"/>
          </w:tcPr>
          <w:p w:rsidR="006A5CBF" w:rsidRPr="00295641" w:rsidRDefault="006A5CBF" w:rsidP="00EB66E2">
            <w:pPr>
              <w:jc w:val="center"/>
              <w:rPr>
                <w:b/>
                <w:color w:val="000000" w:themeColor="text1"/>
              </w:rPr>
            </w:pPr>
            <w:r w:rsidRPr="00295641">
              <w:rPr>
                <w:rFonts w:cs="Gotham-Book"/>
                <w:b/>
                <w:color w:val="000000" w:themeColor="text1"/>
              </w:rPr>
              <w:t>Limitado</w:t>
            </w:r>
          </w:p>
        </w:tc>
        <w:tc>
          <w:tcPr>
            <w:tcW w:w="1644" w:type="dxa"/>
            <w:shd w:val="clear" w:color="auto" w:fill="C6D9F1" w:themeFill="text2" w:themeFillTint="33"/>
          </w:tcPr>
          <w:p w:rsidR="006A5CBF" w:rsidRPr="00295641" w:rsidRDefault="006A5CBF" w:rsidP="00EB66E2">
            <w:pPr>
              <w:jc w:val="center"/>
              <w:rPr>
                <w:b/>
                <w:color w:val="000000" w:themeColor="text1"/>
              </w:rPr>
            </w:pPr>
            <w:r w:rsidRPr="00295641">
              <w:rPr>
                <w:rFonts w:cs="Gotham-Book"/>
                <w:b/>
                <w:color w:val="000000" w:themeColor="text1"/>
              </w:rPr>
              <w:t>Sustancial</w:t>
            </w:r>
          </w:p>
        </w:tc>
        <w:tc>
          <w:tcPr>
            <w:tcW w:w="1447" w:type="dxa"/>
            <w:shd w:val="clear" w:color="auto" w:fill="C6D9F1" w:themeFill="text2" w:themeFillTint="33"/>
          </w:tcPr>
          <w:p w:rsidR="006A5CBF" w:rsidRPr="00295641" w:rsidRDefault="006A5CBF" w:rsidP="00EB66E2">
            <w:pPr>
              <w:jc w:val="center"/>
              <w:rPr>
                <w:b/>
                <w:color w:val="000000" w:themeColor="text1"/>
              </w:rPr>
            </w:pPr>
            <w:r w:rsidRPr="00295641">
              <w:rPr>
                <w:rFonts w:cs="Gotham-Book"/>
                <w:b/>
                <w:color w:val="000000" w:themeColor="text1"/>
              </w:rPr>
              <w:t>Completo</w:t>
            </w:r>
          </w:p>
        </w:tc>
      </w:tr>
      <w:tr w:rsidR="006A5CBF" w:rsidRPr="00295641" w:rsidTr="00EB66E2">
        <w:tc>
          <w:tcPr>
            <w:tcW w:w="2518" w:type="dxa"/>
            <w:gridSpan w:val="2"/>
            <w:vMerge/>
            <w:shd w:val="clear" w:color="auto" w:fill="C6D9F1" w:themeFill="text2" w:themeFillTint="33"/>
            <w:vAlign w:val="center"/>
          </w:tcPr>
          <w:p w:rsidR="006A5CBF" w:rsidRPr="00295641" w:rsidRDefault="006A5CBF" w:rsidP="00EB66E2">
            <w:pPr>
              <w:rPr>
                <w:b/>
                <w:color w:val="000000" w:themeColor="text1"/>
              </w:rPr>
            </w:pPr>
          </w:p>
        </w:tc>
        <w:tc>
          <w:tcPr>
            <w:tcW w:w="1701" w:type="dxa"/>
          </w:tcPr>
          <w:p w:rsidR="006A5CBF" w:rsidRPr="00295641" w:rsidRDefault="000921DE" w:rsidP="00EB66E2">
            <w:pPr>
              <w:jc w:val="center"/>
              <w:rPr>
                <w:b/>
                <w:color w:val="000000" w:themeColor="text1"/>
              </w:rPr>
            </w:pPr>
            <w:r>
              <w:rPr>
                <w:b/>
                <w:color w:val="000000" w:themeColor="text1"/>
              </w:rPr>
              <w:t>X</w:t>
            </w:r>
          </w:p>
        </w:tc>
        <w:tc>
          <w:tcPr>
            <w:tcW w:w="1729" w:type="dxa"/>
          </w:tcPr>
          <w:p w:rsidR="006A5CBF" w:rsidRPr="00295641" w:rsidRDefault="006A5CBF" w:rsidP="00EB66E2">
            <w:pPr>
              <w:jc w:val="center"/>
              <w:rPr>
                <w:b/>
                <w:color w:val="000000" w:themeColor="text1"/>
              </w:rPr>
            </w:pPr>
          </w:p>
        </w:tc>
        <w:tc>
          <w:tcPr>
            <w:tcW w:w="1644" w:type="dxa"/>
          </w:tcPr>
          <w:p w:rsidR="006A5CBF" w:rsidRPr="00295641" w:rsidRDefault="006A5CBF" w:rsidP="00EB66E2">
            <w:pPr>
              <w:jc w:val="center"/>
              <w:rPr>
                <w:b/>
                <w:color w:val="000000" w:themeColor="text1"/>
              </w:rPr>
            </w:pPr>
          </w:p>
        </w:tc>
        <w:tc>
          <w:tcPr>
            <w:tcW w:w="1447" w:type="dxa"/>
            <w:shd w:val="clear" w:color="auto" w:fill="FFFFFF" w:themeFill="background1"/>
          </w:tcPr>
          <w:p w:rsidR="006A5CBF" w:rsidRPr="00295641" w:rsidRDefault="006A5CBF" w:rsidP="00EB66E2">
            <w:pPr>
              <w:jc w:val="center"/>
              <w:rPr>
                <w:b/>
                <w:color w:val="000000" w:themeColor="text1"/>
              </w:rPr>
            </w:pPr>
          </w:p>
        </w:tc>
      </w:tr>
      <w:tr w:rsidR="006A5CBF" w:rsidRPr="00295641" w:rsidTr="00EB66E2">
        <w:tc>
          <w:tcPr>
            <w:tcW w:w="2518" w:type="dxa"/>
            <w:gridSpan w:val="2"/>
            <w:shd w:val="clear" w:color="auto" w:fill="C6D9F1" w:themeFill="text2" w:themeFillTint="33"/>
            <w:vAlign w:val="center"/>
          </w:tcPr>
          <w:p w:rsidR="006A5CBF" w:rsidRPr="00295641" w:rsidRDefault="006A5CBF" w:rsidP="00EB66E2">
            <w:pPr>
              <w:autoSpaceDE w:val="0"/>
              <w:autoSpaceDN w:val="0"/>
              <w:adjustRightInd w:val="0"/>
              <w:rPr>
                <w:rFonts w:cs="Gotham-Book"/>
                <w:b/>
                <w:color w:val="000000" w:themeColor="text1"/>
              </w:rPr>
            </w:pPr>
            <w:r w:rsidRPr="00295641">
              <w:rPr>
                <w:rFonts w:cs="Gotham-Book"/>
                <w:b/>
                <w:color w:val="000000" w:themeColor="text1"/>
              </w:rPr>
              <w:t>Descripción de los resultados</w:t>
            </w:r>
          </w:p>
          <w:p w:rsidR="006A5CBF" w:rsidRPr="00295641" w:rsidRDefault="006A5CBF" w:rsidP="00EB66E2">
            <w:pPr>
              <w:autoSpaceDE w:val="0"/>
              <w:autoSpaceDN w:val="0"/>
              <w:adjustRightInd w:val="0"/>
              <w:rPr>
                <w:rFonts w:cs="Gotham-BookItalic"/>
                <w:b/>
                <w:iCs/>
                <w:color w:val="000000" w:themeColor="text1"/>
              </w:rPr>
            </w:pPr>
          </w:p>
        </w:tc>
        <w:tc>
          <w:tcPr>
            <w:tcW w:w="6521" w:type="dxa"/>
            <w:gridSpan w:val="4"/>
          </w:tcPr>
          <w:p w:rsidR="006A5CBF" w:rsidRPr="000921DE" w:rsidRDefault="000921DE" w:rsidP="00EB66E2">
            <w:pPr>
              <w:jc w:val="both"/>
              <w:rPr>
                <w:szCs w:val="20"/>
                <w:lang w:val="es-PE"/>
              </w:rPr>
            </w:pPr>
            <w:r w:rsidRPr="000921DE">
              <w:rPr>
                <w:szCs w:val="20"/>
                <w:lang w:val="es-PE"/>
              </w:rPr>
              <w:t>Se contempla las siguientes actividades:</w:t>
            </w:r>
          </w:p>
          <w:p w:rsidR="000921DE" w:rsidRPr="000C6B21" w:rsidRDefault="000921DE" w:rsidP="00EB66E2">
            <w:pPr>
              <w:jc w:val="both"/>
              <w:rPr>
                <w:b/>
                <w:i/>
                <w:szCs w:val="20"/>
                <w:lang w:val="es-PE"/>
              </w:rPr>
            </w:pPr>
            <w:r w:rsidRPr="000C6B21">
              <w:rPr>
                <w:b/>
                <w:i/>
                <w:szCs w:val="20"/>
                <w:lang w:val="es-PE"/>
              </w:rPr>
              <w:t>1. Proyecto de resolución que regula la participación de los ciudadanos en los acuerdos plenarios de la Corte Suprema de la República terminado.</w:t>
            </w:r>
          </w:p>
          <w:p w:rsidR="00A73B3E" w:rsidRDefault="000921DE" w:rsidP="00EB66E2">
            <w:pPr>
              <w:jc w:val="both"/>
              <w:rPr>
                <w:b/>
                <w:i/>
                <w:szCs w:val="20"/>
                <w:lang w:val="es-PE"/>
              </w:rPr>
            </w:pPr>
            <w:r w:rsidRPr="000C6B21">
              <w:rPr>
                <w:b/>
                <w:i/>
                <w:szCs w:val="20"/>
                <w:lang w:val="es-PE"/>
              </w:rPr>
              <w:t>2. Pre-Publicación del proyecto de resolución para comentarios de la ciudadanía.</w:t>
            </w:r>
          </w:p>
          <w:p w:rsidR="000921DE" w:rsidRPr="00A73B3E" w:rsidRDefault="00A73B3E" w:rsidP="00EB66E2">
            <w:pPr>
              <w:jc w:val="both"/>
              <w:rPr>
                <w:b/>
                <w:i/>
                <w:szCs w:val="20"/>
                <w:lang w:val="es-PE"/>
              </w:rPr>
            </w:pPr>
            <w:r>
              <w:rPr>
                <w:b/>
                <w:i/>
                <w:szCs w:val="20"/>
                <w:lang w:val="es-PE"/>
              </w:rPr>
              <w:t xml:space="preserve">3. </w:t>
            </w:r>
            <w:r w:rsidR="000921DE" w:rsidRPr="00A73B3E">
              <w:rPr>
                <w:b/>
                <w:i/>
                <w:szCs w:val="20"/>
                <w:lang w:val="es-PE"/>
              </w:rPr>
              <w:t>Publicación de la resolución que aprueba los lineamientos en el diario oficial El Peruano.</w:t>
            </w:r>
          </w:p>
          <w:p w:rsidR="000921DE" w:rsidRPr="00D55406" w:rsidRDefault="000921DE" w:rsidP="00EB66E2">
            <w:pPr>
              <w:jc w:val="both"/>
              <w:rPr>
                <w:color w:val="FF0000"/>
                <w:szCs w:val="20"/>
                <w:lang w:val="es-PE"/>
              </w:rPr>
            </w:pPr>
          </w:p>
          <w:p w:rsidR="006A5CBF" w:rsidRDefault="002E0267" w:rsidP="00EB66E2">
            <w:pPr>
              <w:jc w:val="both"/>
              <w:rPr>
                <w:color w:val="000000" w:themeColor="text1"/>
              </w:rPr>
            </w:pPr>
            <w:r>
              <w:rPr>
                <w:color w:val="000000" w:themeColor="text1"/>
              </w:rPr>
              <w:t>A la fecha, e</w:t>
            </w:r>
            <w:r w:rsidR="00A73B3E">
              <w:rPr>
                <w:color w:val="000000" w:themeColor="text1"/>
              </w:rPr>
              <w:t xml:space="preserve">l Poder Judicial no reporta avance en ninguna de las actividades, señalan que </w:t>
            </w:r>
            <w:r w:rsidR="000921DE">
              <w:rPr>
                <w:color w:val="000000" w:themeColor="text1"/>
              </w:rPr>
              <w:t>han sido reprogramadas para culminar en octubre 2016.</w:t>
            </w:r>
          </w:p>
          <w:p w:rsidR="00A73B3E" w:rsidRPr="00295641" w:rsidRDefault="00A73B3E" w:rsidP="00EB66E2">
            <w:pPr>
              <w:jc w:val="both"/>
              <w:rPr>
                <w:color w:val="000000" w:themeColor="text1"/>
              </w:rPr>
            </w:pPr>
            <w:r>
              <w:rPr>
                <w:color w:val="000000" w:themeColor="text1"/>
              </w:rPr>
              <w:t>Fuente: Oficio N° 5582-2016-SG-CS-PJ</w:t>
            </w:r>
          </w:p>
        </w:tc>
      </w:tr>
      <w:tr w:rsidR="006A5CBF" w:rsidRPr="00295641" w:rsidTr="00EB66E2">
        <w:tc>
          <w:tcPr>
            <w:tcW w:w="2518" w:type="dxa"/>
            <w:gridSpan w:val="2"/>
            <w:shd w:val="clear" w:color="auto" w:fill="C6D9F1" w:themeFill="text2" w:themeFillTint="33"/>
            <w:vAlign w:val="center"/>
          </w:tcPr>
          <w:p w:rsidR="006A5CBF" w:rsidRPr="00295641" w:rsidRDefault="006A5CBF" w:rsidP="00EB66E2">
            <w:pPr>
              <w:rPr>
                <w:b/>
                <w:color w:val="000000" w:themeColor="text1"/>
              </w:rPr>
            </w:pPr>
            <w:r w:rsidRPr="00295641">
              <w:rPr>
                <w:rFonts w:cs="Gotham-Book"/>
                <w:b/>
                <w:color w:val="000000" w:themeColor="text1"/>
              </w:rPr>
              <w:t>Fecha de conclusión</w:t>
            </w:r>
          </w:p>
        </w:tc>
        <w:tc>
          <w:tcPr>
            <w:tcW w:w="6521" w:type="dxa"/>
            <w:gridSpan w:val="4"/>
          </w:tcPr>
          <w:p w:rsidR="006A5CBF" w:rsidRPr="00295641" w:rsidRDefault="00EB66E2" w:rsidP="00EB66E2">
            <w:pPr>
              <w:jc w:val="both"/>
              <w:rPr>
                <w:color w:val="000000" w:themeColor="text1"/>
              </w:rPr>
            </w:pPr>
            <w:r>
              <w:rPr>
                <w:color w:val="000000" w:themeColor="text1"/>
              </w:rPr>
              <w:t xml:space="preserve">Octubre 2016 </w:t>
            </w:r>
          </w:p>
        </w:tc>
      </w:tr>
      <w:tr w:rsidR="006A5CBF" w:rsidRPr="00295641" w:rsidTr="00EB66E2">
        <w:tc>
          <w:tcPr>
            <w:tcW w:w="2518" w:type="dxa"/>
            <w:gridSpan w:val="2"/>
            <w:shd w:val="clear" w:color="auto" w:fill="C6D9F1" w:themeFill="text2" w:themeFillTint="33"/>
            <w:vAlign w:val="center"/>
          </w:tcPr>
          <w:p w:rsidR="006A5CBF" w:rsidRPr="00295641" w:rsidRDefault="006A5CBF" w:rsidP="00EB66E2">
            <w:pPr>
              <w:rPr>
                <w:b/>
                <w:color w:val="000000" w:themeColor="text1"/>
              </w:rPr>
            </w:pPr>
            <w:r w:rsidRPr="00295641">
              <w:rPr>
                <w:rFonts w:cs="Gotham-Book"/>
                <w:b/>
                <w:color w:val="000000" w:themeColor="text1"/>
              </w:rPr>
              <w:t>Próximos pasos</w:t>
            </w:r>
          </w:p>
        </w:tc>
        <w:tc>
          <w:tcPr>
            <w:tcW w:w="6521" w:type="dxa"/>
            <w:gridSpan w:val="4"/>
          </w:tcPr>
          <w:p w:rsidR="006A5CBF" w:rsidRPr="00295641" w:rsidRDefault="000921DE" w:rsidP="00EB66E2">
            <w:pPr>
              <w:jc w:val="both"/>
              <w:rPr>
                <w:color w:val="000000" w:themeColor="text1"/>
              </w:rPr>
            </w:pPr>
            <w:r>
              <w:rPr>
                <w:color w:val="000000" w:themeColor="text1"/>
              </w:rPr>
              <w:t>Iniciar las actividades que den cumplimiento al compromiso</w:t>
            </w:r>
          </w:p>
        </w:tc>
      </w:tr>
      <w:tr w:rsidR="006A5CBF" w:rsidRPr="00295641" w:rsidTr="00EB66E2">
        <w:tc>
          <w:tcPr>
            <w:tcW w:w="9039" w:type="dxa"/>
            <w:gridSpan w:val="6"/>
          </w:tcPr>
          <w:p w:rsidR="006A5CBF" w:rsidRPr="00295641" w:rsidRDefault="006A5CBF" w:rsidP="00EB66E2">
            <w:pPr>
              <w:jc w:val="both"/>
              <w:rPr>
                <w:rFonts w:cs="Gotham-Book"/>
                <w:b/>
                <w:color w:val="000000" w:themeColor="text1"/>
              </w:rPr>
            </w:pPr>
          </w:p>
          <w:p w:rsidR="006A5CBF" w:rsidRPr="00295641" w:rsidRDefault="006A5CBF" w:rsidP="00EB66E2">
            <w:pPr>
              <w:jc w:val="both"/>
              <w:rPr>
                <w:color w:val="000000" w:themeColor="text1"/>
              </w:rPr>
            </w:pPr>
            <w:r>
              <w:rPr>
                <w:rFonts w:cs="Gotham-Book"/>
                <w:b/>
                <w:color w:val="000000" w:themeColor="text1"/>
              </w:rPr>
              <w:t>Información adicional</w:t>
            </w:r>
          </w:p>
        </w:tc>
      </w:tr>
      <w:tr w:rsidR="006A5CBF" w:rsidRPr="00295641" w:rsidTr="00EB66E2">
        <w:tc>
          <w:tcPr>
            <w:tcW w:w="9039" w:type="dxa"/>
            <w:gridSpan w:val="6"/>
          </w:tcPr>
          <w:p w:rsidR="006A5CBF" w:rsidRPr="00295641" w:rsidRDefault="006A5CBF" w:rsidP="00EB66E2">
            <w:pPr>
              <w:jc w:val="both"/>
              <w:rPr>
                <w:rFonts w:cs="Gotham-Book"/>
                <w:b/>
                <w:color w:val="000000" w:themeColor="text1"/>
              </w:rPr>
            </w:pPr>
          </w:p>
        </w:tc>
      </w:tr>
    </w:tbl>
    <w:p w:rsidR="006A5CBF" w:rsidRDefault="006A5CBF"/>
    <w:p w:rsidR="000921DE" w:rsidRDefault="000921DE"/>
    <w:p w:rsidR="000921DE" w:rsidRDefault="000921DE"/>
    <w:p w:rsidR="006A5CBF" w:rsidRDefault="006A5CB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tbl>
      <w:tblPr>
        <w:tblStyle w:val="Tablaconcuadrcula1"/>
        <w:tblW w:w="0" w:type="auto"/>
        <w:tblLayout w:type="fixed"/>
        <w:tblLook w:val="04A0" w:firstRow="1" w:lastRow="0" w:firstColumn="1" w:lastColumn="0" w:noHBand="0" w:noVBand="1"/>
      </w:tblPr>
      <w:tblGrid>
        <w:gridCol w:w="2109"/>
        <w:gridCol w:w="409"/>
        <w:gridCol w:w="1701"/>
        <w:gridCol w:w="1729"/>
        <w:gridCol w:w="1644"/>
        <w:gridCol w:w="1447"/>
      </w:tblGrid>
      <w:tr w:rsidR="00EB66E2" w:rsidRPr="009A6EA8" w:rsidTr="00EB66E2">
        <w:tc>
          <w:tcPr>
            <w:tcW w:w="9039" w:type="dxa"/>
            <w:gridSpan w:val="6"/>
            <w:shd w:val="clear" w:color="auto" w:fill="548DD4" w:themeFill="text2" w:themeFillTint="99"/>
          </w:tcPr>
          <w:p w:rsidR="00EB66E2" w:rsidRPr="009A6EA8" w:rsidRDefault="00EB66E2" w:rsidP="00EB66E2">
            <w:pPr>
              <w:ind w:left="360"/>
              <w:jc w:val="center"/>
              <w:rPr>
                <w:b/>
              </w:rPr>
            </w:pPr>
            <w:r>
              <w:rPr>
                <w:b/>
              </w:rPr>
              <w:t>Componente: Rendición de Cuentas</w:t>
            </w:r>
          </w:p>
        </w:tc>
      </w:tr>
      <w:tr w:rsidR="00EB66E2" w:rsidRPr="009A6EA8" w:rsidTr="00EB66E2">
        <w:tc>
          <w:tcPr>
            <w:tcW w:w="9039" w:type="dxa"/>
            <w:gridSpan w:val="6"/>
            <w:shd w:val="clear" w:color="auto" w:fill="548DD4" w:themeFill="text2" w:themeFillTint="99"/>
          </w:tcPr>
          <w:p w:rsidR="00EB66E2" w:rsidRPr="000921DE" w:rsidRDefault="000921DE" w:rsidP="00E35A26">
            <w:pPr>
              <w:ind w:left="360"/>
              <w:jc w:val="center"/>
              <w:rPr>
                <w:rFonts w:ascii="Calibri" w:hAnsi="Calibri"/>
                <w:b/>
                <w:color w:val="000000"/>
              </w:rPr>
            </w:pPr>
            <w:r w:rsidRPr="000921DE">
              <w:rPr>
                <w:rFonts w:ascii="Calibri" w:hAnsi="Calibri"/>
                <w:b/>
                <w:color w:val="000000"/>
                <w:u w:val="single"/>
              </w:rPr>
              <w:t>Compromiso</w:t>
            </w:r>
            <w:r w:rsidR="00EB66E2" w:rsidRPr="000921DE">
              <w:rPr>
                <w:rFonts w:ascii="Calibri" w:hAnsi="Calibri"/>
                <w:b/>
                <w:color w:val="000000"/>
                <w:u w:val="single"/>
              </w:rPr>
              <w:t>11</w:t>
            </w:r>
            <w:r w:rsidR="00EB66E2" w:rsidRPr="000921DE">
              <w:rPr>
                <w:rFonts w:ascii="Calibri" w:hAnsi="Calibri"/>
                <w:b/>
                <w:color w:val="000000"/>
              </w:rPr>
              <w:t xml:space="preserve">. Información </w:t>
            </w:r>
            <w:r w:rsidR="00E35A26">
              <w:rPr>
                <w:rFonts w:ascii="Calibri" w:hAnsi="Calibri"/>
                <w:b/>
                <w:color w:val="000000"/>
              </w:rPr>
              <w:t>c</w:t>
            </w:r>
            <w:r w:rsidR="00EB66E2" w:rsidRPr="000921DE">
              <w:rPr>
                <w:rFonts w:ascii="Calibri" w:hAnsi="Calibri"/>
                <w:b/>
                <w:color w:val="000000"/>
              </w:rPr>
              <w:t>omprensible de Informes de Rendición de cuentas de los Titulares de las Entidades Públicas</w:t>
            </w:r>
          </w:p>
        </w:tc>
      </w:tr>
      <w:tr w:rsidR="00EB66E2" w:rsidRPr="009A6EA8" w:rsidTr="00EB66E2">
        <w:tc>
          <w:tcPr>
            <w:tcW w:w="4219" w:type="dxa"/>
            <w:gridSpan w:val="3"/>
            <w:shd w:val="clear" w:color="auto" w:fill="C6D9F1" w:themeFill="text2" w:themeFillTint="33"/>
            <w:vAlign w:val="center"/>
          </w:tcPr>
          <w:p w:rsidR="00EB66E2" w:rsidRPr="009A6EA8" w:rsidRDefault="00EB66E2" w:rsidP="00EB66E2">
            <w:pPr>
              <w:autoSpaceDE w:val="0"/>
              <w:autoSpaceDN w:val="0"/>
              <w:adjustRightInd w:val="0"/>
              <w:rPr>
                <w:rFonts w:cs="Gotham-Book"/>
                <w:b/>
                <w:color w:val="000000" w:themeColor="text1"/>
              </w:rPr>
            </w:pPr>
            <w:r w:rsidRPr="009A6EA8">
              <w:rPr>
                <w:rFonts w:cs="Gotham-Book"/>
                <w:b/>
                <w:color w:val="000000" w:themeColor="text1"/>
              </w:rPr>
              <w:t>Secretaría/Ministerio</w:t>
            </w:r>
          </w:p>
          <w:p w:rsidR="00EB66E2" w:rsidRPr="009A6EA8" w:rsidRDefault="00EB66E2" w:rsidP="00EB66E2">
            <w:pPr>
              <w:rPr>
                <w:b/>
                <w:color w:val="000000" w:themeColor="text1"/>
              </w:rPr>
            </w:pPr>
            <w:r w:rsidRPr="009A6EA8">
              <w:rPr>
                <w:rFonts w:cs="Gotham-Book"/>
                <w:b/>
                <w:color w:val="000000" w:themeColor="text1"/>
              </w:rPr>
              <w:t>Responsable</w:t>
            </w:r>
          </w:p>
        </w:tc>
        <w:tc>
          <w:tcPr>
            <w:tcW w:w="4820" w:type="dxa"/>
            <w:gridSpan w:val="3"/>
          </w:tcPr>
          <w:p w:rsidR="00EB66E2" w:rsidRPr="009A6EA8" w:rsidRDefault="00EB66E2" w:rsidP="00EB66E2">
            <w:pPr>
              <w:jc w:val="both"/>
              <w:rPr>
                <w:color w:val="000000" w:themeColor="text1"/>
              </w:rPr>
            </w:pPr>
            <w:r>
              <w:rPr>
                <w:color w:val="000000" w:themeColor="text1"/>
              </w:rPr>
              <w:t>Contraloría General de la República</w:t>
            </w:r>
          </w:p>
        </w:tc>
      </w:tr>
      <w:tr w:rsidR="00EB66E2" w:rsidRPr="009A6EA8" w:rsidTr="00EB66E2">
        <w:tc>
          <w:tcPr>
            <w:tcW w:w="4219" w:type="dxa"/>
            <w:gridSpan w:val="3"/>
            <w:shd w:val="clear" w:color="auto" w:fill="C6D9F1" w:themeFill="text2" w:themeFillTint="33"/>
            <w:vAlign w:val="center"/>
          </w:tcPr>
          <w:p w:rsidR="00EB66E2" w:rsidRPr="009A6EA8" w:rsidRDefault="00EB66E2" w:rsidP="00EB66E2">
            <w:pPr>
              <w:autoSpaceDE w:val="0"/>
              <w:autoSpaceDN w:val="0"/>
              <w:adjustRightInd w:val="0"/>
              <w:rPr>
                <w:rFonts w:cs="Gotham-Book"/>
                <w:b/>
                <w:color w:val="000000" w:themeColor="text1"/>
              </w:rPr>
            </w:pPr>
            <w:r w:rsidRPr="009A6EA8">
              <w:rPr>
                <w:rFonts w:cs="Gotham-Book"/>
                <w:b/>
                <w:color w:val="000000" w:themeColor="text1"/>
              </w:rPr>
              <w:t>Nombre de la persona  responsable</w:t>
            </w:r>
          </w:p>
        </w:tc>
        <w:tc>
          <w:tcPr>
            <w:tcW w:w="4820" w:type="dxa"/>
            <w:gridSpan w:val="3"/>
          </w:tcPr>
          <w:p w:rsidR="00EB66E2" w:rsidRPr="009A6EA8" w:rsidRDefault="00EB66E2" w:rsidP="00EB66E2">
            <w:pPr>
              <w:jc w:val="both"/>
              <w:rPr>
                <w:color w:val="000000" w:themeColor="text1"/>
              </w:rPr>
            </w:pPr>
            <w:r>
              <w:rPr>
                <w:color w:val="000000" w:themeColor="text1"/>
              </w:rPr>
              <w:t xml:space="preserve">Edgar </w:t>
            </w:r>
            <w:proofErr w:type="spellStart"/>
            <w:r>
              <w:rPr>
                <w:color w:val="000000" w:themeColor="text1"/>
              </w:rPr>
              <w:t>Arnold</w:t>
            </w:r>
            <w:proofErr w:type="spellEnd"/>
            <w:r>
              <w:rPr>
                <w:color w:val="000000" w:themeColor="text1"/>
              </w:rPr>
              <w:t xml:space="preserve"> Alarcón Tejada</w:t>
            </w:r>
          </w:p>
        </w:tc>
      </w:tr>
      <w:tr w:rsidR="00EB66E2" w:rsidRPr="009A6EA8" w:rsidTr="00EB66E2">
        <w:tc>
          <w:tcPr>
            <w:tcW w:w="4219" w:type="dxa"/>
            <w:gridSpan w:val="3"/>
            <w:shd w:val="clear" w:color="auto" w:fill="C6D9F1" w:themeFill="text2" w:themeFillTint="33"/>
            <w:vAlign w:val="center"/>
          </w:tcPr>
          <w:p w:rsidR="00EB66E2" w:rsidRPr="009A6EA8" w:rsidRDefault="00EB66E2" w:rsidP="00EB66E2">
            <w:pPr>
              <w:rPr>
                <w:b/>
                <w:color w:val="000000" w:themeColor="text1"/>
              </w:rPr>
            </w:pPr>
            <w:r w:rsidRPr="009A6EA8">
              <w:rPr>
                <w:rFonts w:cs="Gotham-Book"/>
                <w:b/>
                <w:color w:val="000000" w:themeColor="text1"/>
              </w:rPr>
              <w:t>Puesto</w:t>
            </w:r>
          </w:p>
        </w:tc>
        <w:tc>
          <w:tcPr>
            <w:tcW w:w="4820" w:type="dxa"/>
            <w:gridSpan w:val="3"/>
          </w:tcPr>
          <w:p w:rsidR="00EB66E2" w:rsidRPr="009A6EA8" w:rsidRDefault="00EB66E2" w:rsidP="00EB66E2">
            <w:pPr>
              <w:jc w:val="both"/>
              <w:rPr>
                <w:color w:val="000000" w:themeColor="text1"/>
              </w:rPr>
            </w:pPr>
            <w:r>
              <w:rPr>
                <w:color w:val="000000" w:themeColor="text1"/>
              </w:rPr>
              <w:t>Contralor General de la República</w:t>
            </w:r>
          </w:p>
        </w:tc>
      </w:tr>
      <w:tr w:rsidR="00EB66E2" w:rsidRPr="009A6EA8" w:rsidTr="00EB66E2">
        <w:tc>
          <w:tcPr>
            <w:tcW w:w="4219" w:type="dxa"/>
            <w:gridSpan w:val="3"/>
            <w:shd w:val="clear" w:color="auto" w:fill="C6D9F1" w:themeFill="text2" w:themeFillTint="33"/>
            <w:vAlign w:val="center"/>
          </w:tcPr>
          <w:p w:rsidR="00EB66E2" w:rsidRPr="009A6EA8" w:rsidRDefault="00EB66E2" w:rsidP="00EB66E2">
            <w:pPr>
              <w:autoSpaceDE w:val="0"/>
              <w:autoSpaceDN w:val="0"/>
              <w:adjustRightInd w:val="0"/>
              <w:rPr>
                <w:rFonts w:cs="Gotham-Book"/>
                <w:b/>
                <w:color w:val="000000" w:themeColor="text1"/>
              </w:rPr>
            </w:pPr>
            <w:r w:rsidRPr="009A6EA8">
              <w:rPr>
                <w:rFonts w:cs="Gotham-Book"/>
                <w:b/>
                <w:color w:val="000000" w:themeColor="text1"/>
              </w:rPr>
              <w:t>Correo electrónico</w:t>
            </w:r>
          </w:p>
        </w:tc>
        <w:tc>
          <w:tcPr>
            <w:tcW w:w="4820" w:type="dxa"/>
            <w:gridSpan w:val="3"/>
          </w:tcPr>
          <w:p w:rsidR="00EB66E2" w:rsidRPr="009A6EA8" w:rsidRDefault="002F3E0D" w:rsidP="00EB66E2">
            <w:pPr>
              <w:jc w:val="both"/>
              <w:rPr>
                <w:rFonts w:cs="Arial"/>
                <w:color w:val="0000FF"/>
                <w:u w:val="single"/>
              </w:rPr>
            </w:pPr>
            <w:hyperlink r:id="rId30" w:history="1">
              <w:r w:rsidR="00EB66E2" w:rsidRPr="002977A0">
                <w:rPr>
                  <w:rStyle w:val="Hipervnculo"/>
                  <w:rFonts w:cs="Arial"/>
                </w:rPr>
                <w:t>ealarcon@contraloria.gob.pe</w:t>
              </w:r>
            </w:hyperlink>
          </w:p>
        </w:tc>
      </w:tr>
      <w:tr w:rsidR="00EB66E2" w:rsidRPr="009A6EA8" w:rsidTr="00EB66E2">
        <w:tc>
          <w:tcPr>
            <w:tcW w:w="4219" w:type="dxa"/>
            <w:gridSpan w:val="3"/>
            <w:shd w:val="clear" w:color="auto" w:fill="C6D9F1" w:themeFill="text2" w:themeFillTint="33"/>
            <w:vAlign w:val="center"/>
          </w:tcPr>
          <w:p w:rsidR="00EB66E2" w:rsidRPr="009A6EA8" w:rsidRDefault="00EB66E2" w:rsidP="00EB66E2">
            <w:pPr>
              <w:rPr>
                <w:b/>
                <w:color w:val="000000" w:themeColor="text1"/>
              </w:rPr>
            </w:pPr>
            <w:r w:rsidRPr="009A6EA8">
              <w:rPr>
                <w:rFonts w:cs="Gotham-Book"/>
                <w:b/>
                <w:color w:val="000000" w:themeColor="text1"/>
              </w:rPr>
              <w:t>Teléfono</w:t>
            </w:r>
          </w:p>
        </w:tc>
        <w:tc>
          <w:tcPr>
            <w:tcW w:w="4820" w:type="dxa"/>
            <w:gridSpan w:val="3"/>
          </w:tcPr>
          <w:p w:rsidR="00EB66E2" w:rsidRPr="009A6EA8" w:rsidRDefault="00EB66E2" w:rsidP="00EB66E2">
            <w:pPr>
              <w:jc w:val="both"/>
              <w:rPr>
                <w:color w:val="000000" w:themeColor="text1"/>
              </w:rPr>
            </w:pPr>
            <w:r>
              <w:rPr>
                <w:color w:val="000000" w:themeColor="text1"/>
              </w:rPr>
              <w:t>51-1- 3303000</w:t>
            </w:r>
          </w:p>
        </w:tc>
      </w:tr>
      <w:tr w:rsidR="00EB66E2" w:rsidRPr="009A6EA8" w:rsidTr="00EB66E2">
        <w:tc>
          <w:tcPr>
            <w:tcW w:w="2109" w:type="dxa"/>
            <w:vMerge w:val="restart"/>
            <w:shd w:val="clear" w:color="auto" w:fill="C6D9F1" w:themeFill="text2" w:themeFillTint="33"/>
            <w:vAlign w:val="center"/>
          </w:tcPr>
          <w:p w:rsidR="00EB66E2" w:rsidRPr="009A6EA8" w:rsidRDefault="00EB66E2" w:rsidP="00EB66E2">
            <w:pPr>
              <w:rPr>
                <w:rFonts w:cs="Gotham-Book"/>
                <w:b/>
                <w:color w:val="000000" w:themeColor="text1"/>
              </w:rPr>
            </w:pPr>
            <w:r w:rsidRPr="009A6EA8">
              <w:rPr>
                <w:rFonts w:cs="Gotham-Book"/>
                <w:b/>
                <w:color w:val="000000" w:themeColor="text1"/>
              </w:rPr>
              <w:t>Otros actores involucrados</w:t>
            </w:r>
          </w:p>
        </w:tc>
        <w:tc>
          <w:tcPr>
            <w:tcW w:w="2110" w:type="dxa"/>
            <w:gridSpan w:val="2"/>
            <w:shd w:val="clear" w:color="auto" w:fill="C6D9F1" w:themeFill="text2" w:themeFillTint="33"/>
            <w:vAlign w:val="center"/>
          </w:tcPr>
          <w:p w:rsidR="00EB66E2" w:rsidRPr="009A6EA8" w:rsidRDefault="00EB66E2" w:rsidP="00EB66E2">
            <w:pPr>
              <w:rPr>
                <w:rFonts w:cs="Gotham-Book"/>
                <w:b/>
                <w:color w:val="000000" w:themeColor="text1"/>
              </w:rPr>
            </w:pPr>
            <w:r w:rsidRPr="009A6EA8">
              <w:rPr>
                <w:rFonts w:cs="Gotham-Book"/>
                <w:b/>
                <w:color w:val="000000" w:themeColor="text1"/>
              </w:rPr>
              <w:t>Gobierno</w:t>
            </w:r>
          </w:p>
        </w:tc>
        <w:tc>
          <w:tcPr>
            <w:tcW w:w="4820" w:type="dxa"/>
            <w:gridSpan w:val="3"/>
          </w:tcPr>
          <w:p w:rsidR="00EB66E2" w:rsidRPr="009A6EA8" w:rsidRDefault="00EB66E2" w:rsidP="00EB66E2">
            <w:pPr>
              <w:jc w:val="both"/>
              <w:rPr>
                <w:color w:val="000000" w:themeColor="text1"/>
              </w:rPr>
            </w:pPr>
            <w:r>
              <w:rPr>
                <w:color w:val="000000" w:themeColor="text1"/>
              </w:rPr>
              <w:t>No aplica</w:t>
            </w:r>
          </w:p>
        </w:tc>
      </w:tr>
      <w:tr w:rsidR="00EB66E2" w:rsidRPr="009A6EA8" w:rsidTr="00EB66E2">
        <w:tc>
          <w:tcPr>
            <w:tcW w:w="2109" w:type="dxa"/>
            <w:vMerge/>
            <w:shd w:val="clear" w:color="auto" w:fill="C6D9F1" w:themeFill="text2" w:themeFillTint="33"/>
            <w:vAlign w:val="center"/>
          </w:tcPr>
          <w:p w:rsidR="00EB66E2" w:rsidRPr="009A6EA8" w:rsidRDefault="00EB66E2" w:rsidP="00EB66E2">
            <w:pPr>
              <w:rPr>
                <w:rFonts w:cs="Gotham-Book"/>
                <w:b/>
                <w:color w:val="000000" w:themeColor="text1"/>
              </w:rPr>
            </w:pPr>
          </w:p>
        </w:tc>
        <w:tc>
          <w:tcPr>
            <w:tcW w:w="2110" w:type="dxa"/>
            <w:gridSpan w:val="2"/>
            <w:shd w:val="clear" w:color="auto" w:fill="C6D9F1" w:themeFill="text2" w:themeFillTint="33"/>
            <w:vAlign w:val="center"/>
          </w:tcPr>
          <w:p w:rsidR="00EB66E2" w:rsidRPr="009A6EA8" w:rsidRDefault="00EB66E2" w:rsidP="00EB66E2">
            <w:pPr>
              <w:rPr>
                <w:rFonts w:cs="Gotham-Book"/>
                <w:b/>
                <w:color w:val="000000" w:themeColor="text1"/>
              </w:rPr>
            </w:pPr>
            <w:r w:rsidRPr="009A6EA8">
              <w:rPr>
                <w:rFonts w:cs="Gotham-Book"/>
                <w:b/>
                <w:color w:val="000000" w:themeColor="text1"/>
              </w:rPr>
              <w:t>Sociedad civil, iniciativa privada, grupos de trabajo o multilaterales</w:t>
            </w:r>
          </w:p>
        </w:tc>
        <w:tc>
          <w:tcPr>
            <w:tcW w:w="4820" w:type="dxa"/>
            <w:gridSpan w:val="3"/>
          </w:tcPr>
          <w:p w:rsidR="00EB66E2" w:rsidRPr="009A6EA8" w:rsidRDefault="00EB66E2" w:rsidP="00EB66E2">
            <w:pPr>
              <w:jc w:val="both"/>
              <w:rPr>
                <w:color w:val="000000" w:themeColor="text1"/>
              </w:rPr>
            </w:pPr>
          </w:p>
        </w:tc>
      </w:tr>
      <w:tr w:rsidR="00EB66E2" w:rsidRPr="009A6EA8" w:rsidTr="00EB66E2">
        <w:tc>
          <w:tcPr>
            <w:tcW w:w="4219" w:type="dxa"/>
            <w:gridSpan w:val="3"/>
            <w:shd w:val="clear" w:color="auto" w:fill="C6D9F1" w:themeFill="text2" w:themeFillTint="33"/>
            <w:vAlign w:val="center"/>
          </w:tcPr>
          <w:p w:rsidR="00EB66E2" w:rsidRPr="009A6EA8" w:rsidRDefault="00EB66E2" w:rsidP="00EB66E2">
            <w:pPr>
              <w:rPr>
                <w:rFonts w:cs="Gotham-Book"/>
                <w:b/>
                <w:color w:val="000000" w:themeColor="text1"/>
              </w:rPr>
            </w:pPr>
            <w:r w:rsidRPr="009A6EA8">
              <w:rPr>
                <w:rFonts w:cs="Gotham-Book"/>
                <w:b/>
                <w:color w:val="000000" w:themeColor="text1"/>
              </w:rPr>
              <w:t>Status quo o problema/</w:t>
            </w:r>
            <w:r w:rsidRPr="009A6EA8">
              <w:rPr>
                <w:rFonts w:cs="Gotham-Book"/>
                <w:b/>
                <w:color w:val="000000" w:themeColor="text1"/>
              </w:rPr>
              <w:br/>
              <w:t>desafío que será atendido</w:t>
            </w:r>
          </w:p>
        </w:tc>
        <w:tc>
          <w:tcPr>
            <w:tcW w:w="4820" w:type="dxa"/>
            <w:gridSpan w:val="3"/>
          </w:tcPr>
          <w:p w:rsidR="00EB66E2" w:rsidRPr="009A6EA8" w:rsidRDefault="00F35A90" w:rsidP="000C6B21">
            <w:pPr>
              <w:autoSpaceDE w:val="0"/>
              <w:autoSpaceDN w:val="0"/>
              <w:adjustRightInd w:val="0"/>
              <w:jc w:val="both"/>
              <w:rPr>
                <w:rFonts w:ascii="Calibri" w:hAnsi="Calibri" w:cs="Calibri"/>
                <w:color w:val="000000"/>
                <w:lang w:val="es-PE"/>
              </w:rPr>
            </w:pPr>
            <w:r>
              <w:rPr>
                <w:rFonts w:ascii="Calibri" w:hAnsi="Calibri" w:cs="Calibri"/>
                <w:color w:val="000000"/>
                <w:lang w:val="es-PE"/>
              </w:rPr>
              <w:t>Se advierte la necesidad de que l</w:t>
            </w:r>
            <w:r w:rsidR="00EB66E2">
              <w:rPr>
                <w:rFonts w:ascii="Calibri" w:hAnsi="Calibri" w:cs="Calibri"/>
                <w:color w:val="000000"/>
                <w:lang w:val="es-PE"/>
              </w:rPr>
              <w:t xml:space="preserve">a información contenida en los informes de rendición de cuentas de los titulares de las entidades públicas </w:t>
            </w:r>
            <w:r>
              <w:rPr>
                <w:rFonts w:ascii="Calibri" w:hAnsi="Calibri" w:cs="Calibri"/>
                <w:color w:val="000000"/>
                <w:lang w:val="es-PE"/>
              </w:rPr>
              <w:t xml:space="preserve">se presente en formatos de mayor comprensión, que respondan </w:t>
            </w:r>
            <w:r w:rsidR="00EB66E2">
              <w:rPr>
                <w:rFonts w:ascii="Calibri" w:hAnsi="Calibri" w:cs="Calibri"/>
                <w:color w:val="000000"/>
                <w:lang w:val="es-PE"/>
              </w:rPr>
              <w:t>a los requerimientos y necesidades de la ciudadanía para el ejercicio del control social y para labores propias del control.</w:t>
            </w:r>
          </w:p>
          <w:p w:rsidR="00EB66E2" w:rsidRPr="009A6EA8" w:rsidRDefault="00EB66E2" w:rsidP="00EB66E2">
            <w:pPr>
              <w:jc w:val="both"/>
              <w:rPr>
                <w:color w:val="000000" w:themeColor="text1"/>
                <w:lang w:val="es-PE"/>
              </w:rPr>
            </w:pPr>
          </w:p>
        </w:tc>
      </w:tr>
      <w:tr w:rsidR="00EB66E2" w:rsidRPr="009A6EA8" w:rsidTr="00EB66E2">
        <w:tc>
          <w:tcPr>
            <w:tcW w:w="4219" w:type="dxa"/>
            <w:gridSpan w:val="3"/>
            <w:shd w:val="clear" w:color="auto" w:fill="C6D9F1" w:themeFill="text2" w:themeFillTint="33"/>
            <w:vAlign w:val="center"/>
          </w:tcPr>
          <w:p w:rsidR="00EB66E2" w:rsidRPr="009A6EA8" w:rsidRDefault="00EB66E2" w:rsidP="00EB66E2">
            <w:pPr>
              <w:rPr>
                <w:b/>
                <w:color w:val="000000" w:themeColor="text1"/>
              </w:rPr>
            </w:pPr>
            <w:r w:rsidRPr="009A6EA8">
              <w:rPr>
                <w:rFonts w:cs="Gotham-Book"/>
                <w:b/>
                <w:color w:val="000000" w:themeColor="text1"/>
              </w:rPr>
              <w:t>Objetivo principal</w:t>
            </w:r>
          </w:p>
        </w:tc>
        <w:tc>
          <w:tcPr>
            <w:tcW w:w="4820" w:type="dxa"/>
            <w:gridSpan w:val="3"/>
          </w:tcPr>
          <w:p w:rsidR="00EB66E2" w:rsidRPr="009A6EA8" w:rsidRDefault="00EB66E2" w:rsidP="00EB66E2">
            <w:pPr>
              <w:jc w:val="both"/>
              <w:rPr>
                <w:bCs/>
              </w:rPr>
            </w:pPr>
            <w:r>
              <w:rPr>
                <w:bCs/>
              </w:rPr>
              <w:t>Permitir el fácil acceso y la comprensión de la información brindada por los titulares de las entidades públicas sobre el manejo de los recursos, así como sobre las decisiones adoptadas en ejercicio de sus funciones, dando respuesta a la ciudadanía por la gestión y resultado de sus acciones, pudiendo ser sujeto de control social.</w:t>
            </w:r>
          </w:p>
        </w:tc>
      </w:tr>
      <w:tr w:rsidR="00EB66E2" w:rsidRPr="009A6EA8" w:rsidTr="00EB66E2">
        <w:tc>
          <w:tcPr>
            <w:tcW w:w="4219" w:type="dxa"/>
            <w:gridSpan w:val="3"/>
            <w:shd w:val="clear" w:color="auto" w:fill="C6D9F1" w:themeFill="text2" w:themeFillTint="33"/>
            <w:vAlign w:val="center"/>
          </w:tcPr>
          <w:p w:rsidR="00EB66E2" w:rsidRPr="009A6EA8" w:rsidRDefault="00EB66E2" w:rsidP="00EB66E2">
            <w:pPr>
              <w:autoSpaceDE w:val="0"/>
              <w:autoSpaceDN w:val="0"/>
              <w:adjustRightInd w:val="0"/>
              <w:rPr>
                <w:rFonts w:cs="Gotham-Book"/>
                <w:b/>
                <w:color w:val="000000" w:themeColor="text1"/>
              </w:rPr>
            </w:pPr>
            <w:r w:rsidRPr="009A6EA8">
              <w:rPr>
                <w:rFonts w:cs="Gotham-Book"/>
                <w:b/>
                <w:color w:val="000000" w:themeColor="text1"/>
              </w:rPr>
              <w:t>Breve Descripción del</w:t>
            </w:r>
          </w:p>
          <w:p w:rsidR="00EB66E2" w:rsidRPr="009A6EA8" w:rsidRDefault="00EB66E2" w:rsidP="00EB66E2">
            <w:pPr>
              <w:autoSpaceDE w:val="0"/>
              <w:autoSpaceDN w:val="0"/>
              <w:adjustRightInd w:val="0"/>
              <w:rPr>
                <w:rFonts w:cs="Gotham-Book"/>
                <w:b/>
                <w:color w:val="000000" w:themeColor="text1"/>
              </w:rPr>
            </w:pPr>
            <w:r w:rsidRPr="009A6EA8">
              <w:rPr>
                <w:rFonts w:cs="Gotham-Book"/>
                <w:b/>
                <w:color w:val="000000" w:themeColor="text1"/>
              </w:rPr>
              <w:t>Compromiso</w:t>
            </w:r>
          </w:p>
        </w:tc>
        <w:tc>
          <w:tcPr>
            <w:tcW w:w="4820" w:type="dxa"/>
            <w:gridSpan w:val="3"/>
          </w:tcPr>
          <w:p w:rsidR="00EB66E2" w:rsidRPr="009A6EA8" w:rsidRDefault="00EB66E2" w:rsidP="00EB66E2">
            <w:pPr>
              <w:jc w:val="both"/>
              <w:rPr>
                <w:color w:val="FF0000"/>
                <w:szCs w:val="20"/>
                <w:lang w:val="es-PE"/>
              </w:rPr>
            </w:pPr>
            <w:r>
              <w:rPr>
                <w:rFonts w:ascii="Calibri" w:hAnsi="Calibri"/>
                <w:color w:val="000000"/>
              </w:rPr>
              <w:t>Brindar a la ciudadanía información comprensible sobre los informes de rendición de cuentas de los titulares de las entidades públicas a través de la web, a fin de permitir el control social a partir de dicha información.</w:t>
            </w:r>
          </w:p>
        </w:tc>
      </w:tr>
      <w:tr w:rsidR="00EB66E2" w:rsidRPr="009A6EA8" w:rsidTr="00EB66E2">
        <w:tc>
          <w:tcPr>
            <w:tcW w:w="4219" w:type="dxa"/>
            <w:gridSpan w:val="3"/>
            <w:shd w:val="clear" w:color="auto" w:fill="C6D9F1" w:themeFill="text2" w:themeFillTint="33"/>
            <w:vAlign w:val="center"/>
          </w:tcPr>
          <w:p w:rsidR="00EB66E2" w:rsidRPr="009A6EA8" w:rsidRDefault="00EB66E2" w:rsidP="00EB66E2">
            <w:pPr>
              <w:autoSpaceDE w:val="0"/>
              <w:autoSpaceDN w:val="0"/>
              <w:adjustRightInd w:val="0"/>
              <w:rPr>
                <w:rFonts w:cs="Gotham-Book"/>
                <w:b/>
                <w:color w:val="000000" w:themeColor="text1"/>
              </w:rPr>
            </w:pPr>
            <w:r w:rsidRPr="009A6EA8">
              <w:rPr>
                <w:rFonts w:cs="Gotham-Book"/>
                <w:b/>
                <w:color w:val="000000" w:themeColor="text1"/>
              </w:rPr>
              <w:t>Relevancia</w:t>
            </w:r>
          </w:p>
          <w:p w:rsidR="00EB66E2" w:rsidRPr="009A6EA8" w:rsidRDefault="00EB66E2" w:rsidP="00EB66E2">
            <w:pPr>
              <w:autoSpaceDE w:val="0"/>
              <w:autoSpaceDN w:val="0"/>
              <w:adjustRightInd w:val="0"/>
              <w:rPr>
                <w:b/>
                <w:color w:val="000000" w:themeColor="text1"/>
              </w:rPr>
            </w:pPr>
          </w:p>
        </w:tc>
        <w:tc>
          <w:tcPr>
            <w:tcW w:w="4820" w:type="dxa"/>
            <w:gridSpan w:val="3"/>
          </w:tcPr>
          <w:p w:rsidR="00EB66E2" w:rsidRPr="009A6EA8" w:rsidRDefault="00EB66E2" w:rsidP="00EB66E2">
            <w:pPr>
              <w:jc w:val="both"/>
              <w:rPr>
                <w:szCs w:val="20"/>
                <w:lang w:val="es-PE"/>
              </w:rPr>
            </w:pPr>
            <w:r w:rsidRPr="006E5344">
              <w:rPr>
                <w:szCs w:val="20"/>
                <w:lang w:val="es-PE"/>
              </w:rPr>
              <w:t xml:space="preserve">Desarrollar instrumentos basados en herramientas tecnológicas para hacer más comprensible la rendición de cuentas y facilitar el control social contribuye a la transparencia de la gestión y promueve la fiscalización y control de los ciudadanos respecto a la gestión pública, así como se promueve el uso de las tecnologías de la información para disponer de información de interés de la ciudadanía. </w:t>
            </w:r>
          </w:p>
        </w:tc>
      </w:tr>
      <w:tr w:rsidR="00EB66E2" w:rsidRPr="009A6EA8" w:rsidTr="00EB66E2">
        <w:tc>
          <w:tcPr>
            <w:tcW w:w="4219" w:type="dxa"/>
            <w:gridSpan w:val="3"/>
            <w:shd w:val="clear" w:color="auto" w:fill="C6D9F1" w:themeFill="text2" w:themeFillTint="33"/>
            <w:vAlign w:val="center"/>
          </w:tcPr>
          <w:p w:rsidR="00EB66E2" w:rsidRPr="009A6EA8" w:rsidRDefault="00EB66E2" w:rsidP="00EB66E2">
            <w:pPr>
              <w:autoSpaceDE w:val="0"/>
              <w:autoSpaceDN w:val="0"/>
              <w:adjustRightInd w:val="0"/>
              <w:rPr>
                <w:rFonts w:cs="Gotham-Book"/>
                <w:b/>
                <w:color w:val="000000" w:themeColor="text1"/>
              </w:rPr>
            </w:pPr>
            <w:r w:rsidRPr="009A6EA8">
              <w:rPr>
                <w:rFonts w:cs="Gotham-Book"/>
                <w:b/>
                <w:color w:val="000000" w:themeColor="text1"/>
              </w:rPr>
              <w:t>Ambición</w:t>
            </w:r>
          </w:p>
          <w:p w:rsidR="00EB66E2" w:rsidRPr="009A6EA8" w:rsidRDefault="00EB66E2" w:rsidP="00EB66E2">
            <w:pPr>
              <w:autoSpaceDE w:val="0"/>
              <w:autoSpaceDN w:val="0"/>
              <w:adjustRightInd w:val="0"/>
              <w:rPr>
                <w:rFonts w:cs="Gotham-BookItalic"/>
                <w:b/>
                <w:iCs/>
                <w:color w:val="000000" w:themeColor="text1"/>
              </w:rPr>
            </w:pPr>
          </w:p>
        </w:tc>
        <w:tc>
          <w:tcPr>
            <w:tcW w:w="4820" w:type="dxa"/>
            <w:gridSpan w:val="3"/>
          </w:tcPr>
          <w:p w:rsidR="00EB66E2" w:rsidRPr="009A6EA8" w:rsidRDefault="00EB66E2" w:rsidP="00EB66E2">
            <w:pPr>
              <w:jc w:val="both"/>
              <w:rPr>
                <w:szCs w:val="20"/>
                <w:lang w:val="es-PE"/>
              </w:rPr>
            </w:pPr>
            <w:r w:rsidRPr="006E5344">
              <w:rPr>
                <w:szCs w:val="20"/>
                <w:lang w:val="es-PE"/>
              </w:rPr>
              <w:t>Se espera contar con una herramienta que permita poner en práctica de manera eficiente la rendición de cuentas como mecanismo de participación ciudadana, poniendo a la administración pública bajo el control ciudadano</w:t>
            </w:r>
            <w:r w:rsidR="00F35A90">
              <w:rPr>
                <w:szCs w:val="20"/>
                <w:lang w:val="es-PE"/>
              </w:rPr>
              <w:t>,</w:t>
            </w:r>
            <w:r w:rsidRPr="006E5344">
              <w:rPr>
                <w:szCs w:val="20"/>
                <w:lang w:val="es-PE"/>
              </w:rPr>
              <w:t xml:space="preserve"> respecto a las decisiones que toma</w:t>
            </w:r>
            <w:r w:rsidR="006612ED">
              <w:rPr>
                <w:szCs w:val="20"/>
                <w:lang w:val="es-PE"/>
              </w:rPr>
              <w:t>,</w:t>
            </w:r>
            <w:r w:rsidRPr="006E5344">
              <w:rPr>
                <w:szCs w:val="20"/>
                <w:lang w:val="es-PE"/>
              </w:rPr>
              <w:t xml:space="preserve"> así como del manejo de los recursos públicos.</w:t>
            </w:r>
          </w:p>
        </w:tc>
      </w:tr>
      <w:tr w:rsidR="00EB66E2" w:rsidRPr="009A6EA8" w:rsidTr="00EB66E2">
        <w:tc>
          <w:tcPr>
            <w:tcW w:w="2518" w:type="dxa"/>
            <w:gridSpan w:val="2"/>
            <w:vMerge w:val="restart"/>
            <w:shd w:val="clear" w:color="auto" w:fill="C6D9F1" w:themeFill="text2" w:themeFillTint="33"/>
            <w:vAlign w:val="center"/>
          </w:tcPr>
          <w:p w:rsidR="00EB66E2" w:rsidRPr="009A6EA8" w:rsidRDefault="00EB66E2" w:rsidP="00EB66E2">
            <w:pPr>
              <w:rPr>
                <w:b/>
                <w:color w:val="000000" w:themeColor="text1"/>
              </w:rPr>
            </w:pPr>
            <w:r w:rsidRPr="009A6EA8">
              <w:rPr>
                <w:rFonts w:cs="Gotham-Book"/>
                <w:b/>
                <w:color w:val="000000" w:themeColor="text1"/>
              </w:rPr>
              <w:t>Cumplimiento</w:t>
            </w:r>
          </w:p>
        </w:tc>
        <w:tc>
          <w:tcPr>
            <w:tcW w:w="1701" w:type="dxa"/>
            <w:shd w:val="clear" w:color="auto" w:fill="C6D9F1" w:themeFill="text2" w:themeFillTint="33"/>
          </w:tcPr>
          <w:p w:rsidR="00EB66E2" w:rsidRPr="009A6EA8" w:rsidRDefault="00EB66E2" w:rsidP="00EB66E2">
            <w:pPr>
              <w:jc w:val="center"/>
              <w:rPr>
                <w:b/>
                <w:color w:val="000000" w:themeColor="text1"/>
              </w:rPr>
            </w:pPr>
            <w:r w:rsidRPr="009A6EA8">
              <w:rPr>
                <w:rFonts w:cs="Gotham-Book"/>
                <w:b/>
                <w:color w:val="000000" w:themeColor="text1"/>
              </w:rPr>
              <w:t>No iniciado</w:t>
            </w:r>
          </w:p>
        </w:tc>
        <w:tc>
          <w:tcPr>
            <w:tcW w:w="1729" w:type="dxa"/>
            <w:shd w:val="clear" w:color="auto" w:fill="C6D9F1" w:themeFill="text2" w:themeFillTint="33"/>
          </w:tcPr>
          <w:p w:rsidR="00EB66E2" w:rsidRPr="009A6EA8" w:rsidRDefault="00EB66E2" w:rsidP="00EB66E2">
            <w:pPr>
              <w:jc w:val="center"/>
              <w:rPr>
                <w:b/>
                <w:color w:val="000000" w:themeColor="text1"/>
              </w:rPr>
            </w:pPr>
            <w:r w:rsidRPr="009A6EA8">
              <w:rPr>
                <w:rFonts w:cs="Gotham-Book"/>
                <w:b/>
                <w:color w:val="000000" w:themeColor="text1"/>
              </w:rPr>
              <w:t>Limitado</w:t>
            </w:r>
          </w:p>
        </w:tc>
        <w:tc>
          <w:tcPr>
            <w:tcW w:w="1644" w:type="dxa"/>
            <w:shd w:val="clear" w:color="auto" w:fill="C6D9F1" w:themeFill="text2" w:themeFillTint="33"/>
          </w:tcPr>
          <w:p w:rsidR="00EB66E2" w:rsidRPr="009A6EA8" w:rsidRDefault="00EB66E2" w:rsidP="00EB66E2">
            <w:pPr>
              <w:jc w:val="center"/>
              <w:rPr>
                <w:b/>
                <w:color w:val="000000" w:themeColor="text1"/>
              </w:rPr>
            </w:pPr>
            <w:r w:rsidRPr="009A6EA8">
              <w:rPr>
                <w:rFonts w:cs="Gotham-Book"/>
                <w:b/>
                <w:color w:val="000000" w:themeColor="text1"/>
              </w:rPr>
              <w:t>Sustancial</w:t>
            </w:r>
          </w:p>
        </w:tc>
        <w:tc>
          <w:tcPr>
            <w:tcW w:w="1447" w:type="dxa"/>
            <w:shd w:val="clear" w:color="auto" w:fill="C6D9F1" w:themeFill="text2" w:themeFillTint="33"/>
          </w:tcPr>
          <w:p w:rsidR="00EB66E2" w:rsidRPr="009A6EA8" w:rsidRDefault="00EB66E2" w:rsidP="00EB66E2">
            <w:pPr>
              <w:jc w:val="center"/>
              <w:rPr>
                <w:b/>
                <w:color w:val="000000" w:themeColor="text1"/>
              </w:rPr>
            </w:pPr>
            <w:r w:rsidRPr="009A6EA8">
              <w:rPr>
                <w:rFonts w:cs="Gotham-Book"/>
                <w:b/>
                <w:color w:val="000000" w:themeColor="text1"/>
              </w:rPr>
              <w:t>Completo</w:t>
            </w:r>
          </w:p>
        </w:tc>
      </w:tr>
      <w:tr w:rsidR="00EB66E2" w:rsidRPr="009A6EA8" w:rsidTr="00EB66E2">
        <w:tc>
          <w:tcPr>
            <w:tcW w:w="2518" w:type="dxa"/>
            <w:gridSpan w:val="2"/>
            <w:vMerge/>
            <w:shd w:val="clear" w:color="auto" w:fill="C6D9F1" w:themeFill="text2" w:themeFillTint="33"/>
            <w:vAlign w:val="center"/>
          </w:tcPr>
          <w:p w:rsidR="00EB66E2" w:rsidRPr="009A6EA8" w:rsidRDefault="00EB66E2" w:rsidP="00EB66E2">
            <w:pPr>
              <w:rPr>
                <w:b/>
                <w:color w:val="000000" w:themeColor="text1"/>
              </w:rPr>
            </w:pPr>
          </w:p>
        </w:tc>
        <w:tc>
          <w:tcPr>
            <w:tcW w:w="1701" w:type="dxa"/>
          </w:tcPr>
          <w:p w:rsidR="00EB66E2" w:rsidRPr="009A6EA8" w:rsidRDefault="00EB66E2" w:rsidP="00EB66E2">
            <w:pPr>
              <w:jc w:val="center"/>
              <w:rPr>
                <w:b/>
                <w:color w:val="000000" w:themeColor="text1"/>
              </w:rPr>
            </w:pPr>
          </w:p>
        </w:tc>
        <w:tc>
          <w:tcPr>
            <w:tcW w:w="1729" w:type="dxa"/>
          </w:tcPr>
          <w:p w:rsidR="00EB66E2" w:rsidRPr="009A6EA8" w:rsidRDefault="00EB66E2" w:rsidP="00EB66E2">
            <w:pPr>
              <w:jc w:val="center"/>
              <w:rPr>
                <w:b/>
                <w:color w:val="000000" w:themeColor="text1"/>
              </w:rPr>
            </w:pPr>
          </w:p>
        </w:tc>
        <w:tc>
          <w:tcPr>
            <w:tcW w:w="1644" w:type="dxa"/>
          </w:tcPr>
          <w:p w:rsidR="00EB66E2" w:rsidRPr="009A6EA8" w:rsidRDefault="00EB66E2" w:rsidP="00EB66E2">
            <w:pPr>
              <w:jc w:val="center"/>
              <w:rPr>
                <w:b/>
                <w:color w:val="000000" w:themeColor="text1"/>
              </w:rPr>
            </w:pPr>
            <w:r>
              <w:rPr>
                <w:b/>
                <w:color w:val="000000" w:themeColor="text1"/>
              </w:rPr>
              <w:t>X</w:t>
            </w:r>
          </w:p>
        </w:tc>
        <w:tc>
          <w:tcPr>
            <w:tcW w:w="1447" w:type="dxa"/>
            <w:shd w:val="clear" w:color="auto" w:fill="FFFFFF" w:themeFill="background1"/>
          </w:tcPr>
          <w:p w:rsidR="00EB66E2" w:rsidRPr="009A6EA8" w:rsidRDefault="00EB66E2" w:rsidP="00EB66E2">
            <w:pPr>
              <w:jc w:val="center"/>
              <w:rPr>
                <w:b/>
                <w:color w:val="000000" w:themeColor="text1"/>
              </w:rPr>
            </w:pPr>
          </w:p>
        </w:tc>
      </w:tr>
      <w:tr w:rsidR="00EB66E2" w:rsidRPr="009A6EA8" w:rsidTr="00EB66E2">
        <w:tc>
          <w:tcPr>
            <w:tcW w:w="2518" w:type="dxa"/>
            <w:gridSpan w:val="2"/>
            <w:shd w:val="clear" w:color="auto" w:fill="C6D9F1" w:themeFill="text2" w:themeFillTint="33"/>
            <w:vAlign w:val="center"/>
          </w:tcPr>
          <w:p w:rsidR="00EB66E2" w:rsidRPr="009A6EA8" w:rsidRDefault="00EB66E2" w:rsidP="00EB66E2">
            <w:pPr>
              <w:autoSpaceDE w:val="0"/>
              <w:autoSpaceDN w:val="0"/>
              <w:adjustRightInd w:val="0"/>
              <w:rPr>
                <w:rFonts w:cs="Gotham-Book"/>
                <w:b/>
                <w:color w:val="000000" w:themeColor="text1"/>
              </w:rPr>
            </w:pPr>
            <w:r w:rsidRPr="009A6EA8">
              <w:rPr>
                <w:rFonts w:cs="Gotham-Book"/>
                <w:b/>
                <w:color w:val="000000" w:themeColor="text1"/>
              </w:rPr>
              <w:t>Descripción de los resultados</w:t>
            </w:r>
          </w:p>
          <w:p w:rsidR="00EB66E2" w:rsidRPr="009A6EA8" w:rsidRDefault="00EB66E2" w:rsidP="00EB66E2">
            <w:pPr>
              <w:autoSpaceDE w:val="0"/>
              <w:autoSpaceDN w:val="0"/>
              <w:adjustRightInd w:val="0"/>
              <w:rPr>
                <w:rFonts w:cs="Gotham-BookItalic"/>
                <w:b/>
                <w:iCs/>
                <w:color w:val="000000" w:themeColor="text1"/>
              </w:rPr>
            </w:pPr>
          </w:p>
        </w:tc>
        <w:tc>
          <w:tcPr>
            <w:tcW w:w="6521" w:type="dxa"/>
            <w:gridSpan w:val="4"/>
          </w:tcPr>
          <w:p w:rsidR="00EB66E2" w:rsidRDefault="00EB66E2" w:rsidP="00EB66E2">
            <w:pPr>
              <w:jc w:val="both"/>
              <w:rPr>
                <w:szCs w:val="20"/>
                <w:lang w:val="es-PE"/>
              </w:rPr>
            </w:pPr>
            <w:r w:rsidRPr="006E5344">
              <w:rPr>
                <w:szCs w:val="20"/>
                <w:lang w:val="es-PE"/>
              </w:rPr>
              <w:t>Actividades</w:t>
            </w:r>
          </w:p>
          <w:p w:rsidR="00EB66E2" w:rsidRPr="000C6B21" w:rsidRDefault="00EB66E2" w:rsidP="003A3ABE">
            <w:pPr>
              <w:pStyle w:val="Prrafodelista"/>
              <w:numPr>
                <w:ilvl w:val="0"/>
                <w:numId w:val="6"/>
              </w:numPr>
              <w:jc w:val="both"/>
              <w:rPr>
                <w:b/>
                <w:i/>
                <w:szCs w:val="20"/>
                <w:lang w:val="es-PE"/>
              </w:rPr>
            </w:pPr>
            <w:r w:rsidRPr="000C6B21">
              <w:rPr>
                <w:b/>
                <w:i/>
                <w:szCs w:val="20"/>
                <w:lang w:val="es-PE"/>
              </w:rPr>
              <w:t>Directiva aprobada con el rediseño del proceso de rendición de cuentas de los titulares de las entidades públicas.</w:t>
            </w:r>
          </w:p>
          <w:p w:rsidR="00EB66E2" w:rsidRDefault="00EB66E2" w:rsidP="00EB66E2">
            <w:pPr>
              <w:pStyle w:val="Prrafodelista"/>
              <w:jc w:val="both"/>
              <w:rPr>
                <w:szCs w:val="20"/>
                <w:lang w:val="es-PE"/>
              </w:rPr>
            </w:pPr>
            <w:r>
              <w:rPr>
                <w:szCs w:val="20"/>
                <w:lang w:val="es-PE"/>
              </w:rPr>
              <w:t xml:space="preserve">La Contraloría General de la República emitió la Resolución de Contraloría N° 159-2016-CG que aprueba la Directiva N° 015-2016-CG/GPROD “Rendición de cuentas de los titulares de las entidades”. Actividad </w:t>
            </w:r>
            <w:r w:rsidR="000C6B21">
              <w:rPr>
                <w:szCs w:val="20"/>
                <w:lang w:val="es-PE"/>
              </w:rPr>
              <w:t>Concluida</w:t>
            </w:r>
            <w:r>
              <w:rPr>
                <w:szCs w:val="20"/>
                <w:lang w:val="es-PE"/>
              </w:rPr>
              <w:t>.</w:t>
            </w:r>
          </w:p>
          <w:p w:rsidR="00EB66E2" w:rsidRPr="000C6B21" w:rsidRDefault="00EB66E2" w:rsidP="003A3ABE">
            <w:pPr>
              <w:pStyle w:val="Prrafodelista"/>
              <w:numPr>
                <w:ilvl w:val="0"/>
                <w:numId w:val="6"/>
              </w:numPr>
              <w:jc w:val="both"/>
              <w:rPr>
                <w:b/>
                <w:i/>
                <w:szCs w:val="20"/>
                <w:lang w:val="es-PE"/>
              </w:rPr>
            </w:pPr>
            <w:r w:rsidRPr="000C6B21">
              <w:rPr>
                <w:b/>
                <w:i/>
                <w:szCs w:val="20"/>
                <w:lang w:val="es-PE"/>
              </w:rPr>
              <w:t>Herramienta tecnológica con información de los informes de rendición de cuentas de los titulares de las entidades públicas diseñada y operativa.</w:t>
            </w:r>
          </w:p>
          <w:p w:rsidR="00EB66E2" w:rsidRDefault="00EB66E2" w:rsidP="00EB66E2">
            <w:pPr>
              <w:pStyle w:val="Prrafodelista"/>
              <w:jc w:val="both"/>
              <w:rPr>
                <w:szCs w:val="20"/>
                <w:lang w:val="es-PE"/>
              </w:rPr>
            </w:pPr>
            <w:r>
              <w:rPr>
                <w:szCs w:val="20"/>
                <w:lang w:val="es-PE"/>
              </w:rPr>
              <w:t xml:space="preserve">La herramienta se encuentra en la etapa de control de calidad, para </w:t>
            </w:r>
            <w:r w:rsidR="00BA10FA">
              <w:rPr>
                <w:szCs w:val="20"/>
                <w:lang w:val="es-PE"/>
              </w:rPr>
              <w:t>su posterior implementación</w:t>
            </w:r>
            <w:r>
              <w:rPr>
                <w:szCs w:val="20"/>
                <w:lang w:val="es-PE"/>
              </w:rPr>
              <w:t>.  Actividad en proceso, se ha reprogramado culminar en Setiembre 2016.</w:t>
            </w:r>
          </w:p>
          <w:p w:rsidR="00EB66E2" w:rsidRPr="000C6B21" w:rsidRDefault="00EB66E2" w:rsidP="003A3ABE">
            <w:pPr>
              <w:pStyle w:val="Prrafodelista"/>
              <w:numPr>
                <w:ilvl w:val="0"/>
                <w:numId w:val="6"/>
              </w:numPr>
              <w:jc w:val="both"/>
              <w:rPr>
                <w:b/>
                <w:i/>
                <w:szCs w:val="20"/>
                <w:lang w:val="es-PE"/>
              </w:rPr>
            </w:pPr>
            <w:r w:rsidRPr="000C6B21">
              <w:rPr>
                <w:b/>
                <w:i/>
                <w:szCs w:val="20"/>
                <w:lang w:val="es-PE"/>
              </w:rPr>
              <w:t>Lanzamiento y difusión de la herramienta tecnológica.</w:t>
            </w:r>
          </w:p>
          <w:p w:rsidR="00EB66E2" w:rsidRDefault="00E05792" w:rsidP="00EB66E2">
            <w:pPr>
              <w:pStyle w:val="Prrafodelista"/>
              <w:jc w:val="both"/>
              <w:rPr>
                <w:szCs w:val="20"/>
                <w:lang w:val="es-PE"/>
              </w:rPr>
            </w:pPr>
            <w:r>
              <w:rPr>
                <w:szCs w:val="20"/>
                <w:lang w:val="es-PE"/>
              </w:rPr>
              <w:t xml:space="preserve">El lanzamiento y difusión están sujetos a la implementación de la herramienta, con lo cual se culmina dicha </w:t>
            </w:r>
            <w:r w:rsidR="002A46AD">
              <w:rPr>
                <w:szCs w:val="20"/>
                <w:lang w:val="es-PE"/>
              </w:rPr>
              <w:t>a</w:t>
            </w:r>
            <w:r w:rsidR="00EB66E2">
              <w:rPr>
                <w:szCs w:val="20"/>
                <w:lang w:val="es-PE"/>
              </w:rPr>
              <w:t>ctividad. Actividad en proceso</w:t>
            </w:r>
            <w:r>
              <w:rPr>
                <w:szCs w:val="20"/>
                <w:lang w:val="es-PE"/>
              </w:rPr>
              <w:t>,</w:t>
            </w:r>
            <w:r w:rsidR="00EB66E2">
              <w:rPr>
                <w:szCs w:val="20"/>
                <w:lang w:val="es-PE"/>
              </w:rPr>
              <w:t xml:space="preserve"> se ha reprogramado culminar con la actividad en Setiembre 2016.</w:t>
            </w:r>
          </w:p>
          <w:p w:rsidR="00EB66E2" w:rsidRPr="000C6B21" w:rsidRDefault="00EB66E2" w:rsidP="003A3ABE">
            <w:pPr>
              <w:pStyle w:val="Prrafodelista"/>
              <w:numPr>
                <w:ilvl w:val="0"/>
                <w:numId w:val="6"/>
              </w:numPr>
              <w:jc w:val="both"/>
              <w:rPr>
                <w:b/>
                <w:i/>
                <w:szCs w:val="20"/>
                <w:lang w:val="es-PE"/>
              </w:rPr>
            </w:pPr>
            <w:r w:rsidRPr="000C6B21">
              <w:rPr>
                <w:b/>
                <w:i/>
                <w:szCs w:val="20"/>
                <w:lang w:val="es-PE"/>
              </w:rPr>
              <w:t>Difusión y capacitación a nivel nacional sobre la directiva y el uso de la herramienta tecnológica.</w:t>
            </w:r>
          </w:p>
          <w:p w:rsidR="00EB66E2" w:rsidRDefault="00EB66E2" w:rsidP="00EB66E2">
            <w:pPr>
              <w:pStyle w:val="Prrafodelista"/>
              <w:jc w:val="both"/>
              <w:rPr>
                <w:szCs w:val="20"/>
                <w:lang w:val="es-PE"/>
              </w:rPr>
            </w:pPr>
            <w:r>
              <w:rPr>
                <w:szCs w:val="20"/>
                <w:lang w:val="es-PE"/>
              </w:rPr>
              <w:t xml:space="preserve">Se ha realizado 20 talleres de capacitación para Titulares y funcionarios de </w:t>
            </w:r>
            <w:r w:rsidR="005C55C1">
              <w:rPr>
                <w:szCs w:val="20"/>
                <w:lang w:val="es-PE"/>
              </w:rPr>
              <w:t>las entidades públicas de Lima M</w:t>
            </w:r>
            <w:r>
              <w:rPr>
                <w:szCs w:val="20"/>
                <w:lang w:val="es-PE"/>
              </w:rPr>
              <w:t>etropolitana. Queda pendiente la difusión a nivel nacional. Se ha reprogramado la fecha de término a Diciembre 2016.</w:t>
            </w:r>
          </w:p>
          <w:p w:rsidR="000C6B21" w:rsidRPr="009A6EA8" w:rsidRDefault="000C6B21" w:rsidP="000C6B21">
            <w:pPr>
              <w:pStyle w:val="Prrafodelista"/>
              <w:ind w:left="-79"/>
              <w:jc w:val="both"/>
              <w:rPr>
                <w:color w:val="000000" w:themeColor="text1"/>
              </w:rPr>
            </w:pPr>
            <w:r>
              <w:rPr>
                <w:szCs w:val="20"/>
                <w:lang w:val="es-PE"/>
              </w:rPr>
              <w:t>Fuente: Oficio N° 00719-2016-CG/SGE</w:t>
            </w:r>
          </w:p>
        </w:tc>
      </w:tr>
      <w:tr w:rsidR="00EB66E2" w:rsidRPr="009A6EA8" w:rsidTr="00EB66E2">
        <w:tc>
          <w:tcPr>
            <w:tcW w:w="2518" w:type="dxa"/>
            <w:gridSpan w:val="2"/>
            <w:shd w:val="clear" w:color="auto" w:fill="C6D9F1" w:themeFill="text2" w:themeFillTint="33"/>
            <w:vAlign w:val="center"/>
          </w:tcPr>
          <w:p w:rsidR="00EB66E2" w:rsidRPr="009A6EA8" w:rsidRDefault="00EB66E2" w:rsidP="00EB66E2">
            <w:pPr>
              <w:rPr>
                <w:b/>
                <w:color w:val="000000" w:themeColor="text1"/>
              </w:rPr>
            </w:pPr>
            <w:r w:rsidRPr="009A6EA8">
              <w:rPr>
                <w:rFonts w:cs="Gotham-Book"/>
                <w:b/>
                <w:color w:val="000000" w:themeColor="text1"/>
              </w:rPr>
              <w:t>Fecha de conclusión</w:t>
            </w:r>
          </w:p>
        </w:tc>
        <w:tc>
          <w:tcPr>
            <w:tcW w:w="6521" w:type="dxa"/>
            <w:gridSpan w:val="4"/>
          </w:tcPr>
          <w:p w:rsidR="00EB66E2" w:rsidRPr="009A6EA8" w:rsidRDefault="00EB66E2" w:rsidP="00EB66E2">
            <w:pPr>
              <w:jc w:val="both"/>
              <w:rPr>
                <w:color w:val="000000" w:themeColor="text1"/>
              </w:rPr>
            </w:pPr>
            <w:r>
              <w:rPr>
                <w:color w:val="000000" w:themeColor="text1"/>
              </w:rPr>
              <w:t>Diciembre 2016</w:t>
            </w:r>
          </w:p>
        </w:tc>
      </w:tr>
      <w:tr w:rsidR="00EB66E2" w:rsidRPr="009A6EA8" w:rsidTr="00EB66E2">
        <w:tc>
          <w:tcPr>
            <w:tcW w:w="2518" w:type="dxa"/>
            <w:gridSpan w:val="2"/>
            <w:shd w:val="clear" w:color="auto" w:fill="C6D9F1" w:themeFill="text2" w:themeFillTint="33"/>
            <w:vAlign w:val="center"/>
          </w:tcPr>
          <w:p w:rsidR="00EB66E2" w:rsidRPr="009A6EA8" w:rsidRDefault="00EB66E2" w:rsidP="00EB66E2">
            <w:pPr>
              <w:rPr>
                <w:b/>
                <w:color w:val="000000" w:themeColor="text1"/>
              </w:rPr>
            </w:pPr>
            <w:r w:rsidRPr="009A6EA8">
              <w:rPr>
                <w:rFonts w:cs="Gotham-Book"/>
                <w:b/>
                <w:color w:val="000000" w:themeColor="text1"/>
              </w:rPr>
              <w:t>Próximos pasos</w:t>
            </w:r>
          </w:p>
        </w:tc>
        <w:tc>
          <w:tcPr>
            <w:tcW w:w="6521" w:type="dxa"/>
            <w:gridSpan w:val="4"/>
          </w:tcPr>
          <w:p w:rsidR="00EB66E2" w:rsidRPr="009A6EA8" w:rsidRDefault="005C55C1" w:rsidP="00EB66E2">
            <w:pPr>
              <w:jc w:val="both"/>
              <w:rPr>
                <w:color w:val="000000" w:themeColor="text1"/>
              </w:rPr>
            </w:pPr>
            <w:r>
              <w:rPr>
                <w:color w:val="000000" w:themeColor="text1"/>
              </w:rPr>
              <w:t>Implementar</w:t>
            </w:r>
            <w:r w:rsidR="00EB66E2">
              <w:rPr>
                <w:color w:val="000000" w:themeColor="text1"/>
              </w:rPr>
              <w:t xml:space="preserve"> la herramienta tecnológica con información de los informes de rendición de cuentas, acompañado del lanzamiento, difusión y capacitación a nivel nacional sobre la Directiva y uso de la herramienta.</w:t>
            </w:r>
          </w:p>
        </w:tc>
      </w:tr>
      <w:tr w:rsidR="00EB66E2" w:rsidRPr="009A6EA8" w:rsidTr="00EB66E2">
        <w:tc>
          <w:tcPr>
            <w:tcW w:w="9039" w:type="dxa"/>
            <w:gridSpan w:val="6"/>
          </w:tcPr>
          <w:p w:rsidR="00EB66E2" w:rsidRPr="009A6EA8" w:rsidRDefault="00EB66E2" w:rsidP="00EB66E2">
            <w:pPr>
              <w:jc w:val="both"/>
              <w:rPr>
                <w:rFonts w:cs="Gotham-Book"/>
                <w:b/>
                <w:color w:val="000000" w:themeColor="text1"/>
              </w:rPr>
            </w:pPr>
          </w:p>
          <w:p w:rsidR="00EB66E2" w:rsidRPr="009A6EA8" w:rsidRDefault="00EB66E2" w:rsidP="00EB66E2">
            <w:pPr>
              <w:jc w:val="both"/>
              <w:rPr>
                <w:color w:val="000000" w:themeColor="text1"/>
              </w:rPr>
            </w:pPr>
            <w:r w:rsidRPr="009A6EA8">
              <w:rPr>
                <w:rFonts w:cs="Gotham-Book"/>
                <w:b/>
                <w:color w:val="000000" w:themeColor="text1"/>
              </w:rPr>
              <w:t>Información adicional</w:t>
            </w:r>
          </w:p>
        </w:tc>
      </w:tr>
      <w:tr w:rsidR="00EB66E2" w:rsidRPr="009A6EA8" w:rsidTr="00EB66E2">
        <w:tc>
          <w:tcPr>
            <w:tcW w:w="9039" w:type="dxa"/>
            <w:gridSpan w:val="6"/>
          </w:tcPr>
          <w:p w:rsidR="00EB66E2" w:rsidRPr="009A6EA8" w:rsidRDefault="00EB66E2" w:rsidP="00EB66E2">
            <w:pPr>
              <w:jc w:val="both"/>
              <w:rPr>
                <w:rFonts w:cs="Gotham-Book"/>
                <w:b/>
                <w:color w:val="000000" w:themeColor="text1"/>
              </w:rPr>
            </w:pPr>
          </w:p>
        </w:tc>
      </w:tr>
    </w:tbl>
    <w:p w:rsidR="00EB66E2" w:rsidRDefault="00EB66E2"/>
    <w:p w:rsidR="00272BDF" w:rsidRDefault="00272BDF"/>
    <w:p w:rsidR="00272BDF" w:rsidRDefault="00272BDF"/>
    <w:p w:rsidR="00272BDF" w:rsidRDefault="00272BDF"/>
    <w:p w:rsidR="00272BDF" w:rsidRDefault="00272BDF"/>
    <w:p w:rsidR="00272BDF" w:rsidRDefault="00272BDF"/>
    <w:tbl>
      <w:tblPr>
        <w:tblStyle w:val="Tablaconcuadrcula"/>
        <w:tblW w:w="9039" w:type="dxa"/>
        <w:tblLayout w:type="fixed"/>
        <w:tblLook w:val="04A0" w:firstRow="1" w:lastRow="0" w:firstColumn="1" w:lastColumn="0" w:noHBand="0" w:noVBand="1"/>
      </w:tblPr>
      <w:tblGrid>
        <w:gridCol w:w="2109"/>
        <w:gridCol w:w="409"/>
        <w:gridCol w:w="1701"/>
        <w:gridCol w:w="1729"/>
        <w:gridCol w:w="1644"/>
        <w:gridCol w:w="1447"/>
      </w:tblGrid>
      <w:tr w:rsidR="0045073C" w:rsidRPr="00295641" w:rsidTr="00E35A26">
        <w:tc>
          <w:tcPr>
            <w:tcW w:w="9039" w:type="dxa"/>
            <w:gridSpan w:val="6"/>
            <w:shd w:val="clear" w:color="auto" w:fill="548DD4" w:themeFill="text2" w:themeFillTint="99"/>
          </w:tcPr>
          <w:p w:rsidR="0045073C" w:rsidRPr="00295641" w:rsidRDefault="0045073C" w:rsidP="0045073C">
            <w:pPr>
              <w:ind w:left="720"/>
              <w:jc w:val="center"/>
              <w:rPr>
                <w:b/>
              </w:rPr>
            </w:pPr>
            <w:r>
              <w:rPr>
                <w:b/>
              </w:rPr>
              <w:t>Componente: Rendición de Cuentas</w:t>
            </w:r>
          </w:p>
        </w:tc>
      </w:tr>
      <w:tr w:rsidR="0045073C" w:rsidRPr="00295641" w:rsidTr="00E35A26">
        <w:tc>
          <w:tcPr>
            <w:tcW w:w="9039" w:type="dxa"/>
            <w:gridSpan w:val="6"/>
            <w:shd w:val="clear" w:color="auto" w:fill="548DD4" w:themeFill="text2" w:themeFillTint="99"/>
          </w:tcPr>
          <w:p w:rsidR="0045073C" w:rsidRDefault="00E35A26" w:rsidP="0045073C">
            <w:pPr>
              <w:ind w:left="720"/>
              <w:rPr>
                <w:b/>
              </w:rPr>
            </w:pPr>
            <w:r w:rsidRPr="00E35A26">
              <w:rPr>
                <w:b/>
                <w:u w:val="single"/>
              </w:rPr>
              <w:t xml:space="preserve">Compromiso </w:t>
            </w:r>
            <w:r w:rsidR="0045073C" w:rsidRPr="00E35A26">
              <w:rPr>
                <w:b/>
                <w:u w:val="single"/>
              </w:rPr>
              <w:t>12</w:t>
            </w:r>
            <w:r w:rsidR="0045073C">
              <w:rPr>
                <w:b/>
              </w:rPr>
              <w:t>. Mejorar la calidad de las audiencias de rendición de cuentas</w:t>
            </w:r>
          </w:p>
        </w:tc>
      </w:tr>
      <w:tr w:rsidR="00E35A26" w:rsidRPr="00295641" w:rsidTr="00E35A26">
        <w:tc>
          <w:tcPr>
            <w:tcW w:w="4219" w:type="dxa"/>
            <w:gridSpan w:val="3"/>
            <w:shd w:val="clear" w:color="auto" w:fill="C6D9F1" w:themeFill="text2" w:themeFillTint="33"/>
            <w:vAlign w:val="center"/>
          </w:tcPr>
          <w:p w:rsidR="00E35A26" w:rsidRPr="00295641" w:rsidRDefault="00E35A26" w:rsidP="00E35A26">
            <w:pPr>
              <w:autoSpaceDE w:val="0"/>
              <w:autoSpaceDN w:val="0"/>
              <w:adjustRightInd w:val="0"/>
              <w:rPr>
                <w:rFonts w:cs="Gotham-Book"/>
                <w:b/>
                <w:color w:val="000000" w:themeColor="text1"/>
              </w:rPr>
            </w:pPr>
            <w:r w:rsidRPr="00295641">
              <w:rPr>
                <w:rFonts w:cs="Gotham-Book"/>
                <w:b/>
                <w:color w:val="000000" w:themeColor="text1"/>
              </w:rPr>
              <w:t>Secretaría/Ministerio</w:t>
            </w:r>
          </w:p>
          <w:p w:rsidR="00E35A26" w:rsidRPr="00295641" w:rsidRDefault="00E35A26" w:rsidP="00E35A26">
            <w:pPr>
              <w:rPr>
                <w:b/>
                <w:color w:val="000000" w:themeColor="text1"/>
              </w:rPr>
            </w:pPr>
            <w:r w:rsidRPr="00295641">
              <w:rPr>
                <w:rFonts w:cs="Gotham-Book"/>
                <w:b/>
                <w:color w:val="000000" w:themeColor="text1"/>
              </w:rPr>
              <w:t>Responsable</w:t>
            </w:r>
          </w:p>
        </w:tc>
        <w:tc>
          <w:tcPr>
            <w:tcW w:w="4820" w:type="dxa"/>
            <w:gridSpan w:val="3"/>
          </w:tcPr>
          <w:p w:rsidR="00E35A26" w:rsidRPr="00295641" w:rsidRDefault="00E35A26" w:rsidP="00E35A26">
            <w:pPr>
              <w:jc w:val="both"/>
              <w:rPr>
                <w:color w:val="000000" w:themeColor="text1"/>
              </w:rPr>
            </w:pPr>
            <w:r>
              <w:rPr>
                <w:color w:val="000000" w:themeColor="text1"/>
              </w:rPr>
              <w:t>Presidencia del Consejo de Ministros</w:t>
            </w:r>
            <w:r w:rsidR="007C6E9B">
              <w:rPr>
                <w:color w:val="000000" w:themeColor="text1"/>
              </w:rPr>
              <w:t>,</w:t>
            </w:r>
            <w:r>
              <w:rPr>
                <w:color w:val="000000" w:themeColor="text1"/>
              </w:rPr>
              <w:t xml:space="preserve"> a través de la Secretaría de Gestión Pública</w:t>
            </w:r>
          </w:p>
        </w:tc>
      </w:tr>
      <w:tr w:rsidR="00E35A26" w:rsidRPr="00295641" w:rsidTr="00E35A26">
        <w:tc>
          <w:tcPr>
            <w:tcW w:w="4219" w:type="dxa"/>
            <w:gridSpan w:val="3"/>
            <w:shd w:val="clear" w:color="auto" w:fill="C6D9F1" w:themeFill="text2" w:themeFillTint="33"/>
            <w:vAlign w:val="center"/>
          </w:tcPr>
          <w:p w:rsidR="00E35A26" w:rsidRPr="00295641" w:rsidRDefault="00E35A26" w:rsidP="00E35A26">
            <w:pPr>
              <w:autoSpaceDE w:val="0"/>
              <w:autoSpaceDN w:val="0"/>
              <w:adjustRightInd w:val="0"/>
              <w:rPr>
                <w:rFonts w:cs="Gotham-Book"/>
                <w:b/>
                <w:color w:val="000000" w:themeColor="text1"/>
              </w:rPr>
            </w:pPr>
            <w:r w:rsidRPr="00295641">
              <w:rPr>
                <w:rFonts w:cs="Gotham-Book"/>
                <w:b/>
                <w:color w:val="000000" w:themeColor="text1"/>
              </w:rPr>
              <w:t>Nombre de la persona  responsable</w:t>
            </w:r>
          </w:p>
        </w:tc>
        <w:tc>
          <w:tcPr>
            <w:tcW w:w="4820" w:type="dxa"/>
            <w:gridSpan w:val="3"/>
          </w:tcPr>
          <w:p w:rsidR="00E35A26" w:rsidRPr="00295641" w:rsidRDefault="00E35A26" w:rsidP="00E35A26">
            <w:pPr>
              <w:jc w:val="both"/>
              <w:rPr>
                <w:color w:val="000000" w:themeColor="text1"/>
              </w:rPr>
            </w:pPr>
            <w:r>
              <w:rPr>
                <w:color w:val="000000" w:themeColor="text1"/>
              </w:rPr>
              <w:t>Fernando Zavala Lombardi</w:t>
            </w:r>
          </w:p>
        </w:tc>
      </w:tr>
      <w:tr w:rsidR="00E35A26" w:rsidRPr="00295641" w:rsidTr="00E35A26">
        <w:tc>
          <w:tcPr>
            <w:tcW w:w="4219" w:type="dxa"/>
            <w:gridSpan w:val="3"/>
            <w:shd w:val="clear" w:color="auto" w:fill="C6D9F1" w:themeFill="text2" w:themeFillTint="33"/>
            <w:vAlign w:val="center"/>
          </w:tcPr>
          <w:p w:rsidR="00E35A26" w:rsidRPr="00295641" w:rsidRDefault="00E35A26" w:rsidP="00E35A26">
            <w:pPr>
              <w:rPr>
                <w:b/>
                <w:color w:val="000000" w:themeColor="text1"/>
              </w:rPr>
            </w:pPr>
            <w:r w:rsidRPr="00295641">
              <w:rPr>
                <w:rFonts w:cs="Gotham-Book"/>
                <w:b/>
                <w:color w:val="000000" w:themeColor="text1"/>
              </w:rPr>
              <w:t>Puesto</w:t>
            </w:r>
          </w:p>
        </w:tc>
        <w:tc>
          <w:tcPr>
            <w:tcW w:w="4820" w:type="dxa"/>
            <w:gridSpan w:val="3"/>
          </w:tcPr>
          <w:p w:rsidR="00E35A26" w:rsidRPr="00295641" w:rsidRDefault="00E35A26" w:rsidP="00E35A26">
            <w:pPr>
              <w:jc w:val="both"/>
              <w:rPr>
                <w:color w:val="000000" w:themeColor="text1"/>
              </w:rPr>
            </w:pPr>
            <w:r>
              <w:rPr>
                <w:color w:val="000000" w:themeColor="text1"/>
              </w:rPr>
              <w:t>Presidente del Consejo de Ministros</w:t>
            </w:r>
          </w:p>
        </w:tc>
      </w:tr>
      <w:tr w:rsidR="00E35A26" w:rsidRPr="00295641" w:rsidTr="00E35A26">
        <w:tc>
          <w:tcPr>
            <w:tcW w:w="4219" w:type="dxa"/>
            <w:gridSpan w:val="3"/>
            <w:shd w:val="clear" w:color="auto" w:fill="C6D9F1" w:themeFill="text2" w:themeFillTint="33"/>
            <w:vAlign w:val="center"/>
          </w:tcPr>
          <w:p w:rsidR="00E35A26" w:rsidRPr="00295641" w:rsidRDefault="00E35A26" w:rsidP="00E35A26">
            <w:pPr>
              <w:autoSpaceDE w:val="0"/>
              <w:autoSpaceDN w:val="0"/>
              <w:adjustRightInd w:val="0"/>
              <w:rPr>
                <w:rFonts w:cs="Gotham-Book"/>
                <w:b/>
                <w:color w:val="000000" w:themeColor="text1"/>
              </w:rPr>
            </w:pPr>
            <w:r w:rsidRPr="00295641">
              <w:rPr>
                <w:rFonts w:cs="Gotham-Book"/>
                <w:b/>
                <w:color w:val="000000" w:themeColor="text1"/>
              </w:rPr>
              <w:t>Correo electrónico</w:t>
            </w:r>
          </w:p>
        </w:tc>
        <w:tc>
          <w:tcPr>
            <w:tcW w:w="4820" w:type="dxa"/>
            <w:gridSpan w:val="3"/>
          </w:tcPr>
          <w:p w:rsidR="00E35A26" w:rsidRPr="00295641" w:rsidRDefault="002F3E0D" w:rsidP="00E35A26">
            <w:pPr>
              <w:jc w:val="both"/>
              <w:rPr>
                <w:rFonts w:cs="Arial"/>
                <w:color w:val="0000FF"/>
                <w:u w:val="single"/>
              </w:rPr>
            </w:pPr>
            <w:hyperlink r:id="rId31" w:history="1">
              <w:r w:rsidR="00E35A26" w:rsidRPr="002977A0">
                <w:rPr>
                  <w:rStyle w:val="Hipervnculo"/>
                  <w:rFonts w:cs="Arial"/>
                </w:rPr>
                <w:t>fzavala@pcm.gob.pe</w:t>
              </w:r>
            </w:hyperlink>
          </w:p>
        </w:tc>
      </w:tr>
      <w:tr w:rsidR="00E35A26" w:rsidRPr="00295641" w:rsidTr="00E35A26">
        <w:tc>
          <w:tcPr>
            <w:tcW w:w="4219" w:type="dxa"/>
            <w:gridSpan w:val="3"/>
            <w:shd w:val="clear" w:color="auto" w:fill="C6D9F1" w:themeFill="text2" w:themeFillTint="33"/>
            <w:vAlign w:val="center"/>
          </w:tcPr>
          <w:p w:rsidR="00E35A26" w:rsidRPr="00295641" w:rsidRDefault="00E35A26" w:rsidP="00E35A26">
            <w:pPr>
              <w:rPr>
                <w:b/>
                <w:color w:val="000000" w:themeColor="text1"/>
              </w:rPr>
            </w:pPr>
            <w:r w:rsidRPr="00295641">
              <w:rPr>
                <w:rFonts w:cs="Gotham-Book"/>
                <w:b/>
                <w:color w:val="000000" w:themeColor="text1"/>
              </w:rPr>
              <w:t>Teléfono</w:t>
            </w:r>
          </w:p>
        </w:tc>
        <w:tc>
          <w:tcPr>
            <w:tcW w:w="4820" w:type="dxa"/>
            <w:gridSpan w:val="3"/>
          </w:tcPr>
          <w:p w:rsidR="00E35A26" w:rsidRPr="00295641" w:rsidRDefault="00E35A26" w:rsidP="00E35A26">
            <w:pPr>
              <w:jc w:val="both"/>
              <w:rPr>
                <w:color w:val="000000" w:themeColor="text1"/>
              </w:rPr>
            </w:pPr>
            <w:r>
              <w:rPr>
                <w:color w:val="000000" w:themeColor="text1"/>
              </w:rPr>
              <w:t>51-1-2197000</w:t>
            </w:r>
          </w:p>
        </w:tc>
      </w:tr>
      <w:tr w:rsidR="0045073C" w:rsidRPr="00295641" w:rsidTr="00E35A26">
        <w:tc>
          <w:tcPr>
            <w:tcW w:w="2109" w:type="dxa"/>
            <w:vMerge w:val="restart"/>
            <w:shd w:val="clear" w:color="auto" w:fill="C6D9F1" w:themeFill="text2" w:themeFillTint="33"/>
            <w:vAlign w:val="center"/>
          </w:tcPr>
          <w:p w:rsidR="0045073C" w:rsidRPr="00295641" w:rsidRDefault="0045073C" w:rsidP="00B56E74">
            <w:pPr>
              <w:rPr>
                <w:rFonts w:cs="Gotham-Book"/>
                <w:b/>
                <w:color w:val="000000" w:themeColor="text1"/>
              </w:rPr>
            </w:pPr>
            <w:r>
              <w:rPr>
                <w:rFonts w:cs="Gotham-Book"/>
                <w:b/>
                <w:color w:val="000000" w:themeColor="text1"/>
              </w:rPr>
              <w:t>Otros actores involucrados</w:t>
            </w:r>
          </w:p>
        </w:tc>
        <w:tc>
          <w:tcPr>
            <w:tcW w:w="2110" w:type="dxa"/>
            <w:gridSpan w:val="2"/>
            <w:shd w:val="clear" w:color="auto" w:fill="C6D9F1" w:themeFill="text2" w:themeFillTint="33"/>
            <w:vAlign w:val="center"/>
          </w:tcPr>
          <w:p w:rsidR="0045073C" w:rsidRPr="00295641" w:rsidRDefault="0045073C" w:rsidP="00B56E74">
            <w:pPr>
              <w:rPr>
                <w:rFonts w:cs="Gotham-Book"/>
                <w:b/>
                <w:color w:val="000000" w:themeColor="text1"/>
              </w:rPr>
            </w:pPr>
            <w:r>
              <w:rPr>
                <w:rFonts w:cs="Gotham-Book"/>
                <w:b/>
                <w:color w:val="000000" w:themeColor="text1"/>
              </w:rPr>
              <w:t>Gobierno</w:t>
            </w:r>
          </w:p>
        </w:tc>
        <w:tc>
          <w:tcPr>
            <w:tcW w:w="4820" w:type="dxa"/>
            <w:gridSpan w:val="3"/>
          </w:tcPr>
          <w:p w:rsidR="0045073C" w:rsidRPr="00295641" w:rsidRDefault="000C6B21" w:rsidP="00B56E74">
            <w:pPr>
              <w:jc w:val="both"/>
              <w:rPr>
                <w:color w:val="000000" w:themeColor="text1"/>
              </w:rPr>
            </w:pPr>
            <w:r>
              <w:rPr>
                <w:color w:val="000000" w:themeColor="text1"/>
              </w:rPr>
              <w:t>Defensoría del Pueblo, Secretaría de Descentralización de la PCM y Gobiernos Regionales y Locales</w:t>
            </w:r>
          </w:p>
        </w:tc>
      </w:tr>
      <w:tr w:rsidR="0045073C" w:rsidRPr="00295641" w:rsidTr="00E35A26">
        <w:tc>
          <w:tcPr>
            <w:tcW w:w="2109" w:type="dxa"/>
            <w:vMerge/>
            <w:shd w:val="clear" w:color="auto" w:fill="C6D9F1" w:themeFill="text2" w:themeFillTint="33"/>
            <w:vAlign w:val="center"/>
          </w:tcPr>
          <w:p w:rsidR="0045073C" w:rsidRPr="00295641" w:rsidRDefault="0045073C" w:rsidP="00B56E74">
            <w:pPr>
              <w:rPr>
                <w:rFonts w:cs="Gotham-Book"/>
                <w:b/>
                <w:color w:val="000000" w:themeColor="text1"/>
              </w:rPr>
            </w:pPr>
          </w:p>
        </w:tc>
        <w:tc>
          <w:tcPr>
            <w:tcW w:w="2110" w:type="dxa"/>
            <w:gridSpan w:val="2"/>
            <w:shd w:val="clear" w:color="auto" w:fill="C6D9F1" w:themeFill="text2" w:themeFillTint="33"/>
            <w:vAlign w:val="center"/>
          </w:tcPr>
          <w:p w:rsidR="0045073C" w:rsidRPr="00295641" w:rsidRDefault="0045073C" w:rsidP="00B56E74">
            <w:pPr>
              <w:rPr>
                <w:rFonts w:cs="Gotham-Book"/>
                <w:b/>
                <w:color w:val="000000" w:themeColor="text1"/>
              </w:rPr>
            </w:pPr>
            <w:r>
              <w:rPr>
                <w:rFonts w:cs="Gotham-Book"/>
                <w:b/>
                <w:color w:val="000000" w:themeColor="text1"/>
              </w:rPr>
              <w:t>Sociedad civil, iniciativa privada, grupos de trabajo o multilaterales</w:t>
            </w:r>
          </w:p>
        </w:tc>
        <w:tc>
          <w:tcPr>
            <w:tcW w:w="4820" w:type="dxa"/>
            <w:gridSpan w:val="3"/>
          </w:tcPr>
          <w:p w:rsidR="0045073C" w:rsidRPr="00295641" w:rsidRDefault="000C6B21" w:rsidP="00B56E74">
            <w:pPr>
              <w:jc w:val="both"/>
              <w:rPr>
                <w:color w:val="000000" w:themeColor="text1"/>
              </w:rPr>
            </w:pPr>
            <w:r>
              <w:rPr>
                <w:color w:val="000000" w:themeColor="text1"/>
              </w:rPr>
              <w:t>Grupo Propuesta Ciudadana, Ciudadanos al Día</w:t>
            </w:r>
          </w:p>
        </w:tc>
      </w:tr>
      <w:tr w:rsidR="0045073C" w:rsidRPr="00295641" w:rsidTr="00E35A26">
        <w:tc>
          <w:tcPr>
            <w:tcW w:w="4219" w:type="dxa"/>
            <w:gridSpan w:val="3"/>
            <w:shd w:val="clear" w:color="auto" w:fill="C6D9F1" w:themeFill="text2" w:themeFillTint="33"/>
            <w:vAlign w:val="center"/>
          </w:tcPr>
          <w:p w:rsidR="0045073C" w:rsidRPr="00295641" w:rsidRDefault="0045073C" w:rsidP="00B56E74">
            <w:pPr>
              <w:rPr>
                <w:rFonts w:cs="Gotham-Book"/>
                <w:b/>
                <w:color w:val="000000" w:themeColor="text1"/>
              </w:rPr>
            </w:pPr>
            <w:r>
              <w:rPr>
                <w:rFonts w:cs="Gotham-Book"/>
                <w:b/>
                <w:color w:val="000000" w:themeColor="text1"/>
              </w:rPr>
              <w:t>Status quo o problema/</w:t>
            </w:r>
            <w:r>
              <w:rPr>
                <w:rFonts w:cs="Gotham-Book"/>
                <w:b/>
                <w:color w:val="000000" w:themeColor="text1"/>
              </w:rPr>
              <w:br/>
              <w:t>desafío que será atendido</w:t>
            </w:r>
          </w:p>
        </w:tc>
        <w:tc>
          <w:tcPr>
            <w:tcW w:w="4820" w:type="dxa"/>
            <w:gridSpan w:val="3"/>
          </w:tcPr>
          <w:p w:rsidR="0045073C" w:rsidRDefault="00E35A26" w:rsidP="00B56E74">
            <w:pPr>
              <w:jc w:val="both"/>
              <w:rPr>
                <w:color w:val="000000" w:themeColor="text1"/>
              </w:rPr>
            </w:pPr>
            <w:r>
              <w:rPr>
                <w:color w:val="000000" w:themeColor="text1"/>
              </w:rPr>
              <w:t>De acuerdo a un estudio de la Defensoría del Pueblo</w:t>
            </w:r>
            <w:r w:rsidR="007C6E9B">
              <w:rPr>
                <w:color w:val="000000" w:themeColor="text1"/>
              </w:rPr>
              <w:t>,</w:t>
            </w:r>
            <w:r>
              <w:rPr>
                <w:color w:val="000000" w:themeColor="text1"/>
              </w:rPr>
              <w:t xml:space="preserve"> existen las siguientes dificultades en las audiencias de rendición de cuentas realizadas por los gobiernos subnacionales:</w:t>
            </w:r>
          </w:p>
          <w:p w:rsidR="00E35A26" w:rsidRDefault="00E35A26" w:rsidP="00E35A26">
            <w:pPr>
              <w:pStyle w:val="Prrafodelista"/>
              <w:numPr>
                <w:ilvl w:val="0"/>
                <w:numId w:val="31"/>
              </w:numPr>
              <w:ind w:left="204" w:hanging="141"/>
              <w:jc w:val="both"/>
              <w:rPr>
                <w:color w:val="000000" w:themeColor="text1"/>
              </w:rPr>
            </w:pPr>
            <w:r>
              <w:rPr>
                <w:color w:val="000000" w:themeColor="text1"/>
              </w:rPr>
              <w:t>Los gobiernos regionales y locales emplean diferentes criterios para definir el lugar de realización de las audiencias públicas de rendición de cuentas.</w:t>
            </w:r>
          </w:p>
          <w:p w:rsidR="007C6E9B" w:rsidRDefault="00E35A26" w:rsidP="007371BF">
            <w:pPr>
              <w:pStyle w:val="Prrafodelista"/>
              <w:numPr>
                <w:ilvl w:val="0"/>
                <w:numId w:val="31"/>
              </w:numPr>
              <w:ind w:left="204" w:hanging="141"/>
              <w:jc w:val="both"/>
              <w:rPr>
                <w:color w:val="000000" w:themeColor="text1"/>
              </w:rPr>
            </w:pPr>
            <w:r w:rsidRPr="007C6E9B">
              <w:rPr>
                <w:color w:val="000000" w:themeColor="text1"/>
              </w:rPr>
              <w:t>Con relación a la convocatoria, solo 10 gobiernos regionales y 4 municipalidades provinciales convocaron a la audiencia pública de rendición de cuent</w:t>
            </w:r>
            <w:r w:rsidR="007C6E9B">
              <w:rPr>
                <w:color w:val="000000" w:themeColor="text1"/>
              </w:rPr>
              <w:t>as con 30 días de anticipación.</w:t>
            </w:r>
          </w:p>
          <w:p w:rsidR="00E35A26" w:rsidRPr="007C6E9B" w:rsidRDefault="00E35A26" w:rsidP="007371BF">
            <w:pPr>
              <w:pStyle w:val="Prrafodelista"/>
              <w:numPr>
                <w:ilvl w:val="0"/>
                <w:numId w:val="31"/>
              </w:numPr>
              <w:ind w:left="204" w:hanging="141"/>
              <w:jc w:val="both"/>
              <w:rPr>
                <w:color w:val="000000" w:themeColor="text1"/>
              </w:rPr>
            </w:pPr>
            <w:r w:rsidRPr="007C6E9B">
              <w:rPr>
                <w:color w:val="000000" w:themeColor="text1"/>
              </w:rPr>
              <w:t>La mayoría de gobiernos regionales y municipalidades provinciales señaló como temas de agenda los logros, avanc</w:t>
            </w:r>
            <w:r w:rsidR="007C6E9B">
              <w:rPr>
                <w:color w:val="000000" w:themeColor="text1"/>
              </w:rPr>
              <w:t>es y dificultades de la gestión;</w:t>
            </w:r>
            <w:r w:rsidRPr="007C6E9B">
              <w:rPr>
                <w:color w:val="000000" w:themeColor="text1"/>
              </w:rPr>
              <w:t xml:space="preserve"> sin embargo, no brindaron mayor información sobre estos puntos en el informe de rendición de cuentas.</w:t>
            </w:r>
          </w:p>
          <w:p w:rsidR="00E35A26" w:rsidRPr="00E35A26" w:rsidRDefault="00E35A26" w:rsidP="007C6E9B">
            <w:pPr>
              <w:pStyle w:val="Prrafodelista"/>
              <w:numPr>
                <w:ilvl w:val="0"/>
                <w:numId w:val="31"/>
              </w:numPr>
              <w:ind w:left="204" w:hanging="141"/>
              <w:jc w:val="both"/>
              <w:rPr>
                <w:color w:val="000000" w:themeColor="text1"/>
              </w:rPr>
            </w:pPr>
            <w:r>
              <w:rPr>
                <w:color w:val="000000" w:themeColor="text1"/>
              </w:rPr>
              <w:t>Tanto a nivel regional</w:t>
            </w:r>
            <w:r w:rsidR="007C6E9B">
              <w:rPr>
                <w:color w:val="000000" w:themeColor="text1"/>
              </w:rPr>
              <w:t>,</w:t>
            </w:r>
            <w:r>
              <w:rPr>
                <w:color w:val="000000" w:themeColor="text1"/>
              </w:rPr>
              <w:t xml:space="preserve"> como local, los informes de rendición de cuentas no se desarrollaron sobre la base de los logros y avances de la gestión de acuerdo </w:t>
            </w:r>
            <w:r w:rsidR="007C6E9B">
              <w:rPr>
                <w:color w:val="000000" w:themeColor="text1"/>
              </w:rPr>
              <w:t>a lo establecido en el</w:t>
            </w:r>
            <w:r>
              <w:rPr>
                <w:color w:val="000000" w:themeColor="text1"/>
              </w:rPr>
              <w:t xml:space="preserve"> Plan de Desarrollo Regional o Provincial Concertado.</w:t>
            </w:r>
          </w:p>
        </w:tc>
      </w:tr>
      <w:tr w:rsidR="0045073C" w:rsidRPr="00295641" w:rsidTr="00E35A26">
        <w:tc>
          <w:tcPr>
            <w:tcW w:w="4219" w:type="dxa"/>
            <w:gridSpan w:val="3"/>
            <w:shd w:val="clear" w:color="auto" w:fill="C6D9F1" w:themeFill="text2" w:themeFillTint="33"/>
            <w:vAlign w:val="center"/>
          </w:tcPr>
          <w:p w:rsidR="0045073C" w:rsidRPr="00295641" w:rsidRDefault="0045073C" w:rsidP="00B56E74">
            <w:pPr>
              <w:rPr>
                <w:b/>
                <w:color w:val="000000" w:themeColor="text1"/>
              </w:rPr>
            </w:pPr>
            <w:r w:rsidRPr="00295641">
              <w:rPr>
                <w:rFonts w:cs="Gotham-Book"/>
                <w:b/>
                <w:color w:val="000000" w:themeColor="text1"/>
              </w:rPr>
              <w:t>Objetivo principal</w:t>
            </w:r>
          </w:p>
        </w:tc>
        <w:tc>
          <w:tcPr>
            <w:tcW w:w="4820" w:type="dxa"/>
            <w:gridSpan w:val="3"/>
          </w:tcPr>
          <w:p w:rsidR="0045073C" w:rsidRPr="00EB66E2" w:rsidRDefault="00E35A26" w:rsidP="00B56E74">
            <w:pPr>
              <w:jc w:val="both"/>
              <w:rPr>
                <w:bCs/>
              </w:rPr>
            </w:pPr>
            <w:r>
              <w:rPr>
                <w:bCs/>
              </w:rPr>
              <w:t>Los gobiernos regionales y locales rinden cuentas</w:t>
            </w:r>
            <w:r w:rsidR="00EA115B">
              <w:rPr>
                <w:bCs/>
              </w:rPr>
              <w:t>,</w:t>
            </w:r>
            <w:r>
              <w:rPr>
                <w:bCs/>
              </w:rPr>
              <w:t xml:space="preserve"> de acuerdo a los lineamientos desarrollados para tal fin.</w:t>
            </w:r>
          </w:p>
        </w:tc>
      </w:tr>
      <w:tr w:rsidR="0045073C" w:rsidRPr="00295641" w:rsidTr="00E35A26">
        <w:tc>
          <w:tcPr>
            <w:tcW w:w="4219" w:type="dxa"/>
            <w:gridSpan w:val="3"/>
            <w:shd w:val="clear" w:color="auto" w:fill="C6D9F1" w:themeFill="text2" w:themeFillTint="33"/>
            <w:vAlign w:val="center"/>
          </w:tcPr>
          <w:p w:rsidR="0045073C" w:rsidRPr="00295641" w:rsidRDefault="0045073C" w:rsidP="00B56E74">
            <w:pPr>
              <w:autoSpaceDE w:val="0"/>
              <w:autoSpaceDN w:val="0"/>
              <w:adjustRightInd w:val="0"/>
              <w:rPr>
                <w:rFonts w:cs="Gotham-Book"/>
                <w:b/>
                <w:color w:val="000000" w:themeColor="text1"/>
              </w:rPr>
            </w:pPr>
            <w:r>
              <w:rPr>
                <w:rFonts w:cs="Gotham-Book"/>
                <w:b/>
                <w:color w:val="000000" w:themeColor="text1"/>
              </w:rPr>
              <w:t xml:space="preserve">Breve </w:t>
            </w:r>
            <w:r w:rsidRPr="00295641">
              <w:rPr>
                <w:rFonts w:cs="Gotham-Book"/>
                <w:b/>
                <w:color w:val="000000" w:themeColor="text1"/>
              </w:rPr>
              <w:t>Descripción del</w:t>
            </w:r>
          </w:p>
          <w:p w:rsidR="0045073C" w:rsidRPr="00295641" w:rsidRDefault="0045073C" w:rsidP="00B56E74">
            <w:pPr>
              <w:autoSpaceDE w:val="0"/>
              <w:autoSpaceDN w:val="0"/>
              <w:adjustRightInd w:val="0"/>
              <w:rPr>
                <w:rFonts w:cs="Gotham-Book"/>
                <w:b/>
                <w:color w:val="000000" w:themeColor="text1"/>
              </w:rPr>
            </w:pPr>
            <w:r w:rsidRPr="00295641">
              <w:rPr>
                <w:rFonts w:cs="Gotham-Book"/>
                <w:b/>
                <w:color w:val="000000" w:themeColor="text1"/>
              </w:rPr>
              <w:t>Compromiso</w:t>
            </w:r>
          </w:p>
        </w:tc>
        <w:tc>
          <w:tcPr>
            <w:tcW w:w="4820" w:type="dxa"/>
            <w:gridSpan w:val="3"/>
          </w:tcPr>
          <w:p w:rsidR="0045073C" w:rsidRPr="00D55406" w:rsidRDefault="00E35A26" w:rsidP="00E35A26">
            <w:pPr>
              <w:jc w:val="both"/>
              <w:rPr>
                <w:color w:val="FF0000"/>
                <w:szCs w:val="20"/>
                <w:lang w:val="es-PE"/>
              </w:rPr>
            </w:pPr>
            <w:r w:rsidRPr="00E35A26">
              <w:rPr>
                <w:szCs w:val="20"/>
                <w:lang w:val="es-PE"/>
              </w:rPr>
              <w:t>Mejorar la calidad de las audiencias de rendición de cuentas de los gobiernos regionales y locales.</w:t>
            </w:r>
          </w:p>
        </w:tc>
      </w:tr>
      <w:tr w:rsidR="0045073C" w:rsidRPr="00295641" w:rsidTr="00E35A26">
        <w:tc>
          <w:tcPr>
            <w:tcW w:w="4219" w:type="dxa"/>
            <w:gridSpan w:val="3"/>
            <w:shd w:val="clear" w:color="auto" w:fill="C6D9F1" w:themeFill="text2" w:themeFillTint="33"/>
            <w:vAlign w:val="center"/>
          </w:tcPr>
          <w:p w:rsidR="0045073C" w:rsidRPr="00295641" w:rsidRDefault="0045073C" w:rsidP="00B56E74">
            <w:pPr>
              <w:autoSpaceDE w:val="0"/>
              <w:autoSpaceDN w:val="0"/>
              <w:adjustRightInd w:val="0"/>
              <w:rPr>
                <w:rFonts w:cs="Gotham-Book"/>
                <w:b/>
                <w:color w:val="000000" w:themeColor="text1"/>
              </w:rPr>
            </w:pPr>
            <w:r w:rsidRPr="00295641">
              <w:rPr>
                <w:rFonts w:cs="Gotham-Book"/>
                <w:b/>
                <w:color w:val="000000" w:themeColor="text1"/>
              </w:rPr>
              <w:t>Relevancia</w:t>
            </w:r>
          </w:p>
          <w:p w:rsidR="0045073C" w:rsidRPr="00295641" w:rsidRDefault="0045073C" w:rsidP="00B56E74">
            <w:pPr>
              <w:autoSpaceDE w:val="0"/>
              <w:autoSpaceDN w:val="0"/>
              <w:adjustRightInd w:val="0"/>
              <w:rPr>
                <w:b/>
                <w:color w:val="000000" w:themeColor="text1"/>
              </w:rPr>
            </w:pPr>
          </w:p>
        </w:tc>
        <w:tc>
          <w:tcPr>
            <w:tcW w:w="4820" w:type="dxa"/>
            <w:gridSpan w:val="3"/>
          </w:tcPr>
          <w:p w:rsidR="0045073C" w:rsidRPr="00B020D5" w:rsidRDefault="008F0795" w:rsidP="00B56E74">
            <w:pPr>
              <w:jc w:val="both"/>
              <w:rPr>
                <w:szCs w:val="20"/>
                <w:lang w:val="es-PE"/>
              </w:rPr>
            </w:pPr>
            <w:r w:rsidRPr="00B020D5">
              <w:rPr>
                <w:szCs w:val="20"/>
                <w:lang w:val="es-PE"/>
              </w:rPr>
              <w:t>El compromiso contribuye a fortalecer el mecanismo de rendición de cuentas contando con un mecanismo efectivo en su aplicación que responda a la problemática identificada, fortaleciendo los valores OGP</w:t>
            </w:r>
            <w:r w:rsidR="00EA115B">
              <w:rPr>
                <w:szCs w:val="20"/>
                <w:lang w:val="es-PE"/>
              </w:rPr>
              <w:t>.</w:t>
            </w:r>
          </w:p>
        </w:tc>
      </w:tr>
      <w:tr w:rsidR="0045073C" w:rsidRPr="00295641" w:rsidTr="00E35A26">
        <w:tc>
          <w:tcPr>
            <w:tcW w:w="4219" w:type="dxa"/>
            <w:gridSpan w:val="3"/>
            <w:shd w:val="clear" w:color="auto" w:fill="C6D9F1" w:themeFill="text2" w:themeFillTint="33"/>
            <w:vAlign w:val="center"/>
          </w:tcPr>
          <w:p w:rsidR="0045073C" w:rsidRPr="00295641" w:rsidRDefault="0045073C" w:rsidP="00B56E74">
            <w:pPr>
              <w:autoSpaceDE w:val="0"/>
              <w:autoSpaceDN w:val="0"/>
              <w:adjustRightInd w:val="0"/>
              <w:rPr>
                <w:rFonts w:cs="Gotham-Book"/>
                <w:b/>
                <w:color w:val="000000" w:themeColor="text1"/>
              </w:rPr>
            </w:pPr>
            <w:r w:rsidRPr="00295641">
              <w:rPr>
                <w:rFonts w:cs="Gotham-Book"/>
                <w:b/>
                <w:color w:val="000000" w:themeColor="text1"/>
              </w:rPr>
              <w:t>Ambición</w:t>
            </w:r>
          </w:p>
          <w:p w:rsidR="0045073C" w:rsidRPr="00295641" w:rsidRDefault="0045073C" w:rsidP="00B56E74">
            <w:pPr>
              <w:autoSpaceDE w:val="0"/>
              <w:autoSpaceDN w:val="0"/>
              <w:adjustRightInd w:val="0"/>
              <w:rPr>
                <w:rFonts w:cs="Gotham-BookItalic"/>
                <w:b/>
                <w:iCs/>
                <w:color w:val="000000" w:themeColor="text1"/>
              </w:rPr>
            </w:pPr>
          </w:p>
        </w:tc>
        <w:tc>
          <w:tcPr>
            <w:tcW w:w="4820" w:type="dxa"/>
            <w:gridSpan w:val="3"/>
          </w:tcPr>
          <w:p w:rsidR="0045073C" w:rsidRPr="00B020D5" w:rsidRDefault="008F0795" w:rsidP="00B020D5">
            <w:pPr>
              <w:jc w:val="both"/>
              <w:rPr>
                <w:szCs w:val="20"/>
                <w:lang w:val="es-PE"/>
              </w:rPr>
            </w:pPr>
            <w:r w:rsidRPr="00B020D5">
              <w:rPr>
                <w:szCs w:val="20"/>
                <w:lang w:val="es-PE"/>
              </w:rPr>
              <w:t xml:space="preserve">Se espera contar con una Directiva que precise criterios para una efectiva rendición de cuentas </w:t>
            </w:r>
            <w:r w:rsidR="00B020D5">
              <w:rPr>
                <w:szCs w:val="20"/>
                <w:lang w:val="es-PE"/>
              </w:rPr>
              <w:t>considerando</w:t>
            </w:r>
            <w:r w:rsidRPr="00B020D5">
              <w:rPr>
                <w:szCs w:val="20"/>
                <w:lang w:val="es-PE"/>
              </w:rPr>
              <w:t xml:space="preserve">, lugar, plazo contenidos de los informes de rendición de cuentas, temas que </w:t>
            </w:r>
            <w:r w:rsidR="0045073C" w:rsidRPr="00B020D5">
              <w:rPr>
                <w:szCs w:val="20"/>
                <w:lang w:val="es-PE"/>
              </w:rPr>
              <w:t xml:space="preserve">hará al gobierno más abierto </w:t>
            </w:r>
            <w:r w:rsidR="00813B02" w:rsidRPr="00B020D5">
              <w:rPr>
                <w:szCs w:val="20"/>
                <w:lang w:val="es-PE"/>
              </w:rPr>
              <w:t>atendiendo la demanda ciudadana.</w:t>
            </w:r>
            <w:r w:rsidR="0045073C" w:rsidRPr="00B020D5">
              <w:rPr>
                <w:szCs w:val="20"/>
                <w:lang w:val="es-PE"/>
              </w:rPr>
              <w:t xml:space="preserve"> </w:t>
            </w:r>
          </w:p>
        </w:tc>
      </w:tr>
      <w:tr w:rsidR="0045073C" w:rsidRPr="00295641" w:rsidTr="00E35A26">
        <w:tc>
          <w:tcPr>
            <w:tcW w:w="2518" w:type="dxa"/>
            <w:gridSpan w:val="2"/>
            <w:vMerge w:val="restart"/>
            <w:shd w:val="clear" w:color="auto" w:fill="C6D9F1" w:themeFill="text2" w:themeFillTint="33"/>
            <w:vAlign w:val="center"/>
          </w:tcPr>
          <w:p w:rsidR="0045073C" w:rsidRPr="00295641" w:rsidRDefault="0045073C" w:rsidP="00B56E74">
            <w:pPr>
              <w:rPr>
                <w:b/>
                <w:color w:val="000000" w:themeColor="text1"/>
              </w:rPr>
            </w:pPr>
            <w:r w:rsidRPr="00295641">
              <w:rPr>
                <w:rFonts w:cs="Gotham-Book"/>
                <w:b/>
                <w:color w:val="000000" w:themeColor="text1"/>
              </w:rPr>
              <w:t>Cumplimiento</w:t>
            </w:r>
          </w:p>
        </w:tc>
        <w:tc>
          <w:tcPr>
            <w:tcW w:w="1701" w:type="dxa"/>
            <w:shd w:val="clear" w:color="auto" w:fill="C6D9F1" w:themeFill="text2" w:themeFillTint="33"/>
          </w:tcPr>
          <w:p w:rsidR="0045073C" w:rsidRPr="00295641" w:rsidRDefault="0045073C" w:rsidP="00B56E74">
            <w:pPr>
              <w:jc w:val="center"/>
              <w:rPr>
                <w:b/>
                <w:color w:val="000000" w:themeColor="text1"/>
              </w:rPr>
            </w:pPr>
            <w:r w:rsidRPr="00295641">
              <w:rPr>
                <w:rFonts w:cs="Gotham-Book"/>
                <w:b/>
                <w:color w:val="000000" w:themeColor="text1"/>
              </w:rPr>
              <w:t>No iniciado</w:t>
            </w:r>
          </w:p>
        </w:tc>
        <w:tc>
          <w:tcPr>
            <w:tcW w:w="1729" w:type="dxa"/>
            <w:shd w:val="clear" w:color="auto" w:fill="C6D9F1" w:themeFill="text2" w:themeFillTint="33"/>
          </w:tcPr>
          <w:p w:rsidR="0045073C" w:rsidRPr="00295641" w:rsidRDefault="0045073C" w:rsidP="00B56E74">
            <w:pPr>
              <w:jc w:val="center"/>
              <w:rPr>
                <w:b/>
                <w:color w:val="000000" w:themeColor="text1"/>
              </w:rPr>
            </w:pPr>
            <w:r w:rsidRPr="00295641">
              <w:rPr>
                <w:rFonts w:cs="Gotham-Book"/>
                <w:b/>
                <w:color w:val="000000" w:themeColor="text1"/>
              </w:rPr>
              <w:t>Limitado</w:t>
            </w:r>
          </w:p>
        </w:tc>
        <w:tc>
          <w:tcPr>
            <w:tcW w:w="1644" w:type="dxa"/>
            <w:shd w:val="clear" w:color="auto" w:fill="C6D9F1" w:themeFill="text2" w:themeFillTint="33"/>
          </w:tcPr>
          <w:p w:rsidR="0045073C" w:rsidRPr="00295641" w:rsidRDefault="0045073C" w:rsidP="00B56E74">
            <w:pPr>
              <w:jc w:val="center"/>
              <w:rPr>
                <w:b/>
                <w:color w:val="000000" w:themeColor="text1"/>
              </w:rPr>
            </w:pPr>
            <w:r w:rsidRPr="00295641">
              <w:rPr>
                <w:rFonts w:cs="Gotham-Book"/>
                <w:b/>
                <w:color w:val="000000" w:themeColor="text1"/>
              </w:rPr>
              <w:t>Sustancial</w:t>
            </w:r>
          </w:p>
        </w:tc>
        <w:tc>
          <w:tcPr>
            <w:tcW w:w="1447" w:type="dxa"/>
            <w:shd w:val="clear" w:color="auto" w:fill="C6D9F1" w:themeFill="text2" w:themeFillTint="33"/>
          </w:tcPr>
          <w:p w:rsidR="0045073C" w:rsidRPr="00295641" w:rsidRDefault="0045073C" w:rsidP="00B56E74">
            <w:pPr>
              <w:jc w:val="center"/>
              <w:rPr>
                <w:b/>
                <w:color w:val="000000" w:themeColor="text1"/>
              </w:rPr>
            </w:pPr>
            <w:r w:rsidRPr="00295641">
              <w:rPr>
                <w:rFonts w:cs="Gotham-Book"/>
                <w:b/>
                <w:color w:val="000000" w:themeColor="text1"/>
              </w:rPr>
              <w:t>Completo</w:t>
            </w:r>
          </w:p>
        </w:tc>
      </w:tr>
      <w:tr w:rsidR="0045073C" w:rsidRPr="00295641" w:rsidTr="00E35A26">
        <w:tc>
          <w:tcPr>
            <w:tcW w:w="2518" w:type="dxa"/>
            <w:gridSpan w:val="2"/>
            <w:vMerge/>
            <w:shd w:val="clear" w:color="auto" w:fill="C6D9F1" w:themeFill="text2" w:themeFillTint="33"/>
            <w:vAlign w:val="center"/>
          </w:tcPr>
          <w:p w:rsidR="0045073C" w:rsidRPr="00295641" w:rsidRDefault="0045073C" w:rsidP="00B56E74">
            <w:pPr>
              <w:rPr>
                <w:b/>
                <w:color w:val="000000" w:themeColor="text1"/>
              </w:rPr>
            </w:pPr>
          </w:p>
        </w:tc>
        <w:tc>
          <w:tcPr>
            <w:tcW w:w="1701" w:type="dxa"/>
          </w:tcPr>
          <w:p w:rsidR="0045073C" w:rsidRPr="00295641" w:rsidRDefault="00813B02" w:rsidP="00B56E74">
            <w:pPr>
              <w:jc w:val="center"/>
              <w:rPr>
                <w:b/>
                <w:color w:val="000000" w:themeColor="text1"/>
              </w:rPr>
            </w:pPr>
            <w:r>
              <w:rPr>
                <w:b/>
                <w:color w:val="000000" w:themeColor="text1"/>
              </w:rPr>
              <w:t>X</w:t>
            </w:r>
          </w:p>
        </w:tc>
        <w:tc>
          <w:tcPr>
            <w:tcW w:w="1729" w:type="dxa"/>
          </w:tcPr>
          <w:p w:rsidR="0045073C" w:rsidRPr="00295641" w:rsidRDefault="0045073C" w:rsidP="00B56E74">
            <w:pPr>
              <w:jc w:val="center"/>
              <w:rPr>
                <w:b/>
                <w:color w:val="000000" w:themeColor="text1"/>
              </w:rPr>
            </w:pPr>
          </w:p>
        </w:tc>
        <w:tc>
          <w:tcPr>
            <w:tcW w:w="1644" w:type="dxa"/>
          </w:tcPr>
          <w:p w:rsidR="0045073C" w:rsidRPr="00295641" w:rsidRDefault="0045073C" w:rsidP="00B56E74">
            <w:pPr>
              <w:jc w:val="center"/>
              <w:rPr>
                <w:b/>
                <w:color w:val="000000" w:themeColor="text1"/>
              </w:rPr>
            </w:pPr>
          </w:p>
        </w:tc>
        <w:tc>
          <w:tcPr>
            <w:tcW w:w="1447" w:type="dxa"/>
            <w:shd w:val="clear" w:color="auto" w:fill="FFFFFF" w:themeFill="background1"/>
          </w:tcPr>
          <w:p w:rsidR="0045073C" w:rsidRPr="00295641" w:rsidRDefault="0045073C" w:rsidP="00B56E74">
            <w:pPr>
              <w:jc w:val="center"/>
              <w:rPr>
                <w:b/>
                <w:color w:val="000000" w:themeColor="text1"/>
              </w:rPr>
            </w:pPr>
          </w:p>
        </w:tc>
      </w:tr>
      <w:tr w:rsidR="0045073C" w:rsidRPr="00295641" w:rsidTr="00E35A26">
        <w:tc>
          <w:tcPr>
            <w:tcW w:w="2518" w:type="dxa"/>
            <w:gridSpan w:val="2"/>
            <w:shd w:val="clear" w:color="auto" w:fill="C6D9F1" w:themeFill="text2" w:themeFillTint="33"/>
            <w:vAlign w:val="center"/>
          </w:tcPr>
          <w:p w:rsidR="0045073C" w:rsidRPr="00295641" w:rsidRDefault="0045073C" w:rsidP="00B56E74">
            <w:pPr>
              <w:autoSpaceDE w:val="0"/>
              <w:autoSpaceDN w:val="0"/>
              <w:adjustRightInd w:val="0"/>
              <w:rPr>
                <w:rFonts w:cs="Gotham-Book"/>
                <w:b/>
                <w:color w:val="000000" w:themeColor="text1"/>
              </w:rPr>
            </w:pPr>
            <w:r w:rsidRPr="00295641">
              <w:rPr>
                <w:rFonts w:cs="Gotham-Book"/>
                <w:b/>
                <w:color w:val="000000" w:themeColor="text1"/>
              </w:rPr>
              <w:t>Descripción de los resultados</w:t>
            </w:r>
          </w:p>
          <w:p w:rsidR="0045073C" w:rsidRPr="00295641" w:rsidRDefault="0045073C" w:rsidP="00B56E74">
            <w:pPr>
              <w:autoSpaceDE w:val="0"/>
              <w:autoSpaceDN w:val="0"/>
              <w:adjustRightInd w:val="0"/>
              <w:rPr>
                <w:rFonts w:cs="Gotham-BookItalic"/>
                <w:b/>
                <w:iCs/>
                <w:color w:val="000000" w:themeColor="text1"/>
              </w:rPr>
            </w:pPr>
          </w:p>
        </w:tc>
        <w:tc>
          <w:tcPr>
            <w:tcW w:w="6521" w:type="dxa"/>
            <w:gridSpan w:val="4"/>
          </w:tcPr>
          <w:p w:rsidR="0045073C" w:rsidRPr="00813B02" w:rsidRDefault="00813B02" w:rsidP="00B56E74">
            <w:pPr>
              <w:jc w:val="both"/>
              <w:rPr>
                <w:szCs w:val="20"/>
                <w:lang w:val="es-PE"/>
              </w:rPr>
            </w:pPr>
            <w:r w:rsidRPr="00813B02">
              <w:rPr>
                <w:szCs w:val="20"/>
                <w:lang w:val="es-PE"/>
              </w:rPr>
              <w:t>Se consideraron las siguientes actividades:</w:t>
            </w:r>
          </w:p>
          <w:p w:rsidR="00813B02" w:rsidRPr="000C6B21" w:rsidRDefault="00813B02" w:rsidP="00B56E74">
            <w:pPr>
              <w:jc w:val="both"/>
              <w:rPr>
                <w:b/>
                <w:i/>
                <w:szCs w:val="20"/>
                <w:lang w:val="es-PE"/>
              </w:rPr>
            </w:pPr>
            <w:r w:rsidRPr="000C6B21">
              <w:rPr>
                <w:b/>
                <w:i/>
                <w:szCs w:val="20"/>
                <w:lang w:val="es-PE"/>
              </w:rPr>
              <w:t>1. Conformación de un grupo de trabajo integrado por entidades públicas y sociedad civil para elaborar una propuesta de lineamientos de audiencias de rendición de cuentas.</w:t>
            </w:r>
          </w:p>
          <w:p w:rsidR="00813B02" w:rsidRPr="000C6B21" w:rsidRDefault="00813B02" w:rsidP="00B56E74">
            <w:pPr>
              <w:jc w:val="both"/>
              <w:rPr>
                <w:b/>
                <w:i/>
                <w:szCs w:val="20"/>
                <w:lang w:val="es-PE"/>
              </w:rPr>
            </w:pPr>
            <w:r w:rsidRPr="000C6B21">
              <w:rPr>
                <w:b/>
                <w:i/>
                <w:szCs w:val="20"/>
                <w:lang w:val="es-PE"/>
              </w:rPr>
              <w:t>2. Lineamientos de audiencias de rendición de cuentas elaborados y aprobados.</w:t>
            </w:r>
          </w:p>
          <w:p w:rsidR="00813B02" w:rsidRPr="000C6B21" w:rsidRDefault="00813B02" w:rsidP="00B56E74">
            <w:pPr>
              <w:jc w:val="both"/>
              <w:rPr>
                <w:b/>
                <w:i/>
                <w:szCs w:val="20"/>
                <w:lang w:val="es-PE"/>
              </w:rPr>
            </w:pPr>
            <w:r w:rsidRPr="000C6B21">
              <w:rPr>
                <w:b/>
                <w:i/>
                <w:szCs w:val="20"/>
                <w:lang w:val="es-PE"/>
              </w:rPr>
              <w:t>3. Difusión y capacitación a funcionarios sobre lineamientos en gobiernos regionales y locales seleccionados.</w:t>
            </w:r>
          </w:p>
          <w:p w:rsidR="00813B02" w:rsidRPr="000C6B21" w:rsidRDefault="00813B02" w:rsidP="00B56E74">
            <w:pPr>
              <w:jc w:val="both"/>
              <w:rPr>
                <w:b/>
                <w:i/>
                <w:szCs w:val="20"/>
                <w:lang w:val="es-PE"/>
              </w:rPr>
            </w:pPr>
            <w:r w:rsidRPr="000C6B21">
              <w:rPr>
                <w:b/>
                <w:i/>
                <w:szCs w:val="20"/>
                <w:lang w:val="es-PE"/>
              </w:rPr>
              <w:t>4. Reporte sobre las mejoras en las audiencias de rendición de cuentas.</w:t>
            </w:r>
          </w:p>
          <w:p w:rsidR="0045073C" w:rsidRPr="00295641" w:rsidRDefault="00813B02" w:rsidP="00813B02">
            <w:pPr>
              <w:jc w:val="both"/>
              <w:rPr>
                <w:color w:val="000000" w:themeColor="text1"/>
              </w:rPr>
            </w:pPr>
            <w:r>
              <w:rPr>
                <w:color w:val="000000" w:themeColor="text1"/>
              </w:rPr>
              <w:t>Se ha considerado reprogramar la implementación del compromiso para el primer semestre 2017</w:t>
            </w:r>
          </w:p>
        </w:tc>
      </w:tr>
      <w:tr w:rsidR="0045073C" w:rsidRPr="00295641" w:rsidTr="00E35A26">
        <w:tc>
          <w:tcPr>
            <w:tcW w:w="2518" w:type="dxa"/>
            <w:gridSpan w:val="2"/>
            <w:shd w:val="clear" w:color="auto" w:fill="C6D9F1" w:themeFill="text2" w:themeFillTint="33"/>
            <w:vAlign w:val="center"/>
          </w:tcPr>
          <w:p w:rsidR="0045073C" w:rsidRPr="00295641" w:rsidRDefault="0045073C" w:rsidP="00B56E74">
            <w:pPr>
              <w:rPr>
                <w:b/>
                <w:color w:val="000000" w:themeColor="text1"/>
              </w:rPr>
            </w:pPr>
            <w:r w:rsidRPr="00295641">
              <w:rPr>
                <w:rFonts w:cs="Gotham-Book"/>
                <w:b/>
                <w:color w:val="000000" w:themeColor="text1"/>
              </w:rPr>
              <w:t>Fecha de conclusión</w:t>
            </w:r>
          </w:p>
        </w:tc>
        <w:tc>
          <w:tcPr>
            <w:tcW w:w="6521" w:type="dxa"/>
            <w:gridSpan w:val="4"/>
          </w:tcPr>
          <w:p w:rsidR="0045073C" w:rsidRPr="00295641" w:rsidRDefault="00813B02" w:rsidP="00B56E74">
            <w:pPr>
              <w:jc w:val="both"/>
              <w:rPr>
                <w:color w:val="000000" w:themeColor="text1"/>
              </w:rPr>
            </w:pPr>
            <w:r>
              <w:rPr>
                <w:color w:val="000000" w:themeColor="text1"/>
              </w:rPr>
              <w:t>Junio 2017</w:t>
            </w:r>
          </w:p>
        </w:tc>
      </w:tr>
      <w:tr w:rsidR="0045073C" w:rsidRPr="00295641" w:rsidTr="00E35A26">
        <w:tc>
          <w:tcPr>
            <w:tcW w:w="2518" w:type="dxa"/>
            <w:gridSpan w:val="2"/>
            <w:shd w:val="clear" w:color="auto" w:fill="C6D9F1" w:themeFill="text2" w:themeFillTint="33"/>
            <w:vAlign w:val="center"/>
          </w:tcPr>
          <w:p w:rsidR="0045073C" w:rsidRPr="00295641" w:rsidRDefault="0045073C" w:rsidP="00B56E74">
            <w:pPr>
              <w:rPr>
                <w:b/>
                <w:color w:val="000000" w:themeColor="text1"/>
              </w:rPr>
            </w:pPr>
            <w:r w:rsidRPr="00295641">
              <w:rPr>
                <w:rFonts w:cs="Gotham-Book"/>
                <w:b/>
                <w:color w:val="000000" w:themeColor="text1"/>
              </w:rPr>
              <w:t>Próximos pasos</w:t>
            </w:r>
          </w:p>
        </w:tc>
        <w:tc>
          <w:tcPr>
            <w:tcW w:w="6521" w:type="dxa"/>
            <w:gridSpan w:val="4"/>
          </w:tcPr>
          <w:p w:rsidR="0045073C" w:rsidRPr="00295641" w:rsidRDefault="00813B02" w:rsidP="00B56E74">
            <w:pPr>
              <w:jc w:val="both"/>
              <w:rPr>
                <w:color w:val="000000" w:themeColor="text1"/>
              </w:rPr>
            </w:pPr>
            <w:r>
              <w:rPr>
                <w:color w:val="000000" w:themeColor="text1"/>
              </w:rPr>
              <w:t>Dar inicio a las actividades para la implementación del compromiso.</w:t>
            </w:r>
          </w:p>
        </w:tc>
      </w:tr>
      <w:tr w:rsidR="0045073C" w:rsidRPr="00295641" w:rsidTr="00E35A26">
        <w:tc>
          <w:tcPr>
            <w:tcW w:w="9039" w:type="dxa"/>
            <w:gridSpan w:val="6"/>
          </w:tcPr>
          <w:p w:rsidR="0045073C" w:rsidRPr="00295641" w:rsidRDefault="0045073C" w:rsidP="00B56E74">
            <w:pPr>
              <w:jc w:val="both"/>
              <w:rPr>
                <w:rFonts w:cs="Gotham-Book"/>
                <w:b/>
                <w:color w:val="000000" w:themeColor="text1"/>
              </w:rPr>
            </w:pPr>
          </w:p>
          <w:p w:rsidR="0045073C" w:rsidRPr="00295641" w:rsidRDefault="0045073C" w:rsidP="00B56E74">
            <w:pPr>
              <w:jc w:val="both"/>
              <w:rPr>
                <w:color w:val="000000" w:themeColor="text1"/>
              </w:rPr>
            </w:pPr>
            <w:r>
              <w:rPr>
                <w:rFonts w:cs="Gotham-Book"/>
                <w:b/>
                <w:color w:val="000000" w:themeColor="text1"/>
              </w:rPr>
              <w:t>Información adicional</w:t>
            </w:r>
          </w:p>
        </w:tc>
      </w:tr>
      <w:tr w:rsidR="0045073C" w:rsidRPr="00295641" w:rsidTr="00E35A26">
        <w:tc>
          <w:tcPr>
            <w:tcW w:w="9039" w:type="dxa"/>
            <w:gridSpan w:val="6"/>
          </w:tcPr>
          <w:p w:rsidR="0045073C" w:rsidRPr="00295641" w:rsidRDefault="0045073C" w:rsidP="00B56E74">
            <w:pPr>
              <w:jc w:val="both"/>
              <w:rPr>
                <w:rFonts w:cs="Gotham-Book"/>
                <w:b/>
                <w:color w:val="000000" w:themeColor="text1"/>
              </w:rPr>
            </w:pPr>
          </w:p>
        </w:tc>
      </w:tr>
    </w:tbl>
    <w:p w:rsidR="0045073C" w:rsidRDefault="0045073C"/>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EA115B" w:rsidRDefault="00EA115B"/>
    <w:p w:rsidR="00EA115B" w:rsidRDefault="00EA115B"/>
    <w:tbl>
      <w:tblPr>
        <w:tblStyle w:val="Tablaconcuadrcula"/>
        <w:tblW w:w="9039" w:type="dxa"/>
        <w:tblLayout w:type="fixed"/>
        <w:tblLook w:val="04A0" w:firstRow="1" w:lastRow="0" w:firstColumn="1" w:lastColumn="0" w:noHBand="0" w:noVBand="1"/>
      </w:tblPr>
      <w:tblGrid>
        <w:gridCol w:w="2109"/>
        <w:gridCol w:w="409"/>
        <w:gridCol w:w="1701"/>
        <w:gridCol w:w="1729"/>
        <w:gridCol w:w="1644"/>
        <w:gridCol w:w="1447"/>
      </w:tblGrid>
      <w:tr w:rsidR="0045073C" w:rsidRPr="00295641" w:rsidTr="002C2EAC">
        <w:tc>
          <w:tcPr>
            <w:tcW w:w="9039" w:type="dxa"/>
            <w:gridSpan w:val="6"/>
            <w:shd w:val="clear" w:color="auto" w:fill="548DD4" w:themeFill="text2" w:themeFillTint="99"/>
          </w:tcPr>
          <w:p w:rsidR="0045073C" w:rsidRPr="00295641" w:rsidRDefault="0045073C" w:rsidP="0045073C">
            <w:pPr>
              <w:ind w:left="720"/>
              <w:jc w:val="center"/>
              <w:rPr>
                <w:b/>
              </w:rPr>
            </w:pPr>
            <w:r>
              <w:rPr>
                <w:b/>
              </w:rPr>
              <w:t>Componente: Rendición de Cuentas</w:t>
            </w:r>
          </w:p>
        </w:tc>
      </w:tr>
      <w:tr w:rsidR="0045073C" w:rsidRPr="00295641" w:rsidTr="002C2EAC">
        <w:tc>
          <w:tcPr>
            <w:tcW w:w="9039" w:type="dxa"/>
            <w:gridSpan w:val="6"/>
            <w:shd w:val="clear" w:color="auto" w:fill="548DD4" w:themeFill="text2" w:themeFillTint="99"/>
          </w:tcPr>
          <w:p w:rsidR="0045073C" w:rsidRDefault="00813B02" w:rsidP="00B56E74">
            <w:pPr>
              <w:ind w:left="720"/>
              <w:rPr>
                <w:b/>
              </w:rPr>
            </w:pPr>
            <w:r w:rsidRPr="00813B02">
              <w:rPr>
                <w:b/>
                <w:u w:val="single"/>
              </w:rPr>
              <w:t xml:space="preserve">Compromiso </w:t>
            </w:r>
            <w:r w:rsidR="0045073C" w:rsidRPr="00813B02">
              <w:rPr>
                <w:b/>
                <w:u w:val="single"/>
              </w:rPr>
              <w:t>13</w:t>
            </w:r>
            <w:r w:rsidR="0045073C">
              <w:rPr>
                <w:b/>
              </w:rPr>
              <w:t xml:space="preserve">. </w:t>
            </w:r>
            <w:r w:rsidR="00E107BA">
              <w:rPr>
                <w:b/>
              </w:rPr>
              <w:t>Implementar mecanismos para rendir cuentas sobre el gasto público en políticas, programas y proyectos dirigidos a la niñez.</w:t>
            </w:r>
          </w:p>
        </w:tc>
      </w:tr>
      <w:tr w:rsidR="0045073C" w:rsidRPr="00295641" w:rsidTr="002C2EAC">
        <w:tc>
          <w:tcPr>
            <w:tcW w:w="4219" w:type="dxa"/>
            <w:gridSpan w:val="3"/>
            <w:shd w:val="clear" w:color="auto" w:fill="C6D9F1" w:themeFill="text2" w:themeFillTint="33"/>
            <w:vAlign w:val="center"/>
          </w:tcPr>
          <w:p w:rsidR="0045073C" w:rsidRPr="00295641" w:rsidRDefault="0045073C" w:rsidP="00B56E74">
            <w:pPr>
              <w:autoSpaceDE w:val="0"/>
              <w:autoSpaceDN w:val="0"/>
              <w:adjustRightInd w:val="0"/>
              <w:rPr>
                <w:rFonts w:cs="Gotham-Book"/>
                <w:b/>
                <w:color w:val="000000" w:themeColor="text1"/>
              </w:rPr>
            </w:pPr>
            <w:r w:rsidRPr="00295641">
              <w:rPr>
                <w:rFonts w:cs="Gotham-Book"/>
                <w:b/>
                <w:color w:val="000000" w:themeColor="text1"/>
              </w:rPr>
              <w:t>Secretaría/Ministerio</w:t>
            </w:r>
          </w:p>
          <w:p w:rsidR="0045073C" w:rsidRPr="00295641" w:rsidRDefault="0045073C" w:rsidP="00B56E74">
            <w:pPr>
              <w:rPr>
                <w:b/>
                <w:color w:val="000000" w:themeColor="text1"/>
              </w:rPr>
            </w:pPr>
            <w:r w:rsidRPr="00295641">
              <w:rPr>
                <w:rFonts w:cs="Gotham-Book"/>
                <w:b/>
                <w:color w:val="000000" w:themeColor="text1"/>
              </w:rPr>
              <w:t>Responsable</w:t>
            </w:r>
          </w:p>
        </w:tc>
        <w:tc>
          <w:tcPr>
            <w:tcW w:w="4820" w:type="dxa"/>
            <w:gridSpan w:val="3"/>
          </w:tcPr>
          <w:p w:rsidR="00043689" w:rsidRDefault="00E107BA" w:rsidP="00B56E74">
            <w:pPr>
              <w:jc w:val="both"/>
              <w:rPr>
                <w:color w:val="000000" w:themeColor="text1"/>
              </w:rPr>
            </w:pPr>
            <w:r w:rsidRPr="00D12754">
              <w:rPr>
                <w:color w:val="000000" w:themeColor="text1"/>
              </w:rPr>
              <w:t xml:space="preserve">Ministerio y Desarrollo Social, </w:t>
            </w:r>
          </w:p>
          <w:p w:rsidR="0045073C" w:rsidRPr="00295641" w:rsidRDefault="00E107BA" w:rsidP="00B56E74">
            <w:pPr>
              <w:jc w:val="both"/>
              <w:rPr>
                <w:color w:val="000000" w:themeColor="text1"/>
              </w:rPr>
            </w:pPr>
            <w:r w:rsidRPr="00D12754">
              <w:rPr>
                <w:color w:val="000000" w:themeColor="text1"/>
              </w:rPr>
              <w:t>Ministerio de la Mujer y Poblaciones Vulnerables y el Ministerio de Economía y Finanzas.</w:t>
            </w:r>
          </w:p>
        </w:tc>
      </w:tr>
      <w:tr w:rsidR="0045073C" w:rsidRPr="00295641" w:rsidTr="002C2EAC">
        <w:tc>
          <w:tcPr>
            <w:tcW w:w="4219" w:type="dxa"/>
            <w:gridSpan w:val="3"/>
            <w:shd w:val="clear" w:color="auto" w:fill="C6D9F1" w:themeFill="text2" w:themeFillTint="33"/>
            <w:vAlign w:val="center"/>
          </w:tcPr>
          <w:p w:rsidR="0045073C" w:rsidRPr="00295641" w:rsidRDefault="0045073C" w:rsidP="00B56E74">
            <w:pPr>
              <w:autoSpaceDE w:val="0"/>
              <w:autoSpaceDN w:val="0"/>
              <w:adjustRightInd w:val="0"/>
              <w:rPr>
                <w:rFonts w:cs="Gotham-Book"/>
                <w:b/>
                <w:color w:val="000000" w:themeColor="text1"/>
              </w:rPr>
            </w:pPr>
            <w:r w:rsidRPr="00295641">
              <w:rPr>
                <w:rFonts w:cs="Gotham-Book"/>
                <w:b/>
                <w:color w:val="000000" w:themeColor="text1"/>
              </w:rPr>
              <w:t>Nombre de la persona  responsable</w:t>
            </w:r>
          </w:p>
        </w:tc>
        <w:tc>
          <w:tcPr>
            <w:tcW w:w="4820" w:type="dxa"/>
            <w:gridSpan w:val="3"/>
          </w:tcPr>
          <w:p w:rsidR="00043689" w:rsidRDefault="00043689" w:rsidP="00B56E74">
            <w:pPr>
              <w:jc w:val="both"/>
              <w:rPr>
                <w:color w:val="000000" w:themeColor="text1"/>
              </w:rPr>
            </w:pPr>
            <w:r>
              <w:rPr>
                <w:color w:val="000000" w:themeColor="text1"/>
              </w:rPr>
              <w:t>Lucía Cayetana Aljovín Gazzani</w:t>
            </w:r>
          </w:p>
          <w:p w:rsidR="00043689" w:rsidRDefault="00043689" w:rsidP="00B56E74">
            <w:pPr>
              <w:jc w:val="both"/>
              <w:rPr>
                <w:color w:val="000000" w:themeColor="text1"/>
              </w:rPr>
            </w:pPr>
            <w:r>
              <w:rPr>
                <w:color w:val="000000" w:themeColor="text1"/>
              </w:rPr>
              <w:t xml:space="preserve">Ana María Romero-Lozada </w:t>
            </w:r>
            <w:proofErr w:type="spellStart"/>
            <w:r>
              <w:rPr>
                <w:color w:val="000000" w:themeColor="text1"/>
              </w:rPr>
              <w:t>Laurezzari</w:t>
            </w:r>
            <w:proofErr w:type="spellEnd"/>
            <w:r>
              <w:rPr>
                <w:color w:val="000000" w:themeColor="text1"/>
              </w:rPr>
              <w:t xml:space="preserve">, </w:t>
            </w:r>
          </w:p>
          <w:p w:rsidR="0045073C" w:rsidRPr="00295641" w:rsidRDefault="008F1376" w:rsidP="00B56E74">
            <w:pPr>
              <w:jc w:val="both"/>
              <w:rPr>
                <w:color w:val="000000" w:themeColor="text1"/>
              </w:rPr>
            </w:pPr>
            <w:r>
              <w:rPr>
                <w:color w:val="000000" w:themeColor="text1"/>
              </w:rPr>
              <w:t xml:space="preserve">Alfredo Eduardo </w:t>
            </w:r>
            <w:proofErr w:type="spellStart"/>
            <w:r>
              <w:rPr>
                <w:color w:val="000000" w:themeColor="text1"/>
              </w:rPr>
              <w:t>Thorne</w:t>
            </w:r>
            <w:proofErr w:type="spellEnd"/>
            <w:r>
              <w:rPr>
                <w:color w:val="000000" w:themeColor="text1"/>
              </w:rPr>
              <w:t xml:space="preserve"> </w:t>
            </w:r>
            <w:proofErr w:type="spellStart"/>
            <w:r>
              <w:rPr>
                <w:color w:val="000000" w:themeColor="text1"/>
              </w:rPr>
              <w:t>Vetter</w:t>
            </w:r>
            <w:proofErr w:type="spellEnd"/>
          </w:p>
        </w:tc>
      </w:tr>
      <w:tr w:rsidR="0045073C" w:rsidRPr="00295641" w:rsidTr="002C2EAC">
        <w:tc>
          <w:tcPr>
            <w:tcW w:w="4219" w:type="dxa"/>
            <w:gridSpan w:val="3"/>
            <w:shd w:val="clear" w:color="auto" w:fill="C6D9F1" w:themeFill="text2" w:themeFillTint="33"/>
            <w:vAlign w:val="center"/>
          </w:tcPr>
          <w:p w:rsidR="0045073C" w:rsidRPr="00295641" w:rsidRDefault="0045073C" w:rsidP="00B56E74">
            <w:pPr>
              <w:rPr>
                <w:b/>
                <w:color w:val="000000" w:themeColor="text1"/>
              </w:rPr>
            </w:pPr>
            <w:r w:rsidRPr="00295641">
              <w:rPr>
                <w:rFonts w:cs="Gotham-Book"/>
                <w:b/>
                <w:color w:val="000000" w:themeColor="text1"/>
              </w:rPr>
              <w:t>Puesto</w:t>
            </w:r>
          </w:p>
        </w:tc>
        <w:tc>
          <w:tcPr>
            <w:tcW w:w="4820" w:type="dxa"/>
            <w:gridSpan w:val="3"/>
          </w:tcPr>
          <w:p w:rsidR="0045073C" w:rsidRPr="00295641" w:rsidRDefault="008F1376" w:rsidP="00B56E74">
            <w:pPr>
              <w:jc w:val="both"/>
              <w:rPr>
                <w:color w:val="000000" w:themeColor="text1"/>
              </w:rPr>
            </w:pPr>
            <w:r>
              <w:rPr>
                <w:color w:val="000000" w:themeColor="text1"/>
              </w:rPr>
              <w:t>Ministro</w:t>
            </w:r>
            <w:r w:rsidR="00043689">
              <w:rPr>
                <w:color w:val="000000" w:themeColor="text1"/>
              </w:rPr>
              <w:t>s</w:t>
            </w:r>
          </w:p>
        </w:tc>
      </w:tr>
      <w:tr w:rsidR="0045073C" w:rsidRPr="00295641" w:rsidTr="002C2EAC">
        <w:tc>
          <w:tcPr>
            <w:tcW w:w="4219" w:type="dxa"/>
            <w:gridSpan w:val="3"/>
            <w:shd w:val="clear" w:color="auto" w:fill="C6D9F1" w:themeFill="text2" w:themeFillTint="33"/>
            <w:vAlign w:val="center"/>
          </w:tcPr>
          <w:p w:rsidR="0045073C" w:rsidRPr="00295641" w:rsidRDefault="0045073C" w:rsidP="00B56E74">
            <w:pPr>
              <w:autoSpaceDE w:val="0"/>
              <w:autoSpaceDN w:val="0"/>
              <w:adjustRightInd w:val="0"/>
              <w:rPr>
                <w:rFonts w:cs="Gotham-Book"/>
                <w:b/>
                <w:color w:val="000000" w:themeColor="text1"/>
              </w:rPr>
            </w:pPr>
            <w:r w:rsidRPr="00295641">
              <w:rPr>
                <w:rFonts w:cs="Gotham-Book"/>
                <w:b/>
                <w:color w:val="000000" w:themeColor="text1"/>
              </w:rPr>
              <w:t>Correo electrónico</w:t>
            </w:r>
          </w:p>
        </w:tc>
        <w:tc>
          <w:tcPr>
            <w:tcW w:w="4820" w:type="dxa"/>
            <w:gridSpan w:val="3"/>
          </w:tcPr>
          <w:p w:rsidR="00043689" w:rsidRDefault="00043689" w:rsidP="00B56E74">
            <w:pPr>
              <w:jc w:val="both"/>
            </w:pPr>
            <w:r>
              <w:rPr>
                <w:rFonts w:cs="Arial"/>
                <w:color w:val="0000FF"/>
                <w:u w:val="single"/>
              </w:rPr>
              <w:t>despachoministerial1@midis.gob.pe</w:t>
            </w:r>
          </w:p>
          <w:p w:rsidR="00043689" w:rsidRDefault="002F3E0D" w:rsidP="00B56E74">
            <w:pPr>
              <w:jc w:val="both"/>
            </w:pPr>
            <w:hyperlink r:id="rId32" w:history="1">
              <w:r w:rsidR="00043689" w:rsidRPr="001A65E2">
                <w:rPr>
                  <w:rStyle w:val="Hipervnculo"/>
                </w:rPr>
                <w:t>amromero@mimp.gob.pe</w:t>
              </w:r>
            </w:hyperlink>
          </w:p>
          <w:p w:rsidR="0045073C" w:rsidRPr="00295641" w:rsidRDefault="002F3E0D" w:rsidP="00B56E74">
            <w:pPr>
              <w:jc w:val="both"/>
              <w:rPr>
                <w:rFonts w:cs="Arial"/>
                <w:color w:val="0000FF"/>
                <w:u w:val="single"/>
              </w:rPr>
            </w:pPr>
            <w:hyperlink r:id="rId33" w:history="1">
              <w:r w:rsidR="008F1376" w:rsidRPr="00085904">
                <w:rPr>
                  <w:rStyle w:val="Hipervnculo"/>
                  <w:rFonts w:cs="Arial"/>
                </w:rPr>
                <w:t>ministro@mef.gob.pe</w:t>
              </w:r>
            </w:hyperlink>
          </w:p>
        </w:tc>
      </w:tr>
      <w:tr w:rsidR="0045073C" w:rsidRPr="00295641" w:rsidTr="002C2EAC">
        <w:tc>
          <w:tcPr>
            <w:tcW w:w="4219" w:type="dxa"/>
            <w:gridSpan w:val="3"/>
            <w:shd w:val="clear" w:color="auto" w:fill="C6D9F1" w:themeFill="text2" w:themeFillTint="33"/>
            <w:vAlign w:val="center"/>
          </w:tcPr>
          <w:p w:rsidR="0045073C" w:rsidRPr="00295641" w:rsidRDefault="0045073C" w:rsidP="00B56E74">
            <w:pPr>
              <w:rPr>
                <w:b/>
                <w:color w:val="000000" w:themeColor="text1"/>
              </w:rPr>
            </w:pPr>
            <w:r w:rsidRPr="00295641">
              <w:rPr>
                <w:rFonts w:cs="Gotham-Book"/>
                <w:b/>
                <w:color w:val="000000" w:themeColor="text1"/>
              </w:rPr>
              <w:t>Teléfono</w:t>
            </w:r>
          </w:p>
        </w:tc>
        <w:tc>
          <w:tcPr>
            <w:tcW w:w="4820" w:type="dxa"/>
            <w:gridSpan w:val="3"/>
          </w:tcPr>
          <w:p w:rsidR="00043689" w:rsidRDefault="00043689" w:rsidP="00B56E74">
            <w:pPr>
              <w:jc w:val="both"/>
              <w:rPr>
                <w:color w:val="000000" w:themeColor="text1"/>
              </w:rPr>
            </w:pPr>
            <w:r>
              <w:rPr>
                <w:color w:val="000000" w:themeColor="text1"/>
              </w:rPr>
              <w:t xml:space="preserve">51-1-6318000 </w:t>
            </w:r>
            <w:proofErr w:type="spellStart"/>
            <w:r>
              <w:rPr>
                <w:color w:val="000000" w:themeColor="text1"/>
              </w:rPr>
              <w:t>Ax</w:t>
            </w:r>
            <w:proofErr w:type="spellEnd"/>
            <w:r>
              <w:rPr>
                <w:color w:val="000000" w:themeColor="text1"/>
              </w:rPr>
              <w:t>. 1561 (MIDIS)</w:t>
            </w:r>
          </w:p>
          <w:p w:rsidR="00043689" w:rsidRDefault="00043689" w:rsidP="00B56E74">
            <w:pPr>
              <w:jc w:val="both"/>
              <w:rPr>
                <w:color w:val="000000" w:themeColor="text1"/>
              </w:rPr>
            </w:pPr>
            <w:r>
              <w:rPr>
                <w:color w:val="000000" w:themeColor="text1"/>
              </w:rPr>
              <w:t>51-1-626-1600 (MIMP)</w:t>
            </w:r>
          </w:p>
          <w:p w:rsidR="0045073C" w:rsidRPr="00295641" w:rsidRDefault="008F1376" w:rsidP="00043689">
            <w:pPr>
              <w:jc w:val="both"/>
              <w:rPr>
                <w:color w:val="000000" w:themeColor="text1"/>
              </w:rPr>
            </w:pPr>
            <w:r>
              <w:rPr>
                <w:color w:val="000000" w:themeColor="text1"/>
              </w:rPr>
              <w:t>51-1-311-9901 /51-1-4284664</w:t>
            </w:r>
            <w:r w:rsidR="00043689">
              <w:rPr>
                <w:color w:val="000000" w:themeColor="text1"/>
              </w:rPr>
              <w:t xml:space="preserve"> (MEF)</w:t>
            </w:r>
          </w:p>
        </w:tc>
      </w:tr>
      <w:tr w:rsidR="0045073C" w:rsidRPr="00295641" w:rsidTr="002C2EAC">
        <w:tc>
          <w:tcPr>
            <w:tcW w:w="2109" w:type="dxa"/>
            <w:vMerge w:val="restart"/>
            <w:shd w:val="clear" w:color="auto" w:fill="C6D9F1" w:themeFill="text2" w:themeFillTint="33"/>
            <w:vAlign w:val="center"/>
          </w:tcPr>
          <w:p w:rsidR="0045073C" w:rsidRPr="00295641" w:rsidRDefault="0045073C" w:rsidP="00B56E74">
            <w:pPr>
              <w:rPr>
                <w:rFonts w:cs="Gotham-Book"/>
                <w:b/>
                <w:color w:val="000000" w:themeColor="text1"/>
              </w:rPr>
            </w:pPr>
            <w:r>
              <w:rPr>
                <w:rFonts w:cs="Gotham-Book"/>
                <w:b/>
                <w:color w:val="000000" w:themeColor="text1"/>
              </w:rPr>
              <w:t>Otros actores involucrados</w:t>
            </w:r>
          </w:p>
        </w:tc>
        <w:tc>
          <w:tcPr>
            <w:tcW w:w="2110" w:type="dxa"/>
            <w:gridSpan w:val="2"/>
            <w:shd w:val="clear" w:color="auto" w:fill="C6D9F1" w:themeFill="text2" w:themeFillTint="33"/>
            <w:vAlign w:val="center"/>
          </w:tcPr>
          <w:p w:rsidR="0045073C" w:rsidRPr="00295641" w:rsidRDefault="0045073C" w:rsidP="00B56E74">
            <w:pPr>
              <w:rPr>
                <w:rFonts w:cs="Gotham-Book"/>
                <w:b/>
                <w:color w:val="000000" w:themeColor="text1"/>
              </w:rPr>
            </w:pPr>
            <w:r>
              <w:rPr>
                <w:rFonts w:cs="Gotham-Book"/>
                <w:b/>
                <w:color w:val="000000" w:themeColor="text1"/>
              </w:rPr>
              <w:t>Gobierno</w:t>
            </w:r>
          </w:p>
        </w:tc>
        <w:tc>
          <w:tcPr>
            <w:tcW w:w="4820" w:type="dxa"/>
            <w:gridSpan w:val="3"/>
          </w:tcPr>
          <w:p w:rsidR="0045073C" w:rsidRPr="00295641" w:rsidRDefault="00F17075" w:rsidP="00B56E74">
            <w:pPr>
              <w:jc w:val="both"/>
              <w:rPr>
                <w:color w:val="000000" w:themeColor="text1"/>
              </w:rPr>
            </w:pPr>
            <w:r>
              <w:rPr>
                <w:color w:val="000000" w:themeColor="text1"/>
              </w:rPr>
              <w:t xml:space="preserve">Mesa de Concertación para la Lucha contra la pobreza </w:t>
            </w:r>
          </w:p>
        </w:tc>
      </w:tr>
      <w:tr w:rsidR="0045073C" w:rsidRPr="00295641" w:rsidTr="002C2EAC">
        <w:tc>
          <w:tcPr>
            <w:tcW w:w="2109" w:type="dxa"/>
            <w:vMerge/>
            <w:shd w:val="clear" w:color="auto" w:fill="C6D9F1" w:themeFill="text2" w:themeFillTint="33"/>
            <w:vAlign w:val="center"/>
          </w:tcPr>
          <w:p w:rsidR="0045073C" w:rsidRPr="00295641" w:rsidRDefault="0045073C" w:rsidP="00B56E74">
            <w:pPr>
              <w:rPr>
                <w:rFonts w:cs="Gotham-Book"/>
                <w:b/>
                <w:color w:val="000000" w:themeColor="text1"/>
              </w:rPr>
            </w:pPr>
          </w:p>
        </w:tc>
        <w:tc>
          <w:tcPr>
            <w:tcW w:w="2110" w:type="dxa"/>
            <w:gridSpan w:val="2"/>
            <w:shd w:val="clear" w:color="auto" w:fill="C6D9F1" w:themeFill="text2" w:themeFillTint="33"/>
            <w:vAlign w:val="center"/>
          </w:tcPr>
          <w:p w:rsidR="0045073C" w:rsidRPr="00295641" w:rsidRDefault="0045073C" w:rsidP="00B56E74">
            <w:pPr>
              <w:rPr>
                <w:rFonts w:cs="Gotham-Book"/>
                <w:b/>
                <w:color w:val="000000" w:themeColor="text1"/>
              </w:rPr>
            </w:pPr>
            <w:r>
              <w:rPr>
                <w:rFonts w:cs="Gotham-Book"/>
                <w:b/>
                <w:color w:val="000000" w:themeColor="text1"/>
              </w:rPr>
              <w:t>Sociedad civil, iniciativa privada, grupos de trabajo o multilaterales</w:t>
            </w:r>
          </w:p>
        </w:tc>
        <w:tc>
          <w:tcPr>
            <w:tcW w:w="4820" w:type="dxa"/>
            <w:gridSpan w:val="3"/>
          </w:tcPr>
          <w:p w:rsidR="0045073C" w:rsidRPr="00295641" w:rsidRDefault="00F17075" w:rsidP="00B56E74">
            <w:pPr>
              <w:jc w:val="both"/>
              <w:rPr>
                <w:color w:val="000000" w:themeColor="text1"/>
              </w:rPr>
            </w:pPr>
            <w:r>
              <w:rPr>
                <w:color w:val="000000" w:themeColor="text1"/>
              </w:rPr>
              <w:t>Fondo de las Naciones Unidas para la Infancia-UNICEF</w:t>
            </w:r>
          </w:p>
        </w:tc>
      </w:tr>
      <w:tr w:rsidR="0045073C" w:rsidRPr="00295641" w:rsidTr="002C2EAC">
        <w:tc>
          <w:tcPr>
            <w:tcW w:w="4219" w:type="dxa"/>
            <w:gridSpan w:val="3"/>
            <w:shd w:val="clear" w:color="auto" w:fill="C6D9F1" w:themeFill="text2" w:themeFillTint="33"/>
            <w:vAlign w:val="center"/>
          </w:tcPr>
          <w:p w:rsidR="0045073C" w:rsidRPr="00295641" w:rsidRDefault="0045073C" w:rsidP="00B56E74">
            <w:pPr>
              <w:rPr>
                <w:rFonts w:cs="Gotham-Book"/>
                <w:b/>
                <w:color w:val="000000" w:themeColor="text1"/>
              </w:rPr>
            </w:pPr>
            <w:r>
              <w:rPr>
                <w:rFonts w:cs="Gotham-Book"/>
                <w:b/>
                <w:color w:val="000000" w:themeColor="text1"/>
              </w:rPr>
              <w:t>Status quo o problema/</w:t>
            </w:r>
            <w:r>
              <w:rPr>
                <w:rFonts w:cs="Gotham-Book"/>
                <w:b/>
                <w:color w:val="000000" w:themeColor="text1"/>
              </w:rPr>
              <w:br/>
              <w:t>desafío que será atendido</w:t>
            </w:r>
          </w:p>
        </w:tc>
        <w:tc>
          <w:tcPr>
            <w:tcW w:w="4820" w:type="dxa"/>
            <w:gridSpan w:val="3"/>
          </w:tcPr>
          <w:p w:rsidR="0045073C" w:rsidRPr="00295641" w:rsidRDefault="00477C37" w:rsidP="00B56E74">
            <w:pPr>
              <w:jc w:val="both"/>
              <w:rPr>
                <w:color w:val="000000" w:themeColor="text1"/>
              </w:rPr>
            </w:pPr>
            <w:r>
              <w:rPr>
                <w:color w:val="000000" w:themeColor="text1"/>
              </w:rPr>
              <w:t>Es necesario</w:t>
            </w:r>
            <w:r w:rsidR="00464347">
              <w:rPr>
                <w:color w:val="000000" w:themeColor="text1"/>
              </w:rPr>
              <w:t xml:space="preserve"> contar con información sistematizada, actualizada</w:t>
            </w:r>
            <w:r w:rsidR="00E107BA">
              <w:rPr>
                <w:color w:val="000000" w:themeColor="text1"/>
              </w:rPr>
              <w:t xml:space="preserve"> y centralizada sobre los recursos que el Estado destina para la implementación de políticas, programas y proyectos dirigidos a la niñez, a fin de realizar un adecuado seguimiento y rendición de cuentas.</w:t>
            </w:r>
          </w:p>
        </w:tc>
      </w:tr>
      <w:tr w:rsidR="0045073C" w:rsidRPr="00295641" w:rsidTr="002C2EAC">
        <w:tc>
          <w:tcPr>
            <w:tcW w:w="4219" w:type="dxa"/>
            <w:gridSpan w:val="3"/>
            <w:shd w:val="clear" w:color="auto" w:fill="C6D9F1" w:themeFill="text2" w:themeFillTint="33"/>
            <w:vAlign w:val="center"/>
          </w:tcPr>
          <w:p w:rsidR="0045073C" w:rsidRPr="00295641" w:rsidRDefault="0045073C" w:rsidP="00B56E74">
            <w:pPr>
              <w:rPr>
                <w:b/>
                <w:color w:val="000000" w:themeColor="text1"/>
              </w:rPr>
            </w:pPr>
            <w:r w:rsidRPr="00295641">
              <w:rPr>
                <w:rFonts w:cs="Gotham-Book"/>
                <w:b/>
                <w:color w:val="000000" w:themeColor="text1"/>
              </w:rPr>
              <w:t>Objetivo principal</w:t>
            </w:r>
          </w:p>
        </w:tc>
        <w:tc>
          <w:tcPr>
            <w:tcW w:w="4820" w:type="dxa"/>
            <w:gridSpan w:val="3"/>
          </w:tcPr>
          <w:p w:rsidR="0045073C" w:rsidRPr="00EB66E2" w:rsidRDefault="00E107BA" w:rsidP="00E107BA">
            <w:pPr>
              <w:jc w:val="both"/>
              <w:rPr>
                <w:bCs/>
              </w:rPr>
            </w:pPr>
            <w:r>
              <w:rPr>
                <w:bCs/>
              </w:rPr>
              <w:t>Contar con un instrumento que permita identificar el gasto público destinado a la niñez (de forma directa o indirecta), que cuente con consenso interinstitucional y permita disponer de información actualizada para el seguimiento y la toma de decisiones en favor de este grupo de la población.</w:t>
            </w:r>
          </w:p>
        </w:tc>
      </w:tr>
      <w:tr w:rsidR="0045073C" w:rsidRPr="00295641" w:rsidTr="002C2EAC">
        <w:tc>
          <w:tcPr>
            <w:tcW w:w="4219" w:type="dxa"/>
            <w:gridSpan w:val="3"/>
            <w:shd w:val="clear" w:color="auto" w:fill="C6D9F1" w:themeFill="text2" w:themeFillTint="33"/>
            <w:vAlign w:val="center"/>
          </w:tcPr>
          <w:p w:rsidR="0045073C" w:rsidRPr="00295641" w:rsidRDefault="0045073C" w:rsidP="00B56E74">
            <w:pPr>
              <w:autoSpaceDE w:val="0"/>
              <w:autoSpaceDN w:val="0"/>
              <w:adjustRightInd w:val="0"/>
              <w:rPr>
                <w:rFonts w:cs="Gotham-Book"/>
                <w:b/>
                <w:color w:val="000000" w:themeColor="text1"/>
              </w:rPr>
            </w:pPr>
            <w:r>
              <w:rPr>
                <w:rFonts w:cs="Gotham-Book"/>
                <w:b/>
                <w:color w:val="000000" w:themeColor="text1"/>
              </w:rPr>
              <w:t xml:space="preserve">Breve </w:t>
            </w:r>
            <w:r w:rsidRPr="00295641">
              <w:rPr>
                <w:rFonts w:cs="Gotham-Book"/>
                <w:b/>
                <w:color w:val="000000" w:themeColor="text1"/>
              </w:rPr>
              <w:t>Descripción del</w:t>
            </w:r>
          </w:p>
          <w:p w:rsidR="0045073C" w:rsidRPr="00295641" w:rsidRDefault="0045073C" w:rsidP="00B56E74">
            <w:pPr>
              <w:autoSpaceDE w:val="0"/>
              <w:autoSpaceDN w:val="0"/>
              <w:adjustRightInd w:val="0"/>
              <w:rPr>
                <w:rFonts w:cs="Gotham-Book"/>
                <w:b/>
                <w:color w:val="000000" w:themeColor="text1"/>
              </w:rPr>
            </w:pPr>
            <w:r w:rsidRPr="00295641">
              <w:rPr>
                <w:rFonts w:cs="Gotham-Book"/>
                <w:b/>
                <w:color w:val="000000" w:themeColor="text1"/>
              </w:rPr>
              <w:t>Compromiso</w:t>
            </w:r>
          </w:p>
        </w:tc>
        <w:tc>
          <w:tcPr>
            <w:tcW w:w="4820" w:type="dxa"/>
            <w:gridSpan w:val="3"/>
          </w:tcPr>
          <w:p w:rsidR="0045073C" w:rsidRPr="00D55406" w:rsidRDefault="00E107BA" w:rsidP="00464347">
            <w:pPr>
              <w:jc w:val="both"/>
              <w:rPr>
                <w:color w:val="FF0000"/>
                <w:szCs w:val="20"/>
                <w:lang w:val="es-PE"/>
              </w:rPr>
            </w:pPr>
            <w:r>
              <w:rPr>
                <w:szCs w:val="20"/>
                <w:lang w:val="es-PE"/>
              </w:rPr>
              <w:t xml:space="preserve">Implementar mecanismos para publicar y rendir cuentas sobre el gasto público de las entidades </w:t>
            </w:r>
            <w:r w:rsidR="00464347">
              <w:rPr>
                <w:szCs w:val="20"/>
                <w:lang w:val="es-PE"/>
              </w:rPr>
              <w:t>con competencia y funciones en materia de</w:t>
            </w:r>
            <w:r>
              <w:rPr>
                <w:szCs w:val="20"/>
                <w:lang w:val="es-PE"/>
              </w:rPr>
              <w:t xml:space="preserve"> formulación e implementación de políticas, programas y proyectos dirigidos a la niñez.</w:t>
            </w:r>
          </w:p>
        </w:tc>
      </w:tr>
      <w:tr w:rsidR="0045073C" w:rsidRPr="00295641" w:rsidTr="002C2EAC">
        <w:tc>
          <w:tcPr>
            <w:tcW w:w="4219" w:type="dxa"/>
            <w:gridSpan w:val="3"/>
            <w:shd w:val="clear" w:color="auto" w:fill="C6D9F1" w:themeFill="text2" w:themeFillTint="33"/>
            <w:vAlign w:val="center"/>
          </w:tcPr>
          <w:p w:rsidR="0045073C" w:rsidRPr="00295641" w:rsidRDefault="0045073C" w:rsidP="00B56E74">
            <w:pPr>
              <w:autoSpaceDE w:val="0"/>
              <w:autoSpaceDN w:val="0"/>
              <w:adjustRightInd w:val="0"/>
              <w:rPr>
                <w:rFonts w:cs="Gotham-Book"/>
                <w:b/>
                <w:color w:val="000000" w:themeColor="text1"/>
              </w:rPr>
            </w:pPr>
            <w:r w:rsidRPr="00295641">
              <w:rPr>
                <w:rFonts w:cs="Gotham-Book"/>
                <w:b/>
                <w:color w:val="000000" w:themeColor="text1"/>
              </w:rPr>
              <w:t>Relevancia</w:t>
            </w:r>
          </w:p>
          <w:p w:rsidR="0045073C" w:rsidRPr="00295641" w:rsidRDefault="0045073C" w:rsidP="00B56E74">
            <w:pPr>
              <w:autoSpaceDE w:val="0"/>
              <w:autoSpaceDN w:val="0"/>
              <w:adjustRightInd w:val="0"/>
              <w:rPr>
                <w:b/>
                <w:color w:val="000000" w:themeColor="text1"/>
              </w:rPr>
            </w:pPr>
          </w:p>
        </w:tc>
        <w:tc>
          <w:tcPr>
            <w:tcW w:w="4820" w:type="dxa"/>
            <w:gridSpan w:val="3"/>
          </w:tcPr>
          <w:p w:rsidR="0045073C" w:rsidRPr="00D55406" w:rsidRDefault="00D12754" w:rsidP="00D12754">
            <w:pPr>
              <w:jc w:val="both"/>
              <w:rPr>
                <w:color w:val="FF0000"/>
                <w:szCs w:val="20"/>
                <w:lang w:val="es-PE"/>
              </w:rPr>
            </w:pPr>
            <w:r w:rsidRPr="00D12754">
              <w:rPr>
                <w:szCs w:val="20"/>
                <w:lang w:val="es-PE"/>
              </w:rPr>
              <w:t>El compromiso permite optimizar la rendición de cuentas sobre el gasto público destinado a una población vulnerable como lo es la niñez, contribuye a fortalecer los valores de OGP</w:t>
            </w:r>
            <w:r>
              <w:rPr>
                <w:szCs w:val="20"/>
                <w:lang w:val="es-PE"/>
              </w:rPr>
              <w:t>.</w:t>
            </w:r>
            <w:r w:rsidRPr="00D12754">
              <w:rPr>
                <w:szCs w:val="20"/>
                <w:lang w:val="es-PE"/>
              </w:rPr>
              <w:t xml:space="preserve"> </w:t>
            </w:r>
          </w:p>
        </w:tc>
      </w:tr>
      <w:tr w:rsidR="0045073C" w:rsidRPr="000C6B21" w:rsidTr="002C2EAC">
        <w:tc>
          <w:tcPr>
            <w:tcW w:w="4219" w:type="dxa"/>
            <w:gridSpan w:val="3"/>
            <w:shd w:val="clear" w:color="auto" w:fill="C6D9F1" w:themeFill="text2" w:themeFillTint="33"/>
            <w:vAlign w:val="center"/>
          </w:tcPr>
          <w:p w:rsidR="0045073C" w:rsidRPr="00295641" w:rsidRDefault="0045073C" w:rsidP="00B56E74">
            <w:pPr>
              <w:autoSpaceDE w:val="0"/>
              <w:autoSpaceDN w:val="0"/>
              <w:adjustRightInd w:val="0"/>
              <w:rPr>
                <w:rFonts w:cs="Gotham-Book"/>
                <w:b/>
                <w:color w:val="000000" w:themeColor="text1"/>
              </w:rPr>
            </w:pPr>
            <w:r w:rsidRPr="00295641">
              <w:rPr>
                <w:rFonts w:cs="Gotham-Book"/>
                <w:b/>
                <w:color w:val="000000" w:themeColor="text1"/>
              </w:rPr>
              <w:t>Ambición</w:t>
            </w:r>
          </w:p>
          <w:p w:rsidR="0045073C" w:rsidRPr="00295641" w:rsidRDefault="0045073C" w:rsidP="00B56E74">
            <w:pPr>
              <w:autoSpaceDE w:val="0"/>
              <w:autoSpaceDN w:val="0"/>
              <w:adjustRightInd w:val="0"/>
              <w:rPr>
                <w:rFonts w:cs="Gotham-BookItalic"/>
                <w:b/>
                <w:iCs/>
                <w:color w:val="000000" w:themeColor="text1"/>
              </w:rPr>
            </w:pPr>
          </w:p>
        </w:tc>
        <w:tc>
          <w:tcPr>
            <w:tcW w:w="4820" w:type="dxa"/>
            <w:gridSpan w:val="3"/>
          </w:tcPr>
          <w:p w:rsidR="0045073C" w:rsidRPr="00D55406" w:rsidRDefault="00D12754" w:rsidP="000C6B21">
            <w:pPr>
              <w:jc w:val="both"/>
              <w:rPr>
                <w:color w:val="FF0000"/>
                <w:szCs w:val="20"/>
                <w:lang w:val="es-PE"/>
              </w:rPr>
            </w:pPr>
            <w:r w:rsidRPr="00D12754">
              <w:rPr>
                <w:szCs w:val="20"/>
                <w:lang w:val="es-PE"/>
              </w:rPr>
              <w:t xml:space="preserve">Se espera la continuidad y sostenibilidad </w:t>
            </w:r>
            <w:r w:rsidR="000C6B21" w:rsidRPr="00D12754">
              <w:rPr>
                <w:szCs w:val="20"/>
                <w:lang w:val="es-PE"/>
              </w:rPr>
              <w:t>de</w:t>
            </w:r>
            <w:r w:rsidR="000C6B21">
              <w:rPr>
                <w:szCs w:val="20"/>
                <w:lang w:val="es-PE"/>
              </w:rPr>
              <w:t>l</w:t>
            </w:r>
            <w:r w:rsidR="000C6B21" w:rsidRPr="00D12754">
              <w:rPr>
                <w:szCs w:val="20"/>
                <w:lang w:val="es-PE"/>
              </w:rPr>
              <w:t xml:space="preserve"> </w:t>
            </w:r>
            <w:r w:rsidR="000C6B21">
              <w:rPr>
                <w:szCs w:val="20"/>
                <w:lang w:val="es-PE"/>
              </w:rPr>
              <w:t>compromiso</w:t>
            </w:r>
            <w:r w:rsidRPr="00D12754">
              <w:rPr>
                <w:szCs w:val="20"/>
                <w:lang w:val="es-PE"/>
              </w:rPr>
              <w:t xml:space="preserve"> que ha sido </w:t>
            </w:r>
            <w:r w:rsidR="000C6B21" w:rsidRPr="00D12754">
              <w:rPr>
                <w:szCs w:val="20"/>
                <w:lang w:val="es-PE"/>
              </w:rPr>
              <w:t>concluido</w:t>
            </w:r>
            <w:r w:rsidR="000C6B21">
              <w:rPr>
                <w:szCs w:val="20"/>
                <w:lang w:val="es-PE"/>
              </w:rPr>
              <w:t>.</w:t>
            </w:r>
            <w:r w:rsidR="0045073C" w:rsidRPr="00D55406">
              <w:rPr>
                <w:color w:val="FF0000"/>
                <w:szCs w:val="20"/>
                <w:lang w:val="es-PE"/>
              </w:rPr>
              <w:t xml:space="preserve"> </w:t>
            </w:r>
          </w:p>
        </w:tc>
      </w:tr>
      <w:tr w:rsidR="0045073C" w:rsidRPr="00295641" w:rsidTr="002C2EAC">
        <w:tc>
          <w:tcPr>
            <w:tcW w:w="2518" w:type="dxa"/>
            <w:gridSpan w:val="2"/>
            <w:vMerge w:val="restart"/>
            <w:shd w:val="clear" w:color="auto" w:fill="C6D9F1" w:themeFill="text2" w:themeFillTint="33"/>
            <w:vAlign w:val="center"/>
          </w:tcPr>
          <w:p w:rsidR="0045073C" w:rsidRPr="00295641" w:rsidRDefault="00464347" w:rsidP="00B56E74">
            <w:pPr>
              <w:rPr>
                <w:b/>
                <w:color w:val="000000" w:themeColor="text1"/>
              </w:rPr>
            </w:pPr>
            <w:r>
              <w:br w:type="page"/>
            </w:r>
            <w:r w:rsidR="0045073C" w:rsidRPr="00295641">
              <w:rPr>
                <w:rFonts w:cs="Gotham-Book"/>
                <w:b/>
                <w:color w:val="000000" w:themeColor="text1"/>
              </w:rPr>
              <w:t>Cumplimiento</w:t>
            </w:r>
          </w:p>
        </w:tc>
        <w:tc>
          <w:tcPr>
            <w:tcW w:w="1701" w:type="dxa"/>
            <w:shd w:val="clear" w:color="auto" w:fill="C6D9F1" w:themeFill="text2" w:themeFillTint="33"/>
          </w:tcPr>
          <w:p w:rsidR="0045073C" w:rsidRPr="00295641" w:rsidRDefault="0045073C" w:rsidP="00B56E74">
            <w:pPr>
              <w:jc w:val="center"/>
              <w:rPr>
                <w:b/>
                <w:color w:val="000000" w:themeColor="text1"/>
              </w:rPr>
            </w:pPr>
            <w:r w:rsidRPr="00295641">
              <w:rPr>
                <w:rFonts w:cs="Gotham-Book"/>
                <w:b/>
                <w:color w:val="000000" w:themeColor="text1"/>
              </w:rPr>
              <w:t>No iniciado</w:t>
            </w:r>
          </w:p>
        </w:tc>
        <w:tc>
          <w:tcPr>
            <w:tcW w:w="1729" w:type="dxa"/>
            <w:shd w:val="clear" w:color="auto" w:fill="C6D9F1" w:themeFill="text2" w:themeFillTint="33"/>
          </w:tcPr>
          <w:p w:rsidR="0045073C" w:rsidRPr="00295641" w:rsidRDefault="0045073C" w:rsidP="00B56E74">
            <w:pPr>
              <w:jc w:val="center"/>
              <w:rPr>
                <w:b/>
                <w:color w:val="000000" w:themeColor="text1"/>
              </w:rPr>
            </w:pPr>
            <w:r w:rsidRPr="00295641">
              <w:rPr>
                <w:rFonts w:cs="Gotham-Book"/>
                <w:b/>
                <w:color w:val="000000" w:themeColor="text1"/>
              </w:rPr>
              <w:t>Limitado</w:t>
            </w:r>
          </w:p>
        </w:tc>
        <w:tc>
          <w:tcPr>
            <w:tcW w:w="1644" w:type="dxa"/>
            <w:shd w:val="clear" w:color="auto" w:fill="C6D9F1" w:themeFill="text2" w:themeFillTint="33"/>
          </w:tcPr>
          <w:p w:rsidR="0045073C" w:rsidRPr="00295641" w:rsidRDefault="0045073C" w:rsidP="00B56E74">
            <w:pPr>
              <w:jc w:val="center"/>
              <w:rPr>
                <w:b/>
                <w:color w:val="000000" w:themeColor="text1"/>
              </w:rPr>
            </w:pPr>
            <w:r w:rsidRPr="00295641">
              <w:rPr>
                <w:rFonts w:cs="Gotham-Book"/>
                <w:b/>
                <w:color w:val="000000" w:themeColor="text1"/>
              </w:rPr>
              <w:t>Sustancial</w:t>
            </w:r>
          </w:p>
        </w:tc>
        <w:tc>
          <w:tcPr>
            <w:tcW w:w="1447" w:type="dxa"/>
            <w:shd w:val="clear" w:color="auto" w:fill="C6D9F1" w:themeFill="text2" w:themeFillTint="33"/>
          </w:tcPr>
          <w:p w:rsidR="0045073C" w:rsidRPr="00295641" w:rsidRDefault="0045073C" w:rsidP="00B56E74">
            <w:pPr>
              <w:jc w:val="center"/>
              <w:rPr>
                <w:b/>
                <w:color w:val="000000" w:themeColor="text1"/>
              </w:rPr>
            </w:pPr>
            <w:r w:rsidRPr="00295641">
              <w:rPr>
                <w:rFonts w:cs="Gotham-Book"/>
                <w:b/>
                <w:color w:val="000000" w:themeColor="text1"/>
              </w:rPr>
              <w:t>Completo</w:t>
            </w:r>
          </w:p>
        </w:tc>
      </w:tr>
      <w:tr w:rsidR="0045073C" w:rsidRPr="00295641" w:rsidTr="002C2EAC">
        <w:tc>
          <w:tcPr>
            <w:tcW w:w="2518" w:type="dxa"/>
            <w:gridSpan w:val="2"/>
            <w:vMerge/>
            <w:shd w:val="clear" w:color="auto" w:fill="C6D9F1" w:themeFill="text2" w:themeFillTint="33"/>
            <w:vAlign w:val="center"/>
          </w:tcPr>
          <w:p w:rsidR="0045073C" w:rsidRPr="00295641" w:rsidRDefault="0045073C" w:rsidP="00B56E74">
            <w:pPr>
              <w:rPr>
                <w:b/>
                <w:color w:val="000000" w:themeColor="text1"/>
              </w:rPr>
            </w:pPr>
          </w:p>
        </w:tc>
        <w:tc>
          <w:tcPr>
            <w:tcW w:w="1701" w:type="dxa"/>
          </w:tcPr>
          <w:p w:rsidR="0045073C" w:rsidRPr="00295641" w:rsidRDefault="0045073C" w:rsidP="00B56E74">
            <w:pPr>
              <w:jc w:val="center"/>
              <w:rPr>
                <w:b/>
                <w:color w:val="000000" w:themeColor="text1"/>
              </w:rPr>
            </w:pPr>
          </w:p>
        </w:tc>
        <w:tc>
          <w:tcPr>
            <w:tcW w:w="1729" w:type="dxa"/>
          </w:tcPr>
          <w:p w:rsidR="0045073C" w:rsidRPr="00295641" w:rsidRDefault="0045073C" w:rsidP="00B56E74">
            <w:pPr>
              <w:jc w:val="center"/>
              <w:rPr>
                <w:b/>
                <w:color w:val="000000" w:themeColor="text1"/>
              </w:rPr>
            </w:pPr>
          </w:p>
        </w:tc>
        <w:tc>
          <w:tcPr>
            <w:tcW w:w="1644" w:type="dxa"/>
          </w:tcPr>
          <w:p w:rsidR="0045073C" w:rsidRPr="00295641" w:rsidRDefault="0045073C" w:rsidP="00B56E74">
            <w:pPr>
              <w:jc w:val="center"/>
              <w:rPr>
                <w:b/>
                <w:color w:val="000000" w:themeColor="text1"/>
              </w:rPr>
            </w:pPr>
          </w:p>
        </w:tc>
        <w:tc>
          <w:tcPr>
            <w:tcW w:w="1447" w:type="dxa"/>
            <w:shd w:val="clear" w:color="auto" w:fill="FFFFFF" w:themeFill="background1"/>
          </w:tcPr>
          <w:p w:rsidR="0045073C" w:rsidRPr="00295641" w:rsidRDefault="00F17075" w:rsidP="00B56E74">
            <w:pPr>
              <w:jc w:val="center"/>
              <w:rPr>
                <w:b/>
                <w:color w:val="000000" w:themeColor="text1"/>
              </w:rPr>
            </w:pPr>
            <w:r>
              <w:rPr>
                <w:b/>
                <w:color w:val="000000" w:themeColor="text1"/>
              </w:rPr>
              <w:t>X</w:t>
            </w:r>
          </w:p>
        </w:tc>
      </w:tr>
      <w:tr w:rsidR="0045073C" w:rsidRPr="00295641" w:rsidTr="002C2EAC">
        <w:tc>
          <w:tcPr>
            <w:tcW w:w="2518" w:type="dxa"/>
            <w:gridSpan w:val="2"/>
            <w:shd w:val="clear" w:color="auto" w:fill="C6D9F1" w:themeFill="text2" w:themeFillTint="33"/>
            <w:vAlign w:val="center"/>
          </w:tcPr>
          <w:p w:rsidR="0045073C" w:rsidRPr="00295641" w:rsidRDefault="0045073C" w:rsidP="00B56E74">
            <w:pPr>
              <w:autoSpaceDE w:val="0"/>
              <w:autoSpaceDN w:val="0"/>
              <w:adjustRightInd w:val="0"/>
              <w:rPr>
                <w:rFonts w:cs="Gotham-Book"/>
                <w:b/>
                <w:color w:val="000000" w:themeColor="text1"/>
              </w:rPr>
            </w:pPr>
            <w:r w:rsidRPr="00295641">
              <w:rPr>
                <w:rFonts w:cs="Gotham-Book"/>
                <w:b/>
                <w:color w:val="000000" w:themeColor="text1"/>
              </w:rPr>
              <w:t>Descripción de los resultados</w:t>
            </w:r>
          </w:p>
          <w:p w:rsidR="0045073C" w:rsidRPr="00295641" w:rsidRDefault="0045073C" w:rsidP="00B56E74">
            <w:pPr>
              <w:autoSpaceDE w:val="0"/>
              <w:autoSpaceDN w:val="0"/>
              <w:adjustRightInd w:val="0"/>
              <w:rPr>
                <w:rFonts w:cs="Gotham-BookItalic"/>
                <w:b/>
                <w:iCs/>
                <w:color w:val="000000" w:themeColor="text1"/>
              </w:rPr>
            </w:pPr>
          </w:p>
        </w:tc>
        <w:tc>
          <w:tcPr>
            <w:tcW w:w="6521" w:type="dxa"/>
            <w:gridSpan w:val="4"/>
          </w:tcPr>
          <w:p w:rsidR="0045073C" w:rsidRPr="00F17075" w:rsidRDefault="00F17075" w:rsidP="00B56E74">
            <w:pPr>
              <w:jc w:val="both"/>
              <w:rPr>
                <w:szCs w:val="20"/>
                <w:lang w:val="es-PE"/>
              </w:rPr>
            </w:pPr>
            <w:r w:rsidRPr="00F17075">
              <w:rPr>
                <w:szCs w:val="20"/>
                <w:lang w:val="es-PE"/>
              </w:rPr>
              <w:t>Se contempló las siguientes acciones:</w:t>
            </w:r>
          </w:p>
          <w:p w:rsidR="00F17075" w:rsidRDefault="00F17075" w:rsidP="00F17075">
            <w:pPr>
              <w:pStyle w:val="Prrafodelista"/>
              <w:numPr>
                <w:ilvl w:val="0"/>
                <w:numId w:val="32"/>
              </w:numPr>
              <w:ind w:left="204" w:hanging="204"/>
              <w:jc w:val="both"/>
              <w:rPr>
                <w:szCs w:val="20"/>
                <w:lang w:val="es-PE"/>
              </w:rPr>
            </w:pPr>
            <w:r w:rsidRPr="00F17075">
              <w:rPr>
                <w:szCs w:val="20"/>
                <w:lang w:val="es-PE"/>
              </w:rPr>
              <w:t xml:space="preserve">Publicación, por parte del grupo interinstitucional, del documento de taxonomía y propuesta de seguimiento del gasto público en la infancia, </w:t>
            </w:r>
            <w:r w:rsidR="006312F9">
              <w:rPr>
                <w:szCs w:val="20"/>
                <w:lang w:val="es-PE"/>
              </w:rPr>
              <w:t>niñez y adolescencia en el Perú. Dicho grupo se encuentra conformado por</w:t>
            </w:r>
            <w:r w:rsidRPr="00F17075">
              <w:rPr>
                <w:szCs w:val="20"/>
                <w:lang w:val="es-PE"/>
              </w:rPr>
              <w:t xml:space="preserve"> el Ministerio de Inclusión y Desarrollo Social, el Ministerio de la Mujer y Poblaciones Vulnerables, el Ministerio de Economía y Finanzas, la Mesa de Concertación para la Lucha contra la pobreza y el UNICEF.  </w:t>
            </w:r>
            <w:r w:rsidR="006312F9">
              <w:rPr>
                <w:szCs w:val="20"/>
                <w:lang w:val="es-PE"/>
              </w:rPr>
              <w:t>Cabe precisar que desde el 27 de junio del año 2014, se ha incorporado como miembro al</w:t>
            </w:r>
            <w:r w:rsidRPr="00F17075">
              <w:rPr>
                <w:szCs w:val="20"/>
                <w:lang w:val="es-PE"/>
              </w:rPr>
              <w:t xml:space="preserve"> Ministerio de Salud y el Ministerio de Educación.</w:t>
            </w:r>
          </w:p>
          <w:p w:rsidR="000B5217" w:rsidRPr="000B5217" w:rsidRDefault="003E230A" w:rsidP="000B5217">
            <w:pPr>
              <w:pStyle w:val="Prrafodelista"/>
              <w:ind w:left="204"/>
              <w:jc w:val="both"/>
              <w:rPr>
                <w:szCs w:val="20"/>
                <w:lang w:val="es-PE"/>
              </w:rPr>
            </w:pPr>
            <w:r>
              <w:rPr>
                <w:szCs w:val="20"/>
                <w:lang w:val="es-PE"/>
              </w:rPr>
              <w:t>Por otra parte, en e</w:t>
            </w:r>
            <w:r w:rsidR="000B5217" w:rsidRPr="000B5217">
              <w:rPr>
                <w:szCs w:val="20"/>
                <w:lang w:val="es-PE"/>
              </w:rPr>
              <w:t>l 2014, se publicó en el portal del MEF el documento "Gasto Público en las Niñas, Niños y Adolescentes en el Perú: Metodología y Seguimiento", que contiene la taxonomía. En este documento</w:t>
            </w:r>
            <w:r>
              <w:rPr>
                <w:szCs w:val="20"/>
                <w:lang w:val="es-PE"/>
              </w:rPr>
              <w:t>,</w:t>
            </w:r>
            <w:r w:rsidR="000B5217" w:rsidRPr="000B5217">
              <w:rPr>
                <w:szCs w:val="20"/>
                <w:lang w:val="es-PE"/>
              </w:rPr>
              <w:t xml:space="preserve"> también se incluye los resultados del año 2013, que forman parte de los boletines semestrales del seguimiento.</w:t>
            </w:r>
          </w:p>
          <w:p w:rsidR="000B5217" w:rsidRPr="000B5217" w:rsidRDefault="003E230A" w:rsidP="000B5217">
            <w:pPr>
              <w:pStyle w:val="Prrafodelista"/>
              <w:ind w:left="204"/>
              <w:jc w:val="both"/>
              <w:rPr>
                <w:szCs w:val="20"/>
                <w:lang w:val="es-PE"/>
              </w:rPr>
            </w:pPr>
            <w:r>
              <w:rPr>
                <w:szCs w:val="20"/>
                <w:lang w:val="es-PE"/>
              </w:rPr>
              <w:t>En cuanto a los a</w:t>
            </w:r>
            <w:r w:rsidR="000B5217" w:rsidRPr="000B5217">
              <w:rPr>
                <w:szCs w:val="20"/>
                <w:lang w:val="es-PE"/>
              </w:rPr>
              <w:t>vances 2015:</w:t>
            </w:r>
          </w:p>
          <w:p w:rsidR="000B5217" w:rsidRPr="000B5217" w:rsidRDefault="000B5217" w:rsidP="000B5217">
            <w:pPr>
              <w:pStyle w:val="Prrafodelista"/>
              <w:ind w:left="204"/>
              <w:jc w:val="both"/>
              <w:rPr>
                <w:szCs w:val="20"/>
                <w:lang w:val="es-PE"/>
              </w:rPr>
            </w:pPr>
            <w:r w:rsidRPr="000B5217">
              <w:rPr>
                <w:szCs w:val="20"/>
                <w:lang w:val="es-PE"/>
              </w:rPr>
              <w:t>-Según lo informado por la Dirección General de Políticas y Estrategias de Seguimiento-DGPE, la presentación del documento de seguimiento del gasto público en la infancia y adolescencia correspondiente al año 2014</w:t>
            </w:r>
            <w:r w:rsidR="00F56713">
              <w:rPr>
                <w:szCs w:val="20"/>
                <w:lang w:val="es-PE"/>
              </w:rPr>
              <w:t>,</w:t>
            </w:r>
            <w:r w:rsidRPr="000B5217">
              <w:rPr>
                <w:szCs w:val="20"/>
                <w:lang w:val="es-PE"/>
              </w:rPr>
              <w:t xml:space="preserve"> se llevó a cabo en el mes de noviembre 2015 en un evento organizado por el MIMP-UNICEF.</w:t>
            </w:r>
          </w:p>
          <w:p w:rsidR="00F17075" w:rsidRDefault="000B5217" w:rsidP="000B5217">
            <w:pPr>
              <w:pStyle w:val="Prrafodelista"/>
              <w:ind w:left="204"/>
              <w:jc w:val="both"/>
              <w:rPr>
                <w:szCs w:val="20"/>
                <w:lang w:val="es-PE"/>
              </w:rPr>
            </w:pPr>
            <w:r w:rsidRPr="000B5217">
              <w:rPr>
                <w:szCs w:val="20"/>
                <w:lang w:val="es-PE"/>
              </w:rPr>
              <w:t xml:space="preserve">El documento se encuentra disponible en el siguiente enlace: </w:t>
            </w:r>
            <w:hyperlink r:id="rId34" w:history="1">
              <w:r w:rsidRPr="00085904">
                <w:rPr>
                  <w:rStyle w:val="Hipervnculo"/>
                  <w:szCs w:val="20"/>
                  <w:lang w:val="es-PE"/>
                </w:rPr>
                <w:t>http://www.unicef.org/peruspanish/gasto-publico-ninos-ninas-adolescentes-2014.pdf</w:t>
              </w:r>
            </w:hyperlink>
            <w:r w:rsidRPr="000B5217">
              <w:rPr>
                <w:szCs w:val="20"/>
                <w:lang w:val="es-PE"/>
              </w:rPr>
              <w:t>.</w:t>
            </w:r>
          </w:p>
          <w:p w:rsidR="00F17075" w:rsidRDefault="00F17075" w:rsidP="00F17075">
            <w:pPr>
              <w:pStyle w:val="Prrafodelista"/>
              <w:numPr>
                <w:ilvl w:val="0"/>
                <w:numId w:val="32"/>
              </w:numPr>
              <w:ind w:left="204" w:hanging="204"/>
              <w:jc w:val="both"/>
              <w:rPr>
                <w:szCs w:val="20"/>
                <w:lang w:val="es-PE"/>
              </w:rPr>
            </w:pPr>
            <w:r w:rsidRPr="00F17075">
              <w:rPr>
                <w:szCs w:val="20"/>
                <w:lang w:val="es-PE"/>
              </w:rPr>
              <w:t>Elaboración, por parte del grupo interinstitucional (</w:t>
            </w:r>
            <w:r w:rsidR="00F56713">
              <w:rPr>
                <w:szCs w:val="20"/>
                <w:lang w:val="es-PE"/>
              </w:rPr>
              <w:t>el coordinador es</w:t>
            </w:r>
            <w:r w:rsidRPr="00F17075">
              <w:rPr>
                <w:szCs w:val="20"/>
                <w:lang w:val="es-PE"/>
              </w:rPr>
              <w:t xml:space="preserve"> el Ministerio de Economía y Finanzas) de boletines semestrales de seguimiento al gasto público en infancia, niñez y adolescencia en el Perú.</w:t>
            </w:r>
          </w:p>
          <w:p w:rsidR="000B5217" w:rsidRPr="000B5217" w:rsidRDefault="000B5217" w:rsidP="000B5217">
            <w:pPr>
              <w:pStyle w:val="Prrafodelista"/>
              <w:ind w:left="204"/>
              <w:jc w:val="both"/>
              <w:rPr>
                <w:szCs w:val="20"/>
                <w:lang w:val="es-PE"/>
              </w:rPr>
            </w:pPr>
            <w:r w:rsidRPr="000B5217">
              <w:rPr>
                <w:szCs w:val="20"/>
                <w:lang w:val="es-PE"/>
              </w:rPr>
              <w:t xml:space="preserve">Se </w:t>
            </w:r>
            <w:r w:rsidR="00F56713">
              <w:rPr>
                <w:szCs w:val="20"/>
                <w:lang w:val="es-PE"/>
              </w:rPr>
              <w:t>publicaron en el portal del MEF</w:t>
            </w:r>
            <w:r w:rsidRPr="000B5217">
              <w:rPr>
                <w:szCs w:val="20"/>
                <w:lang w:val="es-PE"/>
              </w:rPr>
              <w:t xml:space="preserve"> los boletines correspondientes al primer semestre 2014, segundo semestre 2014 y primer semestre 2015</w:t>
            </w:r>
            <w:r w:rsidR="00F56713">
              <w:rPr>
                <w:szCs w:val="20"/>
                <w:lang w:val="es-PE"/>
              </w:rPr>
              <w:t>, respectivamente</w:t>
            </w:r>
            <w:r w:rsidRPr="000B5217">
              <w:rPr>
                <w:szCs w:val="20"/>
                <w:lang w:val="es-PE"/>
              </w:rPr>
              <w:t xml:space="preserve">. Actualmente se está elaborando el reporte del cierre del año </w:t>
            </w:r>
          </w:p>
          <w:p w:rsidR="000B5217" w:rsidRDefault="000B5217" w:rsidP="000B5217">
            <w:pPr>
              <w:pStyle w:val="Prrafodelista"/>
              <w:ind w:left="204"/>
              <w:jc w:val="both"/>
              <w:rPr>
                <w:szCs w:val="20"/>
                <w:lang w:val="es-PE"/>
              </w:rPr>
            </w:pPr>
            <w:r w:rsidRPr="000B5217">
              <w:rPr>
                <w:szCs w:val="20"/>
                <w:lang w:val="es-PE"/>
              </w:rPr>
              <w:t>Según refiere la DGPE, el MIDIS participa de manera activa en la elaboración de las publicaciones que se realizan desde el espacio dirigido por el</w:t>
            </w:r>
            <w:r>
              <w:rPr>
                <w:szCs w:val="20"/>
                <w:lang w:val="es-PE"/>
              </w:rPr>
              <w:t xml:space="preserve"> Ministerio de Economía y Finan</w:t>
            </w:r>
            <w:r w:rsidRPr="000B5217">
              <w:rPr>
                <w:szCs w:val="20"/>
                <w:lang w:val="es-PE"/>
              </w:rPr>
              <w:t xml:space="preserve">zas. Dichos reportes se encuentran disponibles en los siguientes enlaces: </w:t>
            </w:r>
            <w:hyperlink r:id="rId35" w:history="1">
              <w:r w:rsidRPr="00085904">
                <w:rPr>
                  <w:rStyle w:val="Hipervnculo"/>
                  <w:szCs w:val="20"/>
                  <w:lang w:val="es-PE"/>
                </w:rPr>
                <w:t>http://www.mef.gob.pe/index.php?option=com_content&amp;view=article&amp;id=3849&amp;Itemid=101531&amp;lang=es</w:t>
              </w:r>
            </w:hyperlink>
          </w:p>
          <w:p w:rsidR="000B5217" w:rsidRDefault="002F3E0D" w:rsidP="000B5217">
            <w:pPr>
              <w:pStyle w:val="Prrafodelista"/>
              <w:ind w:left="204"/>
              <w:jc w:val="both"/>
              <w:rPr>
                <w:szCs w:val="20"/>
                <w:lang w:val="es-PE"/>
              </w:rPr>
            </w:pPr>
            <w:hyperlink r:id="rId36" w:history="1">
              <w:r w:rsidR="000B5217" w:rsidRPr="00085904">
                <w:rPr>
                  <w:rStyle w:val="Hipervnculo"/>
                  <w:szCs w:val="20"/>
                  <w:lang w:val="es-PE"/>
                </w:rPr>
                <w:t>http://www.unicef.org/peru/spanish/GastoPublico-en-ninos-ninas-adolescentes-en-Peru-1erSemestre2015.pdf</w:t>
              </w:r>
            </w:hyperlink>
          </w:p>
          <w:p w:rsidR="000B5217" w:rsidRDefault="002F3E0D" w:rsidP="000B5217">
            <w:pPr>
              <w:pStyle w:val="Prrafodelista"/>
              <w:ind w:left="204"/>
              <w:jc w:val="both"/>
              <w:rPr>
                <w:szCs w:val="20"/>
                <w:lang w:val="es-PE"/>
              </w:rPr>
            </w:pPr>
            <w:hyperlink r:id="rId37" w:history="1">
              <w:r w:rsidR="000B5217" w:rsidRPr="00085904">
                <w:rPr>
                  <w:rStyle w:val="Hipervnculo"/>
                  <w:szCs w:val="20"/>
                  <w:lang w:val="es-PE"/>
                </w:rPr>
                <w:t>http://www.mimp.gob.pe/webs/mimp/pnaia/pdf/ppto/gasto-publico-en-ninos-ninas-adolescentesNov2015.pdf</w:t>
              </w:r>
            </w:hyperlink>
          </w:p>
          <w:p w:rsidR="00F17075" w:rsidRDefault="00F17075" w:rsidP="00F17075">
            <w:pPr>
              <w:pStyle w:val="Prrafodelista"/>
              <w:numPr>
                <w:ilvl w:val="0"/>
                <w:numId w:val="32"/>
              </w:numPr>
              <w:ind w:left="204" w:hanging="204"/>
              <w:jc w:val="both"/>
              <w:rPr>
                <w:szCs w:val="20"/>
                <w:lang w:val="es-PE"/>
              </w:rPr>
            </w:pPr>
            <w:r w:rsidRPr="00F17075">
              <w:rPr>
                <w:szCs w:val="20"/>
                <w:lang w:val="es-PE"/>
              </w:rPr>
              <w:t>Incorporación de instrumentos en el reporte anual de indicadores del Plan Nacional de Acción por la Infancia y la Adolescencia (PNAIA)</w:t>
            </w:r>
            <w:r w:rsidR="00AB1482">
              <w:rPr>
                <w:szCs w:val="20"/>
                <w:lang w:val="es-PE"/>
              </w:rPr>
              <w:t>:</w:t>
            </w:r>
          </w:p>
          <w:p w:rsidR="000B5217" w:rsidRPr="000B5217" w:rsidRDefault="000B5217" w:rsidP="000B5217">
            <w:pPr>
              <w:pStyle w:val="Prrafodelista"/>
              <w:ind w:left="204"/>
              <w:jc w:val="both"/>
              <w:rPr>
                <w:szCs w:val="20"/>
                <w:lang w:val="es-PE"/>
              </w:rPr>
            </w:pPr>
            <w:r w:rsidRPr="000B5217">
              <w:rPr>
                <w:szCs w:val="20"/>
                <w:lang w:val="es-PE"/>
              </w:rPr>
              <w:t xml:space="preserve">La </w:t>
            </w:r>
            <w:r w:rsidR="00AB1482" w:rsidRPr="000B5217">
              <w:rPr>
                <w:szCs w:val="20"/>
                <w:lang w:val="es-PE"/>
              </w:rPr>
              <w:t>taxonomía</w:t>
            </w:r>
            <w:r w:rsidRPr="000B5217">
              <w:rPr>
                <w:szCs w:val="20"/>
                <w:lang w:val="es-PE"/>
              </w:rPr>
              <w:t xml:space="preserve"> fue incorporada al seguimiento del PNAIA, en junio de 2014, mediante acta </w:t>
            </w:r>
            <w:r w:rsidR="00AB1482">
              <w:rPr>
                <w:szCs w:val="20"/>
                <w:lang w:val="es-PE"/>
              </w:rPr>
              <w:t xml:space="preserve">de la décima </w:t>
            </w:r>
            <w:r w:rsidRPr="000B5217">
              <w:rPr>
                <w:szCs w:val="20"/>
                <w:lang w:val="es-PE"/>
              </w:rPr>
              <w:t>primera</w:t>
            </w:r>
            <w:r w:rsidR="00AB1482">
              <w:rPr>
                <w:szCs w:val="20"/>
                <w:lang w:val="es-PE"/>
              </w:rPr>
              <w:t xml:space="preserve"> sesión extraordinaria de la Comisión M</w:t>
            </w:r>
            <w:r w:rsidRPr="000B5217">
              <w:rPr>
                <w:szCs w:val="20"/>
                <w:lang w:val="es-PE"/>
              </w:rPr>
              <w:t>ultisectorial permanente encargada de la implementación de dicho plan.</w:t>
            </w:r>
          </w:p>
          <w:p w:rsidR="000B5217" w:rsidRPr="000B5217" w:rsidRDefault="00AB1482" w:rsidP="000B5217">
            <w:pPr>
              <w:pStyle w:val="Prrafodelista"/>
              <w:ind w:left="204"/>
              <w:jc w:val="both"/>
              <w:rPr>
                <w:szCs w:val="20"/>
                <w:lang w:val="es-PE"/>
              </w:rPr>
            </w:pPr>
            <w:r>
              <w:rPr>
                <w:szCs w:val="20"/>
                <w:lang w:val="es-PE"/>
              </w:rPr>
              <w:t xml:space="preserve">En cuanto a los avances </w:t>
            </w:r>
            <w:r w:rsidR="000B5217" w:rsidRPr="000B5217">
              <w:rPr>
                <w:szCs w:val="20"/>
                <w:lang w:val="es-PE"/>
              </w:rPr>
              <w:t>2015:</w:t>
            </w:r>
          </w:p>
          <w:p w:rsidR="0045073C" w:rsidRDefault="000B5217" w:rsidP="000B5217">
            <w:pPr>
              <w:pStyle w:val="Prrafodelista"/>
              <w:ind w:left="204"/>
              <w:jc w:val="both"/>
              <w:rPr>
                <w:szCs w:val="20"/>
                <w:lang w:val="es-PE"/>
              </w:rPr>
            </w:pPr>
            <w:r w:rsidRPr="000B5217">
              <w:rPr>
                <w:szCs w:val="20"/>
                <w:lang w:val="es-PE"/>
              </w:rPr>
              <w:t>De acuerdo a lo informado por la DGPE, se realiz</w:t>
            </w:r>
            <w:r w:rsidR="00AB1482">
              <w:rPr>
                <w:szCs w:val="20"/>
                <w:lang w:val="es-PE"/>
              </w:rPr>
              <w:t>ó</w:t>
            </w:r>
            <w:r w:rsidRPr="000B5217">
              <w:rPr>
                <w:szCs w:val="20"/>
                <w:lang w:val="es-PE"/>
              </w:rPr>
              <w:t xml:space="preserve"> el reporte correspondiente</w:t>
            </w:r>
            <w:r w:rsidR="00AB1482">
              <w:rPr>
                <w:szCs w:val="20"/>
                <w:lang w:val="es-PE"/>
              </w:rPr>
              <w:t>,</w:t>
            </w:r>
            <w:r w:rsidRPr="000B5217">
              <w:rPr>
                <w:szCs w:val="20"/>
                <w:lang w:val="es-PE"/>
              </w:rPr>
              <w:t xml:space="preserve"> en el marco de la comisión multisectorial encargada de la implementación y seguimiento del PNAIA</w:t>
            </w:r>
            <w:r w:rsidR="00DD0875">
              <w:rPr>
                <w:szCs w:val="20"/>
                <w:lang w:val="es-PE"/>
              </w:rPr>
              <w:t xml:space="preserve"> </w:t>
            </w:r>
            <w:r w:rsidRPr="000B5217">
              <w:rPr>
                <w:szCs w:val="20"/>
                <w:lang w:val="es-PE"/>
              </w:rPr>
              <w:t>(corresponde al Ministerio de la Mujer y Poblaciones Vulnerables en su calidad de Presidencia Técnica de la Comisión).</w:t>
            </w:r>
          </w:p>
          <w:p w:rsidR="008F1376" w:rsidRDefault="008F1376" w:rsidP="008F1376">
            <w:pPr>
              <w:jc w:val="both"/>
              <w:rPr>
                <w:szCs w:val="20"/>
                <w:lang w:val="es-PE"/>
              </w:rPr>
            </w:pPr>
            <w:r w:rsidRPr="008F1376">
              <w:rPr>
                <w:szCs w:val="20"/>
                <w:lang w:val="es-PE"/>
              </w:rPr>
              <w:t>Fuente:</w:t>
            </w:r>
            <w:r>
              <w:rPr>
                <w:szCs w:val="20"/>
                <w:lang w:val="es-PE"/>
              </w:rPr>
              <w:t xml:space="preserve"> Oficio N° 1275-2016-EF/13.01, del 27.04.16</w:t>
            </w:r>
          </w:p>
          <w:p w:rsidR="008F1376" w:rsidRPr="000B5217" w:rsidRDefault="008F1376" w:rsidP="008F1376">
            <w:pPr>
              <w:jc w:val="both"/>
              <w:rPr>
                <w:szCs w:val="20"/>
                <w:lang w:val="es-PE"/>
              </w:rPr>
            </w:pPr>
            <w:r>
              <w:rPr>
                <w:szCs w:val="20"/>
                <w:lang w:val="es-PE"/>
              </w:rPr>
              <w:t xml:space="preserve">               Oficio N° 711-2016-MIMP-SG, del 02.05.16 </w:t>
            </w:r>
          </w:p>
        </w:tc>
      </w:tr>
      <w:tr w:rsidR="0045073C" w:rsidRPr="00295641" w:rsidTr="002C2EAC">
        <w:tc>
          <w:tcPr>
            <w:tcW w:w="2518" w:type="dxa"/>
            <w:gridSpan w:val="2"/>
            <w:shd w:val="clear" w:color="auto" w:fill="C6D9F1" w:themeFill="text2" w:themeFillTint="33"/>
            <w:vAlign w:val="center"/>
          </w:tcPr>
          <w:p w:rsidR="0045073C" w:rsidRPr="00295641" w:rsidRDefault="0045073C" w:rsidP="00B56E74">
            <w:pPr>
              <w:rPr>
                <w:b/>
                <w:color w:val="000000" w:themeColor="text1"/>
              </w:rPr>
            </w:pPr>
            <w:r w:rsidRPr="00295641">
              <w:rPr>
                <w:rFonts w:cs="Gotham-Book"/>
                <w:b/>
                <w:color w:val="000000" w:themeColor="text1"/>
              </w:rPr>
              <w:t>Fecha de conclusión</w:t>
            </w:r>
          </w:p>
        </w:tc>
        <w:tc>
          <w:tcPr>
            <w:tcW w:w="6521" w:type="dxa"/>
            <w:gridSpan w:val="4"/>
          </w:tcPr>
          <w:p w:rsidR="0045073C" w:rsidRPr="00295641" w:rsidRDefault="00F17075" w:rsidP="00B56E74">
            <w:pPr>
              <w:jc w:val="both"/>
              <w:rPr>
                <w:color w:val="000000" w:themeColor="text1"/>
              </w:rPr>
            </w:pPr>
            <w:r>
              <w:rPr>
                <w:color w:val="000000" w:themeColor="text1"/>
              </w:rPr>
              <w:t>Concluido</w:t>
            </w:r>
          </w:p>
        </w:tc>
      </w:tr>
      <w:tr w:rsidR="0045073C" w:rsidRPr="00295641" w:rsidTr="002C2EAC">
        <w:tc>
          <w:tcPr>
            <w:tcW w:w="2518" w:type="dxa"/>
            <w:gridSpan w:val="2"/>
            <w:shd w:val="clear" w:color="auto" w:fill="C6D9F1" w:themeFill="text2" w:themeFillTint="33"/>
            <w:vAlign w:val="center"/>
          </w:tcPr>
          <w:p w:rsidR="0045073C" w:rsidRPr="00295641" w:rsidRDefault="0045073C" w:rsidP="00B56E74">
            <w:pPr>
              <w:rPr>
                <w:b/>
                <w:color w:val="000000" w:themeColor="text1"/>
              </w:rPr>
            </w:pPr>
            <w:r w:rsidRPr="00295641">
              <w:rPr>
                <w:rFonts w:cs="Gotham-Book"/>
                <w:b/>
                <w:color w:val="000000" w:themeColor="text1"/>
              </w:rPr>
              <w:t>Próximos pasos</w:t>
            </w:r>
          </w:p>
        </w:tc>
        <w:tc>
          <w:tcPr>
            <w:tcW w:w="6521" w:type="dxa"/>
            <w:gridSpan w:val="4"/>
          </w:tcPr>
          <w:p w:rsidR="0045073C" w:rsidRPr="00295641" w:rsidRDefault="00AB1482" w:rsidP="00B56E74">
            <w:pPr>
              <w:jc w:val="both"/>
              <w:rPr>
                <w:color w:val="000000" w:themeColor="text1"/>
              </w:rPr>
            </w:pPr>
            <w:r>
              <w:rPr>
                <w:color w:val="000000" w:themeColor="text1"/>
              </w:rPr>
              <w:t>La elaboración de boletines</w:t>
            </w:r>
            <w:r w:rsidR="00F17075">
              <w:rPr>
                <w:color w:val="000000" w:themeColor="text1"/>
              </w:rPr>
              <w:t xml:space="preserve"> semestrales de seguimiento del gasto público es un actividad de ejecución permanente y periódica</w:t>
            </w:r>
          </w:p>
        </w:tc>
      </w:tr>
      <w:tr w:rsidR="0045073C" w:rsidRPr="00295641" w:rsidTr="002C2EAC">
        <w:tc>
          <w:tcPr>
            <w:tcW w:w="9039" w:type="dxa"/>
            <w:gridSpan w:val="6"/>
          </w:tcPr>
          <w:p w:rsidR="0045073C" w:rsidRPr="00295641" w:rsidRDefault="0045073C" w:rsidP="00B56E74">
            <w:pPr>
              <w:jc w:val="both"/>
              <w:rPr>
                <w:rFonts w:cs="Gotham-Book"/>
                <w:b/>
                <w:color w:val="000000" w:themeColor="text1"/>
              </w:rPr>
            </w:pPr>
          </w:p>
          <w:p w:rsidR="0045073C" w:rsidRPr="00295641" w:rsidRDefault="0045073C" w:rsidP="00B56E74">
            <w:pPr>
              <w:jc w:val="both"/>
              <w:rPr>
                <w:color w:val="000000" w:themeColor="text1"/>
              </w:rPr>
            </w:pPr>
            <w:r>
              <w:rPr>
                <w:rFonts w:cs="Gotham-Book"/>
                <w:b/>
                <w:color w:val="000000" w:themeColor="text1"/>
              </w:rPr>
              <w:t>Información adicional</w:t>
            </w:r>
          </w:p>
        </w:tc>
      </w:tr>
      <w:tr w:rsidR="0045073C" w:rsidRPr="00295641" w:rsidTr="002C2EAC">
        <w:tc>
          <w:tcPr>
            <w:tcW w:w="9039" w:type="dxa"/>
            <w:gridSpan w:val="6"/>
          </w:tcPr>
          <w:p w:rsidR="0045073C" w:rsidRPr="00295641" w:rsidRDefault="0045073C" w:rsidP="00B56E74">
            <w:pPr>
              <w:jc w:val="both"/>
              <w:rPr>
                <w:rFonts w:cs="Gotham-Book"/>
                <w:b/>
                <w:color w:val="000000" w:themeColor="text1"/>
              </w:rPr>
            </w:pPr>
          </w:p>
        </w:tc>
      </w:tr>
    </w:tbl>
    <w:p w:rsidR="0045073C" w:rsidRDefault="0045073C"/>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tbl>
      <w:tblPr>
        <w:tblStyle w:val="Tablaconcuadrcula"/>
        <w:tblW w:w="9039" w:type="dxa"/>
        <w:tblLayout w:type="fixed"/>
        <w:tblLook w:val="04A0" w:firstRow="1" w:lastRow="0" w:firstColumn="1" w:lastColumn="0" w:noHBand="0" w:noVBand="1"/>
      </w:tblPr>
      <w:tblGrid>
        <w:gridCol w:w="2109"/>
        <w:gridCol w:w="409"/>
        <w:gridCol w:w="1701"/>
        <w:gridCol w:w="1729"/>
        <w:gridCol w:w="1644"/>
        <w:gridCol w:w="1447"/>
      </w:tblGrid>
      <w:tr w:rsidR="00E107BA" w:rsidRPr="00295641" w:rsidTr="00E107BA">
        <w:tc>
          <w:tcPr>
            <w:tcW w:w="9039" w:type="dxa"/>
            <w:gridSpan w:val="6"/>
            <w:shd w:val="clear" w:color="auto" w:fill="548DD4" w:themeFill="text2" w:themeFillTint="99"/>
          </w:tcPr>
          <w:p w:rsidR="00E107BA" w:rsidRPr="00295641" w:rsidRDefault="00E107BA" w:rsidP="00E107BA">
            <w:pPr>
              <w:ind w:left="360"/>
              <w:jc w:val="center"/>
              <w:rPr>
                <w:b/>
              </w:rPr>
            </w:pPr>
            <w:r>
              <w:rPr>
                <w:b/>
              </w:rPr>
              <w:t>Componente: Mejora de los Servicios Pú</w:t>
            </w:r>
            <w:r w:rsidR="00DD0875">
              <w:rPr>
                <w:b/>
              </w:rPr>
              <w:t>b</w:t>
            </w:r>
            <w:r>
              <w:rPr>
                <w:b/>
              </w:rPr>
              <w:t>licos</w:t>
            </w:r>
          </w:p>
        </w:tc>
      </w:tr>
      <w:tr w:rsidR="00E107BA" w:rsidRPr="00295641" w:rsidTr="00E107BA">
        <w:tc>
          <w:tcPr>
            <w:tcW w:w="9039" w:type="dxa"/>
            <w:gridSpan w:val="6"/>
            <w:shd w:val="clear" w:color="auto" w:fill="548DD4" w:themeFill="text2" w:themeFillTint="99"/>
          </w:tcPr>
          <w:p w:rsidR="00E107BA" w:rsidRPr="00E107BA" w:rsidRDefault="007C4C54" w:rsidP="00B56E74">
            <w:pPr>
              <w:ind w:left="360"/>
              <w:jc w:val="center"/>
              <w:rPr>
                <w:rFonts w:ascii="Calibri" w:hAnsi="Calibri"/>
                <w:b/>
                <w:color w:val="000000"/>
              </w:rPr>
            </w:pPr>
            <w:r w:rsidRPr="007C4C54">
              <w:rPr>
                <w:rFonts w:ascii="Calibri" w:hAnsi="Calibri"/>
                <w:b/>
                <w:color w:val="000000"/>
                <w:u w:val="single"/>
              </w:rPr>
              <w:t xml:space="preserve">Compromiso </w:t>
            </w:r>
            <w:r w:rsidR="00E107BA" w:rsidRPr="007C4C54">
              <w:rPr>
                <w:rFonts w:ascii="Calibri" w:hAnsi="Calibri"/>
                <w:b/>
                <w:color w:val="000000"/>
                <w:u w:val="single"/>
              </w:rPr>
              <w:t>14</w:t>
            </w:r>
            <w:r w:rsidR="00E107BA" w:rsidRPr="00E107BA">
              <w:rPr>
                <w:rFonts w:ascii="Calibri" w:hAnsi="Calibri"/>
                <w:b/>
                <w:color w:val="000000"/>
              </w:rPr>
              <w:t>. Promover la publicación de datos abiertos de manera clara utilizando estándares abiertos e interoperables</w:t>
            </w:r>
          </w:p>
        </w:tc>
      </w:tr>
      <w:tr w:rsidR="00E107BA" w:rsidRPr="00295641" w:rsidTr="00E107BA">
        <w:tc>
          <w:tcPr>
            <w:tcW w:w="4219" w:type="dxa"/>
            <w:gridSpan w:val="3"/>
            <w:shd w:val="clear" w:color="auto" w:fill="C6D9F1" w:themeFill="text2" w:themeFillTint="33"/>
            <w:vAlign w:val="center"/>
          </w:tcPr>
          <w:p w:rsidR="00E107BA" w:rsidRPr="00295641" w:rsidRDefault="00E107BA" w:rsidP="00B56E74">
            <w:pPr>
              <w:autoSpaceDE w:val="0"/>
              <w:autoSpaceDN w:val="0"/>
              <w:adjustRightInd w:val="0"/>
              <w:rPr>
                <w:rFonts w:cs="Gotham-Book"/>
                <w:b/>
                <w:color w:val="000000" w:themeColor="text1"/>
              </w:rPr>
            </w:pPr>
            <w:r w:rsidRPr="00295641">
              <w:rPr>
                <w:rFonts w:cs="Gotham-Book"/>
                <w:b/>
                <w:color w:val="000000" w:themeColor="text1"/>
              </w:rPr>
              <w:t>Secretaría/Ministerio</w:t>
            </w:r>
          </w:p>
          <w:p w:rsidR="00E107BA" w:rsidRPr="00295641" w:rsidRDefault="00E107BA" w:rsidP="00B56E74">
            <w:pPr>
              <w:rPr>
                <w:b/>
                <w:color w:val="000000" w:themeColor="text1"/>
              </w:rPr>
            </w:pPr>
            <w:r w:rsidRPr="00295641">
              <w:rPr>
                <w:rFonts w:cs="Gotham-Book"/>
                <w:b/>
                <w:color w:val="000000" w:themeColor="text1"/>
              </w:rPr>
              <w:t>Responsable</w:t>
            </w:r>
          </w:p>
        </w:tc>
        <w:tc>
          <w:tcPr>
            <w:tcW w:w="4820" w:type="dxa"/>
            <w:gridSpan w:val="3"/>
          </w:tcPr>
          <w:p w:rsidR="00E107BA" w:rsidRPr="00F40088" w:rsidRDefault="00E107BA" w:rsidP="00B56E74">
            <w:pPr>
              <w:jc w:val="both"/>
              <w:rPr>
                <w:color w:val="000000" w:themeColor="text1"/>
                <w:highlight w:val="yellow"/>
              </w:rPr>
            </w:pPr>
            <w:r w:rsidRPr="00DD0875">
              <w:rPr>
                <w:color w:val="000000" w:themeColor="text1"/>
              </w:rPr>
              <w:t>Presidencia del Consejo de Ministros</w:t>
            </w:r>
            <w:r w:rsidR="008637D9">
              <w:rPr>
                <w:color w:val="000000" w:themeColor="text1"/>
              </w:rPr>
              <w:t>,</w:t>
            </w:r>
            <w:r w:rsidRPr="00DD0875">
              <w:rPr>
                <w:color w:val="000000" w:themeColor="text1"/>
              </w:rPr>
              <w:t xml:space="preserve"> a través de la Secretaría de Gestión Pública -SGP- y la Oficina Nacional de Gobierno Electrónico –ONGEI.</w:t>
            </w:r>
          </w:p>
        </w:tc>
      </w:tr>
      <w:tr w:rsidR="00D12754" w:rsidRPr="00295641" w:rsidTr="00E107BA">
        <w:tc>
          <w:tcPr>
            <w:tcW w:w="4219" w:type="dxa"/>
            <w:gridSpan w:val="3"/>
            <w:shd w:val="clear" w:color="auto" w:fill="C6D9F1" w:themeFill="text2" w:themeFillTint="33"/>
            <w:vAlign w:val="center"/>
          </w:tcPr>
          <w:p w:rsidR="00D12754" w:rsidRPr="00295641" w:rsidRDefault="00D12754" w:rsidP="00D12754">
            <w:pPr>
              <w:autoSpaceDE w:val="0"/>
              <w:autoSpaceDN w:val="0"/>
              <w:adjustRightInd w:val="0"/>
              <w:rPr>
                <w:rFonts w:cs="Gotham-Book"/>
                <w:b/>
                <w:color w:val="000000" w:themeColor="text1"/>
              </w:rPr>
            </w:pPr>
            <w:r w:rsidRPr="00295641">
              <w:rPr>
                <w:rFonts w:cs="Gotham-Book"/>
                <w:b/>
                <w:color w:val="000000" w:themeColor="text1"/>
              </w:rPr>
              <w:t>Nombre de la persona  responsable</w:t>
            </w:r>
          </w:p>
        </w:tc>
        <w:tc>
          <w:tcPr>
            <w:tcW w:w="4820" w:type="dxa"/>
            <w:gridSpan w:val="3"/>
          </w:tcPr>
          <w:p w:rsidR="00D12754" w:rsidRPr="00295641" w:rsidRDefault="00D12754" w:rsidP="00D12754">
            <w:pPr>
              <w:jc w:val="both"/>
              <w:rPr>
                <w:color w:val="000000" w:themeColor="text1"/>
              </w:rPr>
            </w:pPr>
            <w:r>
              <w:rPr>
                <w:color w:val="000000" w:themeColor="text1"/>
              </w:rPr>
              <w:t>Fernando Zavala Lombardi</w:t>
            </w:r>
          </w:p>
        </w:tc>
      </w:tr>
      <w:tr w:rsidR="00D12754" w:rsidRPr="00295641" w:rsidTr="00E107BA">
        <w:tc>
          <w:tcPr>
            <w:tcW w:w="4219" w:type="dxa"/>
            <w:gridSpan w:val="3"/>
            <w:shd w:val="clear" w:color="auto" w:fill="C6D9F1" w:themeFill="text2" w:themeFillTint="33"/>
            <w:vAlign w:val="center"/>
          </w:tcPr>
          <w:p w:rsidR="00D12754" w:rsidRPr="00295641" w:rsidRDefault="00D12754" w:rsidP="00D12754">
            <w:pPr>
              <w:rPr>
                <w:b/>
                <w:color w:val="000000" w:themeColor="text1"/>
              </w:rPr>
            </w:pPr>
            <w:r w:rsidRPr="00295641">
              <w:rPr>
                <w:rFonts w:cs="Gotham-Book"/>
                <w:b/>
                <w:color w:val="000000" w:themeColor="text1"/>
              </w:rPr>
              <w:t>Puesto</w:t>
            </w:r>
          </w:p>
        </w:tc>
        <w:tc>
          <w:tcPr>
            <w:tcW w:w="4820" w:type="dxa"/>
            <w:gridSpan w:val="3"/>
          </w:tcPr>
          <w:p w:rsidR="00D12754" w:rsidRPr="00295641" w:rsidRDefault="00D12754" w:rsidP="00D12754">
            <w:pPr>
              <w:jc w:val="both"/>
              <w:rPr>
                <w:color w:val="000000" w:themeColor="text1"/>
              </w:rPr>
            </w:pPr>
            <w:r>
              <w:rPr>
                <w:color w:val="000000" w:themeColor="text1"/>
              </w:rPr>
              <w:t>Presidente del Consejo de Ministros</w:t>
            </w:r>
          </w:p>
        </w:tc>
      </w:tr>
      <w:tr w:rsidR="00D12754" w:rsidRPr="00295641" w:rsidTr="00E107BA">
        <w:tc>
          <w:tcPr>
            <w:tcW w:w="4219" w:type="dxa"/>
            <w:gridSpan w:val="3"/>
            <w:shd w:val="clear" w:color="auto" w:fill="C6D9F1" w:themeFill="text2" w:themeFillTint="33"/>
            <w:vAlign w:val="center"/>
          </w:tcPr>
          <w:p w:rsidR="00D12754" w:rsidRPr="00295641" w:rsidRDefault="00D12754" w:rsidP="00D12754">
            <w:pPr>
              <w:autoSpaceDE w:val="0"/>
              <w:autoSpaceDN w:val="0"/>
              <w:adjustRightInd w:val="0"/>
              <w:rPr>
                <w:rFonts w:cs="Gotham-Book"/>
                <w:b/>
                <w:color w:val="000000" w:themeColor="text1"/>
              </w:rPr>
            </w:pPr>
            <w:r w:rsidRPr="00295641">
              <w:rPr>
                <w:rFonts w:cs="Gotham-Book"/>
                <w:b/>
                <w:color w:val="000000" w:themeColor="text1"/>
              </w:rPr>
              <w:t>Correo electrónico</w:t>
            </w:r>
          </w:p>
        </w:tc>
        <w:tc>
          <w:tcPr>
            <w:tcW w:w="4820" w:type="dxa"/>
            <w:gridSpan w:val="3"/>
          </w:tcPr>
          <w:p w:rsidR="00D12754" w:rsidRPr="00295641" w:rsidRDefault="002F3E0D" w:rsidP="00D12754">
            <w:pPr>
              <w:jc w:val="both"/>
              <w:rPr>
                <w:rFonts w:cs="Arial"/>
                <w:color w:val="0000FF"/>
                <w:u w:val="single"/>
              </w:rPr>
            </w:pPr>
            <w:hyperlink r:id="rId38" w:history="1">
              <w:r w:rsidR="00D12754" w:rsidRPr="002977A0">
                <w:rPr>
                  <w:rStyle w:val="Hipervnculo"/>
                  <w:rFonts w:cs="Arial"/>
                </w:rPr>
                <w:t>fzavala@pcm.gob.pe</w:t>
              </w:r>
            </w:hyperlink>
          </w:p>
        </w:tc>
      </w:tr>
      <w:tr w:rsidR="00D12754" w:rsidRPr="00295641" w:rsidTr="00E107BA">
        <w:tc>
          <w:tcPr>
            <w:tcW w:w="4219" w:type="dxa"/>
            <w:gridSpan w:val="3"/>
            <w:shd w:val="clear" w:color="auto" w:fill="C6D9F1" w:themeFill="text2" w:themeFillTint="33"/>
            <w:vAlign w:val="center"/>
          </w:tcPr>
          <w:p w:rsidR="00D12754" w:rsidRPr="00295641" w:rsidRDefault="00D12754" w:rsidP="00D12754">
            <w:pPr>
              <w:rPr>
                <w:b/>
                <w:color w:val="000000" w:themeColor="text1"/>
              </w:rPr>
            </w:pPr>
            <w:r w:rsidRPr="00295641">
              <w:rPr>
                <w:rFonts w:cs="Gotham-Book"/>
                <w:b/>
                <w:color w:val="000000" w:themeColor="text1"/>
              </w:rPr>
              <w:t>Teléfono</w:t>
            </w:r>
          </w:p>
        </w:tc>
        <w:tc>
          <w:tcPr>
            <w:tcW w:w="4820" w:type="dxa"/>
            <w:gridSpan w:val="3"/>
          </w:tcPr>
          <w:p w:rsidR="00D12754" w:rsidRPr="00295641" w:rsidRDefault="00D12754" w:rsidP="00D12754">
            <w:pPr>
              <w:jc w:val="both"/>
              <w:rPr>
                <w:color w:val="000000" w:themeColor="text1"/>
              </w:rPr>
            </w:pPr>
            <w:r>
              <w:rPr>
                <w:color w:val="000000" w:themeColor="text1"/>
              </w:rPr>
              <w:t>51-1-2197000</w:t>
            </w:r>
          </w:p>
        </w:tc>
      </w:tr>
      <w:tr w:rsidR="00E107BA" w:rsidRPr="00295641" w:rsidTr="00E107BA">
        <w:tc>
          <w:tcPr>
            <w:tcW w:w="2109" w:type="dxa"/>
            <w:vMerge w:val="restart"/>
            <w:shd w:val="clear" w:color="auto" w:fill="C6D9F1" w:themeFill="text2" w:themeFillTint="33"/>
            <w:vAlign w:val="center"/>
          </w:tcPr>
          <w:p w:rsidR="00E107BA" w:rsidRPr="00295641" w:rsidRDefault="00E107BA" w:rsidP="00B56E74">
            <w:pPr>
              <w:rPr>
                <w:rFonts w:cs="Gotham-Book"/>
                <w:b/>
                <w:color w:val="000000" w:themeColor="text1"/>
              </w:rPr>
            </w:pPr>
            <w:r>
              <w:rPr>
                <w:rFonts w:cs="Gotham-Book"/>
                <w:b/>
                <w:color w:val="000000" w:themeColor="text1"/>
              </w:rPr>
              <w:t>Otros actores involucrados</w:t>
            </w:r>
          </w:p>
        </w:tc>
        <w:tc>
          <w:tcPr>
            <w:tcW w:w="2110" w:type="dxa"/>
            <w:gridSpan w:val="2"/>
            <w:shd w:val="clear" w:color="auto" w:fill="C6D9F1" w:themeFill="text2" w:themeFillTint="33"/>
            <w:vAlign w:val="center"/>
          </w:tcPr>
          <w:p w:rsidR="00E107BA" w:rsidRPr="00295641" w:rsidRDefault="00E107BA" w:rsidP="00B56E74">
            <w:pPr>
              <w:rPr>
                <w:rFonts w:cs="Gotham-Book"/>
                <w:b/>
                <w:color w:val="000000" w:themeColor="text1"/>
              </w:rPr>
            </w:pPr>
            <w:r>
              <w:rPr>
                <w:rFonts w:cs="Gotham-Book"/>
                <w:b/>
                <w:color w:val="000000" w:themeColor="text1"/>
              </w:rPr>
              <w:t>Gobierno</w:t>
            </w:r>
          </w:p>
        </w:tc>
        <w:tc>
          <w:tcPr>
            <w:tcW w:w="4820" w:type="dxa"/>
            <w:gridSpan w:val="3"/>
          </w:tcPr>
          <w:p w:rsidR="00E107BA" w:rsidRPr="00295641" w:rsidRDefault="00E107BA" w:rsidP="00B56E74">
            <w:pPr>
              <w:jc w:val="both"/>
              <w:rPr>
                <w:color w:val="000000" w:themeColor="text1"/>
              </w:rPr>
            </w:pPr>
            <w:r>
              <w:rPr>
                <w:color w:val="000000" w:themeColor="text1"/>
              </w:rPr>
              <w:t>No aplica</w:t>
            </w:r>
          </w:p>
        </w:tc>
      </w:tr>
      <w:tr w:rsidR="00E107BA" w:rsidRPr="00295641" w:rsidTr="00E107BA">
        <w:tc>
          <w:tcPr>
            <w:tcW w:w="2109" w:type="dxa"/>
            <w:vMerge/>
            <w:shd w:val="clear" w:color="auto" w:fill="C6D9F1" w:themeFill="text2" w:themeFillTint="33"/>
            <w:vAlign w:val="center"/>
          </w:tcPr>
          <w:p w:rsidR="00E107BA" w:rsidRPr="00295641" w:rsidRDefault="00E107BA" w:rsidP="00B56E74">
            <w:pPr>
              <w:rPr>
                <w:rFonts w:cs="Gotham-Book"/>
                <w:b/>
                <w:color w:val="000000" w:themeColor="text1"/>
              </w:rPr>
            </w:pPr>
          </w:p>
        </w:tc>
        <w:tc>
          <w:tcPr>
            <w:tcW w:w="2110" w:type="dxa"/>
            <w:gridSpan w:val="2"/>
            <w:shd w:val="clear" w:color="auto" w:fill="C6D9F1" w:themeFill="text2" w:themeFillTint="33"/>
            <w:vAlign w:val="center"/>
          </w:tcPr>
          <w:p w:rsidR="00E107BA" w:rsidRPr="00295641" w:rsidRDefault="00E107BA" w:rsidP="00B56E74">
            <w:pPr>
              <w:rPr>
                <w:rFonts w:cs="Gotham-Book"/>
                <w:b/>
                <w:color w:val="000000" w:themeColor="text1"/>
              </w:rPr>
            </w:pPr>
            <w:r>
              <w:rPr>
                <w:rFonts w:cs="Gotham-Book"/>
                <w:b/>
                <w:color w:val="000000" w:themeColor="text1"/>
              </w:rPr>
              <w:t>Sociedad civil, iniciativa privada, grupos de trabajo o multilaterales</w:t>
            </w:r>
          </w:p>
        </w:tc>
        <w:tc>
          <w:tcPr>
            <w:tcW w:w="4820" w:type="dxa"/>
            <w:gridSpan w:val="3"/>
          </w:tcPr>
          <w:p w:rsidR="00E107BA" w:rsidRPr="00295641" w:rsidRDefault="00E107BA" w:rsidP="00B56E74">
            <w:pPr>
              <w:jc w:val="both"/>
              <w:rPr>
                <w:color w:val="000000" w:themeColor="text1"/>
              </w:rPr>
            </w:pPr>
          </w:p>
        </w:tc>
      </w:tr>
      <w:tr w:rsidR="00E107BA" w:rsidRPr="00295641" w:rsidTr="00E107BA">
        <w:tc>
          <w:tcPr>
            <w:tcW w:w="4219" w:type="dxa"/>
            <w:gridSpan w:val="3"/>
            <w:shd w:val="clear" w:color="auto" w:fill="C6D9F1" w:themeFill="text2" w:themeFillTint="33"/>
            <w:vAlign w:val="center"/>
          </w:tcPr>
          <w:p w:rsidR="00E107BA" w:rsidRPr="00295641" w:rsidRDefault="00E107BA" w:rsidP="00B56E74">
            <w:pPr>
              <w:rPr>
                <w:rFonts w:cs="Gotham-Book"/>
                <w:b/>
                <w:color w:val="000000" w:themeColor="text1"/>
              </w:rPr>
            </w:pPr>
            <w:r>
              <w:rPr>
                <w:rFonts w:cs="Gotham-Book"/>
                <w:b/>
                <w:color w:val="000000" w:themeColor="text1"/>
              </w:rPr>
              <w:t>Status quo o problema/</w:t>
            </w:r>
            <w:r>
              <w:rPr>
                <w:rFonts w:cs="Gotham-Book"/>
                <w:b/>
                <w:color w:val="000000" w:themeColor="text1"/>
              </w:rPr>
              <w:br/>
              <w:t>desafío que será atendido</w:t>
            </w:r>
          </w:p>
        </w:tc>
        <w:tc>
          <w:tcPr>
            <w:tcW w:w="4820" w:type="dxa"/>
            <w:gridSpan w:val="3"/>
          </w:tcPr>
          <w:p w:rsidR="00E107BA" w:rsidRPr="00274A1A" w:rsidRDefault="00E107BA" w:rsidP="00DD0875">
            <w:pPr>
              <w:autoSpaceDE w:val="0"/>
              <w:autoSpaceDN w:val="0"/>
              <w:adjustRightInd w:val="0"/>
              <w:jc w:val="both"/>
              <w:rPr>
                <w:rFonts w:ascii="Calibri" w:hAnsi="Calibri" w:cs="Calibri"/>
                <w:color w:val="000000"/>
                <w:lang w:val="es-PE"/>
              </w:rPr>
            </w:pPr>
            <w:r w:rsidRPr="00274A1A">
              <w:rPr>
                <w:rFonts w:ascii="Calibri" w:hAnsi="Calibri" w:cs="Calibri"/>
                <w:color w:val="000000"/>
                <w:lang w:val="es-PE"/>
              </w:rPr>
              <w:t xml:space="preserve">El Estado peruano cuenta con varios portales donde se publica y difunde diferente información pública, sin embargo, </w:t>
            </w:r>
            <w:r w:rsidR="0014607C">
              <w:rPr>
                <w:rFonts w:ascii="Calibri" w:hAnsi="Calibri" w:cs="Calibri"/>
                <w:color w:val="000000"/>
                <w:lang w:val="es-PE"/>
              </w:rPr>
              <w:t>es necesario promover la aplicación de formatos que permitan</w:t>
            </w:r>
            <w:r w:rsidRPr="00274A1A">
              <w:rPr>
                <w:rFonts w:ascii="Calibri" w:hAnsi="Calibri" w:cs="Calibri"/>
                <w:color w:val="000000"/>
                <w:lang w:val="es-PE"/>
              </w:rPr>
              <w:t xml:space="preserve"> su reutilización por los ciudadan</w:t>
            </w:r>
            <w:r w:rsidR="0014607C">
              <w:rPr>
                <w:rFonts w:ascii="Calibri" w:hAnsi="Calibri" w:cs="Calibri"/>
                <w:color w:val="000000"/>
                <w:lang w:val="es-PE"/>
              </w:rPr>
              <w:t xml:space="preserve">os y ciudadanas y las empresas. </w:t>
            </w:r>
            <w:r w:rsidRPr="00274A1A">
              <w:rPr>
                <w:rFonts w:ascii="Calibri" w:hAnsi="Calibri" w:cs="Calibri"/>
                <w:color w:val="000000"/>
                <w:lang w:val="es-PE"/>
              </w:rPr>
              <w:t xml:space="preserve">Por lo tanto, se debe transitar de la publicación de información básica a la publicación de datos abiertos, </w:t>
            </w:r>
            <w:r w:rsidR="0014607C">
              <w:rPr>
                <w:rFonts w:ascii="Calibri" w:hAnsi="Calibri" w:cs="Calibri"/>
                <w:color w:val="000000"/>
                <w:lang w:val="es-PE"/>
              </w:rPr>
              <w:t>facilitando</w:t>
            </w:r>
            <w:r w:rsidRPr="00274A1A">
              <w:rPr>
                <w:rFonts w:ascii="Calibri" w:hAnsi="Calibri" w:cs="Calibri"/>
                <w:color w:val="000000"/>
                <w:lang w:val="es-PE"/>
              </w:rPr>
              <w:t xml:space="preserve"> el desarrollo de aplicaciones que se conviertan en nuevos servicios al ciudadano. </w:t>
            </w:r>
          </w:p>
          <w:p w:rsidR="00E107BA" w:rsidRPr="00274A1A" w:rsidRDefault="00E107BA" w:rsidP="00B56E74">
            <w:pPr>
              <w:jc w:val="both"/>
              <w:rPr>
                <w:color w:val="000000" w:themeColor="text1"/>
                <w:lang w:val="es-PE"/>
              </w:rPr>
            </w:pPr>
          </w:p>
        </w:tc>
      </w:tr>
      <w:tr w:rsidR="00E107BA" w:rsidRPr="00295641" w:rsidTr="00E107BA">
        <w:tc>
          <w:tcPr>
            <w:tcW w:w="4219" w:type="dxa"/>
            <w:gridSpan w:val="3"/>
            <w:shd w:val="clear" w:color="auto" w:fill="C6D9F1" w:themeFill="text2" w:themeFillTint="33"/>
            <w:vAlign w:val="center"/>
          </w:tcPr>
          <w:p w:rsidR="00E107BA" w:rsidRPr="00295641" w:rsidRDefault="00E107BA" w:rsidP="00B56E74">
            <w:pPr>
              <w:rPr>
                <w:b/>
                <w:color w:val="000000" w:themeColor="text1"/>
              </w:rPr>
            </w:pPr>
            <w:r w:rsidRPr="00295641">
              <w:rPr>
                <w:rFonts w:cs="Gotham-Book"/>
                <w:b/>
                <w:color w:val="000000" w:themeColor="text1"/>
              </w:rPr>
              <w:t>Objetivo principal</w:t>
            </w:r>
          </w:p>
        </w:tc>
        <w:tc>
          <w:tcPr>
            <w:tcW w:w="4820" w:type="dxa"/>
            <w:gridSpan w:val="3"/>
          </w:tcPr>
          <w:p w:rsidR="00E107BA" w:rsidRPr="005E5671" w:rsidRDefault="00E107BA" w:rsidP="00B56E74">
            <w:pPr>
              <w:jc w:val="both"/>
              <w:rPr>
                <w:bCs/>
              </w:rPr>
            </w:pPr>
            <w:r w:rsidRPr="005E5671">
              <w:rPr>
                <w:bCs/>
              </w:rPr>
              <w:t>Poner a disposición a los ciudadanos y ciudadanas la base de datos que diversas instituciones publican o han publicado en un Portal de Datos Abiertos y en sus Portales Institucionales, con la finalidad de que la ciudadanía cuente con información completa, accesible, gratuita y no restringida, para incrementar la transparencia y la rendición de cuentas de la Administración Pública y generar la innovación gubernamental y privada, así como mejores o nuevos productos y servicios para los ciudadanos y ciudadanas.</w:t>
            </w:r>
          </w:p>
        </w:tc>
      </w:tr>
      <w:tr w:rsidR="00E107BA" w:rsidRPr="00295641" w:rsidTr="00E107BA">
        <w:tc>
          <w:tcPr>
            <w:tcW w:w="4219" w:type="dxa"/>
            <w:gridSpan w:val="3"/>
            <w:shd w:val="clear" w:color="auto" w:fill="C6D9F1" w:themeFill="text2" w:themeFillTint="33"/>
            <w:vAlign w:val="center"/>
          </w:tcPr>
          <w:p w:rsidR="00E107BA" w:rsidRPr="00295641" w:rsidRDefault="00E107BA" w:rsidP="00B56E74">
            <w:pPr>
              <w:autoSpaceDE w:val="0"/>
              <w:autoSpaceDN w:val="0"/>
              <w:adjustRightInd w:val="0"/>
              <w:rPr>
                <w:rFonts w:cs="Gotham-Book"/>
                <w:b/>
                <w:color w:val="000000" w:themeColor="text1"/>
              </w:rPr>
            </w:pPr>
            <w:r>
              <w:rPr>
                <w:rFonts w:cs="Gotham-Book"/>
                <w:b/>
                <w:color w:val="000000" w:themeColor="text1"/>
              </w:rPr>
              <w:t xml:space="preserve">Breve </w:t>
            </w:r>
            <w:r w:rsidRPr="00295641">
              <w:rPr>
                <w:rFonts w:cs="Gotham-Book"/>
                <w:b/>
                <w:color w:val="000000" w:themeColor="text1"/>
              </w:rPr>
              <w:t>Descripción del</w:t>
            </w:r>
          </w:p>
          <w:p w:rsidR="00E107BA" w:rsidRPr="00295641" w:rsidRDefault="00E107BA" w:rsidP="00B56E74">
            <w:pPr>
              <w:autoSpaceDE w:val="0"/>
              <w:autoSpaceDN w:val="0"/>
              <w:adjustRightInd w:val="0"/>
              <w:rPr>
                <w:rFonts w:cs="Gotham-Book"/>
                <w:b/>
                <w:color w:val="000000" w:themeColor="text1"/>
              </w:rPr>
            </w:pPr>
            <w:r w:rsidRPr="00295641">
              <w:rPr>
                <w:rFonts w:cs="Gotham-Book"/>
                <w:b/>
                <w:color w:val="000000" w:themeColor="text1"/>
              </w:rPr>
              <w:t>Compromiso</w:t>
            </w:r>
          </w:p>
        </w:tc>
        <w:tc>
          <w:tcPr>
            <w:tcW w:w="4820" w:type="dxa"/>
            <w:gridSpan w:val="3"/>
          </w:tcPr>
          <w:p w:rsidR="00E107BA" w:rsidRPr="00D55406" w:rsidRDefault="00E107BA" w:rsidP="00DD0875">
            <w:pPr>
              <w:jc w:val="both"/>
              <w:rPr>
                <w:color w:val="FF0000"/>
                <w:szCs w:val="20"/>
                <w:lang w:val="es-PE"/>
              </w:rPr>
            </w:pPr>
            <w:r>
              <w:rPr>
                <w:rFonts w:ascii="Calibri" w:hAnsi="Calibri"/>
                <w:color w:val="000000"/>
              </w:rPr>
              <w:t xml:space="preserve">Promover la publicación de datos abiertos de manera clara utilizando estándares abiertos e interoperables, a fin de permitir que los ciudadanos y ciudadanas accedan sin restricciones de uso a un conjunto de datos gubernamentales, en formatos estructurados, alojados en un Portal de Datos Abiertos y en distintos portales institucionales de la administración pública, permitiendo de esta manera su reutilización.  </w:t>
            </w:r>
          </w:p>
        </w:tc>
      </w:tr>
      <w:tr w:rsidR="00E107BA" w:rsidRPr="00295641" w:rsidTr="00E107BA">
        <w:tc>
          <w:tcPr>
            <w:tcW w:w="4219" w:type="dxa"/>
            <w:gridSpan w:val="3"/>
            <w:shd w:val="clear" w:color="auto" w:fill="C6D9F1" w:themeFill="text2" w:themeFillTint="33"/>
            <w:vAlign w:val="center"/>
          </w:tcPr>
          <w:p w:rsidR="00E107BA" w:rsidRPr="00295641" w:rsidRDefault="00E107BA" w:rsidP="00B56E74">
            <w:pPr>
              <w:autoSpaceDE w:val="0"/>
              <w:autoSpaceDN w:val="0"/>
              <w:adjustRightInd w:val="0"/>
              <w:rPr>
                <w:rFonts w:cs="Gotham-Book"/>
                <w:b/>
                <w:color w:val="000000" w:themeColor="text1"/>
              </w:rPr>
            </w:pPr>
            <w:r w:rsidRPr="00295641">
              <w:rPr>
                <w:rFonts w:cs="Gotham-Book"/>
                <w:b/>
                <w:color w:val="000000" w:themeColor="text1"/>
              </w:rPr>
              <w:t>Relevancia</w:t>
            </w:r>
          </w:p>
          <w:p w:rsidR="00E107BA" w:rsidRPr="00295641" w:rsidRDefault="00E107BA" w:rsidP="00B56E74">
            <w:pPr>
              <w:autoSpaceDE w:val="0"/>
              <w:autoSpaceDN w:val="0"/>
              <w:adjustRightInd w:val="0"/>
              <w:rPr>
                <w:b/>
                <w:color w:val="000000" w:themeColor="text1"/>
              </w:rPr>
            </w:pPr>
          </w:p>
        </w:tc>
        <w:tc>
          <w:tcPr>
            <w:tcW w:w="4820" w:type="dxa"/>
            <w:gridSpan w:val="3"/>
          </w:tcPr>
          <w:p w:rsidR="00CA0DBF" w:rsidRPr="00CA0DBF" w:rsidRDefault="00CA0DBF" w:rsidP="00B56E74">
            <w:pPr>
              <w:jc w:val="both"/>
              <w:rPr>
                <w:szCs w:val="20"/>
                <w:lang w:val="es-PE"/>
              </w:rPr>
            </w:pPr>
            <w:r w:rsidRPr="00CA0DBF">
              <w:rPr>
                <w:szCs w:val="20"/>
                <w:lang w:val="es-PE"/>
              </w:rPr>
              <w:t xml:space="preserve">El compromiso contribuye a fortalecer la transparencia como valor de OGP, pues se promueve </w:t>
            </w:r>
            <w:r w:rsidR="0014607C">
              <w:rPr>
                <w:szCs w:val="20"/>
                <w:lang w:val="es-PE"/>
              </w:rPr>
              <w:t xml:space="preserve">nuevos mecanismos que promueven una mayor </w:t>
            </w:r>
            <w:r w:rsidRPr="00CA0DBF">
              <w:rPr>
                <w:szCs w:val="20"/>
                <w:lang w:val="es-PE"/>
              </w:rPr>
              <w:t xml:space="preserve">apertura de datos.  La experiencia ha sido muy enriquecedora en el proceso de construcción de la Estrategia pues se promovió la participación ciudadana y la colaboración para el proceso de validación de los instrumentos que hacen posible una efectiva implementación de la </w:t>
            </w:r>
            <w:r w:rsidR="00746982">
              <w:rPr>
                <w:szCs w:val="20"/>
                <w:lang w:val="es-PE"/>
              </w:rPr>
              <w:t>misma.</w:t>
            </w:r>
          </w:p>
          <w:p w:rsidR="00E107BA" w:rsidRPr="00D55406" w:rsidRDefault="00E107BA" w:rsidP="00B56E74">
            <w:pPr>
              <w:jc w:val="both"/>
              <w:rPr>
                <w:color w:val="FF0000"/>
                <w:szCs w:val="20"/>
                <w:lang w:val="es-PE"/>
              </w:rPr>
            </w:pPr>
          </w:p>
        </w:tc>
      </w:tr>
      <w:tr w:rsidR="00E107BA" w:rsidRPr="00295641" w:rsidTr="00E107BA">
        <w:tc>
          <w:tcPr>
            <w:tcW w:w="4219" w:type="dxa"/>
            <w:gridSpan w:val="3"/>
            <w:shd w:val="clear" w:color="auto" w:fill="C6D9F1" w:themeFill="text2" w:themeFillTint="33"/>
            <w:vAlign w:val="center"/>
          </w:tcPr>
          <w:p w:rsidR="00E107BA" w:rsidRPr="00295641" w:rsidRDefault="00E107BA" w:rsidP="00B56E74">
            <w:pPr>
              <w:autoSpaceDE w:val="0"/>
              <w:autoSpaceDN w:val="0"/>
              <w:adjustRightInd w:val="0"/>
              <w:rPr>
                <w:rFonts w:cs="Gotham-Book"/>
                <w:b/>
                <w:color w:val="000000" w:themeColor="text1"/>
              </w:rPr>
            </w:pPr>
            <w:r w:rsidRPr="00295641">
              <w:rPr>
                <w:rFonts w:cs="Gotham-Book"/>
                <w:b/>
                <w:color w:val="000000" w:themeColor="text1"/>
              </w:rPr>
              <w:t>Ambición</w:t>
            </w:r>
          </w:p>
          <w:p w:rsidR="00E107BA" w:rsidRPr="00295641" w:rsidRDefault="00E107BA" w:rsidP="00B56E74">
            <w:pPr>
              <w:autoSpaceDE w:val="0"/>
              <w:autoSpaceDN w:val="0"/>
              <w:adjustRightInd w:val="0"/>
              <w:rPr>
                <w:rFonts w:cs="Gotham-BookItalic"/>
                <w:b/>
                <w:iCs/>
                <w:color w:val="000000" w:themeColor="text1"/>
              </w:rPr>
            </w:pPr>
          </w:p>
        </w:tc>
        <w:tc>
          <w:tcPr>
            <w:tcW w:w="4820" w:type="dxa"/>
            <w:gridSpan w:val="3"/>
          </w:tcPr>
          <w:p w:rsidR="00CA0DBF" w:rsidRPr="00D12754" w:rsidRDefault="00CA0DBF" w:rsidP="00B56E74">
            <w:pPr>
              <w:jc w:val="both"/>
              <w:rPr>
                <w:szCs w:val="20"/>
                <w:lang w:val="es-PE"/>
              </w:rPr>
            </w:pPr>
            <w:r w:rsidRPr="00D12754">
              <w:rPr>
                <w:szCs w:val="20"/>
                <w:lang w:val="es-PE"/>
              </w:rPr>
              <w:t>Se espera contar con la aprobación de la norma que aprueba la implementación de la Estrategia Nacional de Datos Abiertos Gubernamentales y que se pueda culminar con la formulación de la norma técnica de datos abiertos.</w:t>
            </w:r>
          </w:p>
          <w:p w:rsidR="00E107BA" w:rsidRPr="00D55406" w:rsidRDefault="00E107BA" w:rsidP="00B56E74">
            <w:pPr>
              <w:jc w:val="both"/>
              <w:rPr>
                <w:color w:val="FF0000"/>
                <w:szCs w:val="20"/>
                <w:lang w:val="es-PE"/>
              </w:rPr>
            </w:pPr>
          </w:p>
        </w:tc>
      </w:tr>
      <w:tr w:rsidR="00E107BA" w:rsidRPr="00295641" w:rsidTr="00E107BA">
        <w:tc>
          <w:tcPr>
            <w:tcW w:w="2518" w:type="dxa"/>
            <w:gridSpan w:val="2"/>
            <w:vMerge w:val="restart"/>
            <w:shd w:val="clear" w:color="auto" w:fill="C6D9F1" w:themeFill="text2" w:themeFillTint="33"/>
            <w:vAlign w:val="center"/>
          </w:tcPr>
          <w:p w:rsidR="00E107BA" w:rsidRPr="00295641" w:rsidRDefault="00E107BA" w:rsidP="00B56E74">
            <w:pPr>
              <w:rPr>
                <w:b/>
                <w:color w:val="000000" w:themeColor="text1"/>
              </w:rPr>
            </w:pPr>
            <w:r w:rsidRPr="00295641">
              <w:rPr>
                <w:rFonts w:cs="Gotham-Book"/>
                <w:b/>
                <w:color w:val="000000" w:themeColor="text1"/>
              </w:rPr>
              <w:t>Cumplimiento</w:t>
            </w:r>
          </w:p>
        </w:tc>
        <w:tc>
          <w:tcPr>
            <w:tcW w:w="1701" w:type="dxa"/>
            <w:shd w:val="clear" w:color="auto" w:fill="C6D9F1" w:themeFill="text2" w:themeFillTint="33"/>
          </w:tcPr>
          <w:p w:rsidR="00E107BA" w:rsidRPr="00295641" w:rsidRDefault="00E107BA" w:rsidP="00B56E74">
            <w:pPr>
              <w:jc w:val="center"/>
              <w:rPr>
                <w:b/>
                <w:color w:val="000000" w:themeColor="text1"/>
              </w:rPr>
            </w:pPr>
            <w:r w:rsidRPr="00295641">
              <w:rPr>
                <w:rFonts w:cs="Gotham-Book"/>
                <w:b/>
                <w:color w:val="000000" w:themeColor="text1"/>
              </w:rPr>
              <w:t>No iniciado</w:t>
            </w:r>
          </w:p>
        </w:tc>
        <w:tc>
          <w:tcPr>
            <w:tcW w:w="1729" w:type="dxa"/>
            <w:shd w:val="clear" w:color="auto" w:fill="C6D9F1" w:themeFill="text2" w:themeFillTint="33"/>
          </w:tcPr>
          <w:p w:rsidR="00E107BA" w:rsidRPr="00295641" w:rsidRDefault="00E107BA" w:rsidP="00B56E74">
            <w:pPr>
              <w:jc w:val="center"/>
              <w:rPr>
                <w:b/>
                <w:color w:val="000000" w:themeColor="text1"/>
              </w:rPr>
            </w:pPr>
            <w:r w:rsidRPr="00295641">
              <w:rPr>
                <w:rFonts w:cs="Gotham-Book"/>
                <w:b/>
                <w:color w:val="000000" w:themeColor="text1"/>
              </w:rPr>
              <w:t>Limitado</w:t>
            </w:r>
          </w:p>
        </w:tc>
        <w:tc>
          <w:tcPr>
            <w:tcW w:w="1644" w:type="dxa"/>
            <w:shd w:val="clear" w:color="auto" w:fill="C6D9F1" w:themeFill="text2" w:themeFillTint="33"/>
          </w:tcPr>
          <w:p w:rsidR="00E107BA" w:rsidRPr="00295641" w:rsidRDefault="00E107BA" w:rsidP="00B56E74">
            <w:pPr>
              <w:jc w:val="center"/>
              <w:rPr>
                <w:b/>
                <w:color w:val="000000" w:themeColor="text1"/>
              </w:rPr>
            </w:pPr>
            <w:r w:rsidRPr="00295641">
              <w:rPr>
                <w:rFonts w:cs="Gotham-Book"/>
                <w:b/>
                <w:color w:val="000000" w:themeColor="text1"/>
              </w:rPr>
              <w:t>Sustancial</w:t>
            </w:r>
          </w:p>
        </w:tc>
        <w:tc>
          <w:tcPr>
            <w:tcW w:w="1447" w:type="dxa"/>
            <w:shd w:val="clear" w:color="auto" w:fill="C6D9F1" w:themeFill="text2" w:themeFillTint="33"/>
          </w:tcPr>
          <w:p w:rsidR="00E107BA" w:rsidRPr="00295641" w:rsidRDefault="00E107BA" w:rsidP="00B56E74">
            <w:pPr>
              <w:jc w:val="center"/>
              <w:rPr>
                <w:b/>
                <w:color w:val="000000" w:themeColor="text1"/>
              </w:rPr>
            </w:pPr>
            <w:r w:rsidRPr="00295641">
              <w:rPr>
                <w:rFonts w:cs="Gotham-Book"/>
                <w:b/>
                <w:color w:val="000000" w:themeColor="text1"/>
              </w:rPr>
              <w:t>Completo</w:t>
            </w:r>
          </w:p>
        </w:tc>
      </w:tr>
      <w:tr w:rsidR="00E107BA" w:rsidRPr="00295641" w:rsidTr="00E107BA">
        <w:tc>
          <w:tcPr>
            <w:tcW w:w="2518" w:type="dxa"/>
            <w:gridSpan w:val="2"/>
            <w:vMerge/>
            <w:shd w:val="clear" w:color="auto" w:fill="C6D9F1" w:themeFill="text2" w:themeFillTint="33"/>
            <w:vAlign w:val="center"/>
          </w:tcPr>
          <w:p w:rsidR="00E107BA" w:rsidRPr="00295641" w:rsidRDefault="00E107BA" w:rsidP="00B56E74">
            <w:pPr>
              <w:rPr>
                <w:b/>
                <w:color w:val="000000" w:themeColor="text1"/>
              </w:rPr>
            </w:pPr>
          </w:p>
        </w:tc>
        <w:tc>
          <w:tcPr>
            <w:tcW w:w="1701" w:type="dxa"/>
          </w:tcPr>
          <w:p w:rsidR="00E107BA" w:rsidRPr="00295641" w:rsidRDefault="00E107BA" w:rsidP="00B56E74">
            <w:pPr>
              <w:jc w:val="center"/>
              <w:rPr>
                <w:b/>
                <w:color w:val="000000" w:themeColor="text1"/>
              </w:rPr>
            </w:pPr>
          </w:p>
        </w:tc>
        <w:tc>
          <w:tcPr>
            <w:tcW w:w="1729" w:type="dxa"/>
          </w:tcPr>
          <w:p w:rsidR="00E107BA" w:rsidRPr="00295641" w:rsidRDefault="00E107BA" w:rsidP="00B56E74">
            <w:pPr>
              <w:jc w:val="center"/>
              <w:rPr>
                <w:b/>
                <w:color w:val="000000" w:themeColor="text1"/>
              </w:rPr>
            </w:pPr>
          </w:p>
        </w:tc>
        <w:tc>
          <w:tcPr>
            <w:tcW w:w="1644" w:type="dxa"/>
          </w:tcPr>
          <w:p w:rsidR="00E107BA" w:rsidRPr="00295641" w:rsidRDefault="00084A02" w:rsidP="00B56E74">
            <w:pPr>
              <w:jc w:val="center"/>
              <w:rPr>
                <w:b/>
                <w:color w:val="000000" w:themeColor="text1"/>
              </w:rPr>
            </w:pPr>
            <w:r>
              <w:rPr>
                <w:b/>
                <w:color w:val="000000" w:themeColor="text1"/>
              </w:rPr>
              <w:t>X</w:t>
            </w:r>
          </w:p>
        </w:tc>
        <w:tc>
          <w:tcPr>
            <w:tcW w:w="1447" w:type="dxa"/>
            <w:shd w:val="clear" w:color="auto" w:fill="FFFFFF" w:themeFill="background1"/>
          </w:tcPr>
          <w:p w:rsidR="00E107BA" w:rsidRPr="00295641" w:rsidRDefault="00E107BA" w:rsidP="00B56E74">
            <w:pPr>
              <w:jc w:val="center"/>
              <w:rPr>
                <w:b/>
                <w:color w:val="000000" w:themeColor="text1"/>
              </w:rPr>
            </w:pPr>
          </w:p>
        </w:tc>
      </w:tr>
      <w:tr w:rsidR="00E107BA" w:rsidRPr="00295641" w:rsidTr="00E107BA">
        <w:tc>
          <w:tcPr>
            <w:tcW w:w="2518" w:type="dxa"/>
            <w:gridSpan w:val="2"/>
            <w:shd w:val="clear" w:color="auto" w:fill="C6D9F1" w:themeFill="text2" w:themeFillTint="33"/>
            <w:vAlign w:val="center"/>
          </w:tcPr>
          <w:p w:rsidR="00E107BA" w:rsidRPr="00295641" w:rsidRDefault="00E107BA" w:rsidP="00B56E74">
            <w:pPr>
              <w:autoSpaceDE w:val="0"/>
              <w:autoSpaceDN w:val="0"/>
              <w:adjustRightInd w:val="0"/>
              <w:rPr>
                <w:rFonts w:cs="Gotham-Book"/>
                <w:b/>
                <w:color w:val="000000" w:themeColor="text1"/>
              </w:rPr>
            </w:pPr>
            <w:r w:rsidRPr="00295641">
              <w:rPr>
                <w:rFonts w:cs="Gotham-Book"/>
                <w:b/>
                <w:color w:val="000000" w:themeColor="text1"/>
              </w:rPr>
              <w:t>Descripción de los resultados</w:t>
            </w:r>
          </w:p>
          <w:p w:rsidR="00E107BA" w:rsidRPr="00295641" w:rsidRDefault="00E107BA" w:rsidP="00B56E74">
            <w:pPr>
              <w:autoSpaceDE w:val="0"/>
              <w:autoSpaceDN w:val="0"/>
              <w:adjustRightInd w:val="0"/>
              <w:rPr>
                <w:rFonts w:cs="Gotham-BookItalic"/>
                <w:b/>
                <w:iCs/>
                <w:color w:val="000000" w:themeColor="text1"/>
              </w:rPr>
            </w:pPr>
          </w:p>
        </w:tc>
        <w:tc>
          <w:tcPr>
            <w:tcW w:w="6521" w:type="dxa"/>
            <w:gridSpan w:val="4"/>
          </w:tcPr>
          <w:p w:rsidR="00DD0875" w:rsidRPr="001F04BA" w:rsidRDefault="00DD0875" w:rsidP="00DD0875">
            <w:pPr>
              <w:pStyle w:val="Prrafodelista"/>
              <w:ind w:left="0"/>
              <w:jc w:val="both"/>
              <w:rPr>
                <w:bCs/>
                <w:color w:val="000000"/>
              </w:rPr>
            </w:pPr>
            <w:r w:rsidRPr="001F04BA">
              <w:rPr>
                <w:bCs/>
                <w:color w:val="000000"/>
              </w:rPr>
              <w:t>Se considera las siguientes actividades:</w:t>
            </w:r>
          </w:p>
          <w:p w:rsidR="00DD0875" w:rsidRPr="001F04BA" w:rsidRDefault="00CA0DBF" w:rsidP="00DD0875">
            <w:pPr>
              <w:pStyle w:val="Prrafodelista"/>
              <w:numPr>
                <w:ilvl w:val="0"/>
                <w:numId w:val="24"/>
              </w:numPr>
              <w:jc w:val="both"/>
              <w:rPr>
                <w:b/>
                <w:bCs/>
                <w:i/>
                <w:color w:val="000000"/>
              </w:rPr>
            </w:pPr>
            <w:r w:rsidRPr="001F04BA">
              <w:rPr>
                <w:b/>
                <w:i/>
                <w:color w:val="000000"/>
              </w:rPr>
              <w:t xml:space="preserve">Elaborar una </w:t>
            </w:r>
            <w:r w:rsidR="00DD0875" w:rsidRPr="001F04BA">
              <w:rPr>
                <w:b/>
                <w:i/>
                <w:color w:val="000000"/>
              </w:rPr>
              <w:t>Estrategia y metodología definida para la apertura de datos del Estado.</w:t>
            </w:r>
          </w:p>
          <w:p w:rsidR="00084A02" w:rsidRPr="001F04BA" w:rsidRDefault="00F5712A" w:rsidP="00084A02">
            <w:pPr>
              <w:pStyle w:val="Prrafodelista"/>
              <w:jc w:val="both"/>
              <w:rPr>
                <w:bCs/>
                <w:color w:val="000000"/>
              </w:rPr>
            </w:pPr>
            <w:r w:rsidRPr="001F04BA">
              <w:rPr>
                <w:bCs/>
                <w:color w:val="000000"/>
              </w:rPr>
              <w:t xml:space="preserve">Sobre esta actividad, se ha culminado </w:t>
            </w:r>
            <w:r w:rsidR="00084A02" w:rsidRPr="001F04BA">
              <w:rPr>
                <w:bCs/>
                <w:color w:val="000000"/>
              </w:rPr>
              <w:t xml:space="preserve">con </w:t>
            </w:r>
            <w:r w:rsidRPr="001F04BA">
              <w:rPr>
                <w:bCs/>
                <w:color w:val="000000"/>
              </w:rPr>
              <w:t xml:space="preserve">la elaboración del </w:t>
            </w:r>
            <w:r w:rsidR="00084A02" w:rsidRPr="001F04BA">
              <w:rPr>
                <w:bCs/>
                <w:color w:val="000000"/>
              </w:rPr>
              <w:t>proyecto de Decreto Supremo que aprueba el modelo conceptual y la Estrategia Nacional de Datos Abiertos Gubernamentales, el proyecto normativo se encuentra en proceso de revisión para su aprobación.</w:t>
            </w:r>
          </w:p>
          <w:p w:rsidR="00DD0875" w:rsidRPr="001F04BA" w:rsidRDefault="00DD0875" w:rsidP="00DD0875">
            <w:pPr>
              <w:pStyle w:val="Prrafodelista"/>
              <w:numPr>
                <w:ilvl w:val="0"/>
                <w:numId w:val="24"/>
              </w:numPr>
              <w:jc w:val="both"/>
              <w:rPr>
                <w:b/>
                <w:bCs/>
                <w:i/>
                <w:color w:val="000000"/>
              </w:rPr>
            </w:pPr>
            <w:r w:rsidRPr="001F04BA">
              <w:rPr>
                <w:b/>
                <w:i/>
                <w:color w:val="000000"/>
              </w:rPr>
              <w:t>Creación del portal de Datos Abiertos del Estado Peruano.</w:t>
            </w:r>
          </w:p>
          <w:p w:rsidR="00084A02" w:rsidRPr="001F04BA" w:rsidRDefault="00084A02" w:rsidP="00084A02">
            <w:pPr>
              <w:pStyle w:val="Prrafodelista"/>
              <w:jc w:val="both"/>
              <w:rPr>
                <w:bCs/>
                <w:color w:val="000000"/>
              </w:rPr>
            </w:pPr>
            <w:r w:rsidRPr="001F04BA">
              <w:rPr>
                <w:color w:val="000000"/>
              </w:rPr>
              <w:t>La Oficina Nacional de Gobierno Electrónico e Informática</w:t>
            </w:r>
            <w:r w:rsidR="00556F28">
              <w:rPr>
                <w:color w:val="000000"/>
              </w:rPr>
              <w:t xml:space="preserve"> (ONGEI)</w:t>
            </w:r>
            <w:r w:rsidRPr="001F04BA">
              <w:rPr>
                <w:color w:val="000000"/>
              </w:rPr>
              <w:t xml:space="preserve"> ha puesto en operación una versión beta del Portal de Datos Abiertos</w:t>
            </w:r>
            <w:r w:rsidR="001F04BA" w:rsidRPr="001F04BA">
              <w:rPr>
                <w:color w:val="000000"/>
              </w:rPr>
              <w:t xml:space="preserve"> que se puede visualizar a través del siguiente enlace</w:t>
            </w:r>
            <w:r w:rsidR="001F04BA" w:rsidRPr="001F04BA">
              <w:t xml:space="preserve">: </w:t>
            </w:r>
            <w:hyperlink r:id="rId39" w:history="1">
              <w:r w:rsidR="001F04BA" w:rsidRPr="001F04BA">
                <w:rPr>
                  <w:rStyle w:val="Hipervnculo"/>
                  <w:lang w:val="es-PE"/>
                </w:rPr>
                <w:t>http://www.datosabiertos.gob.pe</w:t>
              </w:r>
            </w:hyperlink>
            <w:r w:rsidRPr="001F04BA">
              <w:rPr>
                <w:color w:val="000000"/>
              </w:rPr>
              <w:t>, a la fecha se viene trabajando el desarrollo de una nueva versión.</w:t>
            </w:r>
          </w:p>
          <w:p w:rsidR="00DD0875" w:rsidRPr="001F04BA" w:rsidRDefault="00DD0875" w:rsidP="00DD0875">
            <w:pPr>
              <w:pStyle w:val="Prrafodelista"/>
              <w:numPr>
                <w:ilvl w:val="0"/>
                <w:numId w:val="24"/>
              </w:numPr>
              <w:jc w:val="both"/>
              <w:rPr>
                <w:b/>
                <w:bCs/>
                <w:i/>
                <w:color w:val="000000"/>
              </w:rPr>
            </w:pPr>
            <w:r w:rsidRPr="001F04BA">
              <w:rPr>
                <w:b/>
                <w:i/>
                <w:color w:val="000000"/>
              </w:rPr>
              <w:t>Norma Técnica de Datos Abiertos aprobada.</w:t>
            </w:r>
          </w:p>
          <w:p w:rsidR="00084A02" w:rsidRPr="001F04BA" w:rsidRDefault="00084A02" w:rsidP="00084A02">
            <w:pPr>
              <w:pStyle w:val="Prrafodelista"/>
              <w:jc w:val="both"/>
              <w:rPr>
                <w:color w:val="000000"/>
              </w:rPr>
            </w:pPr>
            <w:r w:rsidRPr="001F04BA">
              <w:rPr>
                <w:color w:val="000000"/>
              </w:rPr>
              <w:t>Se ha reprogramado</w:t>
            </w:r>
            <w:r w:rsidR="00CA0DBF" w:rsidRPr="001F04BA">
              <w:rPr>
                <w:color w:val="000000"/>
              </w:rPr>
              <w:t xml:space="preserve"> la implementación del compromiso para el primer semestre 2017</w:t>
            </w:r>
          </w:p>
          <w:p w:rsidR="001F04BA" w:rsidRPr="001F04BA" w:rsidRDefault="00CA0DBF" w:rsidP="001F04BA">
            <w:pPr>
              <w:pStyle w:val="Normal1"/>
              <w:jc w:val="both"/>
              <w:rPr>
                <w:rFonts w:asciiTheme="minorHAnsi" w:hAnsiTheme="minorHAnsi"/>
                <w:szCs w:val="20"/>
                <w:lang w:val="es-PE"/>
              </w:rPr>
            </w:pPr>
            <w:r w:rsidRPr="001F04BA">
              <w:rPr>
                <w:rFonts w:asciiTheme="minorHAnsi" w:hAnsiTheme="minorHAnsi"/>
                <w:color w:val="auto"/>
                <w:szCs w:val="20"/>
                <w:lang w:val="es-PE"/>
              </w:rPr>
              <w:t xml:space="preserve">Sin perjuicio de la aprobación de un marco normativo que implemente </w:t>
            </w:r>
            <w:r w:rsidRPr="001F04BA">
              <w:rPr>
                <w:rFonts w:asciiTheme="minorHAnsi" w:hAnsiTheme="minorHAnsi"/>
                <w:szCs w:val="20"/>
                <w:lang w:val="es-PE"/>
              </w:rPr>
              <w:t>el compromiso</w:t>
            </w:r>
            <w:r w:rsidRPr="001F04BA">
              <w:rPr>
                <w:rFonts w:asciiTheme="minorHAnsi" w:hAnsiTheme="minorHAnsi"/>
                <w:color w:val="auto"/>
                <w:szCs w:val="20"/>
                <w:lang w:val="es-PE"/>
              </w:rPr>
              <w:t>, contamos con avances</w:t>
            </w:r>
            <w:r w:rsidRPr="001F04BA">
              <w:rPr>
                <w:rFonts w:asciiTheme="minorHAnsi" w:hAnsiTheme="minorHAnsi"/>
                <w:szCs w:val="20"/>
                <w:lang w:val="es-PE"/>
              </w:rPr>
              <w:t xml:space="preserve"> de la apertura de datos en diferentes entidades y niveles de gobierno, como es el caso de</w:t>
            </w:r>
            <w:r w:rsidR="001F04BA" w:rsidRPr="001F04BA">
              <w:rPr>
                <w:rFonts w:asciiTheme="minorHAnsi" w:hAnsiTheme="minorHAnsi"/>
                <w:szCs w:val="20"/>
                <w:lang w:val="es-PE"/>
              </w:rPr>
              <w:t xml:space="preserve">: </w:t>
            </w:r>
          </w:p>
          <w:p w:rsidR="001F04BA" w:rsidRPr="001F04BA" w:rsidRDefault="001F04BA" w:rsidP="001F04BA">
            <w:pPr>
              <w:pStyle w:val="Normal1"/>
              <w:jc w:val="both"/>
              <w:rPr>
                <w:rFonts w:ascii="Calibri" w:hAnsi="Calibri"/>
                <w:b/>
                <w:lang w:val="es-PE"/>
              </w:rPr>
            </w:pPr>
            <w:r w:rsidRPr="001F04BA">
              <w:rPr>
                <w:rFonts w:ascii="Calibri" w:hAnsi="Calibri"/>
                <w:b/>
                <w:lang w:val="es-PE"/>
              </w:rPr>
              <w:t>Gobierno Nacional:</w:t>
            </w:r>
          </w:p>
          <w:p w:rsidR="001F04BA" w:rsidRPr="001F04BA" w:rsidRDefault="001F04BA" w:rsidP="001F04BA">
            <w:pPr>
              <w:pStyle w:val="Normal1"/>
              <w:jc w:val="both"/>
              <w:rPr>
                <w:rFonts w:ascii="Calibri" w:hAnsi="Calibri"/>
                <w:lang w:val="es-PE"/>
              </w:rPr>
            </w:pPr>
            <w:r w:rsidRPr="001F04BA">
              <w:rPr>
                <w:rFonts w:ascii="Calibri" w:hAnsi="Calibri"/>
                <w:lang w:val="es-PE"/>
              </w:rPr>
              <w:t xml:space="preserve">Oficina Nacional de Gobierno Electrónico e Informática: </w:t>
            </w:r>
            <w:hyperlink r:id="rId40" w:history="1">
              <w:r w:rsidRPr="001F04BA">
                <w:rPr>
                  <w:rStyle w:val="Hipervnculo"/>
                  <w:rFonts w:ascii="Calibri" w:hAnsi="Calibri"/>
                  <w:lang w:val="es-PE"/>
                </w:rPr>
                <w:t>http://www.datosabiertos.gob.pe</w:t>
              </w:r>
            </w:hyperlink>
          </w:p>
          <w:p w:rsidR="001F04BA" w:rsidRPr="001F04BA" w:rsidRDefault="001F04BA" w:rsidP="001F04BA">
            <w:pPr>
              <w:pStyle w:val="Normal1"/>
              <w:jc w:val="both"/>
              <w:rPr>
                <w:rFonts w:ascii="Calibri" w:hAnsi="Calibri"/>
                <w:lang w:val="es-PE"/>
              </w:rPr>
            </w:pPr>
            <w:r w:rsidRPr="001F04BA">
              <w:rPr>
                <w:rFonts w:ascii="Calibri" w:hAnsi="Calibri"/>
                <w:lang w:val="es-PE"/>
              </w:rPr>
              <w:t xml:space="preserve">Jurado Nacional de Elecciones: </w:t>
            </w:r>
            <w:hyperlink r:id="rId41" w:history="1">
              <w:r w:rsidRPr="001F04BA">
                <w:rPr>
                  <w:rStyle w:val="Hipervnculo"/>
                  <w:rFonts w:ascii="Calibri" w:hAnsi="Calibri"/>
                  <w:lang w:val="es-PE"/>
                </w:rPr>
                <w:t>http://jnedatosabiertos.pe/</w:t>
              </w:r>
            </w:hyperlink>
          </w:p>
          <w:p w:rsidR="001F04BA" w:rsidRPr="001F04BA" w:rsidRDefault="001F04BA" w:rsidP="001F04BA">
            <w:pPr>
              <w:pStyle w:val="Normal1"/>
              <w:jc w:val="both"/>
              <w:rPr>
                <w:rFonts w:ascii="Calibri" w:hAnsi="Calibri"/>
                <w:lang w:val="es-PE"/>
              </w:rPr>
            </w:pPr>
            <w:r w:rsidRPr="001F04BA">
              <w:rPr>
                <w:rFonts w:ascii="Calibri" w:hAnsi="Calibri"/>
                <w:lang w:val="es-PE"/>
              </w:rPr>
              <w:t xml:space="preserve">Ministerio de Salud: </w:t>
            </w:r>
            <w:hyperlink r:id="rId42" w:history="1">
              <w:r w:rsidRPr="001F04BA">
                <w:rPr>
                  <w:rStyle w:val="Hipervnculo"/>
                  <w:rFonts w:ascii="Calibri" w:hAnsi="Calibri"/>
                  <w:lang w:val="es-PE"/>
                </w:rPr>
                <w:t>http://datos.minsa.gob.pe/</w:t>
              </w:r>
            </w:hyperlink>
          </w:p>
          <w:p w:rsidR="001F04BA" w:rsidRPr="001F04BA" w:rsidRDefault="001F04BA" w:rsidP="001F04BA">
            <w:pPr>
              <w:pStyle w:val="Normal1"/>
              <w:jc w:val="both"/>
              <w:rPr>
                <w:rFonts w:ascii="Calibri" w:hAnsi="Calibri"/>
                <w:lang w:val="es-PE"/>
              </w:rPr>
            </w:pPr>
            <w:r w:rsidRPr="001F04BA">
              <w:rPr>
                <w:rFonts w:ascii="Calibri" w:hAnsi="Calibri"/>
                <w:lang w:val="es-PE"/>
              </w:rPr>
              <w:t xml:space="preserve">Ministerio de Educación: </w:t>
            </w:r>
            <w:hyperlink r:id="rId43" w:history="1">
              <w:r w:rsidRPr="001F04BA">
                <w:rPr>
                  <w:rStyle w:val="Hipervnculo"/>
                  <w:rFonts w:ascii="Calibri" w:hAnsi="Calibri"/>
                  <w:lang w:val="es-PE"/>
                </w:rPr>
                <w:t>http://datos.minedu.gob.pe/</w:t>
              </w:r>
            </w:hyperlink>
          </w:p>
          <w:p w:rsidR="001F04BA" w:rsidRPr="001F04BA" w:rsidRDefault="001F04BA" w:rsidP="001F04BA">
            <w:pPr>
              <w:pStyle w:val="Normal1"/>
              <w:jc w:val="both"/>
              <w:rPr>
                <w:rStyle w:val="Hipervnculo"/>
                <w:rFonts w:ascii="Calibri" w:hAnsi="Calibri"/>
                <w:lang w:val="es-PE"/>
              </w:rPr>
            </w:pPr>
            <w:r w:rsidRPr="001F04BA">
              <w:rPr>
                <w:rFonts w:ascii="Calibri" w:hAnsi="Calibri"/>
                <w:lang w:val="es-PE"/>
              </w:rPr>
              <w:t xml:space="preserve">Consejo Nacional de Ciencia, Tecnología e Innovación Tecnológica: </w:t>
            </w:r>
            <w:hyperlink r:id="rId44" w:history="1">
              <w:r w:rsidRPr="001F04BA">
                <w:rPr>
                  <w:rStyle w:val="Hipervnculo"/>
                  <w:rFonts w:ascii="Calibri" w:hAnsi="Calibri"/>
                  <w:lang w:val="es-PE"/>
                </w:rPr>
                <w:t>http://datos.concytec.gob.pe/</w:t>
              </w:r>
            </w:hyperlink>
          </w:p>
          <w:p w:rsidR="001F04BA" w:rsidRPr="001F04BA" w:rsidRDefault="001F04BA" w:rsidP="001F04BA">
            <w:pPr>
              <w:pStyle w:val="Normal1"/>
              <w:contextualSpacing/>
              <w:jc w:val="both"/>
              <w:rPr>
                <w:rFonts w:ascii="Calibri" w:hAnsi="Calibri"/>
                <w:lang w:val="es-PE"/>
              </w:rPr>
            </w:pPr>
            <w:r w:rsidRPr="001F04BA">
              <w:rPr>
                <w:rFonts w:ascii="Calibri" w:hAnsi="Calibri"/>
              </w:rPr>
              <w:t>Programa Productivo Agrario Rural</w:t>
            </w:r>
            <w:r w:rsidRPr="001F04BA">
              <w:rPr>
                <w:rStyle w:val="Hipervnculo"/>
                <w:rFonts w:ascii="Calibri" w:hAnsi="Calibri"/>
                <w:lang w:val="es-PE"/>
              </w:rPr>
              <w:t>: http://datos.agrorural.gob.pe/</w:t>
            </w:r>
          </w:p>
          <w:p w:rsidR="001F04BA" w:rsidRPr="001F04BA" w:rsidRDefault="001F04BA" w:rsidP="001F04BA">
            <w:pPr>
              <w:pStyle w:val="Normal1"/>
              <w:spacing w:before="360" w:after="240"/>
              <w:contextualSpacing/>
              <w:jc w:val="both"/>
              <w:rPr>
                <w:rFonts w:ascii="Calibri" w:hAnsi="Calibri"/>
                <w:b/>
                <w:lang w:val="es-PE"/>
              </w:rPr>
            </w:pPr>
            <w:r w:rsidRPr="001F04BA">
              <w:rPr>
                <w:rFonts w:ascii="Calibri" w:hAnsi="Calibri"/>
                <w:b/>
                <w:lang w:val="es-PE"/>
              </w:rPr>
              <w:t>Gobiernos Locales:</w:t>
            </w:r>
          </w:p>
          <w:p w:rsidR="001F04BA" w:rsidRPr="001F04BA" w:rsidRDefault="001F04BA" w:rsidP="001F04BA">
            <w:pPr>
              <w:pStyle w:val="Normal1"/>
              <w:contextualSpacing/>
              <w:jc w:val="both"/>
              <w:rPr>
                <w:rFonts w:ascii="Calibri" w:hAnsi="Calibri"/>
                <w:lang w:val="es-PE"/>
              </w:rPr>
            </w:pPr>
            <w:r w:rsidRPr="001F04BA">
              <w:rPr>
                <w:rFonts w:ascii="Calibri" w:hAnsi="Calibri"/>
                <w:lang w:val="es-PE"/>
              </w:rPr>
              <w:t xml:space="preserve">Municipalidad Metropolitana de Lima: </w:t>
            </w:r>
            <w:hyperlink r:id="rId45" w:history="1">
              <w:r w:rsidRPr="001F04BA">
                <w:rPr>
                  <w:rStyle w:val="Hipervnculo"/>
                  <w:rFonts w:ascii="Calibri" w:hAnsi="Calibri"/>
                  <w:lang w:val="es-PE"/>
                </w:rPr>
                <w:t>http://datosabiertos.munlima.gob.pe/</w:t>
              </w:r>
            </w:hyperlink>
          </w:p>
          <w:p w:rsidR="001F04BA" w:rsidRPr="001F04BA" w:rsidRDefault="001F04BA" w:rsidP="001F04BA">
            <w:pPr>
              <w:pStyle w:val="Normal1"/>
              <w:jc w:val="both"/>
              <w:rPr>
                <w:rFonts w:ascii="Calibri" w:hAnsi="Calibri"/>
                <w:lang w:val="es-PE"/>
              </w:rPr>
            </w:pPr>
            <w:r w:rsidRPr="001F04BA">
              <w:rPr>
                <w:rFonts w:ascii="Calibri" w:hAnsi="Calibri"/>
                <w:lang w:val="es-PE"/>
              </w:rPr>
              <w:t>Servicio de Administración Tributaria de Lima:</w:t>
            </w:r>
          </w:p>
          <w:p w:rsidR="001F04BA" w:rsidRPr="001F04BA" w:rsidRDefault="001F04BA" w:rsidP="001F04BA">
            <w:pPr>
              <w:pStyle w:val="Normal1"/>
              <w:jc w:val="both"/>
              <w:rPr>
                <w:rFonts w:ascii="Calibri" w:hAnsi="Calibri"/>
                <w:lang w:val="es-PE"/>
              </w:rPr>
            </w:pPr>
            <w:r w:rsidRPr="001F04BA">
              <w:rPr>
                <w:rFonts w:ascii="Calibri" w:hAnsi="Calibri"/>
                <w:lang w:val="es-PE"/>
              </w:rPr>
              <w:t xml:space="preserve"> </w:t>
            </w:r>
            <w:hyperlink r:id="rId46" w:history="1">
              <w:r w:rsidRPr="001F04BA">
                <w:rPr>
                  <w:rStyle w:val="Hipervnculo"/>
                  <w:rFonts w:ascii="Calibri" w:hAnsi="Calibri"/>
                  <w:lang w:val="es-PE"/>
                </w:rPr>
                <w:t>http://www.sat.gob.pe/websitev9/Inicio/DatosAbiertos</w:t>
              </w:r>
            </w:hyperlink>
          </w:p>
          <w:p w:rsidR="001F04BA" w:rsidRPr="001F04BA" w:rsidRDefault="001F04BA" w:rsidP="001F04BA">
            <w:pPr>
              <w:pStyle w:val="Normal1"/>
              <w:jc w:val="both"/>
              <w:rPr>
                <w:rFonts w:ascii="Calibri" w:hAnsi="Calibri"/>
                <w:lang w:val="es-PE"/>
              </w:rPr>
            </w:pPr>
            <w:r w:rsidRPr="001F04BA">
              <w:rPr>
                <w:rFonts w:ascii="Calibri" w:hAnsi="Calibri"/>
                <w:lang w:val="es-PE"/>
              </w:rPr>
              <w:t xml:space="preserve">Municipalidad Distrital de Miraflores: </w:t>
            </w:r>
            <w:hyperlink r:id="rId47" w:history="1">
              <w:r w:rsidRPr="001F04BA">
                <w:rPr>
                  <w:rStyle w:val="Hipervnculo"/>
                  <w:rFonts w:ascii="Calibri" w:hAnsi="Calibri"/>
                  <w:lang w:val="es-PE"/>
                </w:rPr>
                <w:t>http://datosabiertos.miraflores.gob.pe/home</w:t>
              </w:r>
            </w:hyperlink>
          </w:p>
          <w:p w:rsidR="001F04BA" w:rsidRPr="001F04BA" w:rsidRDefault="001F04BA" w:rsidP="001F04BA">
            <w:pPr>
              <w:pStyle w:val="Normal1"/>
              <w:jc w:val="both"/>
              <w:rPr>
                <w:rFonts w:ascii="Calibri" w:hAnsi="Calibri"/>
                <w:lang w:val="es-PE"/>
              </w:rPr>
            </w:pPr>
            <w:r w:rsidRPr="001F04BA">
              <w:rPr>
                <w:rFonts w:ascii="Calibri" w:hAnsi="Calibri"/>
                <w:lang w:val="es-PE"/>
              </w:rPr>
              <w:t xml:space="preserve">Municipalidad Distrital de San Isidro: </w:t>
            </w:r>
            <w:hyperlink r:id="rId48" w:history="1">
              <w:r w:rsidRPr="001F04BA">
                <w:rPr>
                  <w:rStyle w:val="Hipervnculo"/>
                  <w:rFonts w:ascii="Calibri" w:hAnsi="Calibri"/>
                  <w:lang w:val="es-PE"/>
                </w:rPr>
                <w:t>http://datosabiertos.msi.gob.pe/home/</w:t>
              </w:r>
            </w:hyperlink>
          </w:p>
          <w:p w:rsidR="001F04BA" w:rsidRPr="001F04BA" w:rsidRDefault="001F04BA" w:rsidP="001F04BA">
            <w:pPr>
              <w:pStyle w:val="Normal1"/>
              <w:contextualSpacing/>
              <w:jc w:val="both"/>
              <w:rPr>
                <w:rFonts w:ascii="Calibri" w:hAnsi="Calibri"/>
                <w:lang w:val="es-PE"/>
              </w:rPr>
            </w:pPr>
            <w:r w:rsidRPr="001F04BA">
              <w:rPr>
                <w:rFonts w:ascii="Calibri" w:hAnsi="Calibri"/>
                <w:lang w:val="es-PE"/>
              </w:rPr>
              <w:t xml:space="preserve">Municipalidad Distrital de San Martín de Porres: </w:t>
            </w:r>
            <w:hyperlink r:id="rId49" w:history="1">
              <w:r w:rsidRPr="001F04BA">
                <w:rPr>
                  <w:rStyle w:val="Hipervnculo"/>
                  <w:rFonts w:ascii="Calibri" w:hAnsi="Calibri"/>
                  <w:lang w:val="es-PE"/>
                </w:rPr>
                <w:t>http://www.mdsmp.gob.pe/datos/index.php</w:t>
              </w:r>
            </w:hyperlink>
          </w:p>
          <w:p w:rsidR="001F04BA" w:rsidRPr="001F04BA" w:rsidRDefault="001F04BA" w:rsidP="001F04BA">
            <w:pPr>
              <w:pStyle w:val="Normal1"/>
              <w:contextualSpacing/>
              <w:jc w:val="both"/>
              <w:rPr>
                <w:rFonts w:ascii="Calibri" w:hAnsi="Calibri"/>
                <w:b/>
                <w:lang w:val="es-PE"/>
              </w:rPr>
            </w:pPr>
            <w:r w:rsidRPr="001F04BA">
              <w:rPr>
                <w:rFonts w:ascii="Calibri" w:hAnsi="Calibri"/>
                <w:b/>
                <w:lang w:val="es-PE"/>
              </w:rPr>
              <w:t>Gobierno Regional:</w:t>
            </w:r>
          </w:p>
          <w:p w:rsidR="001F04BA" w:rsidRPr="001F04BA" w:rsidRDefault="001F04BA" w:rsidP="001F04BA">
            <w:pPr>
              <w:pStyle w:val="Normal1"/>
              <w:contextualSpacing/>
              <w:jc w:val="both"/>
              <w:rPr>
                <w:rFonts w:ascii="Calibri" w:hAnsi="Calibri"/>
                <w:lang w:val="es-PE"/>
              </w:rPr>
            </w:pPr>
            <w:r w:rsidRPr="001F04BA">
              <w:rPr>
                <w:rFonts w:ascii="Calibri" w:hAnsi="Calibri"/>
                <w:lang w:val="es-PE"/>
              </w:rPr>
              <w:t xml:space="preserve">Gobierno Regional la Libertad: </w:t>
            </w:r>
            <w:hyperlink r:id="rId50" w:history="1">
              <w:r w:rsidRPr="001F04BA">
                <w:rPr>
                  <w:rStyle w:val="Hipervnculo"/>
                  <w:rFonts w:ascii="Calibri" w:hAnsi="Calibri"/>
                  <w:lang w:val="es-PE"/>
                </w:rPr>
                <w:t>http://www.regionlalibertad.gob.pe/datosabiertos/</w:t>
              </w:r>
            </w:hyperlink>
          </w:p>
          <w:p w:rsidR="008F1376" w:rsidRPr="00295641" w:rsidRDefault="008F1376" w:rsidP="00B56E74">
            <w:pPr>
              <w:jc w:val="both"/>
              <w:rPr>
                <w:color w:val="000000" w:themeColor="text1"/>
              </w:rPr>
            </w:pPr>
            <w:r>
              <w:rPr>
                <w:szCs w:val="20"/>
                <w:lang w:val="es-PE"/>
              </w:rPr>
              <w:t>Fuente: Memorando N° 568-2016-PCM/ONGEI, del 15.09.16</w:t>
            </w:r>
          </w:p>
        </w:tc>
      </w:tr>
      <w:tr w:rsidR="00E107BA" w:rsidRPr="00295641" w:rsidTr="00E107BA">
        <w:tc>
          <w:tcPr>
            <w:tcW w:w="2518" w:type="dxa"/>
            <w:gridSpan w:val="2"/>
            <w:shd w:val="clear" w:color="auto" w:fill="C6D9F1" w:themeFill="text2" w:themeFillTint="33"/>
            <w:vAlign w:val="center"/>
          </w:tcPr>
          <w:p w:rsidR="00E107BA" w:rsidRPr="00295641" w:rsidRDefault="00E107BA" w:rsidP="00B56E74">
            <w:pPr>
              <w:rPr>
                <w:b/>
                <w:color w:val="000000" w:themeColor="text1"/>
              </w:rPr>
            </w:pPr>
            <w:r w:rsidRPr="00295641">
              <w:rPr>
                <w:rFonts w:cs="Gotham-Book"/>
                <w:b/>
                <w:color w:val="000000" w:themeColor="text1"/>
              </w:rPr>
              <w:t>Fecha de conclusión</w:t>
            </w:r>
          </w:p>
        </w:tc>
        <w:tc>
          <w:tcPr>
            <w:tcW w:w="6521" w:type="dxa"/>
            <w:gridSpan w:val="4"/>
          </w:tcPr>
          <w:p w:rsidR="00E107BA" w:rsidRPr="00295641" w:rsidRDefault="00CA0DBF" w:rsidP="00B56E74">
            <w:pPr>
              <w:jc w:val="both"/>
              <w:rPr>
                <w:color w:val="000000" w:themeColor="text1"/>
              </w:rPr>
            </w:pPr>
            <w:r>
              <w:rPr>
                <w:color w:val="000000" w:themeColor="text1"/>
              </w:rPr>
              <w:t>Junio 2017</w:t>
            </w:r>
          </w:p>
        </w:tc>
      </w:tr>
      <w:tr w:rsidR="00E107BA" w:rsidRPr="00295641" w:rsidTr="00E107BA">
        <w:tc>
          <w:tcPr>
            <w:tcW w:w="2518" w:type="dxa"/>
            <w:gridSpan w:val="2"/>
            <w:shd w:val="clear" w:color="auto" w:fill="C6D9F1" w:themeFill="text2" w:themeFillTint="33"/>
            <w:vAlign w:val="center"/>
          </w:tcPr>
          <w:p w:rsidR="00E107BA" w:rsidRPr="00295641" w:rsidRDefault="00E107BA" w:rsidP="00B56E74">
            <w:pPr>
              <w:rPr>
                <w:b/>
                <w:color w:val="000000" w:themeColor="text1"/>
              </w:rPr>
            </w:pPr>
            <w:r w:rsidRPr="00295641">
              <w:rPr>
                <w:rFonts w:cs="Gotham-Book"/>
                <w:b/>
                <w:color w:val="000000" w:themeColor="text1"/>
              </w:rPr>
              <w:t>Próximos pasos</w:t>
            </w:r>
          </w:p>
        </w:tc>
        <w:tc>
          <w:tcPr>
            <w:tcW w:w="6521" w:type="dxa"/>
            <w:gridSpan w:val="4"/>
          </w:tcPr>
          <w:p w:rsidR="00E107BA" w:rsidRPr="00295641" w:rsidRDefault="00E107BA" w:rsidP="00B56E74">
            <w:pPr>
              <w:jc w:val="both"/>
              <w:rPr>
                <w:color w:val="000000" w:themeColor="text1"/>
              </w:rPr>
            </w:pPr>
            <w:r>
              <w:rPr>
                <w:color w:val="000000" w:themeColor="text1"/>
              </w:rPr>
              <w:t>Estas actividades son de carácter permanente, y de continua actualización, por lo que se considera continuar su desarrollo.</w:t>
            </w:r>
          </w:p>
        </w:tc>
      </w:tr>
      <w:tr w:rsidR="00E107BA" w:rsidRPr="00295641" w:rsidTr="00E107BA">
        <w:tc>
          <w:tcPr>
            <w:tcW w:w="9039" w:type="dxa"/>
            <w:gridSpan w:val="6"/>
          </w:tcPr>
          <w:p w:rsidR="00E107BA" w:rsidRPr="00295641" w:rsidRDefault="00E107BA" w:rsidP="00B56E74">
            <w:pPr>
              <w:jc w:val="both"/>
              <w:rPr>
                <w:rFonts w:cs="Gotham-Book"/>
                <w:b/>
                <w:color w:val="000000" w:themeColor="text1"/>
              </w:rPr>
            </w:pPr>
          </w:p>
          <w:p w:rsidR="00E107BA" w:rsidRPr="00295641" w:rsidRDefault="00E107BA" w:rsidP="00B56E74">
            <w:pPr>
              <w:jc w:val="both"/>
              <w:rPr>
                <w:color w:val="000000" w:themeColor="text1"/>
              </w:rPr>
            </w:pPr>
            <w:r>
              <w:rPr>
                <w:rFonts w:cs="Gotham-Book"/>
                <w:b/>
                <w:color w:val="000000" w:themeColor="text1"/>
              </w:rPr>
              <w:t>Información adicional</w:t>
            </w:r>
          </w:p>
        </w:tc>
      </w:tr>
      <w:tr w:rsidR="00E107BA" w:rsidRPr="00295641" w:rsidTr="00E107BA">
        <w:tc>
          <w:tcPr>
            <w:tcW w:w="9039" w:type="dxa"/>
            <w:gridSpan w:val="6"/>
          </w:tcPr>
          <w:p w:rsidR="00E107BA" w:rsidRPr="00295641" w:rsidRDefault="00E107BA" w:rsidP="00B56E74">
            <w:pPr>
              <w:jc w:val="both"/>
              <w:rPr>
                <w:rFonts w:cs="Gotham-Book"/>
                <w:b/>
                <w:color w:val="000000" w:themeColor="text1"/>
              </w:rPr>
            </w:pPr>
          </w:p>
        </w:tc>
      </w:tr>
    </w:tbl>
    <w:p w:rsidR="00E107BA" w:rsidRDefault="00E107BA"/>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p w:rsidR="002C2EAC" w:rsidRDefault="002C2EAC"/>
    <w:p w:rsidR="00272BDF" w:rsidRDefault="00272BDF"/>
    <w:tbl>
      <w:tblPr>
        <w:tblStyle w:val="Tablaconcuadrcula"/>
        <w:tblW w:w="9039" w:type="dxa"/>
        <w:tblLayout w:type="fixed"/>
        <w:tblLook w:val="04A0" w:firstRow="1" w:lastRow="0" w:firstColumn="1" w:lastColumn="0" w:noHBand="0" w:noVBand="1"/>
      </w:tblPr>
      <w:tblGrid>
        <w:gridCol w:w="2109"/>
        <w:gridCol w:w="409"/>
        <w:gridCol w:w="1701"/>
        <w:gridCol w:w="1729"/>
        <w:gridCol w:w="1644"/>
        <w:gridCol w:w="1447"/>
      </w:tblGrid>
      <w:tr w:rsidR="00F40088" w:rsidRPr="00295641" w:rsidTr="00F40088">
        <w:tc>
          <w:tcPr>
            <w:tcW w:w="9039" w:type="dxa"/>
            <w:gridSpan w:val="6"/>
            <w:shd w:val="clear" w:color="auto" w:fill="548DD4" w:themeFill="text2" w:themeFillTint="99"/>
          </w:tcPr>
          <w:p w:rsidR="00F40088" w:rsidRPr="00295641" w:rsidRDefault="00F40088" w:rsidP="00B56E74">
            <w:pPr>
              <w:ind w:left="360"/>
              <w:jc w:val="center"/>
              <w:rPr>
                <w:b/>
              </w:rPr>
            </w:pPr>
            <w:r>
              <w:rPr>
                <w:b/>
              </w:rPr>
              <w:t>Componente: Mejora de los Servicios Públicos</w:t>
            </w:r>
          </w:p>
        </w:tc>
      </w:tr>
      <w:tr w:rsidR="00F40088" w:rsidRPr="00295641" w:rsidTr="00F40088">
        <w:tc>
          <w:tcPr>
            <w:tcW w:w="9039" w:type="dxa"/>
            <w:gridSpan w:val="6"/>
            <w:shd w:val="clear" w:color="auto" w:fill="548DD4" w:themeFill="text2" w:themeFillTint="99"/>
          </w:tcPr>
          <w:p w:rsidR="00F40088" w:rsidRPr="00F40088" w:rsidRDefault="007C4C54" w:rsidP="007C4C54">
            <w:pPr>
              <w:ind w:left="360"/>
              <w:jc w:val="center"/>
              <w:rPr>
                <w:rFonts w:ascii="Calibri" w:hAnsi="Calibri"/>
                <w:b/>
                <w:color w:val="000000"/>
              </w:rPr>
            </w:pPr>
            <w:r w:rsidRPr="007C4C54">
              <w:rPr>
                <w:rFonts w:ascii="Calibri" w:hAnsi="Calibri"/>
                <w:b/>
                <w:color w:val="000000"/>
                <w:u w:val="single"/>
              </w:rPr>
              <w:t xml:space="preserve">Compromiso </w:t>
            </w:r>
            <w:r w:rsidR="00F40088" w:rsidRPr="007C4C54">
              <w:rPr>
                <w:rFonts w:ascii="Calibri" w:hAnsi="Calibri"/>
                <w:b/>
                <w:color w:val="000000"/>
                <w:u w:val="single"/>
              </w:rPr>
              <w:t>15</w:t>
            </w:r>
            <w:r w:rsidR="00F40088" w:rsidRPr="00F40088">
              <w:rPr>
                <w:rFonts w:ascii="Calibri" w:hAnsi="Calibri"/>
                <w:b/>
                <w:color w:val="000000"/>
              </w:rPr>
              <w:t xml:space="preserve">. Incrementar el número </w:t>
            </w:r>
            <w:r>
              <w:rPr>
                <w:rFonts w:ascii="Calibri" w:hAnsi="Calibri"/>
                <w:b/>
                <w:color w:val="000000"/>
              </w:rPr>
              <w:t xml:space="preserve">de servicios en línea </w:t>
            </w:r>
          </w:p>
        </w:tc>
      </w:tr>
      <w:tr w:rsidR="00F40088" w:rsidRPr="00295641" w:rsidTr="00F40088">
        <w:tc>
          <w:tcPr>
            <w:tcW w:w="4219" w:type="dxa"/>
            <w:gridSpan w:val="3"/>
            <w:shd w:val="clear" w:color="auto" w:fill="C6D9F1" w:themeFill="text2" w:themeFillTint="33"/>
            <w:vAlign w:val="center"/>
          </w:tcPr>
          <w:p w:rsidR="00F40088" w:rsidRPr="00295641" w:rsidRDefault="00F40088" w:rsidP="00B56E74">
            <w:pPr>
              <w:autoSpaceDE w:val="0"/>
              <w:autoSpaceDN w:val="0"/>
              <w:adjustRightInd w:val="0"/>
              <w:rPr>
                <w:rFonts w:cs="Gotham-Book"/>
                <w:b/>
                <w:color w:val="000000" w:themeColor="text1"/>
              </w:rPr>
            </w:pPr>
            <w:r w:rsidRPr="00295641">
              <w:rPr>
                <w:rFonts w:cs="Gotham-Book"/>
                <w:b/>
                <w:color w:val="000000" w:themeColor="text1"/>
              </w:rPr>
              <w:t>Secretaría/Ministerio</w:t>
            </w:r>
          </w:p>
          <w:p w:rsidR="00F40088" w:rsidRPr="00295641" w:rsidRDefault="00F40088" w:rsidP="00B56E74">
            <w:pPr>
              <w:rPr>
                <w:b/>
                <w:color w:val="000000" w:themeColor="text1"/>
              </w:rPr>
            </w:pPr>
            <w:r w:rsidRPr="00295641">
              <w:rPr>
                <w:rFonts w:cs="Gotham-Book"/>
                <w:b/>
                <w:color w:val="000000" w:themeColor="text1"/>
              </w:rPr>
              <w:t>Responsable</w:t>
            </w:r>
          </w:p>
        </w:tc>
        <w:tc>
          <w:tcPr>
            <w:tcW w:w="4820" w:type="dxa"/>
            <w:gridSpan w:val="3"/>
          </w:tcPr>
          <w:p w:rsidR="00F40088" w:rsidRPr="00295641" w:rsidRDefault="00F40088" w:rsidP="00B56E74">
            <w:pPr>
              <w:jc w:val="both"/>
              <w:rPr>
                <w:color w:val="000000" w:themeColor="text1"/>
              </w:rPr>
            </w:pPr>
            <w:r w:rsidRPr="00D12754">
              <w:rPr>
                <w:color w:val="000000" w:themeColor="text1"/>
              </w:rPr>
              <w:t>Presidencia del Consejo de Ministros</w:t>
            </w:r>
            <w:r w:rsidR="008D4D0E">
              <w:rPr>
                <w:color w:val="000000" w:themeColor="text1"/>
              </w:rPr>
              <w:t>,</w:t>
            </w:r>
            <w:r w:rsidRPr="00D12754">
              <w:rPr>
                <w:color w:val="000000" w:themeColor="text1"/>
              </w:rPr>
              <w:t xml:space="preserve"> a través de la Secretaría de Gestión Pública -SGP- y la Oficina Nacional de Gobierno Electrónico –ONGEI.</w:t>
            </w:r>
          </w:p>
        </w:tc>
      </w:tr>
      <w:tr w:rsidR="00D12754" w:rsidRPr="00295641" w:rsidTr="00F40088">
        <w:tc>
          <w:tcPr>
            <w:tcW w:w="4219" w:type="dxa"/>
            <w:gridSpan w:val="3"/>
            <w:shd w:val="clear" w:color="auto" w:fill="C6D9F1" w:themeFill="text2" w:themeFillTint="33"/>
            <w:vAlign w:val="center"/>
          </w:tcPr>
          <w:p w:rsidR="00D12754" w:rsidRPr="00295641" w:rsidRDefault="00D12754" w:rsidP="00D12754">
            <w:pPr>
              <w:autoSpaceDE w:val="0"/>
              <w:autoSpaceDN w:val="0"/>
              <w:adjustRightInd w:val="0"/>
              <w:rPr>
                <w:rFonts w:cs="Gotham-Book"/>
                <w:b/>
                <w:color w:val="000000" w:themeColor="text1"/>
              </w:rPr>
            </w:pPr>
            <w:r w:rsidRPr="00295641">
              <w:rPr>
                <w:rFonts w:cs="Gotham-Book"/>
                <w:b/>
                <w:color w:val="000000" w:themeColor="text1"/>
              </w:rPr>
              <w:t>Nombre de la persona  responsable</w:t>
            </w:r>
          </w:p>
        </w:tc>
        <w:tc>
          <w:tcPr>
            <w:tcW w:w="4820" w:type="dxa"/>
            <w:gridSpan w:val="3"/>
          </w:tcPr>
          <w:p w:rsidR="00D12754" w:rsidRPr="00295641" w:rsidRDefault="00D12754" w:rsidP="00D12754">
            <w:pPr>
              <w:jc w:val="both"/>
              <w:rPr>
                <w:color w:val="000000" w:themeColor="text1"/>
              </w:rPr>
            </w:pPr>
            <w:r>
              <w:rPr>
                <w:color w:val="000000" w:themeColor="text1"/>
              </w:rPr>
              <w:t>Fernando Zavala Lombardi</w:t>
            </w:r>
          </w:p>
        </w:tc>
      </w:tr>
      <w:tr w:rsidR="00D12754" w:rsidRPr="00295641" w:rsidTr="00F40088">
        <w:tc>
          <w:tcPr>
            <w:tcW w:w="4219" w:type="dxa"/>
            <w:gridSpan w:val="3"/>
            <w:shd w:val="clear" w:color="auto" w:fill="C6D9F1" w:themeFill="text2" w:themeFillTint="33"/>
            <w:vAlign w:val="center"/>
          </w:tcPr>
          <w:p w:rsidR="00D12754" w:rsidRPr="00295641" w:rsidRDefault="00D12754" w:rsidP="00D12754">
            <w:pPr>
              <w:rPr>
                <w:b/>
                <w:color w:val="000000" w:themeColor="text1"/>
              </w:rPr>
            </w:pPr>
            <w:r w:rsidRPr="00295641">
              <w:rPr>
                <w:rFonts w:cs="Gotham-Book"/>
                <w:b/>
                <w:color w:val="000000" w:themeColor="text1"/>
              </w:rPr>
              <w:t>Puesto</w:t>
            </w:r>
          </w:p>
        </w:tc>
        <w:tc>
          <w:tcPr>
            <w:tcW w:w="4820" w:type="dxa"/>
            <w:gridSpan w:val="3"/>
          </w:tcPr>
          <w:p w:rsidR="00D12754" w:rsidRPr="00295641" w:rsidRDefault="00D12754" w:rsidP="00D12754">
            <w:pPr>
              <w:jc w:val="both"/>
              <w:rPr>
                <w:color w:val="000000" w:themeColor="text1"/>
              </w:rPr>
            </w:pPr>
            <w:r>
              <w:rPr>
                <w:color w:val="000000" w:themeColor="text1"/>
              </w:rPr>
              <w:t>Presidente del Consejo de Ministros</w:t>
            </w:r>
          </w:p>
        </w:tc>
      </w:tr>
      <w:tr w:rsidR="00D12754" w:rsidRPr="00295641" w:rsidTr="00F40088">
        <w:tc>
          <w:tcPr>
            <w:tcW w:w="4219" w:type="dxa"/>
            <w:gridSpan w:val="3"/>
            <w:shd w:val="clear" w:color="auto" w:fill="C6D9F1" w:themeFill="text2" w:themeFillTint="33"/>
            <w:vAlign w:val="center"/>
          </w:tcPr>
          <w:p w:rsidR="00D12754" w:rsidRPr="00295641" w:rsidRDefault="00D12754" w:rsidP="00D12754">
            <w:pPr>
              <w:autoSpaceDE w:val="0"/>
              <w:autoSpaceDN w:val="0"/>
              <w:adjustRightInd w:val="0"/>
              <w:rPr>
                <w:rFonts w:cs="Gotham-Book"/>
                <w:b/>
                <w:color w:val="000000" w:themeColor="text1"/>
              </w:rPr>
            </w:pPr>
            <w:r w:rsidRPr="00295641">
              <w:rPr>
                <w:rFonts w:cs="Gotham-Book"/>
                <w:b/>
                <w:color w:val="000000" w:themeColor="text1"/>
              </w:rPr>
              <w:t>Correo electrónico</w:t>
            </w:r>
          </w:p>
        </w:tc>
        <w:tc>
          <w:tcPr>
            <w:tcW w:w="4820" w:type="dxa"/>
            <w:gridSpan w:val="3"/>
          </w:tcPr>
          <w:p w:rsidR="00D12754" w:rsidRPr="00295641" w:rsidRDefault="002F3E0D" w:rsidP="00D12754">
            <w:pPr>
              <w:jc w:val="both"/>
              <w:rPr>
                <w:rFonts w:cs="Arial"/>
                <w:color w:val="0000FF"/>
                <w:u w:val="single"/>
              </w:rPr>
            </w:pPr>
            <w:hyperlink r:id="rId51" w:history="1">
              <w:r w:rsidR="00D12754" w:rsidRPr="002977A0">
                <w:rPr>
                  <w:rStyle w:val="Hipervnculo"/>
                  <w:rFonts w:cs="Arial"/>
                </w:rPr>
                <w:t>fzavala@pcm.gob.pe</w:t>
              </w:r>
            </w:hyperlink>
          </w:p>
        </w:tc>
      </w:tr>
      <w:tr w:rsidR="00D12754" w:rsidRPr="00295641" w:rsidTr="00F40088">
        <w:tc>
          <w:tcPr>
            <w:tcW w:w="4219" w:type="dxa"/>
            <w:gridSpan w:val="3"/>
            <w:shd w:val="clear" w:color="auto" w:fill="C6D9F1" w:themeFill="text2" w:themeFillTint="33"/>
            <w:vAlign w:val="center"/>
          </w:tcPr>
          <w:p w:rsidR="00D12754" w:rsidRPr="00295641" w:rsidRDefault="00D12754" w:rsidP="00D12754">
            <w:pPr>
              <w:rPr>
                <w:b/>
                <w:color w:val="000000" w:themeColor="text1"/>
              </w:rPr>
            </w:pPr>
            <w:r w:rsidRPr="00295641">
              <w:rPr>
                <w:rFonts w:cs="Gotham-Book"/>
                <w:b/>
                <w:color w:val="000000" w:themeColor="text1"/>
              </w:rPr>
              <w:t>Teléfono</w:t>
            </w:r>
          </w:p>
        </w:tc>
        <w:tc>
          <w:tcPr>
            <w:tcW w:w="4820" w:type="dxa"/>
            <w:gridSpan w:val="3"/>
          </w:tcPr>
          <w:p w:rsidR="00D12754" w:rsidRPr="00295641" w:rsidRDefault="00D12754" w:rsidP="00D12754">
            <w:pPr>
              <w:jc w:val="both"/>
              <w:rPr>
                <w:color w:val="000000" w:themeColor="text1"/>
              </w:rPr>
            </w:pPr>
            <w:r>
              <w:rPr>
                <w:color w:val="000000" w:themeColor="text1"/>
              </w:rPr>
              <w:t>51-1-2197000</w:t>
            </w:r>
          </w:p>
        </w:tc>
      </w:tr>
      <w:tr w:rsidR="00F40088" w:rsidRPr="00295641" w:rsidTr="00F40088">
        <w:tc>
          <w:tcPr>
            <w:tcW w:w="2109" w:type="dxa"/>
            <w:vMerge w:val="restart"/>
            <w:shd w:val="clear" w:color="auto" w:fill="C6D9F1" w:themeFill="text2" w:themeFillTint="33"/>
            <w:vAlign w:val="center"/>
          </w:tcPr>
          <w:p w:rsidR="00F40088" w:rsidRPr="00295641" w:rsidRDefault="00F40088" w:rsidP="00B56E74">
            <w:pPr>
              <w:rPr>
                <w:rFonts w:cs="Gotham-Book"/>
                <w:b/>
                <w:color w:val="000000" w:themeColor="text1"/>
              </w:rPr>
            </w:pPr>
            <w:r>
              <w:rPr>
                <w:rFonts w:cs="Gotham-Book"/>
                <w:b/>
                <w:color w:val="000000" w:themeColor="text1"/>
              </w:rPr>
              <w:t>Otros actores involucrados</w:t>
            </w:r>
          </w:p>
        </w:tc>
        <w:tc>
          <w:tcPr>
            <w:tcW w:w="2110" w:type="dxa"/>
            <w:gridSpan w:val="2"/>
            <w:shd w:val="clear" w:color="auto" w:fill="C6D9F1" w:themeFill="text2" w:themeFillTint="33"/>
            <w:vAlign w:val="center"/>
          </w:tcPr>
          <w:p w:rsidR="00F40088" w:rsidRPr="00295641" w:rsidRDefault="00F40088" w:rsidP="00B56E74">
            <w:pPr>
              <w:rPr>
                <w:rFonts w:cs="Gotham-Book"/>
                <w:b/>
                <w:color w:val="000000" w:themeColor="text1"/>
              </w:rPr>
            </w:pPr>
            <w:r>
              <w:rPr>
                <w:rFonts w:cs="Gotham-Book"/>
                <w:b/>
                <w:color w:val="000000" w:themeColor="text1"/>
              </w:rPr>
              <w:t>Gobierno</w:t>
            </w:r>
          </w:p>
        </w:tc>
        <w:tc>
          <w:tcPr>
            <w:tcW w:w="4820" w:type="dxa"/>
            <w:gridSpan w:val="3"/>
          </w:tcPr>
          <w:p w:rsidR="00F40088" w:rsidRPr="00295641" w:rsidRDefault="00F40088" w:rsidP="00B56E74">
            <w:pPr>
              <w:jc w:val="both"/>
              <w:rPr>
                <w:color w:val="000000" w:themeColor="text1"/>
              </w:rPr>
            </w:pPr>
            <w:r>
              <w:rPr>
                <w:color w:val="000000" w:themeColor="text1"/>
              </w:rPr>
              <w:t>No aplica</w:t>
            </w:r>
          </w:p>
        </w:tc>
      </w:tr>
      <w:tr w:rsidR="00F40088" w:rsidRPr="00295641" w:rsidTr="00F40088">
        <w:tc>
          <w:tcPr>
            <w:tcW w:w="2109" w:type="dxa"/>
            <w:vMerge/>
            <w:shd w:val="clear" w:color="auto" w:fill="C6D9F1" w:themeFill="text2" w:themeFillTint="33"/>
            <w:vAlign w:val="center"/>
          </w:tcPr>
          <w:p w:rsidR="00F40088" w:rsidRPr="00295641" w:rsidRDefault="00F40088" w:rsidP="00B56E74">
            <w:pPr>
              <w:rPr>
                <w:rFonts w:cs="Gotham-Book"/>
                <w:b/>
                <w:color w:val="000000" w:themeColor="text1"/>
              </w:rPr>
            </w:pPr>
          </w:p>
        </w:tc>
        <w:tc>
          <w:tcPr>
            <w:tcW w:w="2110" w:type="dxa"/>
            <w:gridSpan w:val="2"/>
            <w:shd w:val="clear" w:color="auto" w:fill="C6D9F1" w:themeFill="text2" w:themeFillTint="33"/>
            <w:vAlign w:val="center"/>
          </w:tcPr>
          <w:p w:rsidR="00F40088" w:rsidRPr="00295641" w:rsidRDefault="00F40088" w:rsidP="00B56E74">
            <w:pPr>
              <w:rPr>
                <w:rFonts w:cs="Gotham-Book"/>
                <w:b/>
                <w:color w:val="000000" w:themeColor="text1"/>
              </w:rPr>
            </w:pPr>
            <w:r>
              <w:rPr>
                <w:rFonts w:cs="Gotham-Book"/>
                <w:b/>
                <w:color w:val="000000" w:themeColor="text1"/>
              </w:rPr>
              <w:t>Sociedad civil, iniciativa privada, grupos de trabajo o multilaterales</w:t>
            </w:r>
          </w:p>
        </w:tc>
        <w:tc>
          <w:tcPr>
            <w:tcW w:w="4820" w:type="dxa"/>
            <w:gridSpan w:val="3"/>
          </w:tcPr>
          <w:p w:rsidR="00F40088" w:rsidRPr="00295641" w:rsidRDefault="00F40088" w:rsidP="00B56E74">
            <w:pPr>
              <w:jc w:val="both"/>
              <w:rPr>
                <w:color w:val="000000" w:themeColor="text1"/>
              </w:rPr>
            </w:pPr>
          </w:p>
        </w:tc>
      </w:tr>
      <w:tr w:rsidR="00F40088" w:rsidRPr="00295641" w:rsidTr="00F40088">
        <w:tc>
          <w:tcPr>
            <w:tcW w:w="4219" w:type="dxa"/>
            <w:gridSpan w:val="3"/>
            <w:shd w:val="clear" w:color="auto" w:fill="C6D9F1" w:themeFill="text2" w:themeFillTint="33"/>
            <w:vAlign w:val="center"/>
          </w:tcPr>
          <w:p w:rsidR="00F40088" w:rsidRPr="00295641" w:rsidRDefault="00F40088" w:rsidP="00B56E74">
            <w:pPr>
              <w:rPr>
                <w:rFonts w:cs="Gotham-Book"/>
                <w:b/>
                <w:color w:val="000000" w:themeColor="text1"/>
              </w:rPr>
            </w:pPr>
            <w:r>
              <w:rPr>
                <w:rFonts w:cs="Gotham-Book"/>
                <w:b/>
                <w:color w:val="000000" w:themeColor="text1"/>
              </w:rPr>
              <w:t>Status quo o problema/</w:t>
            </w:r>
            <w:r>
              <w:rPr>
                <w:rFonts w:cs="Gotham-Book"/>
                <w:b/>
                <w:color w:val="000000" w:themeColor="text1"/>
              </w:rPr>
              <w:br/>
              <w:t>desafío que será atendido</w:t>
            </w:r>
          </w:p>
        </w:tc>
        <w:tc>
          <w:tcPr>
            <w:tcW w:w="4820" w:type="dxa"/>
            <w:gridSpan w:val="3"/>
          </w:tcPr>
          <w:p w:rsidR="006D3389" w:rsidRDefault="006D3389" w:rsidP="006D3389">
            <w:pPr>
              <w:autoSpaceDE w:val="0"/>
              <w:autoSpaceDN w:val="0"/>
              <w:adjustRightInd w:val="0"/>
              <w:jc w:val="both"/>
              <w:rPr>
                <w:color w:val="000000" w:themeColor="text1"/>
                <w:lang w:val="es-PE"/>
              </w:rPr>
            </w:pPr>
            <w:r>
              <w:rPr>
                <w:lang w:val="es-PE"/>
              </w:rPr>
              <w:t>Según CEPAL, los servicios electrónicos</w:t>
            </w:r>
            <w:r w:rsidR="001F2A73">
              <w:rPr>
                <w:lang w:val="es-PE"/>
              </w:rPr>
              <w:t xml:space="preserve"> o servicios en línea</w:t>
            </w:r>
            <w:r>
              <w:rPr>
                <w:lang w:val="es-PE"/>
              </w:rPr>
              <w:t>, “</w:t>
            </w:r>
            <w:r>
              <w:t>se refieren a la entrega de mejores servicios a los ciudadanos, como los trámites interactivos (peticiones de documentos, emisión de certificados, pagos hacia y desde los organismos públicos)” (CEPAL 2011: 12).</w:t>
            </w:r>
          </w:p>
          <w:p w:rsidR="00F40088" w:rsidRPr="00CD1969" w:rsidRDefault="001F2A73" w:rsidP="006D3389">
            <w:pPr>
              <w:autoSpaceDE w:val="0"/>
              <w:autoSpaceDN w:val="0"/>
              <w:adjustRightInd w:val="0"/>
              <w:jc w:val="both"/>
              <w:rPr>
                <w:color w:val="000000" w:themeColor="text1"/>
              </w:rPr>
            </w:pPr>
            <w:r>
              <w:rPr>
                <w:color w:val="000000" w:themeColor="text1"/>
                <w:lang w:val="es-PE"/>
              </w:rPr>
              <w:t xml:space="preserve">Actualmente, existe un “Portal de Servicios al Ciudadano y Empresas” y el “Catálogo de Servicios de la Administración Pública” elaborado por la </w:t>
            </w:r>
            <w:r w:rsidRPr="00D12754">
              <w:rPr>
                <w:color w:val="000000" w:themeColor="text1"/>
              </w:rPr>
              <w:t>Oficina Nacional de Gobierno Electrónico</w:t>
            </w:r>
            <w:r>
              <w:rPr>
                <w:color w:val="000000" w:themeColor="text1"/>
              </w:rPr>
              <w:t>, a fin de promover el uso de las TIC, como parte de la modernización del Estado y de la mejora de la calidad en la prestación de servicios.</w:t>
            </w:r>
          </w:p>
          <w:p w:rsidR="001F2A73" w:rsidRPr="007C4C54" w:rsidRDefault="001F2A73" w:rsidP="00E96152">
            <w:pPr>
              <w:autoSpaceDE w:val="0"/>
              <w:autoSpaceDN w:val="0"/>
              <w:adjustRightInd w:val="0"/>
              <w:jc w:val="both"/>
              <w:rPr>
                <w:color w:val="000000" w:themeColor="text1"/>
                <w:lang w:val="es-PE"/>
              </w:rPr>
            </w:pPr>
            <w:r>
              <w:rPr>
                <w:color w:val="000000" w:themeColor="text1"/>
                <w:lang w:val="es-PE"/>
              </w:rPr>
              <w:t>Como refiere dicho catálogo, las entidades públicas se encuentran desarrollando procesos de mejora continua, a nivel interno, como de cara a los ciudadanos. Sin embargo, se requiere que dichos avances continúen, toda vez que permitan increme</w:t>
            </w:r>
            <w:r w:rsidR="000E5CE1">
              <w:rPr>
                <w:color w:val="000000" w:themeColor="text1"/>
                <w:lang w:val="es-PE"/>
              </w:rPr>
              <w:t xml:space="preserve">ntar el número de servicios en línea, apostando de esta forma, por un Estado más eficiente y </w:t>
            </w:r>
            <w:r w:rsidR="00E96152">
              <w:rPr>
                <w:color w:val="000000" w:themeColor="text1"/>
                <w:lang w:val="es-PE"/>
              </w:rPr>
              <w:t>cercano al ciudadano.</w:t>
            </w:r>
          </w:p>
        </w:tc>
      </w:tr>
      <w:tr w:rsidR="00F40088" w:rsidRPr="00295641" w:rsidTr="00F40088">
        <w:tc>
          <w:tcPr>
            <w:tcW w:w="4219" w:type="dxa"/>
            <w:gridSpan w:val="3"/>
            <w:shd w:val="clear" w:color="auto" w:fill="C6D9F1" w:themeFill="text2" w:themeFillTint="33"/>
            <w:vAlign w:val="center"/>
          </w:tcPr>
          <w:p w:rsidR="00F40088" w:rsidRPr="00295641" w:rsidRDefault="00F40088" w:rsidP="00B56E74">
            <w:pPr>
              <w:rPr>
                <w:b/>
                <w:color w:val="000000" w:themeColor="text1"/>
              </w:rPr>
            </w:pPr>
            <w:r w:rsidRPr="00295641">
              <w:rPr>
                <w:rFonts w:cs="Gotham-Book"/>
                <w:b/>
                <w:color w:val="000000" w:themeColor="text1"/>
              </w:rPr>
              <w:t>Objetivo principal</w:t>
            </w:r>
          </w:p>
        </w:tc>
        <w:tc>
          <w:tcPr>
            <w:tcW w:w="4820" w:type="dxa"/>
            <w:gridSpan w:val="3"/>
          </w:tcPr>
          <w:p w:rsidR="00F40088" w:rsidRPr="005E5671" w:rsidRDefault="00F40088" w:rsidP="00B56E74">
            <w:pPr>
              <w:jc w:val="both"/>
              <w:rPr>
                <w:bCs/>
              </w:rPr>
            </w:pPr>
            <w:r>
              <w:rPr>
                <w:bCs/>
              </w:rPr>
              <w:t>Incrementar el número de servicios en línea ofrecidos en tres (03) entidades públicas del Poder Ejecutivo que cuenten con servicios en línea multicanal</w:t>
            </w:r>
            <w:r w:rsidR="001F2A73">
              <w:rPr>
                <w:bCs/>
              </w:rPr>
              <w:t>.</w:t>
            </w:r>
            <w:r>
              <w:rPr>
                <w:bCs/>
              </w:rPr>
              <w:t xml:space="preserve">   </w:t>
            </w:r>
          </w:p>
        </w:tc>
      </w:tr>
      <w:tr w:rsidR="00F40088" w:rsidRPr="00295641" w:rsidTr="00F40088">
        <w:tc>
          <w:tcPr>
            <w:tcW w:w="4219" w:type="dxa"/>
            <w:gridSpan w:val="3"/>
            <w:shd w:val="clear" w:color="auto" w:fill="C6D9F1" w:themeFill="text2" w:themeFillTint="33"/>
            <w:vAlign w:val="center"/>
          </w:tcPr>
          <w:p w:rsidR="00F40088" w:rsidRPr="00295641" w:rsidRDefault="00F40088" w:rsidP="00B56E74">
            <w:pPr>
              <w:autoSpaceDE w:val="0"/>
              <w:autoSpaceDN w:val="0"/>
              <w:adjustRightInd w:val="0"/>
              <w:rPr>
                <w:rFonts w:cs="Gotham-Book"/>
                <w:b/>
                <w:color w:val="000000" w:themeColor="text1"/>
              </w:rPr>
            </w:pPr>
            <w:r>
              <w:rPr>
                <w:rFonts w:cs="Gotham-Book"/>
                <w:b/>
                <w:color w:val="000000" w:themeColor="text1"/>
              </w:rPr>
              <w:t xml:space="preserve">Breve </w:t>
            </w:r>
            <w:r w:rsidRPr="00295641">
              <w:rPr>
                <w:rFonts w:cs="Gotham-Book"/>
                <w:b/>
                <w:color w:val="000000" w:themeColor="text1"/>
              </w:rPr>
              <w:t>Descripción del</w:t>
            </w:r>
          </w:p>
          <w:p w:rsidR="00F40088" w:rsidRPr="00295641" w:rsidRDefault="00F40088" w:rsidP="00B56E74">
            <w:pPr>
              <w:autoSpaceDE w:val="0"/>
              <w:autoSpaceDN w:val="0"/>
              <w:adjustRightInd w:val="0"/>
              <w:rPr>
                <w:rFonts w:cs="Gotham-Book"/>
                <w:b/>
                <w:color w:val="000000" w:themeColor="text1"/>
              </w:rPr>
            </w:pPr>
            <w:r w:rsidRPr="00295641">
              <w:rPr>
                <w:rFonts w:cs="Gotham-Book"/>
                <w:b/>
                <w:color w:val="000000" w:themeColor="text1"/>
              </w:rPr>
              <w:t>Compromiso</w:t>
            </w:r>
          </w:p>
        </w:tc>
        <w:tc>
          <w:tcPr>
            <w:tcW w:w="4820" w:type="dxa"/>
            <w:gridSpan w:val="3"/>
          </w:tcPr>
          <w:p w:rsidR="00F40088" w:rsidRPr="00B24C50" w:rsidRDefault="00F40088" w:rsidP="002C2EAC">
            <w:pPr>
              <w:jc w:val="both"/>
              <w:rPr>
                <w:color w:val="FF0000"/>
                <w:szCs w:val="20"/>
              </w:rPr>
            </w:pPr>
            <w:r>
              <w:rPr>
                <w:rFonts w:ascii="Calibri" w:hAnsi="Calibri"/>
                <w:color w:val="000000"/>
              </w:rPr>
              <w:t>Incrementar el número de servicios en línea ofrecidos a través del Portal de Servicios al Ciudadano y Empresas (Ventanilla Única del Estado), posibilitando la realización de trámites a través de distintos dispositivos electrónicos (multicanal).</w:t>
            </w:r>
          </w:p>
        </w:tc>
      </w:tr>
      <w:tr w:rsidR="00F40088" w:rsidRPr="00295641" w:rsidTr="00F40088">
        <w:tc>
          <w:tcPr>
            <w:tcW w:w="4219" w:type="dxa"/>
            <w:gridSpan w:val="3"/>
            <w:shd w:val="clear" w:color="auto" w:fill="C6D9F1" w:themeFill="text2" w:themeFillTint="33"/>
            <w:vAlign w:val="center"/>
          </w:tcPr>
          <w:p w:rsidR="00F40088" w:rsidRPr="00295641" w:rsidRDefault="00F40088" w:rsidP="00B56E74">
            <w:pPr>
              <w:autoSpaceDE w:val="0"/>
              <w:autoSpaceDN w:val="0"/>
              <w:adjustRightInd w:val="0"/>
              <w:rPr>
                <w:rFonts w:cs="Gotham-Book"/>
                <w:b/>
                <w:color w:val="000000" w:themeColor="text1"/>
              </w:rPr>
            </w:pPr>
            <w:r w:rsidRPr="00295641">
              <w:rPr>
                <w:rFonts w:cs="Gotham-Book"/>
                <w:b/>
                <w:color w:val="000000" w:themeColor="text1"/>
              </w:rPr>
              <w:t>Relevancia</w:t>
            </w:r>
          </w:p>
          <w:p w:rsidR="00F40088" w:rsidRPr="00295641" w:rsidRDefault="00F40088" w:rsidP="00B56E74">
            <w:pPr>
              <w:autoSpaceDE w:val="0"/>
              <w:autoSpaceDN w:val="0"/>
              <w:adjustRightInd w:val="0"/>
              <w:rPr>
                <w:b/>
                <w:color w:val="000000" w:themeColor="text1"/>
              </w:rPr>
            </w:pPr>
          </w:p>
        </w:tc>
        <w:tc>
          <w:tcPr>
            <w:tcW w:w="4820" w:type="dxa"/>
            <w:gridSpan w:val="3"/>
          </w:tcPr>
          <w:p w:rsidR="00F40088" w:rsidRPr="00D55406" w:rsidRDefault="00150479" w:rsidP="00B757AD">
            <w:pPr>
              <w:jc w:val="both"/>
              <w:rPr>
                <w:color w:val="FF0000"/>
                <w:szCs w:val="20"/>
                <w:lang w:val="es-PE"/>
              </w:rPr>
            </w:pPr>
            <w:r w:rsidRPr="00B757AD">
              <w:rPr>
                <w:szCs w:val="20"/>
                <w:lang w:val="es-PE"/>
              </w:rPr>
              <w:t xml:space="preserve">El compromiso permite ofrecer servicios </w:t>
            </w:r>
            <w:r w:rsidR="00B757AD" w:rsidRPr="00B757AD">
              <w:rPr>
                <w:szCs w:val="20"/>
                <w:lang w:val="es-PE"/>
              </w:rPr>
              <w:t xml:space="preserve">en línea, contribuye con la transparencia y mejora de los servicios públicos, fortalece los valores que promueve la OGP. </w:t>
            </w:r>
          </w:p>
        </w:tc>
      </w:tr>
      <w:tr w:rsidR="00F40088" w:rsidRPr="00295641" w:rsidTr="00F40088">
        <w:tc>
          <w:tcPr>
            <w:tcW w:w="4219" w:type="dxa"/>
            <w:gridSpan w:val="3"/>
            <w:shd w:val="clear" w:color="auto" w:fill="C6D9F1" w:themeFill="text2" w:themeFillTint="33"/>
            <w:vAlign w:val="center"/>
          </w:tcPr>
          <w:p w:rsidR="00F40088" w:rsidRPr="00295641" w:rsidRDefault="00F40088" w:rsidP="00B56E74">
            <w:pPr>
              <w:autoSpaceDE w:val="0"/>
              <w:autoSpaceDN w:val="0"/>
              <w:adjustRightInd w:val="0"/>
              <w:rPr>
                <w:rFonts w:cs="Gotham-Book"/>
                <w:b/>
                <w:color w:val="000000" w:themeColor="text1"/>
              </w:rPr>
            </w:pPr>
            <w:r w:rsidRPr="00295641">
              <w:rPr>
                <w:rFonts w:cs="Gotham-Book"/>
                <w:b/>
                <w:color w:val="000000" w:themeColor="text1"/>
              </w:rPr>
              <w:t>Ambición</w:t>
            </w:r>
          </w:p>
          <w:p w:rsidR="00F40088" w:rsidRPr="00295641" w:rsidRDefault="00F40088" w:rsidP="00B56E74">
            <w:pPr>
              <w:autoSpaceDE w:val="0"/>
              <w:autoSpaceDN w:val="0"/>
              <w:adjustRightInd w:val="0"/>
              <w:rPr>
                <w:rFonts w:cs="Gotham-BookItalic"/>
                <w:b/>
                <w:iCs/>
                <w:color w:val="000000" w:themeColor="text1"/>
              </w:rPr>
            </w:pPr>
          </w:p>
        </w:tc>
        <w:tc>
          <w:tcPr>
            <w:tcW w:w="4820" w:type="dxa"/>
            <w:gridSpan w:val="3"/>
          </w:tcPr>
          <w:p w:rsidR="00F40088" w:rsidRPr="00D55406" w:rsidRDefault="00B757AD" w:rsidP="00B757AD">
            <w:pPr>
              <w:jc w:val="both"/>
              <w:rPr>
                <w:color w:val="FF0000"/>
                <w:szCs w:val="20"/>
                <w:lang w:val="es-PE"/>
              </w:rPr>
            </w:pPr>
            <w:r w:rsidRPr="00B757AD">
              <w:rPr>
                <w:szCs w:val="20"/>
                <w:lang w:val="es-PE"/>
              </w:rPr>
              <w:t>El resultado del compromiso ha permitido ofertar mejores servicios basados en el uso de la tecnología de la información</w:t>
            </w:r>
            <w:r w:rsidR="00A90888">
              <w:rPr>
                <w:szCs w:val="20"/>
                <w:lang w:val="es-PE"/>
              </w:rPr>
              <w:t>,</w:t>
            </w:r>
            <w:r w:rsidRPr="00B757AD">
              <w:rPr>
                <w:szCs w:val="20"/>
                <w:lang w:val="es-PE"/>
              </w:rPr>
              <w:t xml:space="preserve"> lo que promueve mayor apertura y accesibilidad a los servicios públicos.</w:t>
            </w:r>
          </w:p>
        </w:tc>
      </w:tr>
      <w:tr w:rsidR="00F40088" w:rsidRPr="00295641" w:rsidTr="00F40088">
        <w:tc>
          <w:tcPr>
            <w:tcW w:w="2518" w:type="dxa"/>
            <w:gridSpan w:val="2"/>
            <w:vMerge w:val="restart"/>
            <w:shd w:val="clear" w:color="auto" w:fill="C6D9F1" w:themeFill="text2" w:themeFillTint="33"/>
            <w:vAlign w:val="center"/>
          </w:tcPr>
          <w:p w:rsidR="00F40088" w:rsidRPr="00295641" w:rsidRDefault="00F40088" w:rsidP="00B56E74">
            <w:pPr>
              <w:rPr>
                <w:b/>
                <w:color w:val="000000" w:themeColor="text1"/>
              </w:rPr>
            </w:pPr>
            <w:r w:rsidRPr="00295641">
              <w:rPr>
                <w:rFonts w:cs="Gotham-Book"/>
                <w:b/>
                <w:color w:val="000000" w:themeColor="text1"/>
              </w:rPr>
              <w:t>Cumplimiento</w:t>
            </w:r>
          </w:p>
        </w:tc>
        <w:tc>
          <w:tcPr>
            <w:tcW w:w="1701" w:type="dxa"/>
            <w:shd w:val="clear" w:color="auto" w:fill="C6D9F1" w:themeFill="text2" w:themeFillTint="33"/>
          </w:tcPr>
          <w:p w:rsidR="00F40088" w:rsidRPr="00295641" w:rsidRDefault="00F40088" w:rsidP="00B56E74">
            <w:pPr>
              <w:jc w:val="center"/>
              <w:rPr>
                <w:b/>
                <w:color w:val="000000" w:themeColor="text1"/>
              </w:rPr>
            </w:pPr>
            <w:r w:rsidRPr="00295641">
              <w:rPr>
                <w:rFonts w:cs="Gotham-Book"/>
                <w:b/>
                <w:color w:val="000000" w:themeColor="text1"/>
              </w:rPr>
              <w:t>No iniciado</w:t>
            </w:r>
          </w:p>
        </w:tc>
        <w:tc>
          <w:tcPr>
            <w:tcW w:w="1729" w:type="dxa"/>
            <w:shd w:val="clear" w:color="auto" w:fill="C6D9F1" w:themeFill="text2" w:themeFillTint="33"/>
          </w:tcPr>
          <w:p w:rsidR="00F40088" w:rsidRPr="00295641" w:rsidRDefault="00F40088" w:rsidP="00B56E74">
            <w:pPr>
              <w:jc w:val="center"/>
              <w:rPr>
                <w:b/>
                <w:color w:val="000000" w:themeColor="text1"/>
              </w:rPr>
            </w:pPr>
            <w:r w:rsidRPr="00295641">
              <w:rPr>
                <w:rFonts w:cs="Gotham-Book"/>
                <w:b/>
                <w:color w:val="000000" w:themeColor="text1"/>
              </w:rPr>
              <w:t>Limitado</w:t>
            </w:r>
          </w:p>
        </w:tc>
        <w:tc>
          <w:tcPr>
            <w:tcW w:w="1644" w:type="dxa"/>
            <w:shd w:val="clear" w:color="auto" w:fill="C6D9F1" w:themeFill="text2" w:themeFillTint="33"/>
          </w:tcPr>
          <w:p w:rsidR="00F40088" w:rsidRPr="00295641" w:rsidRDefault="00F40088" w:rsidP="00B56E74">
            <w:pPr>
              <w:jc w:val="center"/>
              <w:rPr>
                <w:b/>
                <w:color w:val="000000" w:themeColor="text1"/>
              </w:rPr>
            </w:pPr>
            <w:r w:rsidRPr="00295641">
              <w:rPr>
                <w:rFonts w:cs="Gotham-Book"/>
                <w:b/>
                <w:color w:val="000000" w:themeColor="text1"/>
              </w:rPr>
              <w:t>Sustancial</w:t>
            </w:r>
          </w:p>
        </w:tc>
        <w:tc>
          <w:tcPr>
            <w:tcW w:w="1447" w:type="dxa"/>
            <w:shd w:val="clear" w:color="auto" w:fill="C6D9F1" w:themeFill="text2" w:themeFillTint="33"/>
          </w:tcPr>
          <w:p w:rsidR="00F40088" w:rsidRPr="00295641" w:rsidRDefault="00F40088" w:rsidP="00B56E74">
            <w:pPr>
              <w:jc w:val="center"/>
              <w:rPr>
                <w:b/>
                <w:color w:val="000000" w:themeColor="text1"/>
              </w:rPr>
            </w:pPr>
            <w:r w:rsidRPr="00295641">
              <w:rPr>
                <w:rFonts w:cs="Gotham-Book"/>
                <w:b/>
                <w:color w:val="000000" w:themeColor="text1"/>
              </w:rPr>
              <w:t>Completo</w:t>
            </w:r>
          </w:p>
        </w:tc>
      </w:tr>
      <w:tr w:rsidR="00F40088" w:rsidRPr="00295641" w:rsidTr="00F40088">
        <w:tc>
          <w:tcPr>
            <w:tcW w:w="2518" w:type="dxa"/>
            <w:gridSpan w:val="2"/>
            <w:vMerge/>
            <w:shd w:val="clear" w:color="auto" w:fill="C6D9F1" w:themeFill="text2" w:themeFillTint="33"/>
            <w:vAlign w:val="center"/>
          </w:tcPr>
          <w:p w:rsidR="00F40088" w:rsidRPr="00295641" w:rsidRDefault="00F40088" w:rsidP="00B56E74">
            <w:pPr>
              <w:rPr>
                <w:b/>
                <w:color w:val="000000" w:themeColor="text1"/>
              </w:rPr>
            </w:pPr>
          </w:p>
        </w:tc>
        <w:tc>
          <w:tcPr>
            <w:tcW w:w="1701" w:type="dxa"/>
          </w:tcPr>
          <w:p w:rsidR="00F40088" w:rsidRPr="00295641" w:rsidRDefault="00F40088" w:rsidP="00B56E74">
            <w:pPr>
              <w:jc w:val="center"/>
              <w:rPr>
                <w:b/>
                <w:color w:val="000000" w:themeColor="text1"/>
              </w:rPr>
            </w:pPr>
          </w:p>
        </w:tc>
        <w:tc>
          <w:tcPr>
            <w:tcW w:w="1729" w:type="dxa"/>
          </w:tcPr>
          <w:p w:rsidR="00F40088" w:rsidRPr="00295641" w:rsidRDefault="00F40088" w:rsidP="00B56E74">
            <w:pPr>
              <w:jc w:val="center"/>
              <w:rPr>
                <w:b/>
                <w:color w:val="000000" w:themeColor="text1"/>
              </w:rPr>
            </w:pPr>
          </w:p>
        </w:tc>
        <w:tc>
          <w:tcPr>
            <w:tcW w:w="1644" w:type="dxa"/>
          </w:tcPr>
          <w:p w:rsidR="00F40088" w:rsidRPr="00295641" w:rsidRDefault="00F40088" w:rsidP="00B56E74">
            <w:pPr>
              <w:jc w:val="center"/>
              <w:rPr>
                <w:b/>
                <w:color w:val="000000" w:themeColor="text1"/>
              </w:rPr>
            </w:pPr>
          </w:p>
        </w:tc>
        <w:tc>
          <w:tcPr>
            <w:tcW w:w="1447" w:type="dxa"/>
            <w:shd w:val="clear" w:color="auto" w:fill="FFFFFF" w:themeFill="background1"/>
          </w:tcPr>
          <w:p w:rsidR="00F40088" w:rsidRPr="00295641" w:rsidRDefault="00F40088" w:rsidP="00B56E74">
            <w:pPr>
              <w:jc w:val="center"/>
              <w:rPr>
                <w:b/>
                <w:color w:val="000000" w:themeColor="text1"/>
              </w:rPr>
            </w:pPr>
            <w:r>
              <w:rPr>
                <w:b/>
                <w:color w:val="000000" w:themeColor="text1"/>
              </w:rPr>
              <w:t>X</w:t>
            </w:r>
          </w:p>
        </w:tc>
      </w:tr>
      <w:tr w:rsidR="00F40088" w:rsidRPr="00295641" w:rsidTr="00F40088">
        <w:tc>
          <w:tcPr>
            <w:tcW w:w="2518" w:type="dxa"/>
            <w:gridSpan w:val="2"/>
            <w:shd w:val="clear" w:color="auto" w:fill="C6D9F1" w:themeFill="text2" w:themeFillTint="33"/>
            <w:vAlign w:val="center"/>
          </w:tcPr>
          <w:p w:rsidR="00F40088" w:rsidRPr="00295641" w:rsidRDefault="00F40088" w:rsidP="00B56E74">
            <w:pPr>
              <w:autoSpaceDE w:val="0"/>
              <w:autoSpaceDN w:val="0"/>
              <w:adjustRightInd w:val="0"/>
              <w:rPr>
                <w:rFonts w:cs="Gotham-Book"/>
                <w:b/>
                <w:color w:val="000000" w:themeColor="text1"/>
              </w:rPr>
            </w:pPr>
            <w:r w:rsidRPr="00295641">
              <w:rPr>
                <w:rFonts w:cs="Gotham-Book"/>
                <w:b/>
                <w:color w:val="000000" w:themeColor="text1"/>
              </w:rPr>
              <w:t>Descripción de los resultados</w:t>
            </w:r>
          </w:p>
          <w:p w:rsidR="00F40088" w:rsidRPr="00295641" w:rsidRDefault="00F40088" w:rsidP="00B56E74">
            <w:pPr>
              <w:autoSpaceDE w:val="0"/>
              <w:autoSpaceDN w:val="0"/>
              <w:adjustRightInd w:val="0"/>
              <w:rPr>
                <w:rFonts w:cs="Gotham-BookItalic"/>
                <w:b/>
                <w:iCs/>
                <w:color w:val="000000" w:themeColor="text1"/>
              </w:rPr>
            </w:pPr>
          </w:p>
        </w:tc>
        <w:tc>
          <w:tcPr>
            <w:tcW w:w="6521" w:type="dxa"/>
            <w:gridSpan w:val="4"/>
          </w:tcPr>
          <w:p w:rsidR="00672F76" w:rsidRDefault="00672F76" w:rsidP="00672F76">
            <w:pPr>
              <w:pStyle w:val="Prrafodelista"/>
              <w:ind w:left="63"/>
              <w:jc w:val="both"/>
              <w:rPr>
                <w:rFonts w:ascii="Calibri" w:hAnsi="Calibri"/>
                <w:color w:val="000000"/>
              </w:rPr>
            </w:pPr>
            <w:r>
              <w:rPr>
                <w:rFonts w:ascii="Calibri" w:hAnsi="Calibri"/>
                <w:color w:val="000000"/>
              </w:rPr>
              <w:t>Se considera las siguientes actividades:</w:t>
            </w:r>
          </w:p>
          <w:p w:rsidR="00672F76" w:rsidRDefault="00672F76" w:rsidP="00672F76">
            <w:pPr>
              <w:pStyle w:val="Prrafodelista"/>
              <w:numPr>
                <w:ilvl w:val="0"/>
                <w:numId w:val="25"/>
              </w:numPr>
              <w:jc w:val="both"/>
              <w:rPr>
                <w:rFonts w:ascii="Calibri" w:hAnsi="Calibri"/>
                <w:b/>
                <w:i/>
                <w:color w:val="000000"/>
              </w:rPr>
            </w:pPr>
            <w:r w:rsidRPr="00672F76">
              <w:rPr>
                <w:rFonts w:ascii="Calibri" w:hAnsi="Calibri"/>
                <w:b/>
                <w:i/>
                <w:color w:val="000000"/>
              </w:rPr>
              <w:t>Realizar el catálogo de servicios en línea y móviles del Poder Ejecutivo.</w:t>
            </w:r>
          </w:p>
          <w:p w:rsidR="00672F76" w:rsidRDefault="00672F76" w:rsidP="00150479">
            <w:pPr>
              <w:ind w:left="771"/>
              <w:jc w:val="both"/>
              <w:rPr>
                <w:rFonts w:ascii="Calibri" w:hAnsi="Calibri"/>
                <w:color w:val="000000"/>
              </w:rPr>
            </w:pPr>
            <w:r>
              <w:rPr>
                <w:rFonts w:ascii="Calibri" w:hAnsi="Calibri"/>
                <w:color w:val="000000"/>
              </w:rPr>
              <w:t xml:space="preserve">Se concluyó el compromiso, se puede encontrar la información en el siguiente enlace: </w:t>
            </w:r>
          </w:p>
          <w:p w:rsidR="00672F76" w:rsidRDefault="002F3E0D" w:rsidP="00150479">
            <w:pPr>
              <w:ind w:left="771"/>
              <w:jc w:val="both"/>
              <w:rPr>
                <w:color w:val="000000" w:themeColor="text1"/>
              </w:rPr>
            </w:pPr>
            <w:hyperlink r:id="rId52" w:history="1">
              <w:r w:rsidR="00672F76" w:rsidRPr="00DF6297">
                <w:rPr>
                  <w:rStyle w:val="Hipervnculo"/>
                </w:rPr>
                <w:t>https://play.google.com/store/apps/details?id=com.ongei.mperu&amp;hl=es</w:t>
              </w:r>
            </w:hyperlink>
          </w:p>
          <w:p w:rsidR="00672F76" w:rsidRDefault="00672F76" w:rsidP="00672F76">
            <w:pPr>
              <w:pStyle w:val="Prrafodelista"/>
              <w:numPr>
                <w:ilvl w:val="0"/>
                <w:numId w:val="25"/>
              </w:numPr>
              <w:jc w:val="both"/>
              <w:rPr>
                <w:rFonts w:ascii="Calibri" w:hAnsi="Calibri"/>
                <w:b/>
                <w:i/>
                <w:color w:val="000000"/>
              </w:rPr>
            </w:pPr>
            <w:r w:rsidRPr="00672F76">
              <w:rPr>
                <w:rFonts w:ascii="Calibri" w:hAnsi="Calibri"/>
                <w:b/>
                <w:i/>
                <w:color w:val="000000"/>
              </w:rPr>
              <w:t>Crear la página web de gobierno móvil del Estado Peruano.</w:t>
            </w:r>
          </w:p>
          <w:p w:rsidR="00672F76" w:rsidRDefault="00672F76" w:rsidP="00150479">
            <w:pPr>
              <w:ind w:left="771"/>
              <w:jc w:val="both"/>
            </w:pPr>
            <w:r>
              <w:rPr>
                <w:rFonts w:ascii="Calibri" w:hAnsi="Calibri"/>
                <w:color w:val="000000"/>
              </w:rPr>
              <w:t xml:space="preserve">Se concluyó el compromiso, se puede encontrar la información en el siguiente enlace:  </w:t>
            </w:r>
          </w:p>
          <w:p w:rsidR="00672F76" w:rsidRDefault="002F3E0D" w:rsidP="00150479">
            <w:pPr>
              <w:ind w:left="771"/>
              <w:jc w:val="both"/>
              <w:rPr>
                <w:color w:val="000000" w:themeColor="text1"/>
              </w:rPr>
            </w:pPr>
            <w:hyperlink r:id="rId53" w:history="1">
              <w:r w:rsidR="00672F76" w:rsidRPr="00DF6297">
                <w:rPr>
                  <w:rStyle w:val="Hipervnculo"/>
                </w:rPr>
                <w:t>https://movil.softwarepublico.gob.pe/portfolio.html</w:t>
              </w:r>
            </w:hyperlink>
          </w:p>
          <w:p w:rsidR="00672F76" w:rsidRDefault="00672F76" w:rsidP="00672F76">
            <w:pPr>
              <w:pStyle w:val="Prrafodelista"/>
              <w:numPr>
                <w:ilvl w:val="0"/>
                <w:numId w:val="25"/>
              </w:numPr>
              <w:jc w:val="both"/>
              <w:rPr>
                <w:rFonts w:ascii="Calibri" w:hAnsi="Calibri"/>
                <w:b/>
                <w:i/>
                <w:color w:val="000000"/>
              </w:rPr>
            </w:pPr>
            <w:r w:rsidRPr="00672F76">
              <w:rPr>
                <w:rFonts w:ascii="Calibri" w:hAnsi="Calibri"/>
                <w:b/>
                <w:i/>
                <w:color w:val="000000"/>
              </w:rPr>
              <w:t>Concurso Nacional de Aplicaciones Móviles (</w:t>
            </w:r>
            <w:proofErr w:type="spellStart"/>
            <w:r w:rsidRPr="00672F76">
              <w:rPr>
                <w:rFonts w:ascii="Calibri" w:hAnsi="Calibri"/>
                <w:b/>
                <w:i/>
                <w:color w:val="000000"/>
              </w:rPr>
              <w:t>Hackathon</w:t>
            </w:r>
            <w:proofErr w:type="spellEnd"/>
            <w:r w:rsidRPr="00672F76">
              <w:rPr>
                <w:rFonts w:ascii="Calibri" w:hAnsi="Calibri"/>
                <w:b/>
                <w:i/>
                <w:color w:val="000000"/>
              </w:rPr>
              <w:t>).</w:t>
            </w:r>
          </w:p>
          <w:p w:rsidR="00150479" w:rsidRDefault="00672F76" w:rsidP="00672F76">
            <w:pPr>
              <w:pStyle w:val="Prrafodelista"/>
              <w:jc w:val="both"/>
              <w:rPr>
                <w:rFonts w:ascii="Calibri" w:hAnsi="Calibri"/>
                <w:color w:val="000000"/>
              </w:rPr>
            </w:pPr>
            <w:r w:rsidRPr="00672F76">
              <w:rPr>
                <w:rFonts w:ascii="Calibri" w:hAnsi="Calibri"/>
                <w:color w:val="000000"/>
              </w:rPr>
              <w:t>S</w:t>
            </w:r>
            <w:r>
              <w:rPr>
                <w:rFonts w:ascii="Calibri" w:hAnsi="Calibri"/>
                <w:color w:val="000000"/>
              </w:rPr>
              <w:t xml:space="preserve">e </w:t>
            </w:r>
            <w:r w:rsidR="003B1927">
              <w:rPr>
                <w:rFonts w:ascii="Calibri" w:hAnsi="Calibri"/>
                <w:color w:val="000000"/>
              </w:rPr>
              <w:t xml:space="preserve">realizó la primera </w:t>
            </w:r>
            <w:proofErr w:type="spellStart"/>
            <w:r w:rsidR="003B1927" w:rsidRPr="003B1927">
              <w:rPr>
                <w:rFonts w:ascii="Calibri" w:hAnsi="Calibri"/>
                <w:i/>
                <w:color w:val="000000"/>
              </w:rPr>
              <w:t>Hackato</w:t>
            </w:r>
            <w:r w:rsidR="00150479" w:rsidRPr="003B1927">
              <w:rPr>
                <w:rFonts w:ascii="Calibri" w:hAnsi="Calibri"/>
                <w:i/>
                <w:color w:val="000000"/>
              </w:rPr>
              <w:t>n</w:t>
            </w:r>
            <w:proofErr w:type="spellEnd"/>
            <w:r w:rsidR="00150479">
              <w:rPr>
                <w:rFonts w:ascii="Calibri" w:hAnsi="Calibri"/>
                <w:color w:val="000000"/>
              </w:rPr>
              <w:t xml:space="preserve"> Regional </w:t>
            </w:r>
            <w:r>
              <w:rPr>
                <w:rFonts w:ascii="Calibri" w:hAnsi="Calibri"/>
                <w:color w:val="000000"/>
              </w:rPr>
              <w:t>en el Gobierno Regional de La Libertad</w:t>
            </w:r>
            <w:r w:rsidR="00150479">
              <w:rPr>
                <w:rFonts w:ascii="Calibri" w:hAnsi="Calibri"/>
                <w:color w:val="000000"/>
              </w:rPr>
              <w:t xml:space="preserve">: </w:t>
            </w:r>
            <w:hyperlink r:id="rId54" w:history="1">
              <w:r w:rsidR="00150479" w:rsidRPr="00085904">
                <w:rPr>
                  <w:rStyle w:val="Hipervnculo"/>
                  <w:rFonts w:ascii="Calibri" w:hAnsi="Calibri"/>
                </w:rPr>
                <w:t>http://www.regionlalibertad.gob.pe/noticias/regionales/5989-exitosa-hackathon-en-la-libertad-marca-el-rumbo-de-la-innovacion-digital-en-el-norte-del-pais</w:t>
              </w:r>
            </w:hyperlink>
          </w:p>
          <w:p w:rsidR="00150479" w:rsidRPr="00672F76" w:rsidRDefault="00150479" w:rsidP="00672F76">
            <w:pPr>
              <w:pStyle w:val="Prrafodelista"/>
              <w:jc w:val="both"/>
              <w:rPr>
                <w:rFonts w:ascii="Calibri" w:hAnsi="Calibri"/>
                <w:color w:val="000000"/>
              </w:rPr>
            </w:pPr>
            <w:r>
              <w:rPr>
                <w:rFonts w:ascii="Calibri" w:hAnsi="Calibri"/>
                <w:color w:val="000000"/>
              </w:rPr>
              <w:t xml:space="preserve">en </w:t>
            </w:r>
            <w:r w:rsidR="00672F76">
              <w:rPr>
                <w:rFonts w:ascii="Calibri" w:hAnsi="Calibri"/>
                <w:color w:val="000000"/>
              </w:rPr>
              <w:t xml:space="preserve"> Tarapoto y en la ciudad de Lima en el Ministerio de Salud c</w:t>
            </w:r>
            <w:r>
              <w:rPr>
                <w:rFonts w:ascii="Calibri" w:hAnsi="Calibri"/>
                <w:color w:val="000000"/>
              </w:rPr>
              <w:t xml:space="preserve">on la participación de Concytec: </w:t>
            </w:r>
            <w:hyperlink r:id="rId55" w:history="1">
              <w:r w:rsidRPr="00085904">
                <w:rPr>
                  <w:rStyle w:val="Hipervnculo"/>
                  <w:rFonts w:ascii="Calibri" w:hAnsi="Calibri"/>
                </w:rPr>
                <w:t>https://www.ministeriodesalud.go.cr/index.php/sobre-ministerio/campanas-en-salud?id=558</w:t>
              </w:r>
            </w:hyperlink>
          </w:p>
          <w:p w:rsidR="00672F76" w:rsidRDefault="00672F76" w:rsidP="00672F76">
            <w:pPr>
              <w:pStyle w:val="Prrafodelista"/>
              <w:numPr>
                <w:ilvl w:val="0"/>
                <w:numId w:val="25"/>
              </w:numPr>
              <w:jc w:val="both"/>
              <w:rPr>
                <w:rFonts w:ascii="Calibri" w:hAnsi="Calibri"/>
                <w:b/>
                <w:i/>
                <w:color w:val="000000"/>
              </w:rPr>
            </w:pPr>
            <w:r w:rsidRPr="00672F76">
              <w:rPr>
                <w:rFonts w:ascii="Calibri" w:hAnsi="Calibri"/>
                <w:b/>
                <w:i/>
                <w:color w:val="000000"/>
              </w:rPr>
              <w:t>Capacitación a funcionarios para el desarrollo de aplicaciones móviles.</w:t>
            </w:r>
          </w:p>
          <w:p w:rsidR="00150479" w:rsidRDefault="00150479" w:rsidP="00150479">
            <w:pPr>
              <w:ind w:left="771"/>
              <w:contextualSpacing/>
              <w:jc w:val="both"/>
              <w:rPr>
                <w:color w:val="000000" w:themeColor="text1"/>
              </w:rPr>
            </w:pPr>
            <w:r>
              <w:rPr>
                <w:color w:val="000000" w:themeColor="text1"/>
              </w:rPr>
              <w:t xml:space="preserve">Se han realizado seis talleres, la información la pueden encontrar en: </w:t>
            </w:r>
            <w:hyperlink r:id="rId56" w:history="1">
              <w:r w:rsidRPr="00085904">
                <w:rPr>
                  <w:rStyle w:val="Hipervnculo"/>
                </w:rPr>
                <w:t>https://www.ongei.gob.pe/eventos/ongei_eventos.asp?pk_id_entidad=1878/eventos/ongei_eventos.asp?pk_id_entidad=1878</w:t>
              </w:r>
            </w:hyperlink>
          </w:p>
          <w:p w:rsidR="00672F76" w:rsidRPr="00672F76" w:rsidRDefault="00672F76" w:rsidP="00672F76">
            <w:pPr>
              <w:pStyle w:val="Prrafodelista"/>
              <w:numPr>
                <w:ilvl w:val="0"/>
                <w:numId w:val="25"/>
              </w:numPr>
              <w:jc w:val="both"/>
              <w:rPr>
                <w:rFonts w:ascii="Calibri" w:hAnsi="Calibri"/>
                <w:b/>
                <w:i/>
                <w:color w:val="000000"/>
              </w:rPr>
            </w:pPr>
            <w:r w:rsidRPr="00672F76">
              <w:rPr>
                <w:rFonts w:ascii="Calibri" w:hAnsi="Calibri"/>
                <w:b/>
                <w:i/>
                <w:color w:val="000000"/>
              </w:rPr>
              <w:t>Mejor</w:t>
            </w:r>
            <w:r w:rsidR="00A90888">
              <w:rPr>
                <w:rFonts w:ascii="Calibri" w:hAnsi="Calibri"/>
                <w:b/>
                <w:i/>
                <w:color w:val="000000"/>
              </w:rPr>
              <w:t>ar</w:t>
            </w:r>
            <w:r w:rsidRPr="00672F76">
              <w:rPr>
                <w:rFonts w:ascii="Calibri" w:hAnsi="Calibri"/>
                <w:b/>
                <w:i/>
                <w:color w:val="000000"/>
              </w:rPr>
              <w:t xml:space="preserve"> el portal de servicios al ciudadano y empresas para convertirlo en un portal de ventanilla e identificación única del ciudadano para que realicen sus trámites en los diferentes servicios públicos en línea del Poder Ejecutivo, a través de cualquier dispositivo móvil.    </w:t>
            </w:r>
          </w:p>
          <w:p w:rsidR="00150479" w:rsidRDefault="00150479" w:rsidP="00150479">
            <w:pPr>
              <w:ind w:left="771"/>
              <w:jc w:val="both"/>
              <w:rPr>
                <w:color w:val="000000" w:themeColor="text1"/>
              </w:rPr>
            </w:pPr>
            <w:r>
              <w:rPr>
                <w:color w:val="000000" w:themeColor="text1"/>
              </w:rPr>
              <w:t>Se puede visualizar el portal en el siguiente enlace:</w:t>
            </w:r>
          </w:p>
          <w:p w:rsidR="00F40088" w:rsidRDefault="002F3E0D" w:rsidP="00150479">
            <w:pPr>
              <w:ind w:left="771"/>
              <w:jc w:val="both"/>
              <w:rPr>
                <w:color w:val="000000" w:themeColor="text1"/>
              </w:rPr>
            </w:pPr>
            <w:hyperlink r:id="rId57" w:history="1">
              <w:r w:rsidR="00150479" w:rsidRPr="00085904">
                <w:rPr>
                  <w:rStyle w:val="Hipervnculo"/>
                </w:rPr>
                <w:t>http://www.serviciosalciudadano.gob.pe</w:t>
              </w:r>
            </w:hyperlink>
          </w:p>
          <w:p w:rsidR="000E1EC0" w:rsidRPr="00295641" w:rsidRDefault="000E1EC0" w:rsidP="000E1EC0">
            <w:pPr>
              <w:jc w:val="both"/>
              <w:rPr>
                <w:color w:val="000000" w:themeColor="text1"/>
              </w:rPr>
            </w:pPr>
            <w:r>
              <w:rPr>
                <w:color w:val="000000" w:themeColor="text1"/>
              </w:rPr>
              <w:t>Fuente:  Memorando N° 568-2016-PCM/ONGEI, del 15.09.16</w:t>
            </w:r>
          </w:p>
        </w:tc>
      </w:tr>
      <w:tr w:rsidR="00F40088" w:rsidRPr="00295641" w:rsidTr="00F40088">
        <w:tc>
          <w:tcPr>
            <w:tcW w:w="2518" w:type="dxa"/>
            <w:gridSpan w:val="2"/>
            <w:shd w:val="clear" w:color="auto" w:fill="C6D9F1" w:themeFill="text2" w:themeFillTint="33"/>
            <w:vAlign w:val="center"/>
          </w:tcPr>
          <w:p w:rsidR="00F40088" w:rsidRPr="00295641" w:rsidRDefault="00F40088" w:rsidP="00B56E74">
            <w:pPr>
              <w:rPr>
                <w:b/>
                <w:color w:val="000000" w:themeColor="text1"/>
              </w:rPr>
            </w:pPr>
            <w:r w:rsidRPr="00295641">
              <w:rPr>
                <w:rFonts w:cs="Gotham-Book"/>
                <w:b/>
                <w:color w:val="000000" w:themeColor="text1"/>
              </w:rPr>
              <w:t>Fecha de conclusión</w:t>
            </w:r>
          </w:p>
        </w:tc>
        <w:tc>
          <w:tcPr>
            <w:tcW w:w="6521" w:type="dxa"/>
            <w:gridSpan w:val="4"/>
          </w:tcPr>
          <w:p w:rsidR="00F40088" w:rsidRPr="00295641" w:rsidRDefault="00A90888" w:rsidP="00B56E74">
            <w:pPr>
              <w:jc w:val="both"/>
              <w:rPr>
                <w:color w:val="000000" w:themeColor="text1"/>
              </w:rPr>
            </w:pPr>
            <w:r>
              <w:rPr>
                <w:color w:val="000000" w:themeColor="text1"/>
              </w:rPr>
              <w:t>Concluido</w:t>
            </w:r>
          </w:p>
        </w:tc>
      </w:tr>
      <w:tr w:rsidR="00F40088" w:rsidRPr="00295641" w:rsidTr="00F40088">
        <w:tc>
          <w:tcPr>
            <w:tcW w:w="2518" w:type="dxa"/>
            <w:gridSpan w:val="2"/>
            <w:shd w:val="clear" w:color="auto" w:fill="C6D9F1" w:themeFill="text2" w:themeFillTint="33"/>
            <w:vAlign w:val="center"/>
          </w:tcPr>
          <w:p w:rsidR="00F40088" w:rsidRPr="00295641" w:rsidRDefault="00F40088" w:rsidP="00B56E74">
            <w:pPr>
              <w:rPr>
                <w:b/>
                <w:color w:val="000000" w:themeColor="text1"/>
              </w:rPr>
            </w:pPr>
            <w:r w:rsidRPr="00295641">
              <w:rPr>
                <w:rFonts w:cs="Gotham-Book"/>
                <w:b/>
                <w:color w:val="000000" w:themeColor="text1"/>
              </w:rPr>
              <w:t>Próximos pasos</w:t>
            </w:r>
          </w:p>
        </w:tc>
        <w:tc>
          <w:tcPr>
            <w:tcW w:w="6521" w:type="dxa"/>
            <w:gridSpan w:val="4"/>
          </w:tcPr>
          <w:p w:rsidR="00F40088" w:rsidRPr="00295641" w:rsidRDefault="00F40088" w:rsidP="00B56E74">
            <w:pPr>
              <w:jc w:val="both"/>
              <w:rPr>
                <w:color w:val="000000" w:themeColor="text1"/>
              </w:rPr>
            </w:pPr>
            <w:r>
              <w:rPr>
                <w:color w:val="000000" w:themeColor="text1"/>
              </w:rPr>
              <w:t>Estas actividades son de carácter permanente y de continua actualización.</w:t>
            </w:r>
          </w:p>
        </w:tc>
      </w:tr>
      <w:tr w:rsidR="00F40088" w:rsidRPr="00295641" w:rsidTr="00F40088">
        <w:tc>
          <w:tcPr>
            <w:tcW w:w="9039" w:type="dxa"/>
            <w:gridSpan w:val="6"/>
          </w:tcPr>
          <w:p w:rsidR="00F40088" w:rsidRPr="002C2EAC" w:rsidRDefault="002C2EAC" w:rsidP="00B56E74">
            <w:pPr>
              <w:jc w:val="both"/>
              <w:rPr>
                <w:rFonts w:cs="Gotham-Book"/>
                <w:b/>
                <w:color w:val="000000" w:themeColor="text1"/>
              </w:rPr>
            </w:pPr>
            <w:r>
              <w:rPr>
                <w:rFonts w:cs="Gotham-Book"/>
                <w:b/>
                <w:color w:val="000000" w:themeColor="text1"/>
              </w:rPr>
              <w:t>Información adicional</w:t>
            </w:r>
          </w:p>
        </w:tc>
      </w:tr>
      <w:tr w:rsidR="00F40088" w:rsidRPr="00295641" w:rsidTr="00B56E74">
        <w:tc>
          <w:tcPr>
            <w:tcW w:w="9039" w:type="dxa"/>
            <w:gridSpan w:val="6"/>
            <w:shd w:val="clear" w:color="auto" w:fill="548DD4" w:themeFill="text2" w:themeFillTint="99"/>
          </w:tcPr>
          <w:p w:rsidR="00F40088" w:rsidRPr="00295641" w:rsidRDefault="00F40088" w:rsidP="00B56E74">
            <w:pPr>
              <w:tabs>
                <w:tab w:val="left" w:pos="6254"/>
              </w:tabs>
              <w:ind w:left="360"/>
              <w:jc w:val="center"/>
              <w:rPr>
                <w:b/>
              </w:rPr>
            </w:pPr>
            <w:r w:rsidRPr="00A81D25">
              <w:rPr>
                <w:b/>
              </w:rPr>
              <w:t>Componente: Mejora de los Servicios Públicos</w:t>
            </w:r>
          </w:p>
        </w:tc>
      </w:tr>
      <w:tr w:rsidR="00F40088" w:rsidRPr="00A81D25" w:rsidTr="00B56E74">
        <w:tc>
          <w:tcPr>
            <w:tcW w:w="9039" w:type="dxa"/>
            <w:gridSpan w:val="6"/>
            <w:shd w:val="clear" w:color="auto" w:fill="548DD4" w:themeFill="text2" w:themeFillTint="99"/>
          </w:tcPr>
          <w:p w:rsidR="00F40088" w:rsidRPr="00A81D25" w:rsidRDefault="00B757AD" w:rsidP="00B757AD">
            <w:pPr>
              <w:ind w:left="360"/>
              <w:jc w:val="center"/>
              <w:rPr>
                <w:rFonts w:ascii="Calibri" w:hAnsi="Calibri"/>
                <w:b/>
                <w:color w:val="000000"/>
              </w:rPr>
            </w:pPr>
            <w:r w:rsidRPr="00B757AD">
              <w:rPr>
                <w:rFonts w:ascii="Calibri" w:hAnsi="Calibri"/>
                <w:b/>
                <w:color w:val="000000"/>
                <w:u w:val="single"/>
              </w:rPr>
              <w:t xml:space="preserve">Compromiso </w:t>
            </w:r>
            <w:r w:rsidR="00F40088" w:rsidRPr="00B757AD">
              <w:rPr>
                <w:rFonts w:ascii="Calibri" w:hAnsi="Calibri"/>
                <w:b/>
                <w:color w:val="000000"/>
                <w:u w:val="single"/>
              </w:rPr>
              <w:t>16</w:t>
            </w:r>
            <w:r w:rsidR="00F40088" w:rsidRPr="00A81D25">
              <w:rPr>
                <w:rFonts w:ascii="Calibri" w:hAnsi="Calibri"/>
                <w:b/>
                <w:color w:val="000000"/>
              </w:rPr>
              <w:t>. Mejorar los conocimientos de los funcionarios y servidores públicos para que desarrollen y brinden servicios públicos en línea</w:t>
            </w:r>
          </w:p>
        </w:tc>
      </w:tr>
      <w:tr w:rsidR="00F40088" w:rsidRPr="00295641" w:rsidTr="00B56E74">
        <w:tc>
          <w:tcPr>
            <w:tcW w:w="4219" w:type="dxa"/>
            <w:gridSpan w:val="3"/>
            <w:shd w:val="clear" w:color="auto" w:fill="C6D9F1" w:themeFill="text2" w:themeFillTint="33"/>
            <w:vAlign w:val="center"/>
          </w:tcPr>
          <w:p w:rsidR="00F40088" w:rsidRPr="00295641" w:rsidRDefault="00F40088" w:rsidP="00B56E74">
            <w:pPr>
              <w:autoSpaceDE w:val="0"/>
              <w:autoSpaceDN w:val="0"/>
              <w:adjustRightInd w:val="0"/>
              <w:rPr>
                <w:rFonts w:cs="Gotham-Book"/>
                <w:b/>
                <w:color w:val="000000" w:themeColor="text1"/>
              </w:rPr>
            </w:pPr>
            <w:r w:rsidRPr="00295641">
              <w:rPr>
                <w:rFonts w:cs="Gotham-Book"/>
                <w:b/>
                <w:color w:val="000000" w:themeColor="text1"/>
              </w:rPr>
              <w:t>Secretaría/Ministerio</w:t>
            </w:r>
          </w:p>
          <w:p w:rsidR="00F40088" w:rsidRPr="00295641" w:rsidRDefault="00F40088" w:rsidP="00B56E74">
            <w:pPr>
              <w:rPr>
                <w:b/>
                <w:color w:val="000000" w:themeColor="text1"/>
              </w:rPr>
            </w:pPr>
            <w:r w:rsidRPr="00295641">
              <w:rPr>
                <w:rFonts w:cs="Gotham-Book"/>
                <w:b/>
                <w:color w:val="000000" w:themeColor="text1"/>
              </w:rPr>
              <w:t>Responsable</w:t>
            </w:r>
          </w:p>
        </w:tc>
        <w:tc>
          <w:tcPr>
            <w:tcW w:w="4820" w:type="dxa"/>
            <w:gridSpan w:val="3"/>
          </w:tcPr>
          <w:p w:rsidR="00F40088" w:rsidRPr="00295641" w:rsidRDefault="00F40088" w:rsidP="00B56E74">
            <w:pPr>
              <w:jc w:val="both"/>
              <w:rPr>
                <w:color w:val="000000" w:themeColor="text1"/>
              </w:rPr>
            </w:pPr>
            <w:r w:rsidRPr="00B757AD">
              <w:rPr>
                <w:color w:val="000000" w:themeColor="text1"/>
              </w:rPr>
              <w:t>Presidencia del Consejo de Ministros</w:t>
            </w:r>
            <w:r w:rsidR="007A27A4">
              <w:rPr>
                <w:color w:val="000000" w:themeColor="text1"/>
              </w:rPr>
              <w:t>,</w:t>
            </w:r>
            <w:r w:rsidRPr="00B757AD">
              <w:rPr>
                <w:color w:val="000000" w:themeColor="text1"/>
              </w:rPr>
              <w:t xml:space="preserve"> a través de la Secretaría de Gestión Pública -SGP- y la Oficina Nacional de Gobierno Electrónico –ONGEI.</w:t>
            </w:r>
          </w:p>
        </w:tc>
      </w:tr>
      <w:tr w:rsidR="00B757AD" w:rsidRPr="00295641" w:rsidTr="00B56E74">
        <w:tc>
          <w:tcPr>
            <w:tcW w:w="4219" w:type="dxa"/>
            <w:gridSpan w:val="3"/>
            <w:shd w:val="clear" w:color="auto" w:fill="C6D9F1" w:themeFill="text2" w:themeFillTint="33"/>
            <w:vAlign w:val="center"/>
          </w:tcPr>
          <w:p w:rsidR="00B757AD" w:rsidRPr="00295641" w:rsidRDefault="00B757AD" w:rsidP="00B757AD">
            <w:pPr>
              <w:autoSpaceDE w:val="0"/>
              <w:autoSpaceDN w:val="0"/>
              <w:adjustRightInd w:val="0"/>
              <w:rPr>
                <w:rFonts w:cs="Gotham-Book"/>
                <w:b/>
                <w:color w:val="000000" w:themeColor="text1"/>
              </w:rPr>
            </w:pPr>
            <w:r w:rsidRPr="00295641">
              <w:rPr>
                <w:rFonts w:cs="Gotham-Book"/>
                <w:b/>
                <w:color w:val="000000" w:themeColor="text1"/>
              </w:rPr>
              <w:t>Nombre de la persona  responsable</w:t>
            </w:r>
          </w:p>
        </w:tc>
        <w:tc>
          <w:tcPr>
            <w:tcW w:w="4820" w:type="dxa"/>
            <w:gridSpan w:val="3"/>
          </w:tcPr>
          <w:p w:rsidR="00B757AD" w:rsidRPr="00295641" w:rsidRDefault="00B757AD" w:rsidP="00B757AD">
            <w:pPr>
              <w:jc w:val="both"/>
              <w:rPr>
                <w:color w:val="000000" w:themeColor="text1"/>
              </w:rPr>
            </w:pPr>
            <w:r>
              <w:rPr>
                <w:color w:val="000000" w:themeColor="text1"/>
              </w:rPr>
              <w:t>Fernando Zavala Lombardi</w:t>
            </w:r>
          </w:p>
        </w:tc>
      </w:tr>
      <w:tr w:rsidR="00B757AD" w:rsidRPr="00295641" w:rsidTr="00B56E74">
        <w:tc>
          <w:tcPr>
            <w:tcW w:w="4219" w:type="dxa"/>
            <w:gridSpan w:val="3"/>
            <w:shd w:val="clear" w:color="auto" w:fill="C6D9F1" w:themeFill="text2" w:themeFillTint="33"/>
            <w:vAlign w:val="center"/>
          </w:tcPr>
          <w:p w:rsidR="00B757AD" w:rsidRPr="00295641" w:rsidRDefault="00B757AD" w:rsidP="00B757AD">
            <w:pPr>
              <w:rPr>
                <w:b/>
                <w:color w:val="000000" w:themeColor="text1"/>
              </w:rPr>
            </w:pPr>
            <w:r w:rsidRPr="00295641">
              <w:rPr>
                <w:rFonts w:cs="Gotham-Book"/>
                <w:b/>
                <w:color w:val="000000" w:themeColor="text1"/>
              </w:rPr>
              <w:t>Puesto</w:t>
            </w:r>
          </w:p>
        </w:tc>
        <w:tc>
          <w:tcPr>
            <w:tcW w:w="4820" w:type="dxa"/>
            <w:gridSpan w:val="3"/>
          </w:tcPr>
          <w:p w:rsidR="00B757AD" w:rsidRPr="00295641" w:rsidRDefault="00B757AD" w:rsidP="00B757AD">
            <w:pPr>
              <w:jc w:val="both"/>
              <w:rPr>
                <w:color w:val="000000" w:themeColor="text1"/>
              </w:rPr>
            </w:pPr>
            <w:r>
              <w:rPr>
                <w:color w:val="000000" w:themeColor="text1"/>
              </w:rPr>
              <w:t>Presidente del Consejo de Ministros</w:t>
            </w:r>
          </w:p>
        </w:tc>
      </w:tr>
      <w:tr w:rsidR="00B757AD" w:rsidRPr="00295641" w:rsidTr="00B56E74">
        <w:tc>
          <w:tcPr>
            <w:tcW w:w="4219" w:type="dxa"/>
            <w:gridSpan w:val="3"/>
            <w:shd w:val="clear" w:color="auto" w:fill="C6D9F1" w:themeFill="text2" w:themeFillTint="33"/>
            <w:vAlign w:val="center"/>
          </w:tcPr>
          <w:p w:rsidR="00B757AD" w:rsidRPr="00295641" w:rsidRDefault="00B757AD" w:rsidP="00B757AD">
            <w:pPr>
              <w:autoSpaceDE w:val="0"/>
              <w:autoSpaceDN w:val="0"/>
              <w:adjustRightInd w:val="0"/>
              <w:rPr>
                <w:rFonts w:cs="Gotham-Book"/>
                <w:b/>
                <w:color w:val="000000" w:themeColor="text1"/>
              </w:rPr>
            </w:pPr>
            <w:r w:rsidRPr="00295641">
              <w:rPr>
                <w:rFonts w:cs="Gotham-Book"/>
                <w:b/>
                <w:color w:val="000000" w:themeColor="text1"/>
              </w:rPr>
              <w:t>Correo electrónico</w:t>
            </w:r>
          </w:p>
        </w:tc>
        <w:tc>
          <w:tcPr>
            <w:tcW w:w="4820" w:type="dxa"/>
            <w:gridSpan w:val="3"/>
          </w:tcPr>
          <w:p w:rsidR="00B757AD" w:rsidRPr="00295641" w:rsidRDefault="002F3E0D" w:rsidP="00B757AD">
            <w:pPr>
              <w:jc w:val="both"/>
              <w:rPr>
                <w:rFonts w:cs="Arial"/>
                <w:color w:val="0000FF"/>
                <w:u w:val="single"/>
              </w:rPr>
            </w:pPr>
            <w:hyperlink r:id="rId58" w:history="1">
              <w:r w:rsidR="00B757AD" w:rsidRPr="002977A0">
                <w:rPr>
                  <w:rStyle w:val="Hipervnculo"/>
                  <w:rFonts w:cs="Arial"/>
                </w:rPr>
                <w:t>fzavala@pcm.gob.pe</w:t>
              </w:r>
            </w:hyperlink>
          </w:p>
        </w:tc>
      </w:tr>
      <w:tr w:rsidR="00B757AD" w:rsidRPr="00295641" w:rsidTr="00B56E74">
        <w:tc>
          <w:tcPr>
            <w:tcW w:w="4219" w:type="dxa"/>
            <w:gridSpan w:val="3"/>
            <w:shd w:val="clear" w:color="auto" w:fill="C6D9F1" w:themeFill="text2" w:themeFillTint="33"/>
            <w:vAlign w:val="center"/>
          </w:tcPr>
          <w:p w:rsidR="00B757AD" w:rsidRPr="00295641" w:rsidRDefault="00B757AD" w:rsidP="00B757AD">
            <w:pPr>
              <w:rPr>
                <w:b/>
                <w:color w:val="000000" w:themeColor="text1"/>
              </w:rPr>
            </w:pPr>
            <w:r w:rsidRPr="00295641">
              <w:rPr>
                <w:rFonts w:cs="Gotham-Book"/>
                <w:b/>
                <w:color w:val="000000" w:themeColor="text1"/>
              </w:rPr>
              <w:t>Teléfono</w:t>
            </w:r>
          </w:p>
        </w:tc>
        <w:tc>
          <w:tcPr>
            <w:tcW w:w="4820" w:type="dxa"/>
            <w:gridSpan w:val="3"/>
          </w:tcPr>
          <w:p w:rsidR="00B757AD" w:rsidRPr="00295641" w:rsidRDefault="00B757AD" w:rsidP="00B757AD">
            <w:pPr>
              <w:jc w:val="both"/>
              <w:rPr>
                <w:color w:val="000000" w:themeColor="text1"/>
              </w:rPr>
            </w:pPr>
            <w:r>
              <w:rPr>
                <w:color w:val="000000" w:themeColor="text1"/>
              </w:rPr>
              <w:t>51-1-2197000</w:t>
            </w:r>
          </w:p>
        </w:tc>
      </w:tr>
      <w:tr w:rsidR="00F40088" w:rsidRPr="00295641" w:rsidTr="00B56E74">
        <w:tc>
          <w:tcPr>
            <w:tcW w:w="2109" w:type="dxa"/>
            <w:vMerge w:val="restart"/>
            <w:shd w:val="clear" w:color="auto" w:fill="C6D9F1" w:themeFill="text2" w:themeFillTint="33"/>
            <w:vAlign w:val="center"/>
          </w:tcPr>
          <w:p w:rsidR="00F40088" w:rsidRPr="00295641" w:rsidRDefault="00F40088" w:rsidP="00B56E74">
            <w:pPr>
              <w:rPr>
                <w:rFonts w:cs="Gotham-Book"/>
                <w:b/>
                <w:color w:val="000000" w:themeColor="text1"/>
              </w:rPr>
            </w:pPr>
            <w:r>
              <w:rPr>
                <w:rFonts w:cs="Gotham-Book"/>
                <w:b/>
                <w:color w:val="000000" w:themeColor="text1"/>
              </w:rPr>
              <w:t>Otros actores involucrados</w:t>
            </w:r>
          </w:p>
        </w:tc>
        <w:tc>
          <w:tcPr>
            <w:tcW w:w="2110" w:type="dxa"/>
            <w:gridSpan w:val="2"/>
            <w:shd w:val="clear" w:color="auto" w:fill="C6D9F1" w:themeFill="text2" w:themeFillTint="33"/>
            <w:vAlign w:val="center"/>
          </w:tcPr>
          <w:p w:rsidR="00F40088" w:rsidRPr="00295641" w:rsidRDefault="00F40088" w:rsidP="00B56E74">
            <w:pPr>
              <w:rPr>
                <w:rFonts w:cs="Gotham-Book"/>
                <w:b/>
                <w:color w:val="000000" w:themeColor="text1"/>
              </w:rPr>
            </w:pPr>
            <w:r>
              <w:rPr>
                <w:rFonts w:cs="Gotham-Book"/>
                <w:b/>
                <w:color w:val="000000" w:themeColor="text1"/>
              </w:rPr>
              <w:t>Gobierno</w:t>
            </w:r>
          </w:p>
        </w:tc>
        <w:tc>
          <w:tcPr>
            <w:tcW w:w="4820" w:type="dxa"/>
            <w:gridSpan w:val="3"/>
          </w:tcPr>
          <w:p w:rsidR="00F40088" w:rsidRPr="00295641" w:rsidRDefault="00F40088" w:rsidP="00B56E74">
            <w:pPr>
              <w:jc w:val="both"/>
              <w:rPr>
                <w:color w:val="000000" w:themeColor="text1"/>
              </w:rPr>
            </w:pPr>
            <w:r>
              <w:rPr>
                <w:color w:val="000000" w:themeColor="text1"/>
              </w:rPr>
              <w:t>No aplica</w:t>
            </w:r>
          </w:p>
        </w:tc>
      </w:tr>
      <w:tr w:rsidR="00F40088" w:rsidRPr="00295641" w:rsidTr="00B56E74">
        <w:tc>
          <w:tcPr>
            <w:tcW w:w="2109" w:type="dxa"/>
            <w:vMerge/>
            <w:shd w:val="clear" w:color="auto" w:fill="C6D9F1" w:themeFill="text2" w:themeFillTint="33"/>
            <w:vAlign w:val="center"/>
          </w:tcPr>
          <w:p w:rsidR="00F40088" w:rsidRPr="00295641" w:rsidRDefault="00F40088" w:rsidP="00B56E74">
            <w:pPr>
              <w:rPr>
                <w:rFonts w:cs="Gotham-Book"/>
                <w:b/>
                <w:color w:val="000000" w:themeColor="text1"/>
              </w:rPr>
            </w:pPr>
          </w:p>
        </w:tc>
        <w:tc>
          <w:tcPr>
            <w:tcW w:w="2110" w:type="dxa"/>
            <w:gridSpan w:val="2"/>
            <w:shd w:val="clear" w:color="auto" w:fill="C6D9F1" w:themeFill="text2" w:themeFillTint="33"/>
            <w:vAlign w:val="center"/>
          </w:tcPr>
          <w:p w:rsidR="00F40088" w:rsidRPr="00295641" w:rsidRDefault="00F40088" w:rsidP="00B56E74">
            <w:pPr>
              <w:rPr>
                <w:rFonts w:cs="Gotham-Book"/>
                <w:b/>
                <w:color w:val="000000" w:themeColor="text1"/>
              </w:rPr>
            </w:pPr>
            <w:r>
              <w:rPr>
                <w:rFonts w:cs="Gotham-Book"/>
                <w:b/>
                <w:color w:val="000000" w:themeColor="text1"/>
              </w:rPr>
              <w:t>Sociedad civil, iniciativa privada, grupos de trabajo o multilaterales</w:t>
            </w:r>
          </w:p>
        </w:tc>
        <w:tc>
          <w:tcPr>
            <w:tcW w:w="4820" w:type="dxa"/>
            <w:gridSpan w:val="3"/>
          </w:tcPr>
          <w:p w:rsidR="00F40088" w:rsidRPr="00295641" w:rsidRDefault="00F40088" w:rsidP="00B56E74">
            <w:pPr>
              <w:jc w:val="both"/>
              <w:rPr>
                <w:color w:val="000000" w:themeColor="text1"/>
              </w:rPr>
            </w:pPr>
          </w:p>
        </w:tc>
      </w:tr>
      <w:tr w:rsidR="00F40088" w:rsidRPr="00295641" w:rsidTr="00B56E74">
        <w:tc>
          <w:tcPr>
            <w:tcW w:w="4219" w:type="dxa"/>
            <w:gridSpan w:val="3"/>
            <w:shd w:val="clear" w:color="auto" w:fill="C6D9F1" w:themeFill="text2" w:themeFillTint="33"/>
            <w:vAlign w:val="center"/>
          </w:tcPr>
          <w:p w:rsidR="00F40088" w:rsidRPr="00295641" w:rsidRDefault="00F40088" w:rsidP="00B56E74">
            <w:pPr>
              <w:rPr>
                <w:rFonts w:cs="Gotham-Book"/>
                <w:b/>
                <w:color w:val="000000" w:themeColor="text1"/>
              </w:rPr>
            </w:pPr>
            <w:r>
              <w:rPr>
                <w:rFonts w:cs="Gotham-Book"/>
                <w:b/>
                <w:color w:val="000000" w:themeColor="text1"/>
              </w:rPr>
              <w:t>Status quo o problema/</w:t>
            </w:r>
            <w:r>
              <w:rPr>
                <w:rFonts w:cs="Gotham-Book"/>
                <w:b/>
                <w:color w:val="000000" w:themeColor="text1"/>
              </w:rPr>
              <w:br/>
              <w:t>desafío que será atendido</w:t>
            </w:r>
          </w:p>
        </w:tc>
        <w:tc>
          <w:tcPr>
            <w:tcW w:w="4820" w:type="dxa"/>
            <w:gridSpan w:val="3"/>
          </w:tcPr>
          <w:p w:rsidR="00F40088" w:rsidRDefault="00477C37" w:rsidP="007A27A4">
            <w:pPr>
              <w:autoSpaceDE w:val="0"/>
              <w:autoSpaceDN w:val="0"/>
              <w:adjustRightInd w:val="0"/>
              <w:jc w:val="both"/>
              <w:rPr>
                <w:color w:val="000000" w:themeColor="text1"/>
                <w:lang w:val="es-PE"/>
              </w:rPr>
            </w:pPr>
            <w:r>
              <w:rPr>
                <w:color w:val="000000" w:themeColor="text1"/>
                <w:lang w:val="es-PE"/>
              </w:rPr>
              <w:t xml:space="preserve">La incorporación del Estado Peruano a la “Alianza para el Gobierno Abierto” requiere no solo de la implementación del Plan de Acción, sino que, además, representa un desafío para garantizar que los funcionarios y servidores públicos posean las capacidades y competencias necesarias para cumplir los compromisos </w:t>
            </w:r>
            <w:r w:rsidR="00FF6444">
              <w:rPr>
                <w:color w:val="000000" w:themeColor="text1"/>
                <w:lang w:val="es-PE"/>
              </w:rPr>
              <w:t>adquiridos, en el marco del uso de las tecnologías de información.</w:t>
            </w:r>
          </w:p>
          <w:p w:rsidR="00477C37" w:rsidRPr="00274A1A" w:rsidRDefault="00FF6444" w:rsidP="00B76B11">
            <w:pPr>
              <w:autoSpaceDE w:val="0"/>
              <w:autoSpaceDN w:val="0"/>
              <w:adjustRightInd w:val="0"/>
              <w:jc w:val="both"/>
              <w:rPr>
                <w:color w:val="000000" w:themeColor="text1"/>
                <w:lang w:val="es-PE"/>
              </w:rPr>
            </w:pPr>
            <w:r>
              <w:rPr>
                <w:color w:val="000000" w:themeColor="text1"/>
                <w:lang w:val="es-PE"/>
              </w:rPr>
              <w:t xml:space="preserve">Si bien el Estado, actualmente, viene implementando iniciativas en la prestación de servicios públicos en línea, es necesario que dichos funciones y servidores desarrollen las habilidades  y competencias que aseguren la calidad y el incremento de los servicios, a través de las plataformas digitales, generando un mayor acercamiento entre </w:t>
            </w:r>
            <w:r w:rsidR="00B76B11">
              <w:rPr>
                <w:color w:val="000000" w:themeColor="text1"/>
                <w:lang w:val="es-PE"/>
              </w:rPr>
              <w:t>la administración pública</w:t>
            </w:r>
            <w:r>
              <w:rPr>
                <w:color w:val="000000" w:themeColor="text1"/>
                <w:lang w:val="es-PE"/>
              </w:rPr>
              <w:t xml:space="preserve"> y el ciudadano.</w:t>
            </w:r>
          </w:p>
        </w:tc>
      </w:tr>
      <w:tr w:rsidR="00F40088" w:rsidRPr="00295641" w:rsidTr="00B56E74">
        <w:tc>
          <w:tcPr>
            <w:tcW w:w="4219" w:type="dxa"/>
            <w:gridSpan w:val="3"/>
            <w:shd w:val="clear" w:color="auto" w:fill="C6D9F1" w:themeFill="text2" w:themeFillTint="33"/>
            <w:vAlign w:val="center"/>
          </w:tcPr>
          <w:p w:rsidR="00F40088" w:rsidRPr="00295641" w:rsidRDefault="00F40088" w:rsidP="00B56E74">
            <w:pPr>
              <w:rPr>
                <w:b/>
                <w:color w:val="000000" w:themeColor="text1"/>
              </w:rPr>
            </w:pPr>
            <w:r w:rsidRPr="00295641">
              <w:rPr>
                <w:rFonts w:cs="Gotham-Book"/>
                <w:b/>
                <w:color w:val="000000" w:themeColor="text1"/>
              </w:rPr>
              <w:t>Objetivo principal</w:t>
            </w:r>
          </w:p>
        </w:tc>
        <w:tc>
          <w:tcPr>
            <w:tcW w:w="4820" w:type="dxa"/>
            <w:gridSpan w:val="3"/>
          </w:tcPr>
          <w:p w:rsidR="00F40088" w:rsidRPr="005E5671" w:rsidRDefault="00F40088" w:rsidP="00B56E74">
            <w:pPr>
              <w:jc w:val="both"/>
              <w:rPr>
                <w:bCs/>
              </w:rPr>
            </w:pPr>
            <w:r>
              <w:rPr>
                <w:bCs/>
              </w:rPr>
              <w:t>Promover el desarrollo y mejora de los servicios en línea</w:t>
            </w:r>
            <w:r w:rsidR="007A27A4">
              <w:rPr>
                <w:bCs/>
              </w:rPr>
              <w:t>,</w:t>
            </w:r>
            <w:r>
              <w:rPr>
                <w:bCs/>
              </w:rPr>
              <w:t xml:space="preserve"> disponibles en el </w:t>
            </w:r>
            <w:r w:rsidR="00B757AD">
              <w:rPr>
                <w:bCs/>
              </w:rPr>
              <w:t>Portal de</w:t>
            </w:r>
            <w:r>
              <w:rPr>
                <w:bCs/>
              </w:rPr>
              <w:t xml:space="preserve"> Servicios al Ciudadano y Empresa y en los portales de las entidades públicas, así como el uso de dichos servicios por parte de los ciudadanos y ciudadanas.   </w:t>
            </w:r>
          </w:p>
        </w:tc>
      </w:tr>
      <w:tr w:rsidR="00F40088" w:rsidRPr="00295641" w:rsidTr="00B56E74">
        <w:tc>
          <w:tcPr>
            <w:tcW w:w="4219" w:type="dxa"/>
            <w:gridSpan w:val="3"/>
            <w:shd w:val="clear" w:color="auto" w:fill="C6D9F1" w:themeFill="text2" w:themeFillTint="33"/>
            <w:vAlign w:val="center"/>
          </w:tcPr>
          <w:p w:rsidR="00F40088" w:rsidRPr="00295641" w:rsidRDefault="00F40088" w:rsidP="00B56E74">
            <w:pPr>
              <w:autoSpaceDE w:val="0"/>
              <w:autoSpaceDN w:val="0"/>
              <w:adjustRightInd w:val="0"/>
              <w:rPr>
                <w:rFonts w:cs="Gotham-Book"/>
                <w:b/>
                <w:color w:val="000000" w:themeColor="text1"/>
              </w:rPr>
            </w:pPr>
            <w:r>
              <w:rPr>
                <w:rFonts w:cs="Gotham-Book"/>
                <w:b/>
                <w:color w:val="000000" w:themeColor="text1"/>
              </w:rPr>
              <w:t xml:space="preserve">Breve </w:t>
            </w:r>
            <w:r w:rsidRPr="00295641">
              <w:rPr>
                <w:rFonts w:cs="Gotham-Book"/>
                <w:b/>
                <w:color w:val="000000" w:themeColor="text1"/>
              </w:rPr>
              <w:t>Descripción del</w:t>
            </w:r>
          </w:p>
          <w:p w:rsidR="00F40088" w:rsidRPr="00295641" w:rsidRDefault="00F40088" w:rsidP="00B56E74">
            <w:pPr>
              <w:autoSpaceDE w:val="0"/>
              <w:autoSpaceDN w:val="0"/>
              <w:adjustRightInd w:val="0"/>
              <w:rPr>
                <w:rFonts w:cs="Gotham-Book"/>
                <w:b/>
                <w:color w:val="000000" w:themeColor="text1"/>
              </w:rPr>
            </w:pPr>
            <w:r w:rsidRPr="00295641">
              <w:rPr>
                <w:rFonts w:cs="Gotham-Book"/>
                <w:b/>
                <w:color w:val="000000" w:themeColor="text1"/>
              </w:rPr>
              <w:t>Compromiso</w:t>
            </w:r>
          </w:p>
        </w:tc>
        <w:tc>
          <w:tcPr>
            <w:tcW w:w="4820" w:type="dxa"/>
            <w:gridSpan w:val="3"/>
          </w:tcPr>
          <w:p w:rsidR="00F40088" w:rsidRPr="000E1EC0" w:rsidRDefault="00F40088" w:rsidP="000E1EC0">
            <w:pPr>
              <w:jc w:val="both"/>
              <w:rPr>
                <w:rFonts w:ascii="Calibri" w:hAnsi="Calibri"/>
                <w:color w:val="000000"/>
              </w:rPr>
            </w:pPr>
            <w:r>
              <w:rPr>
                <w:rFonts w:ascii="Calibri" w:hAnsi="Calibri"/>
                <w:color w:val="000000"/>
              </w:rPr>
              <w:t>Mejorar los conocimientos y desarrollar habilidades de los funcionarios y servidores públicos para que desarrollen y brinden servicios públicos en línea, así como de los ciudadanos y ciudadanas para que hagan uso de dichos servicios</w:t>
            </w:r>
            <w:r w:rsidR="00B757AD">
              <w:rPr>
                <w:rFonts w:ascii="Calibri" w:hAnsi="Calibri"/>
                <w:color w:val="000000"/>
              </w:rPr>
              <w:t>, ampliando</w:t>
            </w:r>
            <w:r>
              <w:rPr>
                <w:rFonts w:ascii="Calibri" w:hAnsi="Calibri"/>
                <w:color w:val="000000"/>
              </w:rPr>
              <w:t xml:space="preserve"> progresivamente la cobertura de la capacitación.</w:t>
            </w:r>
          </w:p>
        </w:tc>
      </w:tr>
      <w:tr w:rsidR="00F40088" w:rsidRPr="00295641" w:rsidTr="00B56E74">
        <w:tc>
          <w:tcPr>
            <w:tcW w:w="4219" w:type="dxa"/>
            <w:gridSpan w:val="3"/>
            <w:shd w:val="clear" w:color="auto" w:fill="C6D9F1" w:themeFill="text2" w:themeFillTint="33"/>
            <w:vAlign w:val="center"/>
          </w:tcPr>
          <w:p w:rsidR="00F40088" w:rsidRPr="00295641" w:rsidRDefault="00F40088" w:rsidP="00B56E74">
            <w:pPr>
              <w:autoSpaceDE w:val="0"/>
              <w:autoSpaceDN w:val="0"/>
              <w:adjustRightInd w:val="0"/>
              <w:rPr>
                <w:rFonts w:cs="Gotham-Book"/>
                <w:b/>
                <w:color w:val="000000" w:themeColor="text1"/>
              </w:rPr>
            </w:pPr>
            <w:r w:rsidRPr="00295641">
              <w:rPr>
                <w:rFonts w:cs="Gotham-Book"/>
                <w:b/>
                <w:color w:val="000000" w:themeColor="text1"/>
              </w:rPr>
              <w:t>Relevancia</w:t>
            </w:r>
          </w:p>
          <w:p w:rsidR="00F40088" w:rsidRPr="00295641" w:rsidRDefault="00F40088" w:rsidP="00B56E74">
            <w:pPr>
              <w:autoSpaceDE w:val="0"/>
              <w:autoSpaceDN w:val="0"/>
              <w:adjustRightInd w:val="0"/>
              <w:rPr>
                <w:b/>
                <w:color w:val="000000" w:themeColor="text1"/>
              </w:rPr>
            </w:pPr>
          </w:p>
        </w:tc>
        <w:tc>
          <w:tcPr>
            <w:tcW w:w="4820" w:type="dxa"/>
            <w:gridSpan w:val="3"/>
          </w:tcPr>
          <w:p w:rsidR="00F40088" w:rsidRPr="00D55406" w:rsidRDefault="00B757AD" w:rsidP="00B757AD">
            <w:pPr>
              <w:jc w:val="both"/>
              <w:rPr>
                <w:color w:val="FF0000"/>
                <w:szCs w:val="20"/>
                <w:lang w:val="es-PE"/>
              </w:rPr>
            </w:pPr>
            <w:r w:rsidRPr="001F057B">
              <w:rPr>
                <w:szCs w:val="20"/>
                <w:lang w:val="es-PE"/>
              </w:rPr>
              <w:t>El mayor recurso con el que cuenta la administración pública para cumplir con sus objetivos, es el recurso humano, por ello, la importancia de mantener de una manera sostenible el fortalecimiento de conocimiento y habilidades al personal para que pueda brindar mejores servicios al ciudadano, con ello se contribuye a fortalecer los valores que promueve la OGP.</w:t>
            </w:r>
            <w:r w:rsidR="00F40088" w:rsidRPr="001F057B">
              <w:rPr>
                <w:szCs w:val="20"/>
                <w:lang w:val="es-PE"/>
              </w:rPr>
              <w:t xml:space="preserve"> </w:t>
            </w:r>
          </w:p>
        </w:tc>
      </w:tr>
      <w:tr w:rsidR="00F40088" w:rsidRPr="00295641" w:rsidTr="00B56E74">
        <w:tc>
          <w:tcPr>
            <w:tcW w:w="4219" w:type="dxa"/>
            <w:gridSpan w:val="3"/>
            <w:shd w:val="clear" w:color="auto" w:fill="C6D9F1" w:themeFill="text2" w:themeFillTint="33"/>
            <w:vAlign w:val="center"/>
          </w:tcPr>
          <w:p w:rsidR="00F40088" w:rsidRPr="00295641" w:rsidRDefault="00F40088" w:rsidP="00B56E74">
            <w:pPr>
              <w:autoSpaceDE w:val="0"/>
              <w:autoSpaceDN w:val="0"/>
              <w:adjustRightInd w:val="0"/>
              <w:rPr>
                <w:rFonts w:cs="Gotham-Book"/>
                <w:b/>
                <w:color w:val="000000" w:themeColor="text1"/>
              </w:rPr>
            </w:pPr>
            <w:r w:rsidRPr="00295641">
              <w:rPr>
                <w:rFonts w:cs="Gotham-Book"/>
                <w:b/>
                <w:color w:val="000000" w:themeColor="text1"/>
              </w:rPr>
              <w:t>Ambición</w:t>
            </w:r>
          </w:p>
          <w:p w:rsidR="00F40088" w:rsidRPr="00295641" w:rsidRDefault="00F40088" w:rsidP="00B56E74">
            <w:pPr>
              <w:autoSpaceDE w:val="0"/>
              <w:autoSpaceDN w:val="0"/>
              <w:adjustRightInd w:val="0"/>
              <w:rPr>
                <w:rFonts w:cs="Gotham-BookItalic"/>
                <w:b/>
                <w:iCs/>
                <w:color w:val="000000" w:themeColor="text1"/>
              </w:rPr>
            </w:pPr>
          </w:p>
        </w:tc>
        <w:tc>
          <w:tcPr>
            <w:tcW w:w="4820" w:type="dxa"/>
            <w:gridSpan w:val="3"/>
          </w:tcPr>
          <w:p w:rsidR="00F40088" w:rsidRPr="00D55406" w:rsidRDefault="000E1EC0" w:rsidP="001F057B">
            <w:pPr>
              <w:jc w:val="both"/>
              <w:rPr>
                <w:color w:val="FF0000"/>
                <w:szCs w:val="20"/>
                <w:lang w:val="es-PE"/>
              </w:rPr>
            </w:pPr>
            <w:r w:rsidRPr="001F057B">
              <w:rPr>
                <w:szCs w:val="20"/>
                <w:lang w:val="es-PE"/>
              </w:rPr>
              <w:t xml:space="preserve">El compromiso concluido procura </w:t>
            </w:r>
            <w:r w:rsidR="001F057B" w:rsidRPr="001F057B">
              <w:rPr>
                <w:szCs w:val="20"/>
                <w:lang w:val="es-PE"/>
              </w:rPr>
              <w:t>contar con personal que ponga en práctica los conocimientos para prestar mejores servicios, así como brindar conocimiento a la ciudadanía fortaleciendo la apertura a los servicios en línea.</w:t>
            </w:r>
          </w:p>
        </w:tc>
      </w:tr>
      <w:tr w:rsidR="00F40088" w:rsidRPr="00295641" w:rsidTr="00B56E74">
        <w:tc>
          <w:tcPr>
            <w:tcW w:w="2518" w:type="dxa"/>
            <w:gridSpan w:val="2"/>
            <w:vMerge w:val="restart"/>
            <w:shd w:val="clear" w:color="auto" w:fill="C6D9F1" w:themeFill="text2" w:themeFillTint="33"/>
            <w:vAlign w:val="center"/>
          </w:tcPr>
          <w:p w:rsidR="00F40088" w:rsidRPr="00295641" w:rsidRDefault="00F40088" w:rsidP="00B56E74">
            <w:pPr>
              <w:rPr>
                <w:b/>
                <w:color w:val="000000" w:themeColor="text1"/>
              </w:rPr>
            </w:pPr>
            <w:r w:rsidRPr="00295641">
              <w:rPr>
                <w:rFonts w:cs="Gotham-Book"/>
                <w:b/>
                <w:color w:val="000000" w:themeColor="text1"/>
              </w:rPr>
              <w:t>Cumplimiento</w:t>
            </w:r>
          </w:p>
        </w:tc>
        <w:tc>
          <w:tcPr>
            <w:tcW w:w="1701" w:type="dxa"/>
            <w:shd w:val="clear" w:color="auto" w:fill="C6D9F1" w:themeFill="text2" w:themeFillTint="33"/>
          </w:tcPr>
          <w:p w:rsidR="00F40088" w:rsidRPr="00295641" w:rsidRDefault="00F40088" w:rsidP="00B56E74">
            <w:pPr>
              <w:jc w:val="center"/>
              <w:rPr>
                <w:b/>
                <w:color w:val="000000" w:themeColor="text1"/>
              </w:rPr>
            </w:pPr>
            <w:r w:rsidRPr="00295641">
              <w:rPr>
                <w:rFonts w:cs="Gotham-Book"/>
                <w:b/>
                <w:color w:val="000000" w:themeColor="text1"/>
              </w:rPr>
              <w:t>No iniciado</w:t>
            </w:r>
          </w:p>
        </w:tc>
        <w:tc>
          <w:tcPr>
            <w:tcW w:w="1729" w:type="dxa"/>
            <w:shd w:val="clear" w:color="auto" w:fill="C6D9F1" w:themeFill="text2" w:themeFillTint="33"/>
          </w:tcPr>
          <w:p w:rsidR="00F40088" w:rsidRPr="00295641" w:rsidRDefault="00F40088" w:rsidP="00B56E74">
            <w:pPr>
              <w:jc w:val="center"/>
              <w:rPr>
                <w:b/>
                <w:color w:val="000000" w:themeColor="text1"/>
              </w:rPr>
            </w:pPr>
            <w:r w:rsidRPr="00295641">
              <w:rPr>
                <w:rFonts w:cs="Gotham-Book"/>
                <w:b/>
                <w:color w:val="000000" w:themeColor="text1"/>
              </w:rPr>
              <w:t>Limitado</w:t>
            </w:r>
          </w:p>
        </w:tc>
        <w:tc>
          <w:tcPr>
            <w:tcW w:w="1644" w:type="dxa"/>
            <w:shd w:val="clear" w:color="auto" w:fill="C6D9F1" w:themeFill="text2" w:themeFillTint="33"/>
          </w:tcPr>
          <w:p w:rsidR="00F40088" w:rsidRPr="00295641" w:rsidRDefault="00F40088" w:rsidP="00B56E74">
            <w:pPr>
              <w:jc w:val="center"/>
              <w:rPr>
                <w:b/>
                <w:color w:val="000000" w:themeColor="text1"/>
              </w:rPr>
            </w:pPr>
            <w:r w:rsidRPr="00295641">
              <w:rPr>
                <w:rFonts w:cs="Gotham-Book"/>
                <w:b/>
                <w:color w:val="000000" w:themeColor="text1"/>
              </w:rPr>
              <w:t>Sustancial</w:t>
            </w:r>
          </w:p>
        </w:tc>
        <w:tc>
          <w:tcPr>
            <w:tcW w:w="1447" w:type="dxa"/>
            <w:shd w:val="clear" w:color="auto" w:fill="C6D9F1" w:themeFill="text2" w:themeFillTint="33"/>
          </w:tcPr>
          <w:p w:rsidR="00F40088" w:rsidRPr="00295641" w:rsidRDefault="00F40088" w:rsidP="00B56E74">
            <w:pPr>
              <w:jc w:val="center"/>
              <w:rPr>
                <w:b/>
                <w:color w:val="000000" w:themeColor="text1"/>
              </w:rPr>
            </w:pPr>
            <w:r w:rsidRPr="00295641">
              <w:rPr>
                <w:rFonts w:cs="Gotham-Book"/>
                <w:b/>
                <w:color w:val="000000" w:themeColor="text1"/>
              </w:rPr>
              <w:t>Completo</w:t>
            </w:r>
          </w:p>
        </w:tc>
      </w:tr>
      <w:tr w:rsidR="00F40088" w:rsidRPr="00295641" w:rsidTr="00B56E74">
        <w:tc>
          <w:tcPr>
            <w:tcW w:w="2518" w:type="dxa"/>
            <w:gridSpan w:val="2"/>
            <w:vMerge/>
            <w:shd w:val="clear" w:color="auto" w:fill="C6D9F1" w:themeFill="text2" w:themeFillTint="33"/>
            <w:vAlign w:val="center"/>
          </w:tcPr>
          <w:p w:rsidR="00F40088" w:rsidRPr="00295641" w:rsidRDefault="00F40088" w:rsidP="00B56E74">
            <w:pPr>
              <w:rPr>
                <w:b/>
                <w:color w:val="000000" w:themeColor="text1"/>
              </w:rPr>
            </w:pPr>
          </w:p>
        </w:tc>
        <w:tc>
          <w:tcPr>
            <w:tcW w:w="1701" w:type="dxa"/>
          </w:tcPr>
          <w:p w:rsidR="00F40088" w:rsidRPr="00295641" w:rsidRDefault="00F40088" w:rsidP="00B56E74">
            <w:pPr>
              <w:jc w:val="center"/>
              <w:rPr>
                <w:b/>
                <w:color w:val="000000" w:themeColor="text1"/>
              </w:rPr>
            </w:pPr>
          </w:p>
        </w:tc>
        <w:tc>
          <w:tcPr>
            <w:tcW w:w="1729" w:type="dxa"/>
          </w:tcPr>
          <w:p w:rsidR="00F40088" w:rsidRPr="00295641" w:rsidRDefault="00F40088" w:rsidP="00B56E74">
            <w:pPr>
              <w:jc w:val="center"/>
              <w:rPr>
                <w:b/>
                <w:color w:val="000000" w:themeColor="text1"/>
              </w:rPr>
            </w:pPr>
          </w:p>
        </w:tc>
        <w:tc>
          <w:tcPr>
            <w:tcW w:w="1644" w:type="dxa"/>
          </w:tcPr>
          <w:p w:rsidR="00F40088" w:rsidRPr="00295641" w:rsidRDefault="00F40088" w:rsidP="00B56E74">
            <w:pPr>
              <w:jc w:val="center"/>
              <w:rPr>
                <w:b/>
                <w:color w:val="000000" w:themeColor="text1"/>
              </w:rPr>
            </w:pPr>
          </w:p>
        </w:tc>
        <w:tc>
          <w:tcPr>
            <w:tcW w:w="1447" w:type="dxa"/>
            <w:shd w:val="clear" w:color="auto" w:fill="FFFFFF" w:themeFill="background1"/>
          </w:tcPr>
          <w:p w:rsidR="00F40088" w:rsidRPr="00295641" w:rsidRDefault="00F40088" w:rsidP="00B56E74">
            <w:pPr>
              <w:jc w:val="center"/>
              <w:rPr>
                <w:b/>
                <w:color w:val="000000" w:themeColor="text1"/>
              </w:rPr>
            </w:pPr>
            <w:r>
              <w:rPr>
                <w:b/>
                <w:color w:val="000000" w:themeColor="text1"/>
              </w:rPr>
              <w:t>X</w:t>
            </w:r>
          </w:p>
        </w:tc>
      </w:tr>
      <w:tr w:rsidR="00F40088" w:rsidRPr="00295641" w:rsidTr="00B56E74">
        <w:tc>
          <w:tcPr>
            <w:tcW w:w="2518" w:type="dxa"/>
            <w:gridSpan w:val="2"/>
            <w:shd w:val="clear" w:color="auto" w:fill="C6D9F1" w:themeFill="text2" w:themeFillTint="33"/>
            <w:vAlign w:val="center"/>
          </w:tcPr>
          <w:p w:rsidR="00F40088" w:rsidRPr="00295641" w:rsidRDefault="00F40088" w:rsidP="00B56E74">
            <w:pPr>
              <w:autoSpaceDE w:val="0"/>
              <w:autoSpaceDN w:val="0"/>
              <w:adjustRightInd w:val="0"/>
              <w:rPr>
                <w:rFonts w:cs="Gotham-Book"/>
                <w:b/>
                <w:color w:val="000000" w:themeColor="text1"/>
              </w:rPr>
            </w:pPr>
            <w:r w:rsidRPr="00295641">
              <w:rPr>
                <w:rFonts w:cs="Gotham-Book"/>
                <w:b/>
                <w:color w:val="000000" w:themeColor="text1"/>
              </w:rPr>
              <w:t>Descripción de los resultados</w:t>
            </w:r>
          </w:p>
          <w:p w:rsidR="00F40088" w:rsidRPr="00295641" w:rsidRDefault="00F40088" w:rsidP="00B56E74">
            <w:pPr>
              <w:autoSpaceDE w:val="0"/>
              <w:autoSpaceDN w:val="0"/>
              <w:adjustRightInd w:val="0"/>
              <w:rPr>
                <w:rFonts w:cs="Gotham-BookItalic"/>
                <w:b/>
                <w:iCs/>
                <w:color w:val="000000" w:themeColor="text1"/>
              </w:rPr>
            </w:pPr>
          </w:p>
        </w:tc>
        <w:tc>
          <w:tcPr>
            <w:tcW w:w="6521" w:type="dxa"/>
            <w:gridSpan w:val="4"/>
          </w:tcPr>
          <w:p w:rsidR="00B757AD" w:rsidRPr="00B757AD" w:rsidRDefault="00B757AD" w:rsidP="00B757AD">
            <w:pPr>
              <w:pStyle w:val="Prrafodelista"/>
              <w:ind w:left="63"/>
              <w:jc w:val="both"/>
              <w:rPr>
                <w:rFonts w:ascii="Calibri" w:hAnsi="Calibri"/>
                <w:b/>
                <w:bCs/>
                <w:color w:val="000000"/>
              </w:rPr>
            </w:pPr>
            <w:r w:rsidRPr="00B757AD">
              <w:rPr>
                <w:rFonts w:ascii="Calibri" w:hAnsi="Calibri"/>
                <w:bCs/>
                <w:color w:val="000000"/>
              </w:rPr>
              <w:t>Se considera las siguientes actividades</w:t>
            </w:r>
            <w:r>
              <w:rPr>
                <w:rFonts w:ascii="Calibri" w:hAnsi="Calibri"/>
                <w:bCs/>
                <w:color w:val="000000"/>
              </w:rPr>
              <w:t>:</w:t>
            </w:r>
          </w:p>
          <w:p w:rsidR="00B757AD" w:rsidRPr="00B757AD" w:rsidRDefault="00B757AD" w:rsidP="00B757AD">
            <w:pPr>
              <w:pStyle w:val="Prrafodelista"/>
              <w:numPr>
                <w:ilvl w:val="0"/>
                <w:numId w:val="33"/>
              </w:numPr>
              <w:jc w:val="both"/>
              <w:rPr>
                <w:rFonts w:ascii="Calibri" w:hAnsi="Calibri"/>
                <w:b/>
                <w:bCs/>
                <w:i/>
                <w:color w:val="000000"/>
              </w:rPr>
            </w:pPr>
            <w:r w:rsidRPr="00B757AD">
              <w:rPr>
                <w:rFonts w:ascii="Calibri" w:hAnsi="Calibri"/>
                <w:b/>
                <w:i/>
                <w:color w:val="000000"/>
              </w:rPr>
              <w:t xml:space="preserve">Elaboración de un curso de “Ciudadanía Digital y Servicios en Línea”, que incluya información sobre servicios web y servicios móviles.  </w:t>
            </w:r>
          </w:p>
          <w:p w:rsidR="00B757AD" w:rsidRPr="00B757AD" w:rsidRDefault="00B757AD" w:rsidP="00B757AD">
            <w:pPr>
              <w:pStyle w:val="Prrafodelista"/>
              <w:numPr>
                <w:ilvl w:val="0"/>
                <w:numId w:val="33"/>
              </w:numPr>
              <w:jc w:val="both"/>
              <w:rPr>
                <w:rFonts w:ascii="Calibri" w:hAnsi="Calibri"/>
                <w:b/>
                <w:bCs/>
                <w:i/>
                <w:color w:val="000000"/>
              </w:rPr>
            </w:pPr>
            <w:r w:rsidRPr="00B757AD">
              <w:rPr>
                <w:rFonts w:ascii="Calibri" w:hAnsi="Calibri"/>
                <w:b/>
                <w:i/>
                <w:color w:val="000000"/>
              </w:rPr>
              <w:t>Seminarios y talleres de capacitación en “Mejora de la información y servicios en línea de las páginas web de las Entidades Públicas” a los miembros del Sistema Nacional de informática.</w:t>
            </w:r>
          </w:p>
          <w:p w:rsidR="00B757AD" w:rsidRPr="00B757AD" w:rsidRDefault="00B757AD" w:rsidP="00B757AD">
            <w:pPr>
              <w:pStyle w:val="Prrafodelista"/>
              <w:numPr>
                <w:ilvl w:val="0"/>
                <w:numId w:val="33"/>
              </w:numPr>
              <w:jc w:val="both"/>
              <w:rPr>
                <w:rFonts w:ascii="Calibri" w:hAnsi="Calibri"/>
                <w:b/>
                <w:bCs/>
                <w:i/>
                <w:color w:val="000000"/>
              </w:rPr>
            </w:pPr>
            <w:r w:rsidRPr="00B757AD">
              <w:rPr>
                <w:rFonts w:ascii="Calibri" w:hAnsi="Calibri"/>
                <w:b/>
                <w:i/>
                <w:color w:val="000000"/>
              </w:rPr>
              <w:t>Seminario y talleres de capacitación sobre “</w:t>
            </w:r>
            <w:r w:rsidR="007A27A4" w:rsidRPr="00B757AD">
              <w:rPr>
                <w:rFonts w:ascii="Calibri" w:hAnsi="Calibri"/>
                <w:b/>
                <w:i/>
                <w:color w:val="000000"/>
              </w:rPr>
              <w:t>Ciudadanía</w:t>
            </w:r>
            <w:r w:rsidRPr="00B757AD">
              <w:rPr>
                <w:rFonts w:ascii="Calibri" w:hAnsi="Calibri"/>
                <w:b/>
                <w:i/>
                <w:color w:val="000000"/>
              </w:rPr>
              <w:t xml:space="preserve"> Digital y Servicios de </w:t>
            </w:r>
            <w:r w:rsidR="007A27A4" w:rsidRPr="00B757AD">
              <w:rPr>
                <w:rFonts w:ascii="Calibri" w:hAnsi="Calibri"/>
                <w:b/>
                <w:i/>
                <w:color w:val="000000"/>
              </w:rPr>
              <w:t>Línea</w:t>
            </w:r>
            <w:r w:rsidRPr="00B757AD">
              <w:rPr>
                <w:rFonts w:ascii="Calibri" w:hAnsi="Calibri"/>
                <w:b/>
                <w:i/>
                <w:color w:val="000000"/>
              </w:rPr>
              <w:t>” dirigidos a ciudadanos y ciudadanas, empresas y servidores públicos a nivel nacional.</w:t>
            </w:r>
          </w:p>
          <w:p w:rsidR="00B757AD" w:rsidRPr="00B757AD" w:rsidRDefault="00B757AD" w:rsidP="00B757AD">
            <w:pPr>
              <w:pStyle w:val="Prrafodelista"/>
              <w:numPr>
                <w:ilvl w:val="0"/>
                <w:numId w:val="33"/>
              </w:numPr>
              <w:jc w:val="both"/>
              <w:rPr>
                <w:rFonts w:ascii="Calibri" w:hAnsi="Calibri"/>
                <w:b/>
                <w:i/>
                <w:color w:val="000000"/>
              </w:rPr>
            </w:pPr>
            <w:r w:rsidRPr="00B757AD">
              <w:rPr>
                <w:rFonts w:ascii="Calibri" w:hAnsi="Calibri"/>
                <w:b/>
                <w:i/>
                <w:color w:val="000000"/>
              </w:rPr>
              <w:t xml:space="preserve">Capacitaciones en “Ciudadanía Digital y Servicios de Línea” a través de la plataforma de aprendizaje virtual </w:t>
            </w:r>
            <w:proofErr w:type="spellStart"/>
            <w:r w:rsidRPr="00B757AD">
              <w:rPr>
                <w:rFonts w:ascii="Calibri" w:hAnsi="Calibri"/>
                <w:b/>
                <w:i/>
                <w:color w:val="000000"/>
              </w:rPr>
              <w:t>Yachaywasi</w:t>
            </w:r>
            <w:proofErr w:type="spellEnd"/>
            <w:r w:rsidRPr="00B757AD">
              <w:rPr>
                <w:rFonts w:ascii="Calibri" w:hAnsi="Calibri"/>
                <w:b/>
                <w:i/>
                <w:color w:val="000000"/>
              </w:rPr>
              <w:t xml:space="preserve"> Digital.      </w:t>
            </w:r>
          </w:p>
          <w:p w:rsidR="00B757AD" w:rsidRDefault="00612734" w:rsidP="00B56E74">
            <w:pPr>
              <w:jc w:val="both"/>
              <w:rPr>
                <w:color w:val="000000" w:themeColor="text1"/>
              </w:rPr>
            </w:pPr>
            <w:r>
              <w:rPr>
                <w:color w:val="000000" w:themeColor="text1"/>
              </w:rPr>
              <w:t xml:space="preserve">Se concluyó el </w:t>
            </w:r>
            <w:r w:rsidR="00B757AD">
              <w:rPr>
                <w:color w:val="000000" w:themeColor="text1"/>
              </w:rPr>
              <w:t xml:space="preserve">compromiso </w:t>
            </w:r>
            <w:r w:rsidR="001774C1">
              <w:rPr>
                <w:color w:val="000000" w:themeColor="text1"/>
              </w:rPr>
              <w:t xml:space="preserve"> con todas las actividades </w:t>
            </w:r>
            <w:r w:rsidR="00B757AD">
              <w:rPr>
                <w:color w:val="000000" w:themeColor="text1"/>
              </w:rPr>
              <w:t>y la información se encuentra disponible</w:t>
            </w:r>
            <w:r w:rsidR="00187A5D">
              <w:rPr>
                <w:color w:val="000000" w:themeColor="text1"/>
              </w:rPr>
              <w:t xml:space="preserve"> en el siguiente enlace</w:t>
            </w:r>
            <w:r w:rsidR="00B757AD">
              <w:rPr>
                <w:color w:val="000000" w:themeColor="text1"/>
              </w:rPr>
              <w:t>:</w:t>
            </w:r>
          </w:p>
          <w:p w:rsidR="00B757AD" w:rsidRDefault="002F3E0D" w:rsidP="00B757AD">
            <w:pPr>
              <w:jc w:val="both"/>
              <w:rPr>
                <w:color w:val="000000" w:themeColor="text1"/>
              </w:rPr>
            </w:pPr>
            <w:hyperlink r:id="rId59" w:history="1">
              <w:r w:rsidR="00B757AD" w:rsidRPr="00085904">
                <w:rPr>
                  <w:rStyle w:val="Hipervnculo"/>
                </w:rPr>
                <w:t>http://www.ongei.gob.pe/eventos/ongei_eventos.asp?pk_id_entidad=1878</w:t>
              </w:r>
            </w:hyperlink>
          </w:p>
          <w:p w:rsidR="001F057B" w:rsidRPr="00295641" w:rsidRDefault="001F057B" w:rsidP="00B757AD">
            <w:pPr>
              <w:jc w:val="both"/>
              <w:rPr>
                <w:color w:val="000000" w:themeColor="text1"/>
              </w:rPr>
            </w:pPr>
            <w:r>
              <w:rPr>
                <w:color w:val="000000" w:themeColor="text1"/>
              </w:rPr>
              <w:t>Fuente:  Memorando N° 568-2016-PCM/ONGEI, del 15.09.16</w:t>
            </w:r>
          </w:p>
        </w:tc>
      </w:tr>
      <w:tr w:rsidR="00F40088" w:rsidRPr="00295641" w:rsidTr="00B56E74">
        <w:tc>
          <w:tcPr>
            <w:tcW w:w="2518" w:type="dxa"/>
            <w:gridSpan w:val="2"/>
            <w:shd w:val="clear" w:color="auto" w:fill="C6D9F1" w:themeFill="text2" w:themeFillTint="33"/>
            <w:vAlign w:val="center"/>
          </w:tcPr>
          <w:p w:rsidR="00F40088" w:rsidRPr="00295641" w:rsidRDefault="00F40088" w:rsidP="00B56E74">
            <w:pPr>
              <w:rPr>
                <w:b/>
                <w:color w:val="000000" w:themeColor="text1"/>
              </w:rPr>
            </w:pPr>
            <w:r w:rsidRPr="00295641">
              <w:rPr>
                <w:rFonts w:cs="Gotham-Book"/>
                <w:b/>
                <w:color w:val="000000" w:themeColor="text1"/>
              </w:rPr>
              <w:t>Fecha de conclusión</w:t>
            </w:r>
          </w:p>
        </w:tc>
        <w:tc>
          <w:tcPr>
            <w:tcW w:w="6521" w:type="dxa"/>
            <w:gridSpan w:val="4"/>
          </w:tcPr>
          <w:p w:rsidR="00F40088" w:rsidRPr="00295641" w:rsidRDefault="007A27A4" w:rsidP="00B56E74">
            <w:pPr>
              <w:jc w:val="both"/>
              <w:rPr>
                <w:color w:val="000000" w:themeColor="text1"/>
              </w:rPr>
            </w:pPr>
            <w:r>
              <w:rPr>
                <w:color w:val="000000" w:themeColor="text1"/>
              </w:rPr>
              <w:t>Concluido</w:t>
            </w:r>
          </w:p>
        </w:tc>
      </w:tr>
      <w:tr w:rsidR="00F40088" w:rsidRPr="00295641" w:rsidTr="00B56E74">
        <w:tc>
          <w:tcPr>
            <w:tcW w:w="2518" w:type="dxa"/>
            <w:gridSpan w:val="2"/>
            <w:shd w:val="clear" w:color="auto" w:fill="C6D9F1" w:themeFill="text2" w:themeFillTint="33"/>
            <w:vAlign w:val="center"/>
          </w:tcPr>
          <w:p w:rsidR="00F40088" w:rsidRPr="00295641" w:rsidRDefault="00F40088" w:rsidP="00B56E74">
            <w:pPr>
              <w:rPr>
                <w:b/>
                <w:color w:val="000000" w:themeColor="text1"/>
              </w:rPr>
            </w:pPr>
            <w:r w:rsidRPr="00295641">
              <w:rPr>
                <w:rFonts w:cs="Gotham-Book"/>
                <w:b/>
                <w:color w:val="000000" w:themeColor="text1"/>
              </w:rPr>
              <w:t>Próximos pasos</w:t>
            </w:r>
          </w:p>
        </w:tc>
        <w:tc>
          <w:tcPr>
            <w:tcW w:w="6521" w:type="dxa"/>
            <w:gridSpan w:val="4"/>
          </w:tcPr>
          <w:p w:rsidR="00F40088" w:rsidRPr="00295641" w:rsidRDefault="00F40088" w:rsidP="00B56E74">
            <w:pPr>
              <w:jc w:val="both"/>
              <w:rPr>
                <w:color w:val="000000" w:themeColor="text1"/>
              </w:rPr>
            </w:pPr>
            <w:r>
              <w:rPr>
                <w:color w:val="000000" w:themeColor="text1"/>
              </w:rPr>
              <w:t>Estas actividades son de carácter permanente y de continua actualización.</w:t>
            </w:r>
          </w:p>
        </w:tc>
      </w:tr>
      <w:tr w:rsidR="00F40088" w:rsidRPr="00295641" w:rsidTr="00B56E74">
        <w:tc>
          <w:tcPr>
            <w:tcW w:w="9039" w:type="dxa"/>
            <w:gridSpan w:val="6"/>
          </w:tcPr>
          <w:p w:rsidR="00F40088" w:rsidRPr="00295641" w:rsidRDefault="00F40088" w:rsidP="00B56E74">
            <w:pPr>
              <w:jc w:val="both"/>
              <w:rPr>
                <w:rFonts w:cs="Gotham-Book"/>
                <w:b/>
                <w:color w:val="000000" w:themeColor="text1"/>
              </w:rPr>
            </w:pPr>
          </w:p>
          <w:p w:rsidR="00F40088" w:rsidRPr="00295641" w:rsidRDefault="00F40088" w:rsidP="00B56E74">
            <w:pPr>
              <w:jc w:val="both"/>
              <w:rPr>
                <w:color w:val="000000" w:themeColor="text1"/>
              </w:rPr>
            </w:pPr>
            <w:r w:rsidRPr="00B757AD">
              <w:rPr>
                <w:rFonts w:cs="Gotham-Book"/>
                <w:b/>
              </w:rPr>
              <w:t>Información adicional</w:t>
            </w:r>
          </w:p>
        </w:tc>
      </w:tr>
    </w:tbl>
    <w:p w:rsidR="00E107BA" w:rsidRDefault="00E107BA"/>
    <w:p w:rsidR="00272BDF" w:rsidRDefault="00272BDF"/>
    <w:p w:rsidR="00272BDF" w:rsidRDefault="00272BDF"/>
    <w:p w:rsidR="00272BDF" w:rsidRDefault="00272BDF"/>
    <w:p w:rsidR="00272BDF" w:rsidRDefault="00272BDF"/>
    <w:p w:rsidR="00272BDF" w:rsidRDefault="00272BDF"/>
    <w:p w:rsidR="00272BDF" w:rsidRDefault="00272BDF"/>
    <w:p w:rsidR="00272BDF" w:rsidRDefault="00272BDF"/>
    <w:tbl>
      <w:tblPr>
        <w:tblStyle w:val="Tablaconcuadrcula"/>
        <w:tblW w:w="9039" w:type="dxa"/>
        <w:tblLayout w:type="fixed"/>
        <w:tblLook w:val="04A0" w:firstRow="1" w:lastRow="0" w:firstColumn="1" w:lastColumn="0" w:noHBand="0" w:noVBand="1"/>
      </w:tblPr>
      <w:tblGrid>
        <w:gridCol w:w="2109"/>
        <w:gridCol w:w="409"/>
        <w:gridCol w:w="1701"/>
        <w:gridCol w:w="1729"/>
        <w:gridCol w:w="1644"/>
        <w:gridCol w:w="1447"/>
      </w:tblGrid>
      <w:tr w:rsidR="00F40088" w:rsidRPr="00295641" w:rsidTr="00B56E74">
        <w:tc>
          <w:tcPr>
            <w:tcW w:w="9039" w:type="dxa"/>
            <w:gridSpan w:val="6"/>
            <w:shd w:val="clear" w:color="auto" w:fill="548DD4" w:themeFill="text2" w:themeFillTint="99"/>
          </w:tcPr>
          <w:p w:rsidR="00F40088" w:rsidRPr="00295641" w:rsidRDefault="00F40088" w:rsidP="00B56E74">
            <w:pPr>
              <w:ind w:left="360"/>
              <w:jc w:val="center"/>
              <w:rPr>
                <w:b/>
              </w:rPr>
            </w:pPr>
            <w:r w:rsidRPr="00A81D25">
              <w:rPr>
                <w:b/>
              </w:rPr>
              <w:t>Componente: Mejora de los Servicios Públicos</w:t>
            </w:r>
          </w:p>
        </w:tc>
      </w:tr>
      <w:tr w:rsidR="00F40088" w:rsidRPr="00295641" w:rsidTr="00B56E74">
        <w:tc>
          <w:tcPr>
            <w:tcW w:w="9039" w:type="dxa"/>
            <w:gridSpan w:val="6"/>
            <w:shd w:val="clear" w:color="auto" w:fill="548DD4" w:themeFill="text2" w:themeFillTint="99"/>
          </w:tcPr>
          <w:p w:rsidR="00F40088" w:rsidRPr="00C2192C" w:rsidRDefault="001F057B" w:rsidP="00B56E74">
            <w:pPr>
              <w:ind w:left="360"/>
              <w:jc w:val="center"/>
              <w:rPr>
                <w:rFonts w:ascii="Calibri" w:hAnsi="Calibri"/>
                <w:b/>
                <w:color w:val="000000"/>
              </w:rPr>
            </w:pPr>
            <w:r w:rsidRPr="001F057B">
              <w:rPr>
                <w:rFonts w:ascii="Calibri" w:hAnsi="Calibri"/>
                <w:b/>
                <w:color w:val="000000"/>
                <w:u w:val="single"/>
              </w:rPr>
              <w:t xml:space="preserve">Compromiso </w:t>
            </w:r>
            <w:r w:rsidR="00F40088" w:rsidRPr="001F057B">
              <w:rPr>
                <w:rFonts w:ascii="Calibri" w:hAnsi="Calibri"/>
                <w:b/>
                <w:color w:val="000000"/>
                <w:u w:val="single"/>
              </w:rPr>
              <w:t>17</w:t>
            </w:r>
            <w:r w:rsidR="00F40088" w:rsidRPr="00C2192C">
              <w:rPr>
                <w:rFonts w:ascii="Calibri" w:hAnsi="Calibri"/>
                <w:b/>
                <w:color w:val="000000"/>
              </w:rPr>
              <w:t>. Promover una adecuada gestión de las Redes Sociales en las entidades de la Administración Pública como herramientas para comunicar las acciones de dichas entidades</w:t>
            </w:r>
          </w:p>
        </w:tc>
      </w:tr>
      <w:tr w:rsidR="00F40088" w:rsidRPr="00295641" w:rsidTr="00B56E74">
        <w:tc>
          <w:tcPr>
            <w:tcW w:w="4219" w:type="dxa"/>
            <w:gridSpan w:val="3"/>
            <w:shd w:val="clear" w:color="auto" w:fill="C6D9F1" w:themeFill="text2" w:themeFillTint="33"/>
            <w:vAlign w:val="center"/>
          </w:tcPr>
          <w:p w:rsidR="00F40088" w:rsidRPr="00295641" w:rsidRDefault="00F40088" w:rsidP="00B56E74">
            <w:pPr>
              <w:autoSpaceDE w:val="0"/>
              <w:autoSpaceDN w:val="0"/>
              <w:adjustRightInd w:val="0"/>
              <w:rPr>
                <w:rFonts w:cs="Gotham-Book"/>
                <w:b/>
                <w:color w:val="000000" w:themeColor="text1"/>
              </w:rPr>
            </w:pPr>
            <w:r w:rsidRPr="00295641">
              <w:rPr>
                <w:rFonts w:cs="Gotham-Book"/>
                <w:b/>
                <w:color w:val="000000" w:themeColor="text1"/>
              </w:rPr>
              <w:t>Secretaría/Ministerio</w:t>
            </w:r>
          </w:p>
          <w:p w:rsidR="00F40088" w:rsidRPr="00295641" w:rsidRDefault="00F40088" w:rsidP="00B56E74">
            <w:pPr>
              <w:rPr>
                <w:b/>
                <w:color w:val="000000" w:themeColor="text1"/>
              </w:rPr>
            </w:pPr>
            <w:r w:rsidRPr="00295641">
              <w:rPr>
                <w:rFonts w:cs="Gotham-Book"/>
                <w:b/>
                <w:color w:val="000000" w:themeColor="text1"/>
              </w:rPr>
              <w:t>Responsable</w:t>
            </w:r>
          </w:p>
        </w:tc>
        <w:tc>
          <w:tcPr>
            <w:tcW w:w="4820" w:type="dxa"/>
            <w:gridSpan w:val="3"/>
          </w:tcPr>
          <w:p w:rsidR="00F40088" w:rsidRPr="00295641" w:rsidRDefault="00F40088" w:rsidP="00B56E74">
            <w:pPr>
              <w:jc w:val="both"/>
              <w:rPr>
                <w:color w:val="000000" w:themeColor="text1"/>
              </w:rPr>
            </w:pPr>
            <w:r w:rsidRPr="001F057B">
              <w:rPr>
                <w:color w:val="000000" w:themeColor="text1"/>
              </w:rPr>
              <w:t>Presidencia del Consejo de Ministros</w:t>
            </w:r>
            <w:r w:rsidR="003B1927">
              <w:rPr>
                <w:color w:val="000000" w:themeColor="text1"/>
              </w:rPr>
              <w:t>,</w:t>
            </w:r>
            <w:r w:rsidRPr="001F057B">
              <w:rPr>
                <w:color w:val="000000" w:themeColor="text1"/>
              </w:rPr>
              <w:t xml:space="preserve"> a través de la Secretaría de Gestión Pública -SGP- y la Oficina Nacional de Gobierno Electrónico –ONGEI.</w:t>
            </w:r>
          </w:p>
        </w:tc>
      </w:tr>
      <w:tr w:rsidR="001F057B" w:rsidRPr="00295641" w:rsidTr="00B56E74">
        <w:tc>
          <w:tcPr>
            <w:tcW w:w="4219" w:type="dxa"/>
            <w:gridSpan w:val="3"/>
            <w:shd w:val="clear" w:color="auto" w:fill="C6D9F1" w:themeFill="text2" w:themeFillTint="33"/>
            <w:vAlign w:val="center"/>
          </w:tcPr>
          <w:p w:rsidR="001F057B" w:rsidRPr="00295641" w:rsidRDefault="001F057B" w:rsidP="001F057B">
            <w:pPr>
              <w:autoSpaceDE w:val="0"/>
              <w:autoSpaceDN w:val="0"/>
              <w:adjustRightInd w:val="0"/>
              <w:rPr>
                <w:rFonts w:cs="Gotham-Book"/>
                <w:b/>
                <w:color w:val="000000" w:themeColor="text1"/>
              </w:rPr>
            </w:pPr>
            <w:r w:rsidRPr="00295641">
              <w:rPr>
                <w:rFonts w:cs="Gotham-Book"/>
                <w:b/>
                <w:color w:val="000000" w:themeColor="text1"/>
              </w:rPr>
              <w:t>Nombre de la persona  responsable</w:t>
            </w:r>
          </w:p>
        </w:tc>
        <w:tc>
          <w:tcPr>
            <w:tcW w:w="4820" w:type="dxa"/>
            <w:gridSpan w:val="3"/>
          </w:tcPr>
          <w:p w:rsidR="001F057B" w:rsidRPr="00295641" w:rsidRDefault="001F057B" w:rsidP="001F057B">
            <w:pPr>
              <w:jc w:val="both"/>
              <w:rPr>
                <w:color w:val="000000" w:themeColor="text1"/>
              </w:rPr>
            </w:pPr>
            <w:r>
              <w:rPr>
                <w:color w:val="000000" w:themeColor="text1"/>
              </w:rPr>
              <w:t>Fernando Zavala Lombardi</w:t>
            </w:r>
          </w:p>
        </w:tc>
      </w:tr>
      <w:tr w:rsidR="001F057B" w:rsidRPr="00295641" w:rsidTr="00B56E74">
        <w:tc>
          <w:tcPr>
            <w:tcW w:w="4219" w:type="dxa"/>
            <w:gridSpan w:val="3"/>
            <w:shd w:val="clear" w:color="auto" w:fill="C6D9F1" w:themeFill="text2" w:themeFillTint="33"/>
            <w:vAlign w:val="center"/>
          </w:tcPr>
          <w:p w:rsidR="001F057B" w:rsidRPr="00295641" w:rsidRDefault="001F057B" w:rsidP="001F057B">
            <w:pPr>
              <w:rPr>
                <w:b/>
                <w:color w:val="000000" w:themeColor="text1"/>
              </w:rPr>
            </w:pPr>
            <w:r w:rsidRPr="00295641">
              <w:rPr>
                <w:rFonts w:cs="Gotham-Book"/>
                <w:b/>
                <w:color w:val="000000" w:themeColor="text1"/>
              </w:rPr>
              <w:t>Puesto</w:t>
            </w:r>
          </w:p>
        </w:tc>
        <w:tc>
          <w:tcPr>
            <w:tcW w:w="4820" w:type="dxa"/>
            <w:gridSpan w:val="3"/>
          </w:tcPr>
          <w:p w:rsidR="001F057B" w:rsidRPr="00295641" w:rsidRDefault="001F057B" w:rsidP="001F057B">
            <w:pPr>
              <w:jc w:val="both"/>
              <w:rPr>
                <w:color w:val="000000" w:themeColor="text1"/>
              </w:rPr>
            </w:pPr>
            <w:r>
              <w:rPr>
                <w:color w:val="000000" w:themeColor="text1"/>
              </w:rPr>
              <w:t>Presidente del Consejo de Ministros</w:t>
            </w:r>
          </w:p>
        </w:tc>
      </w:tr>
      <w:tr w:rsidR="001F057B" w:rsidRPr="00295641" w:rsidTr="00B56E74">
        <w:tc>
          <w:tcPr>
            <w:tcW w:w="4219" w:type="dxa"/>
            <w:gridSpan w:val="3"/>
            <w:shd w:val="clear" w:color="auto" w:fill="C6D9F1" w:themeFill="text2" w:themeFillTint="33"/>
            <w:vAlign w:val="center"/>
          </w:tcPr>
          <w:p w:rsidR="001F057B" w:rsidRPr="00295641" w:rsidRDefault="001F057B" w:rsidP="001F057B">
            <w:pPr>
              <w:autoSpaceDE w:val="0"/>
              <w:autoSpaceDN w:val="0"/>
              <w:adjustRightInd w:val="0"/>
              <w:rPr>
                <w:rFonts w:cs="Gotham-Book"/>
                <w:b/>
                <w:color w:val="000000" w:themeColor="text1"/>
              </w:rPr>
            </w:pPr>
            <w:r w:rsidRPr="00295641">
              <w:rPr>
                <w:rFonts w:cs="Gotham-Book"/>
                <w:b/>
                <w:color w:val="000000" w:themeColor="text1"/>
              </w:rPr>
              <w:t>Correo electrónico</w:t>
            </w:r>
          </w:p>
        </w:tc>
        <w:tc>
          <w:tcPr>
            <w:tcW w:w="4820" w:type="dxa"/>
            <w:gridSpan w:val="3"/>
          </w:tcPr>
          <w:p w:rsidR="001F057B" w:rsidRPr="00295641" w:rsidRDefault="002F3E0D" w:rsidP="001F057B">
            <w:pPr>
              <w:jc w:val="both"/>
              <w:rPr>
                <w:rFonts w:cs="Arial"/>
                <w:color w:val="0000FF"/>
                <w:u w:val="single"/>
              </w:rPr>
            </w:pPr>
            <w:hyperlink r:id="rId60" w:history="1">
              <w:r w:rsidR="001F057B" w:rsidRPr="002977A0">
                <w:rPr>
                  <w:rStyle w:val="Hipervnculo"/>
                  <w:rFonts w:cs="Arial"/>
                </w:rPr>
                <w:t>fzavala@pcm.gob.pe</w:t>
              </w:r>
            </w:hyperlink>
          </w:p>
        </w:tc>
      </w:tr>
      <w:tr w:rsidR="001F057B" w:rsidRPr="00295641" w:rsidTr="00B56E74">
        <w:tc>
          <w:tcPr>
            <w:tcW w:w="4219" w:type="dxa"/>
            <w:gridSpan w:val="3"/>
            <w:shd w:val="clear" w:color="auto" w:fill="C6D9F1" w:themeFill="text2" w:themeFillTint="33"/>
            <w:vAlign w:val="center"/>
          </w:tcPr>
          <w:p w:rsidR="001F057B" w:rsidRPr="00295641" w:rsidRDefault="001F057B" w:rsidP="001F057B">
            <w:pPr>
              <w:rPr>
                <w:b/>
                <w:color w:val="000000" w:themeColor="text1"/>
              </w:rPr>
            </w:pPr>
            <w:r w:rsidRPr="00295641">
              <w:rPr>
                <w:rFonts w:cs="Gotham-Book"/>
                <w:b/>
                <w:color w:val="000000" w:themeColor="text1"/>
              </w:rPr>
              <w:t>Teléfono</w:t>
            </w:r>
          </w:p>
        </w:tc>
        <w:tc>
          <w:tcPr>
            <w:tcW w:w="4820" w:type="dxa"/>
            <w:gridSpan w:val="3"/>
          </w:tcPr>
          <w:p w:rsidR="001F057B" w:rsidRPr="00295641" w:rsidRDefault="001F057B" w:rsidP="001F057B">
            <w:pPr>
              <w:jc w:val="both"/>
              <w:rPr>
                <w:color w:val="000000" w:themeColor="text1"/>
              </w:rPr>
            </w:pPr>
            <w:r>
              <w:rPr>
                <w:color w:val="000000" w:themeColor="text1"/>
              </w:rPr>
              <w:t>51-1-2197000</w:t>
            </w:r>
          </w:p>
        </w:tc>
      </w:tr>
      <w:tr w:rsidR="00F40088" w:rsidRPr="00295641" w:rsidTr="00B56E74">
        <w:tc>
          <w:tcPr>
            <w:tcW w:w="2109" w:type="dxa"/>
            <w:vMerge w:val="restart"/>
            <w:shd w:val="clear" w:color="auto" w:fill="C6D9F1" w:themeFill="text2" w:themeFillTint="33"/>
            <w:vAlign w:val="center"/>
          </w:tcPr>
          <w:p w:rsidR="00F40088" w:rsidRPr="00295641" w:rsidRDefault="00F40088" w:rsidP="00B56E74">
            <w:pPr>
              <w:rPr>
                <w:rFonts w:cs="Gotham-Book"/>
                <w:b/>
                <w:color w:val="000000" w:themeColor="text1"/>
              </w:rPr>
            </w:pPr>
            <w:r>
              <w:rPr>
                <w:rFonts w:cs="Gotham-Book"/>
                <w:b/>
                <w:color w:val="000000" w:themeColor="text1"/>
              </w:rPr>
              <w:t>Otros actores involucrados</w:t>
            </w:r>
          </w:p>
        </w:tc>
        <w:tc>
          <w:tcPr>
            <w:tcW w:w="2110" w:type="dxa"/>
            <w:gridSpan w:val="2"/>
            <w:shd w:val="clear" w:color="auto" w:fill="C6D9F1" w:themeFill="text2" w:themeFillTint="33"/>
            <w:vAlign w:val="center"/>
          </w:tcPr>
          <w:p w:rsidR="00F40088" w:rsidRPr="00295641" w:rsidRDefault="00F40088" w:rsidP="00B56E74">
            <w:pPr>
              <w:rPr>
                <w:rFonts w:cs="Gotham-Book"/>
                <w:b/>
                <w:color w:val="000000" w:themeColor="text1"/>
              </w:rPr>
            </w:pPr>
            <w:r>
              <w:rPr>
                <w:rFonts w:cs="Gotham-Book"/>
                <w:b/>
                <w:color w:val="000000" w:themeColor="text1"/>
              </w:rPr>
              <w:t>Gobierno</w:t>
            </w:r>
          </w:p>
        </w:tc>
        <w:tc>
          <w:tcPr>
            <w:tcW w:w="4820" w:type="dxa"/>
            <w:gridSpan w:val="3"/>
          </w:tcPr>
          <w:p w:rsidR="00F40088" w:rsidRPr="00295641" w:rsidRDefault="00F40088" w:rsidP="00B56E74">
            <w:pPr>
              <w:jc w:val="both"/>
              <w:rPr>
                <w:color w:val="000000" w:themeColor="text1"/>
              </w:rPr>
            </w:pPr>
            <w:r>
              <w:rPr>
                <w:color w:val="000000" w:themeColor="text1"/>
              </w:rPr>
              <w:t>No aplica</w:t>
            </w:r>
          </w:p>
        </w:tc>
      </w:tr>
      <w:tr w:rsidR="00F40088" w:rsidRPr="00295641" w:rsidTr="00B56E74">
        <w:tc>
          <w:tcPr>
            <w:tcW w:w="2109" w:type="dxa"/>
            <w:vMerge/>
            <w:shd w:val="clear" w:color="auto" w:fill="C6D9F1" w:themeFill="text2" w:themeFillTint="33"/>
            <w:vAlign w:val="center"/>
          </w:tcPr>
          <w:p w:rsidR="00F40088" w:rsidRPr="00295641" w:rsidRDefault="00F40088" w:rsidP="00B56E74">
            <w:pPr>
              <w:rPr>
                <w:rFonts w:cs="Gotham-Book"/>
                <w:b/>
                <w:color w:val="000000" w:themeColor="text1"/>
              </w:rPr>
            </w:pPr>
          </w:p>
        </w:tc>
        <w:tc>
          <w:tcPr>
            <w:tcW w:w="2110" w:type="dxa"/>
            <w:gridSpan w:val="2"/>
            <w:shd w:val="clear" w:color="auto" w:fill="C6D9F1" w:themeFill="text2" w:themeFillTint="33"/>
            <w:vAlign w:val="center"/>
          </w:tcPr>
          <w:p w:rsidR="00F40088" w:rsidRPr="00295641" w:rsidRDefault="00F40088" w:rsidP="00B56E74">
            <w:pPr>
              <w:rPr>
                <w:rFonts w:cs="Gotham-Book"/>
                <w:b/>
                <w:color w:val="000000" w:themeColor="text1"/>
              </w:rPr>
            </w:pPr>
            <w:r>
              <w:rPr>
                <w:rFonts w:cs="Gotham-Book"/>
                <w:b/>
                <w:color w:val="000000" w:themeColor="text1"/>
              </w:rPr>
              <w:t>Sociedad civil, iniciativa privada, grupos de trabajo o multilaterales</w:t>
            </w:r>
          </w:p>
        </w:tc>
        <w:tc>
          <w:tcPr>
            <w:tcW w:w="4820" w:type="dxa"/>
            <w:gridSpan w:val="3"/>
          </w:tcPr>
          <w:p w:rsidR="00F40088" w:rsidRPr="00295641" w:rsidRDefault="00F40088" w:rsidP="00B56E74">
            <w:pPr>
              <w:jc w:val="both"/>
              <w:rPr>
                <w:color w:val="000000" w:themeColor="text1"/>
              </w:rPr>
            </w:pPr>
          </w:p>
        </w:tc>
      </w:tr>
      <w:tr w:rsidR="00F40088" w:rsidRPr="00295641" w:rsidTr="00B56E74">
        <w:tc>
          <w:tcPr>
            <w:tcW w:w="4219" w:type="dxa"/>
            <w:gridSpan w:val="3"/>
            <w:shd w:val="clear" w:color="auto" w:fill="C6D9F1" w:themeFill="text2" w:themeFillTint="33"/>
            <w:vAlign w:val="center"/>
          </w:tcPr>
          <w:p w:rsidR="00F40088" w:rsidRPr="00295641" w:rsidRDefault="00F40088" w:rsidP="00B56E74">
            <w:pPr>
              <w:rPr>
                <w:rFonts w:cs="Gotham-Book"/>
                <w:b/>
                <w:color w:val="000000" w:themeColor="text1"/>
              </w:rPr>
            </w:pPr>
            <w:r>
              <w:rPr>
                <w:rFonts w:cs="Gotham-Book"/>
                <w:b/>
                <w:color w:val="000000" w:themeColor="text1"/>
              </w:rPr>
              <w:t>Status quo o problema/</w:t>
            </w:r>
            <w:r>
              <w:rPr>
                <w:rFonts w:cs="Gotham-Book"/>
                <w:b/>
                <w:color w:val="000000" w:themeColor="text1"/>
              </w:rPr>
              <w:br/>
              <w:t>desafío que será atendido</w:t>
            </w:r>
          </w:p>
        </w:tc>
        <w:tc>
          <w:tcPr>
            <w:tcW w:w="4820" w:type="dxa"/>
            <w:gridSpan w:val="3"/>
          </w:tcPr>
          <w:p w:rsidR="00C01D66" w:rsidRDefault="00BF5406" w:rsidP="00B56E74">
            <w:pPr>
              <w:autoSpaceDE w:val="0"/>
              <w:autoSpaceDN w:val="0"/>
              <w:adjustRightInd w:val="0"/>
              <w:jc w:val="both"/>
              <w:rPr>
                <w:color w:val="000000" w:themeColor="text1"/>
                <w:lang w:val="es-PE"/>
              </w:rPr>
            </w:pPr>
            <w:r>
              <w:rPr>
                <w:color w:val="000000" w:themeColor="text1"/>
                <w:lang w:val="es-PE"/>
              </w:rPr>
              <w:t>L</w:t>
            </w:r>
            <w:r w:rsidR="00C01D66">
              <w:rPr>
                <w:color w:val="000000" w:themeColor="text1"/>
                <w:lang w:val="es-PE"/>
              </w:rPr>
              <w:t>as redes sociales permiten acercar la administración</w:t>
            </w:r>
            <w:r>
              <w:rPr>
                <w:color w:val="000000" w:themeColor="text1"/>
                <w:lang w:val="es-PE"/>
              </w:rPr>
              <w:t xml:space="preserve"> pública</w:t>
            </w:r>
            <w:r w:rsidR="00C01D66">
              <w:rPr>
                <w:color w:val="000000" w:themeColor="text1"/>
                <w:lang w:val="es-PE"/>
              </w:rPr>
              <w:t xml:space="preserve"> a la ciudadanía, difundiendo los actos de las entidades y generando mayor transparencia en el cumplimiento de sus funciones.</w:t>
            </w:r>
          </w:p>
          <w:p w:rsidR="00C01D66" w:rsidRDefault="00C01D66" w:rsidP="00B56E74">
            <w:pPr>
              <w:autoSpaceDE w:val="0"/>
              <w:autoSpaceDN w:val="0"/>
              <w:adjustRightInd w:val="0"/>
              <w:jc w:val="both"/>
              <w:rPr>
                <w:color w:val="000000" w:themeColor="text1"/>
                <w:lang w:val="es-PE"/>
              </w:rPr>
            </w:pPr>
            <w:r>
              <w:rPr>
                <w:color w:val="000000" w:themeColor="text1"/>
                <w:lang w:val="es-PE"/>
              </w:rPr>
              <w:t xml:space="preserve">El Estado Peruano, a través de la </w:t>
            </w:r>
            <w:r w:rsidRPr="00C01D66">
              <w:rPr>
                <w:color w:val="000000" w:themeColor="text1"/>
                <w:lang w:val="es-PE"/>
              </w:rPr>
              <w:t xml:space="preserve">Oficina Nacional de Gobierno Electrónico e Informática </w:t>
            </w:r>
            <w:r>
              <w:rPr>
                <w:color w:val="000000" w:themeColor="text1"/>
                <w:lang w:val="es-PE"/>
              </w:rPr>
              <w:t>–</w:t>
            </w:r>
            <w:r w:rsidRPr="00C01D66">
              <w:rPr>
                <w:color w:val="000000" w:themeColor="text1"/>
                <w:lang w:val="es-PE"/>
              </w:rPr>
              <w:t xml:space="preserve"> ONGEI</w:t>
            </w:r>
            <w:r>
              <w:rPr>
                <w:color w:val="000000" w:themeColor="text1"/>
                <w:lang w:val="es-PE"/>
              </w:rPr>
              <w:t xml:space="preserve">, ha venido impulsando acciones para </w:t>
            </w:r>
            <w:r w:rsidR="00BF5406">
              <w:rPr>
                <w:color w:val="000000" w:themeColor="text1"/>
                <w:lang w:val="es-PE"/>
              </w:rPr>
              <w:t>la</w:t>
            </w:r>
            <w:r>
              <w:rPr>
                <w:color w:val="000000" w:themeColor="text1"/>
                <w:lang w:val="es-PE"/>
              </w:rPr>
              <w:t xml:space="preserve"> gestión de las redes sociales, a través de la implementación del </w:t>
            </w:r>
            <w:r w:rsidRPr="00C01D66">
              <w:rPr>
                <w:color w:val="000000" w:themeColor="text1"/>
                <w:lang w:val="es-PE"/>
              </w:rPr>
              <w:t>Directorio Nacional de Redes Sociales (</w:t>
            </w:r>
            <w:hyperlink r:id="rId61" w:history="1">
              <w:r w:rsidRPr="00871777">
                <w:rPr>
                  <w:rStyle w:val="Hipervnculo"/>
                  <w:lang w:val="es-PE"/>
                </w:rPr>
                <w:t>www.peru.gob.pe/redessociales</w:t>
              </w:r>
            </w:hyperlink>
            <w:r w:rsidRPr="00C01D66">
              <w:rPr>
                <w:color w:val="000000" w:themeColor="text1"/>
                <w:lang w:val="es-PE"/>
              </w:rPr>
              <w:t>)</w:t>
            </w:r>
            <w:r>
              <w:rPr>
                <w:color w:val="000000" w:themeColor="text1"/>
                <w:lang w:val="es-PE"/>
              </w:rPr>
              <w:t>, haciendo una distinción entre entidades de los tres poderes del Estado y por nivel de gobierno.</w:t>
            </w:r>
          </w:p>
          <w:p w:rsidR="00F40088" w:rsidRPr="00274A1A" w:rsidRDefault="00C01D66" w:rsidP="00BF5406">
            <w:pPr>
              <w:autoSpaceDE w:val="0"/>
              <w:autoSpaceDN w:val="0"/>
              <w:adjustRightInd w:val="0"/>
              <w:jc w:val="both"/>
              <w:rPr>
                <w:color w:val="000000" w:themeColor="text1"/>
                <w:lang w:val="es-PE"/>
              </w:rPr>
            </w:pPr>
            <w:r>
              <w:rPr>
                <w:color w:val="000000" w:themeColor="text1"/>
                <w:lang w:val="es-PE"/>
              </w:rPr>
              <w:t xml:space="preserve">Si bien representa un avance, la información presentada </w:t>
            </w:r>
            <w:r w:rsidR="00BF5406">
              <w:rPr>
                <w:color w:val="000000" w:themeColor="text1"/>
                <w:lang w:val="es-PE"/>
              </w:rPr>
              <w:t>se encuentra en etapa inicial,  por lo que es necesario implementar acciones que permitan gestionar de forma adecuada dichos canales, a fin de que, no solo se comunique y difunda las acciones de las entidades públicas, sino que se propicie un mayor acercamiento entre el Estado y el ciudadano.</w:t>
            </w:r>
          </w:p>
        </w:tc>
      </w:tr>
      <w:tr w:rsidR="00F40088" w:rsidRPr="00295641" w:rsidTr="00B56E74">
        <w:tc>
          <w:tcPr>
            <w:tcW w:w="4219" w:type="dxa"/>
            <w:gridSpan w:val="3"/>
            <w:shd w:val="clear" w:color="auto" w:fill="C6D9F1" w:themeFill="text2" w:themeFillTint="33"/>
            <w:vAlign w:val="center"/>
          </w:tcPr>
          <w:p w:rsidR="00F40088" w:rsidRPr="00295641" w:rsidRDefault="00F40088" w:rsidP="00B56E74">
            <w:pPr>
              <w:rPr>
                <w:b/>
                <w:color w:val="000000" w:themeColor="text1"/>
              </w:rPr>
            </w:pPr>
            <w:r w:rsidRPr="00295641">
              <w:rPr>
                <w:rFonts w:cs="Gotham-Book"/>
                <w:b/>
                <w:color w:val="000000" w:themeColor="text1"/>
              </w:rPr>
              <w:t>Objetivo principal</w:t>
            </w:r>
          </w:p>
        </w:tc>
        <w:tc>
          <w:tcPr>
            <w:tcW w:w="4820" w:type="dxa"/>
            <w:gridSpan w:val="3"/>
          </w:tcPr>
          <w:p w:rsidR="00F40088" w:rsidRPr="005E5671" w:rsidRDefault="00F40088" w:rsidP="005344FD">
            <w:pPr>
              <w:jc w:val="both"/>
              <w:rPr>
                <w:bCs/>
              </w:rPr>
            </w:pPr>
            <w:r>
              <w:rPr>
                <w:bCs/>
              </w:rPr>
              <w:t xml:space="preserve">Lograr una mayor </w:t>
            </w:r>
            <w:r w:rsidR="005344FD">
              <w:rPr>
                <w:bCs/>
              </w:rPr>
              <w:t>participación</w:t>
            </w:r>
            <w:r>
              <w:rPr>
                <w:bCs/>
              </w:rPr>
              <w:t xml:space="preserve"> de los ciudadanos y ciudadanas en la actividad de la Administración Publica</w:t>
            </w:r>
            <w:r w:rsidR="005344FD">
              <w:rPr>
                <w:bCs/>
              </w:rPr>
              <w:t>,</w:t>
            </w:r>
            <w:r>
              <w:rPr>
                <w:bCs/>
              </w:rPr>
              <w:t xml:space="preserve"> a través del uso de redes sociales, como canales de </w:t>
            </w:r>
            <w:r w:rsidR="005344FD">
              <w:rPr>
                <w:bCs/>
              </w:rPr>
              <w:t>atención a</w:t>
            </w:r>
            <w:r>
              <w:rPr>
                <w:bCs/>
              </w:rPr>
              <w:t xml:space="preserve"> las demandas ciudadanas y de participación de los ciudadanos y ciudadanas para la mejora de los servicios públicos.</w:t>
            </w:r>
          </w:p>
        </w:tc>
      </w:tr>
      <w:tr w:rsidR="00F40088" w:rsidRPr="00295641" w:rsidTr="00B56E74">
        <w:tc>
          <w:tcPr>
            <w:tcW w:w="4219" w:type="dxa"/>
            <w:gridSpan w:val="3"/>
            <w:shd w:val="clear" w:color="auto" w:fill="C6D9F1" w:themeFill="text2" w:themeFillTint="33"/>
            <w:vAlign w:val="center"/>
          </w:tcPr>
          <w:p w:rsidR="00F40088" w:rsidRPr="00295641" w:rsidRDefault="00F40088" w:rsidP="00B56E74">
            <w:pPr>
              <w:autoSpaceDE w:val="0"/>
              <w:autoSpaceDN w:val="0"/>
              <w:adjustRightInd w:val="0"/>
              <w:rPr>
                <w:rFonts w:cs="Gotham-Book"/>
                <w:b/>
                <w:color w:val="000000" w:themeColor="text1"/>
              </w:rPr>
            </w:pPr>
            <w:r>
              <w:rPr>
                <w:rFonts w:cs="Gotham-Book"/>
                <w:b/>
                <w:color w:val="000000" w:themeColor="text1"/>
              </w:rPr>
              <w:t xml:space="preserve">Breve </w:t>
            </w:r>
            <w:r w:rsidRPr="00295641">
              <w:rPr>
                <w:rFonts w:cs="Gotham-Book"/>
                <w:b/>
                <w:color w:val="000000" w:themeColor="text1"/>
              </w:rPr>
              <w:t>Descripción del</w:t>
            </w:r>
          </w:p>
          <w:p w:rsidR="00F40088" w:rsidRPr="00295641" w:rsidRDefault="00F40088" w:rsidP="00B56E74">
            <w:pPr>
              <w:autoSpaceDE w:val="0"/>
              <w:autoSpaceDN w:val="0"/>
              <w:adjustRightInd w:val="0"/>
              <w:rPr>
                <w:rFonts w:cs="Gotham-Book"/>
                <w:b/>
                <w:color w:val="000000" w:themeColor="text1"/>
              </w:rPr>
            </w:pPr>
            <w:r w:rsidRPr="00295641">
              <w:rPr>
                <w:rFonts w:cs="Gotham-Book"/>
                <w:b/>
                <w:color w:val="000000" w:themeColor="text1"/>
              </w:rPr>
              <w:t>Compromiso</w:t>
            </w:r>
          </w:p>
        </w:tc>
        <w:tc>
          <w:tcPr>
            <w:tcW w:w="4820" w:type="dxa"/>
            <w:gridSpan w:val="3"/>
          </w:tcPr>
          <w:p w:rsidR="00F40088" w:rsidRPr="00B24C50" w:rsidRDefault="00F40088" w:rsidP="001F057B">
            <w:pPr>
              <w:jc w:val="both"/>
              <w:rPr>
                <w:color w:val="FF0000"/>
                <w:szCs w:val="20"/>
              </w:rPr>
            </w:pPr>
            <w:r>
              <w:rPr>
                <w:rFonts w:ascii="Calibri" w:hAnsi="Calibri"/>
                <w:color w:val="000000"/>
              </w:rPr>
              <w:t>Promover una adecuada gestión de las Redes Sociales en las entidades de la Administración Pública</w:t>
            </w:r>
            <w:r w:rsidR="005344FD">
              <w:rPr>
                <w:rFonts w:ascii="Calibri" w:hAnsi="Calibri"/>
                <w:color w:val="000000"/>
              </w:rPr>
              <w:t>,</w:t>
            </w:r>
            <w:r>
              <w:rPr>
                <w:rFonts w:ascii="Calibri" w:hAnsi="Calibri"/>
                <w:color w:val="000000"/>
              </w:rPr>
              <w:t xml:space="preserve"> como herramientas para comunicar</w:t>
            </w:r>
            <w:r w:rsidR="005344FD">
              <w:rPr>
                <w:rFonts w:ascii="Calibri" w:hAnsi="Calibri"/>
                <w:color w:val="000000"/>
              </w:rPr>
              <w:t xml:space="preserve"> y difundir</w:t>
            </w:r>
            <w:r>
              <w:rPr>
                <w:rFonts w:ascii="Calibri" w:hAnsi="Calibri"/>
                <w:color w:val="000000"/>
              </w:rPr>
              <w:t xml:space="preserve"> las acciones de dichas entidades, mejorar las relaciones con el ciudadano y aumentar la calidad de los servicios públicos ofrecidos.</w:t>
            </w:r>
          </w:p>
        </w:tc>
      </w:tr>
      <w:tr w:rsidR="00F40088" w:rsidRPr="00295641" w:rsidTr="00B56E74">
        <w:tc>
          <w:tcPr>
            <w:tcW w:w="4219" w:type="dxa"/>
            <w:gridSpan w:val="3"/>
            <w:shd w:val="clear" w:color="auto" w:fill="C6D9F1" w:themeFill="text2" w:themeFillTint="33"/>
            <w:vAlign w:val="center"/>
          </w:tcPr>
          <w:p w:rsidR="00F40088" w:rsidRPr="00295641" w:rsidRDefault="00F40088" w:rsidP="00B56E74">
            <w:pPr>
              <w:autoSpaceDE w:val="0"/>
              <w:autoSpaceDN w:val="0"/>
              <w:adjustRightInd w:val="0"/>
              <w:rPr>
                <w:rFonts w:cs="Gotham-Book"/>
                <w:b/>
                <w:color w:val="000000" w:themeColor="text1"/>
              </w:rPr>
            </w:pPr>
            <w:r w:rsidRPr="00295641">
              <w:rPr>
                <w:rFonts w:cs="Gotham-Book"/>
                <w:b/>
                <w:color w:val="000000" w:themeColor="text1"/>
              </w:rPr>
              <w:t>Relevancia</w:t>
            </w:r>
          </w:p>
          <w:p w:rsidR="00F40088" w:rsidRPr="00295641" w:rsidRDefault="00F40088" w:rsidP="00B56E74">
            <w:pPr>
              <w:autoSpaceDE w:val="0"/>
              <w:autoSpaceDN w:val="0"/>
              <w:adjustRightInd w:val="0"/>
              <w:rPr>
                <w:b/>
                <w:color w:val="000000" w:themeColor="text1"/>
              </w:rPr>
            </w:pPr>
          </w:p>
        </w:tc>
        <w:tc>
          <w:tcPr>
            <w:tcW w:w="4820" w:type="dxa"/>
            <w:gridSpan w:val="3"/>
          </w:tcPr>
          <w:p w:rsidR="00F40088" w:rsidRPr="001774C1" w:rsidRDefault="001774C1" w:rsidP="005344FD">
            <w:pPr>
              <w:jc w:val="both"/>
              <w:rPr>
                <w:szCs w:val="20"/>
                <w:lang w:val="es-PE"/>
              </w:rPr>
            </w:pPr>
            <w:r w:rsidRPr="001774C1">
              <w:rPr>
                <w:szCs w:val="20"/>
                <w:lang w:val="es-PE"/>
              </w:rPr>
              <w:t xml:space="preserve">La evolución del uso de las tecnologías de la información y comunicación ha </w:t>
            </w:r>
            <w:r w:rsidR="005344FD">
              <w:rPr>
                <w:szCs w:val="20"/>
                <w:lang w:val="es-PE"/>
              </w:rPr>
              <w:t>promovido</w:t>
            </w:r>
            <w:r w:rsidRPr="001774C1">
              <w:rPr>
                <w:szCs w:val="20"/>
                <w:lang w:val="es-PE"/>
              </w:rPr>
              <w:t xml:space="preserve"> que el uso de las redes sociales contribuya a fortalecer la comunicación con la ciudadanía, a </w:t>
            </w:r>
            <w:r w:rsidR="005344FD">
              <w:rPr>
                <w:szCs w:val="20"/>
                <w:lang w:val="es-PE"/>
              </w:rPr>
              <w:t xml:space="preserve">difundir </w:t>
            </w:r>
            <w:r w:rsidRPr="001774C1">
              <w:rPr>
                <w:szCs w:val="20"/>
                <w:lang w:val="es-PE"/>
              </w:rPr>
              <w:t>los actos de ges</w:t>
            </w:r>
            <w:r w:rsidR="005344FD">
              <w:rPr>
                <w:szCs w:val="20"/>
                <w:lang w:val="es-PE"/>
              </w:rPr>
              <w:t>tión, estableciendo canales de atención</w:t>
            </w:r>
            <w:r w:rsidRPr="001774C1">
              <w:rPr>
                <w:szCs w:val="20"/>
                <w:lang w:val="es-PE"/>
              </w:rPr>
              <w:t xml:space="preserve"> de las demandas ciudadanas, lo que contribuye</w:t>
            </w:r>
            <w:r w:rsidR="005344FD">
              <w:rPr>
                <w:szCs w:val="20"/>
                <w:lang w:val="es-PE"/>
              </w:rPr>
              <w:t>, finalmente,</w:t>
            </w:r>
            <w:r w:rsidRPr="001774C1">
              <w:rPr>
                <w:szCs w:val="20"/>
                <w:lang w:val="es-PE"/>
              </w:rPr>
              <w:t xml:space="preserve"> con la mejora de la prestación de los servicios.</w:t>
            </w:r>
          </w:p>
        </w:tc>
      </w:tr>
      <w:tr w:rsidR="00F40088" w:rsidRPr="00295641" w:rsidTr="00B56E74">
        <w:tc>
          <w:tcPr>
            <w:tcW w:w="4219" w:type="dxa"/>
            <w:gridSpan w:val="3"/>
            <w:shd w:val="clear" w:color="auto" w:fill="C6D9F1" w:themeFill="text2" w:themeFillTint="33"/>
            <w:vAlign w:val="center"/>
          </w:tcPr>
          <w:p w:rsidR="00F40088" w:rsidRPr="00295641" w:rsidRDefault="00F40088" w:rsidP="00B56E74">
            <w:pPr>
              <w:autoSpaceDE w:val="0"/>
              <w:autoSpaceDN w:val="0"/>
              <w:adjustRightInd w:val="0"/>
              <w:rPr>
                <w:rFonts w:cs="Gotham-Book"/>
                <w:b/>
                <w:color w:val="000000" w:themeColor="text1"/>
              </w:rPr>
            </w:pPr>
            <w:r w:rsidRPr="00295641">
              <w:rPr>
                <w:rFonts w:cs="Gotham-Book"/>
                <w:b/>
                <w:color w:val="000000" w:themeColor="text1"/>
              </w:rPr>
              <w:t>Ambición</w:t>
            </w:r>
          </w:p>
          <w:p w:rsidR="00F40088" w:rsidRPr="00295641" w:rsidRDefault="00F40088" w:rsidP="00B56E74">
            <w:pPr>
              <w:autoSpaceDE w:val="0"/>
              <w:autoSpaceDN w:val="0"/>
              <w:adjustRightInd w:val="0"/>
              <w:rPr>
                <w:rFonts w:cs="Gotham-BookItalic"/>
                <w:b/>
                <w:iCs/>
                <w:color w:val="000000" w:themeColor="text1"/>
              </w:rPr>
            </w:pPr>
          </w:p>
        </w:tc>
        <w:tc>
          <w:tcPr>
            <w:tcW w:w="4820" w:type="dxa"/>
            <w:gridSpan w:val="3"/>
          </w:tcPr>
          <w:p w:rsidR="00F40088" w:rsidRPr="001774C1" w:rsidRDefault="001774C1" w:rsidP="005344FD">
            <w:pPr>
              <w:jc w:val="both"/>
              <w:rPr>
                <w:szCs w:val="20"/>
                <w:lang w:val="es-PE"/>
              </w:rPr>
            </w:pPr>
            <w:r w:rsidRPr="001774C1">
              <w:rPr>
                <w:szCs w:val="20"/>
                <w:lang w:val="es-PE"/>
              </w:rPr>
              <w:t xml:space="preserve">La implementación del compromiso fortalece la comunicación con la ciudadanía para </w:t>
            </w:r>
            <w:r w:rsidR="005344FD">
              <w:rPr>
                <w:szCs w:val="20"/>
                <w:lang w:val="es-PE"/>
              </w:rPr>
              <w:t>comunicar las acciones de las entidades</w:t>
            </w:r>
            <w:r w:rsidRPr="001774C1">
              <w:rPr>
                <w:szCs w:val="20"/>
                <w:lang w:val="es-PE"/>
              </w:rPr>
              <w:t>, fomentando mayor apertura del Estado</w:t>
            </w:r>
            <w:r w:rsidR="005344FD">
              <w:rPr>
                <w:szCs w:val="20"/>
                <w:lang w:val="es-PE"/>
              </w:rPr>
              <w:t xml:space="preserve"> en la prestación de los servicios públicos</w:t>
            </w:r>
            <w:r w:rsidRPr="001774C1">
              <w:rPr>
                <w:szCs w:val="20"/>
                <w:lang w:val="es-PE"/>
              </w:rPr>
              <w:t>.</w:t>
            </w:r>
          </w:p>
        </w:tc>
      </w:tr>
      <w:tr w:rsidR="00F40088" w:rsidRPr="00295641" w:rsidTr="00B56E74">
        <w:tc>
          <w:tcPr>
            <w:tcW w:w="2518" w:type="dxa"/>
            <w:gridSpan w:val="2"/>
            <w:vMerge w:val="restart"/>
            <w:shd w:val="clear" w:color="auto" w:fill="C6D9F1" w:themeFill="text2" w:themeFillTint="33"/>
            <w:vAlign w:val="center"/>
          </w:tcPr>
          <w:p w:rsidR="00F40088" w:rsidRPr="00295641" w:rsidRDefault="00F40088" w:rsidP="00B56E74">
            <w:pPr>
              <w:rPr>
                <w:b/>
                <w:color w:val="000000" w:themeColor="text1"/>
              </w:rPr>
            </w:pPr>
            <w:r w:rsidRPr="00295641">
              <w:rPr>
                <w:rFonts w:cs="Gotham-Book"/>
                <w:b/>
                <w:color w:val="000000" w:themeColor="text1"/>
              </w:rPr>
              <w:t>Cumplimiento</w:t>
            </w:r>
          </w:p>
        </w:tc>
        <w:tc>
          <w:tcPr>
            <w:tcW w:w="1701" w:type="dxa"/>
            <w:shd w:val="clear" w:color="auto" w:fill="C6D9F1" w:themeFill="text2" w:themeFillTint="33"/>
          </w:tcPr>
          <w:p w:rsidR="00F40088" w:rsidRPr="00295641" w:rsidRDefault="00F40088" w:rsidP="00B56E74">
            <w:pPr>
              <w:jc w:val="center"/>
              <w:rPr>
                <w:b/>
                <w:color w:val="000000" w:themeColor="text1"/>
              </w:rPr>
            </w:pPr>
            <w:r w:rsidRPr="00295641">
              <w:rPr>
                <w:rFonts w:cs="Gotham-Book"/>
                <w:b/>
                <w:color w:val="000000" w:themeColor="text1"/>
              </w:rPr>
              <w:t>No iniciado</w:t>
            </w:r>
          </w:p>
        </w:tc>
        <w:tc>
          <w:tcPr>
            <w:tcW w:w="1729" w:type="dxa"/>
            <w:shd w:val="clear" w:color="auto" w:fill="C6D9F1" w:themeFill="text2" w:themeFillTint="33"/>
          </w:tcPr>
          <w:p w:rsidR="00F40088" w:rsidRPr="00295641" w:rsidRDefault="00F40088" w:rsidP="00B56E74">
            <w:pPr>
              <w:jc w:val="center"/>
              <w:rPr>
                <w:b/>
                <w:color w:val="000000" w:themeColor="text1"/>
              </w:rPr>
            </w:pPr>
            <w:r w:rsidRPr="00295641">
              <w:rPr>
                <w:rFonts w:cs="Gotham-Book"/>
                <w:b/>
                <w:color w:val="000000" w:themeColor="text1"/>
              </w:rPr>
              <w:t>Limitado</w:t>
            </w:r>
          </w:p>
        </w:tc>
        <w:tc>
          <w:tcPr>
            <w:tcW w:w="1644" w:type="dxa"/>
            <w:shd w:val="clear" w:color="auto" w:fill="C6D9F1" w:themeFill="text2" w:themeFillTint="33"/>
          </w:tcPr>
          <w:p w:rsidR="00F40088" w:rsidRPr="00295641" w:rsidRDefault="00F40088" w:rsidP="00B56E74">
            <w:pPr>
              <w:jc w:val="center"/>
              <w:rPr>
                <w:b/>
                <w:color w:val="000000" w:themeColor="text1"/>
              </w:rPr>
            </w:pPr>
            <w:r w:rsidRPr="00295641">
              <w:rPr>
                <w:rFonts w:cs="Gotham-Book"/>
                <w:b/>
                <w:color w:val="000000" w:themeColor="text1"/>
              </w:rPr>
              <w:t>Sustancial</w:t>
            </w:r>
          </w:p>
        </w:tc>
        <w:tc>
          <w:tcPr>
            <w:tcW w:w="1447" w:type="dxa"/>
            <w:shd w:val="clear" w:color="auto" w:fill="C6D9F1" w:themeFill="text2" w:themeFillTint="33"/>
          </w:tcPr>
          <w:p w:rsidR="00F40088" w:rsidRPr="00295641" w:rsidRDefault="00F40088" w:rsidP="00B56E74">
            <w:pPr>
              <w:jc w:val="center"/>
              <w:rPr>
                <w:b/>
                <w:color w:val="000000" w:themeColor="text1"/>
              </w:rPr>
            </w:pPr>
            <w:r w:rsidRPr="00295641">
              <w:rPr>
                <w:rFonts w:cs="Gotham-Book"/>
                <w:b/>
                <w:color w:val="000000" w:themeColor="text1"/>
              </w:rPr>
              <w:t>Completo</w:t>
            </w:r>
          </w:p>
        </w:tc>
      </w:tr>
      <w:tr w:rsidR="00F40088" w:rsidRPr="00295641" w:rsidTr="00B56E74">
        <w:tc>
          <w:tcPr>
            <w:tcW w:w="2518" w:type="dxa"/>
            <w:gridSpan w:val="2"/>
            <w:vMerge/>
            <w:shd w:val="clear" w:color="auto" w:fill="C6D9F1" w:themeFill="text2" w:themeFillTint="33"/>
            <w:vAlign w:val="center"/>
          </w:tcPr>
          <w:p w:rsidR="00F40088" w:rsidRPr="00295641" w:rsidRDefault="00F40088" w:rsidP="00B56E74">
            <w:pPr>
              <w:rPr>
                <w:b/>
                <w:color w:val="000000" w:themeColor="text1"/>
              </w:rPr>
            </w:pPr>
          </w:p>
        </w:tc>
        <w:tc>
          <w:tcPr>
            <w:tcW w:w="1701" w:type="dxa"/>
          </w:tcPr>
          <w:p w:rsidR="00F40088" w:rsidRPr="00295641" w:rsidRDefault="00F40088" w:rsidP="00B56E74">
            <w:pPr>
              <w:jc w:val="center"/>
              <w:rPr>
                <w:b/>
                <w:color w:val="000000" w:themeColor="text1"/>
              </w:rPr>
            </w:pPr>
          </w:p>
        </w:tc>
        <w:tc>
          <w:tcPr>
            <w:tcW w:w="1729" w:type="dxa"/>
          </w:tcPr>
          <w:p w:rsidR="00F40088" w:rsidRPr="00295641" w:rsidRDefault="00F40088" w:rsidP="00B56E74">
            <w:pPr>
              <w:jc w:val="center"/>
              <w:rPr>
                <w:b/>
                <w:color w:val="000000" w:themeColor="text1"/>
              </w:rPr>
            </w:pPr>
          </w:p>
        </w:tc>
        <w:tc>
          <w:tcPr>
            <w:tcW w:w="1644" w:type="dxa"/>
          </w:tcPr>
          <w:p w:rsidR="00F40088" w:rsidRPr="00295641" w:rsidRDefault="001774C1" w:rsidP="00B56E74">
            <w:pPr>
              <w:jc w:val="center"/>
              <w:rPr>
                <w:b/>
                <w:color w:val="000000" w:themeColor="text1"/>
              </w:rPr>
            </w:pPr>
            <w:r>
              <w:rPr>
                <w:b/>
                <w:color w:val="000000" w:themeColor="text1"/>
              </w:rPr>
              <w:t>X</w:t>
            </w:r>
          </w:p>
        </w:tc>
        <w:tc>
          <w:tcPr>
            <w:tcW w:w="1447" w:type="dxa"/>
            <w:shd w:val="clear" w:color="auto" w:fill="FFFFFF" w:themeFill="background1"/>
          </w:tcPr>
          <w:p w:rsidR="00F40088" w:rsidRPr="00295641" w:rsidRDefault="00F40088" w:rsidP="00B56E74">
            <w:pPr>
              <w:jc w:val="center"/>
              <w:rPr>
                <w:b/>
                <w:color w:val="000000" w:themeColor="text1"/>
              </w:rPr>
            </w:pPr>
          </w:p>
        </w:tc>
      </w:tr>
      <w:tr w:rsidR="00F40088" w:rsidRPr="00295641" w:rsidTr="00B56E74">
        <w:tc>
          <w:tcPr>
            <w:tcW w:w="2518" w:type="dxa"/>
            <w:gridSpan w:val="2"/>
            <w:shd w:val="clear" w:color="auto" w:fill="C6D9F1" w:themeFill="text2" w:themeFillTint="33"/>
            <w:vAlign w:val="center"/>
          </w:tcPr>
          <w:p w:rsidR="00F40088" w:rsidRPr="00295641" w:rsidRDefault="00F40088" w:rsidP="00B56E74">
            <w:pPr>
              <w:autoSpaceDE w:val="0"/>
              <w:autoSpaceDN w:val="0"/>
              <w:adjustRightInd w:val="0"/>
              <w:rPr>
                <w:rFonts w:cs="Gotham-Book"/>
                <w:b/>
                <w:color w:val="000000" w:themeColor="text1"/>
              </w:rPr>
            </w:pPr>
            <w:r w:rsidRPr="00295641">
              <w:rPr>
                <w:rFonts w:cs="Gotham-Book"/>
                <w:b/>
                <w:color w:val="000000" w:themeColor="text1"/>
              </w:rPr>
              <w:t>Descripción de los resultados</w:t>
            </w:r>
          </w:p>
          <w:p w:rsidR="00F40088" w:rsidRPr="00295641" w:rsidRDefault="00F40088" w:rsidP="00B56E74">
            <w:pPr>
              <w:autoSpaceDE w:val="0"/>
              <w:autoSpaceDN w:val="0"/>
              <w:adjustRightInd w:val="0"/>
              <w:rPr>
                <w:rFonts w:cs="Gotham-BookItalic"/>
                <w:b/>
                <w:iCs/>
                <w:color w:val="000000" w:themeColor="text1"/>
              </w:rPr>
            </w:pPr>
          </w:p>
        </w:tc>
        <w:tc>
          <w:tcPr>
            <w:tcW w:w="6521" w:type="dxa"/>
            <w:gridSpan w:val="4"/>
          </w:tcPr>
          <w:p w:rsidR="001F057B" w:rsidRPr="001F057B" w:rsidRDefault="001F057B" w:rsidP="001F057B">
            <w:pPr>
              <w:pStyle w:val="Prrafodelista"/>
              <w:ind w:left="-79"/>
              <w:jc w:val="both"/>
              <w:rPr>
                <w:rFonts w:ascii="Calibri" w:hAnsi="Calibri"/>
                <w:bCs/>
                <w:color w:val="000000"/>
              </w:rPr>
            </w:pPr>
            <w:r w:rsidRPr="001F057B">
              <w:rPr>
                <w:rFonts w:ascii="Calibri" w:hAnsi="Calibri"/>
                <w:bCs/>
                <w:color w:val="000000"/>
              </w:rPr>
              <w:t>Se considera las siguientes actividades:</w:t>
            </w:r>
          </w:p>
          <w:p w:rsidR="001F057B" w:rsidRDefault="001F057B" w:rsidP="001F057B">
            <w:pPr>
              <w:pStyle w:val="Prrafodelista"/>
              <w:numPr>
                <w:ilvl w:val="0"/>
                <w:numId w:val="34"/>
              </w:numPr>
              <w:jc w:val="both"/>
              <w:rPr>
                <w:rFonts w:ascii="Calibri" w:hAnsi="Calibri"/>
                <w:b/>
                <w:bCs/>
                <w:i/>
                <w:color w:val="000000"/>
              </w:rPr>
            </w:pPr>
            <w:r w:rsidRPr="001F057B">
              <w:rPr>
                <w:rFonts w:ascii="Calibri" w:hAnsi="Calibri"/>
                <w:b/>
                <w:bCs/>
                <w:i/>
                <w:color w:val="000000"/>
              </w:rPr>
              <w:t>Elaboración de Directorio de Redes Sociales de las entidades públicas en el Portal del Estado Peruano.</w:t>
            </w:r>
          </w:p>
          <w:p w:rsidR="001774C1" w:rsidRDefault="001774C1" w:rsidP="001774C1">
            <w:pPr>
              <w:ind w:left="771"/>
              <w:jc w:val="both"/>
              <w:rPr>
                <w:color w:val="000000" w:themeColor="text1"/>
              </w:rPr>
            </w:pPr>
            <w:r>
              <w:rPr>
                <w:rFonts w:ascii="Calibri" w:hAnsi="Calibri"/>
                <w:bCs/>
                <w:color w:val="000000"/>
              </w:rPr>
              <w:t xml:space="preserve">Se concluyó la actividad, se puede visualizar en el siguiente enlace: </w:t>
            </w:r>
            <w:hyperlink r:id="rId62" w:history="1">
              <w:r w:rsidRPr="00085904">
                <w:rPr>
                  <w:rStyle w:val="Hipervnculo"/>
                </w:rPr>
                <w:t>http://www.peru.gob.pe/redessociales/</w:t>
              </w:r>
            </w:hyperlink>
          </w:p>
          <w:p w:rsidR="001F057B" w:rsidRDefault="001F057B" w:rsidP="001F057B">
            <w:pPr>
              <w:pStyle w:val="Prrafodelista"/>
              <w:numPr>
                <w:ilvl w:val="0"/>
                <w:numId w:val="34"/>
              </w:numPr>
              <w:jc w:val="both"/>
              <w:rPr>
                <w:rFonts w:ascii="Calibri" w:hAnsi="Calibri"/>
                <w:b/>
                <w:bCs/>
                <w:i/>
                <w:color w:val="000000"/>
              </w:rPr>
            </w:pPr>
            <w:r w:rsidRPr="001F057B">
              <w:rPr>
                <w:rFonts w:ascii="Calibri" w:hAnsi="Calibri"/>
                <w:b/>
                <w:bCs/>
                <w:i/>
                <w:color w:val="000000"/>
              </w:rPr>
              <w:t>Talleres de capacitación a los comunicadores digitales de las redes sociales del Poder Ejecutivo, Ministerios, Organismos Constitucionales Autónomos y Municipalidades Distritales de Lima Metropolitana, gobiernos regionales, locales.</w:t>
            </w:r>
          </w:p>
          <w:p w:rsidR="001774C1" w:rsidRDefault="00E3074B" w:rsidP="001774C1">
            <w:pPr>
              <w:ind w:left="771"/>
              <w:jc w:val="both"/>
              <w:rPr>
                <w:color w:val="000000" w:themeColor="text1"/>
              </w:rPr>
            </w:pPr>
            <w:r>
              <w:rPr>
                <w:color w:val="000000" w:themeColor="text1"/>
              </w:rPr>
              <w:t>Se concluyó la actividad,</w:t>
            </w:r>
            <w:r w:rsidR="001774C1">
              <w:rPr>
                <w:color w:val="000000" w:themeColor="text1"/>
              </w:rPr>
              <w:t xml:space="preserve"> la información se encuentra disponible</w:t>
            </w:r>
            <w:r>
              <w:rPr>
                <w:color w:val="000000" w:themeColor="text1"/>
              </w:rPr>
              <w:t xml:space="preserve"> en el siguiente enlace</w:t>
            </w:r>
            <w:r w:rsidR="001774C1">
              <w:rPr>
                <w:color w:val="000000" w:themeColor="text1"/>
              </w:rPr>
              <w:t>:</w:t>
            </w:r>
          </w:p>
          <w:p w:rsidR="001774C1" w:rsidRDefault="002F3E0D" w:rsidP="001774C1">
            <w:pPr>
              <w:ind w:left="771"/>
              <w:jc w:val="both"/>
              <w:rPr>
                <w:color w:val="000000" w:themeColor="text1"/>
              </w:rPr>
            </w:pPr>
            <w:hyperlink r:id="rId63" w:history="1">
              <w:r w:rsidR="001774C1" w:rsidRPr="00085904">
                <w:rPr>
                  <w:rStyle w:val="Hipervnculo"/>
                </w:rPr>
                <w:t>http://www.ongei.gob.pe/eventos/ongei_eventos.asp?pk_id_entidad=1878</w:t>
              </w:r>
            </w:hyperlink>
          </w:p>
          <w:p w:rsidR="001F057B" w:rsidRPr="001774C1" w:rsidRDefault="001F057B" w:rsidP="001F057B">
            <w:pPr>
              <w:pStyle w:val="Prrafodelista"/>
              <w:numPr>
                <w:ilvl w:val="0"/>
                <w:numId w:val="34"/>
              </w:numPr>
              <w:jc w:val="both"/>
              <w:rPr>
                <w:color w:val="000000" w:themeColor="text1"/>
              </w:rPr>
            </w:pPr>
            <w:r w:rsidRPr="001F057B">
              <w:rPr>
                <w:rFonts w:ascii="Calibri" w:hAnsi="Calibri"/>
                <w:b/>
                <w:bCs/>
                <w:i/>
                <w:color w:val="000000"/>
              </w:rPr>
              <w:t>Elaboración de los lineamientos de uso de redes sociales en el Estado.</w:t>
            </w:r>
          </w:p>
          <w:p w:rsidR="001774C1" w:rsidRPr="001774C1" w:rsidRDefault="001774C1" w:rsidP="001774C1">
            <w:pPr>
              <w:pStyle w:val="Prrafodelista"/>
              <w:jc w:val="both"/>
              <w:rPr>
                <w:color w:val="000000" w:themeColor="text1"/>
              </w:rPr>
            </w:pPr>
            <w:r w:rsidRPr="00D82494">
              <w:rPr>
                <w:rFonts w:ascii="Calibri" w:hAnsi="Calibri"/>
                <w:bCs/>
                <w:color w:val="000000"/>
              </w:rPr>
              <w:t>Se</w:t>
            </w:r>
            <w:r w:rsidR="00612734" w:rsidRPr="00D82494">
              <w:rPr>
                <w:rFonts w:ascii="Calibri" w:hAnsi="Calibri"/>
                <w:bCs/>
                <w:color w:val="000000"/>
              </w:rPr>
              <w:t xml:space="preserve"> está trabajando los lineamientos, se</w:t>
            </w:r>
            <w:r w:rsidRPr="00D82494">
              <w:rPr>
                <w:rFonts w:ascii="Calibri" w:hAnsi="Calibri"/>
                <w:bCs/>
                <w:color w:val="000000"/>
              </w:rPr>
              <w:t xml:space="preserve"> ha considerado reprog</w:t>
            </w:r>
            <w:r w:rsidR="00D82494" w:rsidRPr="00D82494">
              <w:rPr>
                <w:rFonts w:ascii="Calibri" w:hAnsi="Calibri"/>
                <w:bCs/>
                <w:color w:val="000000"/>
              </w:rPr>
              <w:t xml:space="preserve">ramar la implementación para diciembre </w:t>
            </w:r>
            <w:r w:rsidRPr="00D82494">
              <w:rPr>
                <w:rFonts w:ascii="Calibri" w:hAnsi="Calibri"/>
                <w:bCs/>
                <w:color w:val="000000"/>
              </w:rPr>
              <w:t>201</w:t>
            </w:r>
            <w:r w:rsidR="00D82494" w:rsidRPr="00D82494">
              <w:rPr>
                <w:rFonts w:ascii="Calibri" w:hAnsi="Calibri"/>
                <w:bCs/>
                <w:color w:val="000000"/>
              </w:rPr>
              <w:t>6</w:t>
            </w:r>
            <w:r w:rsidR="006A119E">
              <w:rPr>
                <w:rFonts w:ascii="Calibri" w:hAnsi="Calibri"/>
                <w:bCs/>
                <w:color w:val="000000"/>
              </w:rPr>
              <w:t>.</w:t>
            </w:r>
          </w:p>
          <w:p w:rsidR="001F057B" w:rsidRPr="001774C1" w:rsidRDefault="001F057B" w:rsidP="001F057B">
            <w:pPr>
              <w:pStyle w:val="Prrafodelista"/>
              <w:numPr>
                <w:ilvl w:val="0"/>
                <w:numId w:val="34"/>
              </w:numPr>
              <w:jc w:val="both"/>
              <w:rPr>
                <w:b/>
                <w:i/>
                <w:color w:val="000000" w:themeColor="text1"/>
              </w:rPr>
            </w:pPr>
            <w:r w:rsidRPr="001F057B">
              <w:rPr>
                <w:rFonts w:ascii="Calibri" w:hAnsi="Calibri"/>
                <w:b/>
                <w:bCs/>
                <w:i/>
                <w:color w:val="000000"/>
              </w:rPr>
              <w:t>Implementación del uso de redes sociales en el Estado</w:t>
            </w:r>
          </w:p>
          <w:p w:rsidR="00D82494" w:rsidRPr="001774C1" w:rsidRDefault="00D82494" w:rsidP="001774C1">
            <w:pPr>
              <w:pStyle w:val="Prrafodelista"/>
              <w:jc w:val="both"/>
              <w:rPr>
                <w:color w:val="000000" w:themeColor="text1"/>
              </w:rPr>
            </w:pPr>
            <w:r>
              <w:rPr>
                <w:rFonts w:ascii="Calibri" w:hAnsi="Calibri"/>
                <w:bCs/>
                <w:color w:val="000000"/>
              </w:rPr>
              <w:t xml:space="preserve">Se encuentra en </w:t>
            </w:r>
            <w:r w:rsidR="006A119E">
              <w:rPr>
                <w:rFonts w:ascii="Calibri" w:hAnsi="Calibri"/>
                <w:bCs/>
                <w:color w:val="000000"/>
              </w:rPr>
              <w:t>etapa de desarrollo</w:t>
            </w:r>
            <w:r>
              <w:rPr>
                <w:rFonts w:ascii="Calibri" w:hAnsi="Calibri"/>
                <w:bCs/>
                <w:color w:val="000000"/>
              </w:rPr>
              <w:t>, se puede visualizar</w:t>
            </w:r>
            <w:r w:rsidR="006A119E">
              <w:rPr>
                <w:rFonts w:ascii="Calibri" w:hAnsi="Calibri"/>
                <w:bCs/>
                <w:color w:val="000000"/>
              </w:rPr>
              <w:t xml:space="preserve"> en el siguiente enlace:</w:t>
            </w:r>
            <w:r>
              <w:rPr>
                <w:rFonts w:ascii="Calibri" w:hAnsi="Calibri"/>
                <w:bCs/>
                <w:color w:val="000000"/>
              </w:rPr>
              <w:t xml:space="preserve"> </w:t>
            </w:r>
            <w:hyperlink r:id="rId64" w:history="1">
              <w:r w:rsidRPr="001A65E2">
                <w:rPr>
                  <w:rStyle w:val="Hipervnculo"/>
                  <w:rFonts w:ascii="Calibri" w:hAnsi="Calibri"/>
                  <w:bCs/>
                </w:rPr>
                <w:t>http://www.peru.gob.pe/redessociales/</w:t>
              </w:r>
            </w:hyperlink>
          </w:p>
          <w:p w:rsidR="001F057B" w:rsidRPr="00295641" w:rsidRDefault="001F057B" w:rsidP="00B56E74">
            <w:pPr>
              <w:jc w:val="both"/>
              <w:rPr>
                <w:color w:val="000000" w:themeColor="text1"/>
              </w:rPr>
            </w:pPr>
            <w:r>
              <w:rPr>
                <w:color w:val="000000" w:themeColor="text1"/>
              </w:rPr>
              <w:t>Fuente:  Memorando N° 568-2016-PCM/ONGEI, del 15.09.16</w:t>
            </w:r>
          </w:p>
        </w:tc>
      </w:tr>
      <w:tr w:rsidR="00F40088" w:rsidRPr="00295641" w:rsidTr="00B56E74">
        <w:tc>
          <w:tcPr>
            <w:tcW w:w="2518" w:type="dxa"/>
            <w:gridSpan w:val="2"/>
            <w:shd w:val="clear" w:color="auto" w:fill="C6D9F1" w:themeFill="text2" w:themeFillTint="33"/>
            <w:vAlign w:val="center"/>
          </w:tcPr>
          <w:p w:rsidR="00F40088" w:rsidRPr="00295641" w:rsidRDefault="00F40088" w:rsidP="00B56E74">
            <w:pPr>
              <w:rPr>
                <w:b/>
                <w:color w:val="000000" w:themeColor="text1"/>
              </w:rPr>
            </w:pPr>
            <w:r w:rsidRPr="00295641">
              <w:rPr>
                <w:rFonts w:cs="Gotham-Book"/>
                <w:b/>
                <w:color w:val="000000" w:themeColor="text1"/>
              </w:rPr>
              <w:t>Fecha de conclusión</w:t>
            </w:r>
          </w:p>
        </w:tc>
        <w:tc>
          <w:tcPr>
            <w:tcW w:w="6521" w:type="dxa"/>
            <w:gridSpan w:val="4"/>
          </w:tcPr>
          <w:p w:rsidR="00F40088" w:rsidRPr="00295641" w:rsidRDefault="00D82494" w:rsidP="00B56E74">
            <w:pPr>
              <w:jc w:val="both"/>
              <w:rPr>
                <w:color w:val="000000" w:themeColor="text1"/>
              </w:rPr>
            </w:pPr>
            <w:r>
              <w:rPr>
                <w:color w:val="000000" w:themeColor="text1"/>
              </w:rPr>
              <w:t>Diciembre 2016</w:t>
            </w:r>
          </w:p>
        </w:tc>
      </w:tr>
      <w:tr w:rsidR="00F40088" w:rsidRPr="00295641" w:rsidTr="00B56E74">
        <w:tc>
          <w:tcPr>
            <w:tcW w:w="2518" w:type="dxa"/>
            <w:gridSpan w:val="2"/>
            <w:shd w:val="clear" w:color="auto" w:fill="C6D9F1" w:themeFill="text2" w:themeFillTint="33"/>
            <w:vAlign w:val="center"/>
          </w:tcPr>
          <w:p w:rsidR="00F40088" w:rsidRPr="00295641" w:rsidRDefault="00F40088" w:rsidP="00B56E74">
            <w:pPr>
              <w:rPr>
                <w:b/>
                <w:color w:val="000000" w:themeColor="text1"/>
              </w:rPr>
            </w:pPr>
            <w:r w:rsidRPr="00295641">
              <w:rPr>
                <w:rFonts w:cs="Gotham-Book"/>
                <w:b/>
                <w:color w:val="000000" w:themeColor="text1"/>
              </w:rPr>
              <w:t>Próximos pasos</w:t>
            </w:r>
          </w:p>
        </w:tc>
        <w:tc>
          <w:tcPr>
            <w:tcW w:w="6521" w:type="dxa"/>
            <w:gridSpan w:val="4"/>
          </w:tcPr>
          <w:p w:rsidR="00F40088" w:rsidRPr="00295641" w:rsidRDefault="001774C1" w:rsidP="001774C1">
            <w:pPr>
              <w:jc w:val="both"/>
              <w:rPr>
                <w:color w:val="000000" w:themeColor="text1"/>
              </w:rPr>
            </w:pPr>
            <w:r>
              <w:rPr>
                <w:color w:val="000000" w:themeColor="text1"/>
              </w:rPr>
              <w:t xml:space="preserve">Las capacitaciones </w:t>
            </w:r>
            <w:r w:rsidR="00F40088">
              <w:rPr>
                <w:color w:val="000000" w:themeColor="text1"/>
              </w:rPr>
              <w:t>son de carácter permanente y de continua actualización.</w:t>
            </w:r>
          </w:p>
        </w:tc>
      </w:tr>
      <w:tr w:rsidR="00F40088" w:rsidRPr="00295641" w:rsidTr="00B56E74">
        <w:tc>
          <w:tcPr>
            <w:tcW w:w="9039" w:type="dxa"/>
            <w:gridSpan w:val="6"/>
          </w:tcPr>
          <w:p w:rsidR="00F40088" w:rsidRPr="00295641" w:rsidRDefault="00F40088" w:rsidP="00B56E74">
            <w:pPr>
              <w:jc w:val="both"/>
              <w:rPr>
                <w:rFonts w:cs="Gotham-Book"/>
                <w:b/>
                <w:color w:val="000000" w:themeColor="text1"/>
              </w:rPr>
            </w:pPr>
          </w:p>
          <w:p w:rsidR="00F40088" w:rsidRPr="00295641" w:rsidRDefault="00F40088" w:rsidP="00B56E74">
            <w:pPr>
              <w:jc w:val="both"/>
              <w:rPr>
                <w:color w:val="000000" w:themeColor="text1"/>
              </w:rPr>
            </w:pPr>
            <w:r w:rsidRPr="001774C1">
              <w:rPr>
                <w:rFonts w:cs="Gotham-Book"/>
                <w:b/>
              </w:rPr>
              <w:t>Información adicional</w:t>
            </w:r>
          </w:p>
        </w:tc>
      </w:tr>
    </w:tbl>
    <w:p w:rsidR="00F40088" w:rsidRDefault="00F40088"/>
    <w:p w:rsidR="00272BDF" w:rsidRDefault="00272BDF"/>
    <w:p w:rsidR="00272BDF" w:rsidRDefault="00272BDF"/>
    <w:p w:rsidR="00D55406" w:rsidRPr="00272BDF" w:rsidRDefault="00BF5406" w:rsidP="003A3ABE">
      <w:pPr>
        <w:numPr>
          <w:ilvl w:val="0"/>
          <w:numId w:val="5"/>
        </w:numPr>
        <w:autoSpaceDE w:val="0"/>
        <w:autoSpaceDN w:val="0"/>
        <w:adjustRightInd w:val="0"/>
        <w:spacing w:after="0" w:line="240" w:lineRule="auto"/>
        <w:ind w:left="284"/>
        <w:rPr>
          <w:i/>
          <w:sz w:val="28"/>
          <w:szCs w:val="28"/>
          <w:lang w:val="es-PE"/>
        </w:rPr>
      </w:pPr>
      <w:r>
        <w:rPr>
          <w:b/>
          <w:bCs/>
          <w:i/>
          <w:sz w:val="28"/>
          <w:szCs w:val="28"/>
          <w:lang w:val="es-PE"/>
        </w:rPr>
        <w:t>A</w:t>
      </w:r>
      <w:r w:rsidR="00D55406" w:rsidRPr="00272BDF">
        <w:rPr>
          <w:b/>
          <w:bCs/>
          <w:i/>
          <w:sz w:val="28"/>
          <w:szCs w:val="28"/>
          <w:lang w:val="es-PE"/>
        </w:rPr>
        <w:t>vances en relación a los criterios de elegibilidad</w:t>
      </w:r>
      <w:r w:rsidR="0079680E" w:rsidRPr="00272BDF">
        <w:rPr>
          <w:b/>
          <w:bCs/>
          <w:i/>
          <w:sz w:val="28"/>
          <w:szCs w:val="28"/>
          <w:lang w:val="es-PE"/>
        </w:rPr>
        <w:t>.</w:t>
      </w:r>
      <w:r w:rsidR="00D55406" w:rsidRPr="00272BDF">
        <w:rPr>
          <w:b/>
          <w:bCs/>
          <w:i/>
          <w:sz w:val="28"/>
          <w:szCs w:val="28"/>
          <w:lang w:val="es-PE"/>
        </w:rPr>
        <w:t xml:space="preserve"> </w:t>
      </w:r>
    </w:p>
    <w:p w:rsidR="00272BDF" w:rsidRPr="0055554C" w:rsidRDefault="00272BDF" w:rsidP="00272BDF">
      <w:pPr>
        <w:autoSpaceDE w:val="0"/>
        <w:autoSpaceDN w:val="0"/>
        <w:adjustRightInd w:val="0"/>
        <w:spacing w:after="0" w:line="240" w:lineRule="auto"/>
        <w:ind w:left="284"/>
        <w:rPr>
          <w:rFonts w:ascii="Gotham Bold" w:hAnsi="Gotham Bold"/>
          <w:i/>
          <w:lang w:val="es-PE"/>
        </w:rPr>
      </w:pPr>
    </w:p>
    <w:p w:rsidR="0079680E" w:rsidRPr="0055554C" w:rsidRDefault="0079680E" w:rsidP="0079680E">
      <w:pPr>
        <w:autoSpaceDE w:val="0"/>
        <w:autoSpaceDN w:val="0"/>
        <w:adjustRightInd w:val="0"/>
        <w:spacing w:after="0" w:line="240" w:lineRule="auto"/>
        <w:rPr>
          <w:sz w:val="20"/>
          <w:szCs w:val="20"/>
          <w:lang w:val="es-PE"/>
        </w:rPr>
      </w:pPr>
      <w:r w:rsidRPr="0055554C">
        <w:rPr>
          <w:bCs/>
          <w:lang w:val="es-PE"/>
        </w:rPr>
        <w:t>De acuerdo a los criterios de elegibilidad de OGP, se muestran los siguientes avances:</w:t>
      </w:r>
    </w:p>
    <w:p w:rsidR="0079680E" w:rsidRPr="0055554C" w:rsidRDefault="0079680E" w:rsidP="0079680E">
      <w:pPr>
        <w:autoSpaceDE w:val="0"/>
        <w:autoSpaceDN w:val="0"/>
        <w:adjustRightInd w:val="0"/>
        <w:spacing w:after="0" w:line="240" w:lineRule="auto"/>
        <w:rPr>
          <w:b/>
          <w:sz w:val="20"/>
          <w:szCs w:val="20"/>
          <w:lang w:val="es-PE"/>
        </w:rPr>
      </w:pPr>
      <w:r w:rsidRPr="0055554C">
        <w:rPr>
          <w:b/>
          <w:sz w:val="20"/>
          <w:szCs w:val="20"/>
          <w:lang w:val="es-PE"/>
        </w:rPr>
        <w:t>A. Transparencia Fiscal</w:t>
      </w:r>
    </w:p>
    <w:p w:rsidR="0079680E" w:rsidRPr="0055554C" w:rsidRDefault="0079680E" w:rsidP="0079680E">
      <w:pPr>
        <w:spacing w:after="0" w:line="240" w:lineRule="auto"/>
        <w:ind w:left="284"/>
        <w:jc w:val="both"/>
        <w:rPr>
          <w:rFonts w:cs="Gotham"/>
          <w:sz w:val="20"/>
          <w:szCs w:val="20"/>
          <w:lang w:val="es-PE"/>
        </w:rPr>
      </w:pPr>
      <w:r w:rsidRPr="0055554C">
        <w:t>El Perú ya cuenta con información en esta materia a través del Portal de Transparencia Económica y Fiscal del Ministerio de Economía y Finanzas, práctica que ha sido sostenible</w:t>
      </w:r>
      <w:r w:rsidR="00162F34" w:rsidRPr="0055554C">
        <w:t>. S</w:t>
      </w:r>
      <w:r w:rsidRPr="0055554C">
        <w:t>e p</w:t>
      </w:r>
      <w:r w:rsidR="0055554C" w:rsidRPr="0055554C">
        <w:t>uede visualizar en el siguiente enlace</w:t>
      </w:r>
      <w:r w:rsidRPr="0055554C">
        <w:t xml:space="preserve">: </w:t>
      </w:r>
      <w:hyperlink r:id="rId65" w:history="1">
        <w:r w:rsidRPr="0055554C">
          <w:rPr>
            <w:rStyle w:val="Hipervnculo"/>
            <w:rFonts w:cs="Gotham"/>
            <w:sz w:val="20"/>
            <w:szCs w:val="20"/>
            <w:lang w:val="es-PE"/>
          </w:rPr>
          <w:t>http://www.mef.gob.pe/index.php?option=com_content&amp;view=section&amp;id=37&amp;Itemid=100143&amp;lang=es</w:t>
        </w:r>
      </w:hyperlink>
    </w:p>
    <w:p w:rsidR="0079680E" w:rsidRPr="0055554C" w:rsidRDefault="0079680E" w:rsidP="0079680E">
      <w:pPr>
        <w:spacing w:after="0" w:line="240" w:lineRule="auto"/>
        <w:ind w:left="284"/>
        <w:jc w:val="both"/>
        <w:rPr>
          <w:rFonts w:cs="Gotham"/>
          <w:sz w:val="20"/>
          <w:szCs w:val="20"/>
          <w:lang w:val="es-PE"/>
        </w:rPr>
      </w:pPr>
    </w:p>
    <w:p w:rsidR="00D55406" w:rsidRPr="0055554C" w:rsidRDefault="0079680E" w:rsidP="0079680E">
      <w:pPr>
        <w:spacing w:after="0" w:line="240" w:lineRule="auto"/>
        <w:ind w:left="284"/>
        <w:jc w:val="both"/>
        <w:rPr>
          <w:rFonts w:cs="Gotham"/>
          <w:lang w:val="es-PE"/>
        </w:rPr>
      </w:pPr>
      <w:r w:rsidRPr="0055554C">
        <w:rPr>
          <w:rFonts w:cs="Gotham"/>
          <w:lang w:val="es-PE"/>
        </w:rPr>
        <w:t xml:space="preserve">Adicionalmente, se ha desarrollado la nueva versión del Portal de Transparencia Estándar, el mismo que se encuentra en etapa de prueba para </w:t>
      </w:r>
      <w:r w:rsidR="007253CA" w:rsidRPr="0055554C">
        <w:rPr>
          <w:rFonts w:cs="Gotham"/>
          <w:lang w:val="es-PE"/>
        </w:rPr>
        <w:t>su aplicación</w:t>
      </w:r>
      <w:r w:rsidRPr="0055554C">
        <w:rPr>
          <w:rFonts w:cs="Gotham"/>
          <w:lang w:val="es-PE"/>
        </w:rPr>
        <w:t>,</w:t>
      </w:r>
      <w:r w:rsidR="007253CA" w:rsidRPr="0055554C">
        <w:rPr>
          <w:rFonts w:cs="Gotham"/>
          <w:lang w:val="es-PE"/>
        </w:rPr>
        <w:t xml:space="preserve"> el cual</w:t>
      </w:r>
      <w:r w:rsidRPr="0055554C">
        <w:rPr>
          <w:rFonts w:cs="Gotham"/>
          <w:lang w:val="es-PE"/>
        </w:rPr>
        <w:t xml:space="preserve"> puede ser visualizado en el siguiente enlace: </w:t>
      </w:r>
      <w:hyperlink r:id="rId66" w:history="1">
        <w:r w:rsidRPr="0055554C">
          <w:rPr>
            <w:rStyle w:val="Hipervnculo"/>
          </w:rPr>
          <w:t>http://peru.gob.pe/Portal_Transparencia_Estandar/(S(j43otqcab31n3ahylscsmxu3))/pte_transparencia_inicio.aspx</w:t>
        </w:r>
      </w:hyperlink>
      <w:r w:rsidRPr="0055554C">
        <w:rPr>
          <w:rFonts w:cs="Gotham"/>
          <w:lang w:val="es-PE"/>
        </w:rPr>
        <w:tab/>
      </w:r>
    </w:p>
    <w:p w:rsidR="0079680E" w:rsidRPr="0055554C" w:rsidRDefault="0079680E" w:rsidP="0079680E">
      <w:pPr>
        <w:spacing w:after="0" w:line="240" w:lineRule="auto"/>
        <w:ind w:left="284"/>
        <w:jc w:val="both"/>
        <w:rPr>
          <w:rFonts w:cs="Gotham"/>
          <w:lang w:val="es-PE"/>
        </w:rPr>
      </w:pPr>
    </w:p>
    <w:p w:rsidR="0079680E" w:rsidRPr="0055554C" w:rsidRDefault="0079680E" w:rsidP="0079680E">
      <w:pPr>
        <w:spacing w:after="0" w:line="240" w:lineRule="auto"/>
        <w:ind w:left="284" w:hanging="284"/>
        <w:jc w:val="both"/>
        <w:rPr>
          <w:rFonts w:cs="Gotham"/>
          <w:b/>
          <w:lang w:val="es-PE"/>
        </w:rPr>
      </w:pPr>
      <w:r w:rsidRPr="0055554C">
        <w:rPr>
          <w:rFonts w:cs="Gotham"/>
          <w:b/>
          <w:lang w:val="es-PE"/>
        </w:rPr>
        <w:t>B. Acceso a la Información</w:t>
      </w:r>
    </w:p>
    <w:p w:rsidR="0079680E" w:rsidRPr="0055554C" w:rsidRDefault="0079680E" w:rsidP="0079680E">
      <w:pPr>
        <w:spacing w:after="0" w:line="240" w:lineRule="auto"/>
        <w:ind w:left="284" w:hanging="284"/>
        <w:jc w:val="both"/>
        <w:rPr>
          <w:rFonts w:cs="Gotham"/>
          <w:lang w:val="es-PE"/>
        </w:rPr>
      </w:pPr>
      <w:r w:rsidRPr="0055554C">
        <w:rPr>
          <w:rFonts w:cs="Gotham"/>
          <w:lang w:val="es-PE"/>
        </w:rPr>
        <w:tab/>
      </w:r>
      <w:r w:rsidR="00604687" w:rsidRPr="0055554C">
        <w:rPr>
          <w:rFonts w:cs="Gotham"/>
          <w:lang w:val="es-PE"/>
        </w:rPr>
        <w:t>Mediante Decreto Supremo N° 070-2013-PCM</w:t>
      </w:r>
      <w:r w:rsidR="00162F34" w:rsidRPr="0055554C">
        <w:rPr>
          <w:rFonts w:cs="Gotham"/>
          <w:lang w:val="es-PE"/>
        </w:rPr>
        <w:t>,</w:t>
      </w:r>
      <w:r w:rsidR="00604687" w:rsidRPr="0055554C">
        <w:rPr>
          <w:rFonts w:cs="Gotham"/>
          <w:lang w:val="es-PE"/>
        </w:rPr>
        <w:t xml:space="preserve"> se modifica el Reglamento de la Ley de Transparencia y Acceso a la Información Pública y se precisa las obligaciones de los titulares de las entidades, funcionarios responsables de atender las solicitudes de acceso a la información pública y de los poseedores de la información</w:t>
      </w:r>
      <w:r w:rsidR="00162F34" w:rsidRPr="0055554C">
        <w:rPr>
          <w:rFonts w:cs="Gotham"/>
          <w:lang w:val="es-PE"/>
        </w:rPr>
        <w:t>. Asimismo,</w:t>
      </w:r>
      <w:r w:rsidR="00604687" w:rsidRPr="0055554C">
        <w:rPr>
          <w:rFonts w:cs="Gotham"/>
          <w:lang w:val="es-PE"/>
        </w:rPr>
        <w:t xml:space="preserve"> se dispone que las entidades puedan contar con un registro de las solicitudes de acceso a la información.  Sobre </w:t>
      </w:r>
      <w:r w:rsidR="00162F34" w:rsidRPr="0055554C">
        <w:rPr>
          <w:rFonts w:cs="Gotham"/>
          <w:lang w:val="es-PE"/>
        </w:rPr>
        <w:t>esta</w:t>
      </w:r>
      <w:r w:rsidR="00604687" w:rsidRPr="0055554C">
        <w:rPr>
          <w:rFonts w:cs="Gotham"/>
          <w:lang w:val="es-PE"/>
        </w:rPr>
        <w:t xml:space="preserve"> última modificación</w:t>
      </w:r>
      <w:r w:rsidR="00162F34" w:rsidRPr="0055554C">
        <w:rPr>
          <w:rFonts w:cs="Gotham"/>
          <w:lang w:val="es-PE"/>
        </w:rPr>
        <w:t>,</w:t>
      </w:r>
      <w:r w:rsidR="00604687" w:rsidRPr="0055554C">
        <w:rPr>
          <w:rFonts w:cs="Gotham"/>
          <w:lang w:val="es-PE"/>
        </w:rPr>
        <w:t xml:space="preserve"> se ha desarrollado un sistema informático de registro de pedidos de acceso a la información</w:t>
      </w:r>
      <w:r w:rsidR="00162F34" w:rsidRPr="0055554C">
        <w:rPr>
          <w:rFonts w:cs="Gotham"/>
          <w:lang w:val="es-PE"/>
        </w:rPr>
        <w:t>,</w:t>
      </w:r>
      <w:r w:rsidR="00604687" w:rsidRPr="0055554C">
        <w:rPr>
          <w:rFonts w:cs="Gotham"/>
          <w:lang w:val="es-PE"/>
        </w:rPr>
        <w:t xml:space="preserve"> a fin de sistematizar </w:t>
      </w:r>
      <w:r w:rsidR="00162F34" w:rsidRPr="0055554C">
        <w:rPr>
          <w:rFonts w:cs="Gotham"/>
          <w:lang w:val="es-PE"/>
        </w:rPr>
        <w:t>las solicitudes</w:t>
      </w:r>
      <w:r w:rsidR="00604687" w:rsidRPr="0055554C">
        <w:rPr>
          <w:rFonts w:cs="Gotham"/>
          <w:lang w:val="es-PE"/>
        </w:rPr>
        <w:t xml:space="preserve"> que son requerido</w:t>
      </w:r>
      <w:r w:rsidR="00162F34" w:rsidRPr="0055554C">
        <w:rPr>
          <w:rFonts w:cs="Gotham"/>
          <w:lang w:val="es-PE"/>
        </w:rPr>
        <w:t xml:space="preserve">s a la administración pública, además, del </w:t>
      </w:r>
      <w:r w:rsidR="00604687" w:rsidRPr="0055554C">
        <w:rPr>
          <w:rFonts w:cs="Gotham"/>
          <w:lang w:val="es-PE"/>
        </w:rPr>
        <w:t>seguimiento al procedimiento, facilitando</w:t>
      </w:r>
      <w:r w:rsidR="00162F34" w:rsidRPr="0055554C">
        <w:rPr>
          <w:rFonts w:cs="Gotham"/>
          <w:lang w:val="es-PE"/>
        </w:rPr>
        <w:t>, así,</w:t>
      </w:r>
      <w:r w:rsidR="00604687" w:rsidRPr="0055554C">
        <w:rPr>
          <w:rFonts w:cs="Gotham"/>
          <w:lang w:val="es-PE"/>
        </w:rPr>
        <w:t xml:space="preserve"> la transparencia y acceso a los ciudadanos del trámite iniciado.</w:t>
      </w:r>
    </w:p>
    <w:p w:rsidR="00604687" w:rsidRPr="0055554C" w:rsidRDefault="00604687" w:rsidP="0079680E">
      <w:pPr>
        <w:spacing w:after="0" w:line="240" w:lineRule="auto"/>
        <w:ind w:left="284" w:hanging="284"/>
        <w:jc w:val="both"/>
        <w:rPr>
          <w:rFonts w:cs="Gotham"/>
          <w:lang w:val="es-PE"/>
        </w:rPr>
      </w:pPr>
    </w:p>
    <w:p w:rsidR="00604687" w:rsidRPr="0055554C" w:rsidRDefault="00604687" w:rsidP="0079680E">
      <w:pPr>
        <w:spacing w:after="0" w:line="240" w:lineRule="auto"/>
        <w:ind w:left="284" w:hanging="284"/>
        <w:jc w:val="both"/>
        <w:rPr>
          <w:rFonts w:cs="Gotham"/>
          <w:b/>
          <w:lang w:val="es-PE"/>
        </w:rPr>
      </w:pPr>
      <w:r w:rsidRPr="0055554C">
        <w:rPr>
          <w:rFonts w:cs="Gotham"/>
          <w:b/>
          <w:lang w:val="es-PE"/>
        </w:rPr>
        <w:t>C. Publicación de información relacionada a funcionarios públicos electos o de alto rango</w:t>
      </w:r>
    </w:p>
    <w:p w:rsidR="00604687" w:rsidRPr="0055554C" w:rsidRDefault="00604687" w:rsidP="0079680E">
      <w:pPr>
        <w:spacing w:after="0" w:line="240" w:lineRule="auto"/>
        <w:ind w:left="284" w:hanging="284"/>
        <w:jc w:val="both"/>
        <w:rPr>
          <w:rFonts w:cs="Gotham"/>
          <w:lang w:val="es-PE"/>
        </w:rPr>
      </w:pPr>
      <w:r w:rsidRPr="0055554C">
        <w:rPr>
          <w:rFonts w:cs="Gotham"/>
          <w:b/>
          <w:lang w:val="es-PE"/>
        </w:rPr>
        <w:tab/>
      </w:r>
      <w:r w:rsidRPr="0055554C">
        <w:rPr>
          <w:rFonts w:cs="Gotham"/>
          <w:lang w:val="es-PE"/>
        </w:rPr>
        <w:t xml:space="preserve">La Contraloría General de la República cuenta con un sistema de Declaraciones Juradas a fin de que los funcionarios puedan registrar sus respectiva Declaraciones </w:t>
      </w:r>
      <w:r w:rsidR="00162F34" w:rsidRPr="0055554C">
        <w:rPr>
          <w:rFonts w:cs="Gotham"/>
          <w:lang w:val="es-PE"/>
        </w:rPr>
        <w:t>de Juradas de ingresos y rentas. M</w:t>
      </w:r>
      <w:r w:rsidRPr="0055554C">
        <w:rPr>
          <w:rFonts w:cs="Gotham"/>
          <w:lang w:val="es-PE"/>
        </w:rPr>
        <w:t xml:space="preserve">ayor información en el siguiente enlace: </w:t>
      </w:r>
      <w:hyperlink r:id="rId67" w:history="1">
        <w:r w:rsidRPr="0055554C">
          <w:rPr>
            <w:rStyle w:val="Hipervnculo"/>
            <w:rFonts w:cs="Gotham"/>
            <w:lang w:val="es-PE"/>
          </w:rPr>
          <w:t>http://doc.contraloria.gob.pe/ddjj/mantenimiento/mensaje.html</w:t>
        </w:r>
      </w:hyperlink>
    </w:p>
    <w:p w:rsidR="00604687" w:rsidRPr="0055554C" w:rsidRDefault="00604687" w:rsidP="0079680E">
      <w:pPr>
        <w:spacing w:after="0" w:line="240" w:lineRule="auto"/>
        <w:ind w:left="284" w:hanging="284"/>
        <w:jc w:val="both"/>
        <w:rPr>
          <w:rFonts w:cs="Gotham"/>
          <w:lang w:val="es-PE"/>
        </w:rPr>
      </w:pPr>
    </w:p>
    <w:p w:rsidR="00604687" w:rsidRPr="0055554C" w:rsidRDefault="00B8145B" w:rsidP="0079680E">
      <w:pPr>
        <w:spacing w:after="0" w:line="240" w:lineRule="auto"/>
        <w:ind w:left="284" w:hanging="284"/>
        <w:jc w:val="both"/>
        <w:rPr>
          <w:rFonts w:cs="Gotham"/>
          <w:b/>
          <w:lang w:val="es-PE"/>
        </w:rPr>
      </w:pPr>
      <w:r w:rsidRPr="0055554C">
        <w:rPr>
          <w:rFonts w:cs="Gotham"/>
          <w:b/>
          <w:lang w:val="es-PE"/>
        </w:rPr>
        <w:t>D. Participación</w:t>
      </w:r>
      <w:r w:rsidR="00604687" w:rsidRPr="0055554C">
        <w:rPr>
          <w:rFonts w:cs="Gotham"/>
          <w:b/>
          <w:lang w:val="es-PE"/>
        </w:rPr>
        <w:t xml:space="preserve"> Ciudadana</w:t>
      </w:r>
    </w:p>
    <w:p w:rsidR="00961C5B" w:rsidRPr="0055554C" w:rsidRDefault="00961C5B" w:rsidP="0079680E">
      <w:pPr>
        <w:spacing w:after="0" w:line="240" w:lineRule="auto"/>
        <w:ind w:left="284" w:hanging="284"/>
        <w:jc w:val="both"/>
        <w:rPr>
          <w:rFonts w:cs="Gotham"/>
          <w:lang w:val="es-PE"/>
        </w:rPr>
      </w:pPr>
      <w:r w:rsidRPr="0055554C">
        <w:rPr>
          <w:rFonts w:cs="Gotham"/>
          <w:b/>
          <w:lang w:val="es-PE"/>
        </w:rPr>
        <w:tab/>
      </w:r>
      <w:r w:rsidRPr="0055554C">
        <w:rPr>
          <w:rFonts w:cs="Gotham"/>
          <w:lang w:val="es-PE"/>
        </w:rPr>
        <w:t>El Plan de Acción Nacional 2015-2016 cuenta con compromisos en materia de participación ciudadana y rendición de cuentas</w:t>
      </w:r>
      <w:r w:rsidR="003B5489">
        <w:rPr>
          <w:rFonts w:cs="Gotham"/>
          <w:lang w:val="es-PE"/>
        </w:rPr>
        <w:t>.</w:t>
      </w:r>
      <w:r w:rsidRPr="0055554C">
        <w:rPr>
          <w:rFonts w:cs="Gotham"/>
          <w:lang w:val="es-PE"/>
        </w:rPr>
        <w:t xml:space="preserve"> </w:t>
      </w:r>
      <w:r w:rsidR="003B5489">
        <w:rPr>
          <w:rFonts w:cs="Gotham"/>
          <w:lang w:val="es-PE"/>
        </w:rPr>
        <w:t xml:space="preserve">Algunos de ellos han sido cumplidos, como se puede observar en la </w:t>
      </w:r>
      <w:r w:rsidRPr="0055554C">
        <w:rPr>
          <w:rFonts w:cs="Gotham"/>
          <w:lang w:val="es-PE"/>
        </w:rPr>
        <w:t>descripción de los avances de cumplimiento del presente informe</w:t>
      </w:r>
      <w:r w:rsidR="003B5489">
        <w:rPr>
          <w:rFonts w:cs="Gotham"/>
          <w:lang w:val="es-PE"/>
        </w:rPr>
        <w:t>. Al respecto, se menciona como ejemplo</w:t>
      </w:r>
      <w:r w:rsidRPr="0055554C">
        <w:rPr>
          <w:rFonts w:cs="Gotham"/>
          <w:lang w:val="es-PE"/>
        </w:rPr>
        <w:t xml:space="preserve"> el caso del Ministerio de Cultura que ha concluido </w:t>
      </w:r>
      <w:r w:rsidR="003B5489">
        <w:rPr>
          <w:rFonts w:cs="Gotham"/>
          <w:lang w:val="es-PE"/>
        </w:rPr>
        <w:t>la</w:t>
      </w:r>
      <w:r w:rsidR="003B5489" w:rsidRPr="0055554C">
        <w:rPr>
          <w:rFonts w:cs="Gotham"/>
          <w:lang w:val="es-PE"/>
        </w:rPr>
        <w:t xml:space="preserve"> implementación</w:t>
      </w:r>
      <w:r w:rsidRPr="0055554C">
        <w:rPr>
          <w:rFonts w:cs="Gotham"/>
          <w:lang w:val="es-PE"/>
        </w:rPr>
        <w:t xml:space="preserve"> del compromiso relacionado a la Consulta previa o el caso del Ministerio de Desarrollo e Inclusión Social</w:t>
      </w:r>
      <w:r w:rsidR="003B5489">
        <w:rPr>
          <w:rFonts w:cs="Gotham"/>
          <w:lang w:val="es-PE"/>
        </w:rPr>
        <w:t>,</w:t>
      </w:r>
      <w:r w:rsidRPr="0055554C">
        <w:rPr>
          <w:rFonts w:cs="Gotham"/>
          <w:lang w:val="es-PE"/>
        </w:rPr>
        <w:t xml:space="preserve"> que ha concluido la implementación del compromiso en vigilancia  ciudadana sobre programas sociales</w:t>
      </w:r>
      <w:r w:rsidR="003B5489">
        <w:rPr>
          <w:rFonts w:cs="Gotham"/>
          <w:lang w:val="es-PE"/>
        </w:rPr>
        <w:t>,</w:t>
      </w:r>
      <w:r w:rsidRPr="0055554C">
        <w:rPr>
          <w:rFonts w:cs="Gotham"/>
          <w:lang w:val="es-PE"/>
        </w:rPr>
        <w:t xml:space="preserve"> fortaleciendo la transparencia para mejorar la focalización de los destinatario</w:t>
      </w:r>
      <w:r w:rsidR="003B5489">
        <w:rPr>
          <w:rFonts w:cs="Gotham"/>
          <w:lang w:val="es-PE"/>
        </w:rPr>
        <w:t>s</w:t>
      </w:r>
      <w:r w:rsidRPr="0055554C">
        <w:rPr>
          <w:rFonts w:cs="Gotham"/>
          <w:lang w:val="es-PE"/>
        </w:rPr>
        <w:t>.</w:t>
      </w:r>
    </w:p>
    <w:p w:rsidR="00D76BF5" w:rsidRPr="00961C5B" w:rsidRDefault="00D76BF5" w:rsidP="0079680E">
      <w:pPr>
        <w:spacing w:after="0" w:line="240" w:lineRule="auto"/>
        <w:ind w:left="284" w:hanging="284"/>
        <w:jc w:val="both"/>
        <w:rPr>
          <w:rFonts w:ascii="Gotham" w:hAnsi="Gotham" w:cs="Gotham"/>
          <w:sz w:val="20"/>
          <w:szCs w:val="20"/>
          <w:lang w:val="es-PE"/>
        </w:rPr>
      </w:pPr>
    </w:p>
    <w:p w:rsidR="00D55406" w:rsidRPr="00272BDF" w:rsidRDefault="00D55406" w:rsidP="003A3ABE">
      <w:pPr>
        <w:numPr>
          <w:ilvl w:val="0"/>
          <w:numId w:val="5"/>
        </w:numPr>
        <w:autoSpaceDE w:val="0"/>
        <w:autoSpaceDN w:val="0"/>
        <w:adjustRightInd w:val="0"/>
        <w:spacing w:after="0" w:line="240" w:lineRule="auto"/>
        <w:ind w:left="284"/>
        <w:rPr>
          <w:rFonts w:cs="Gotham Bold"/>
          <w:i/>
          <w:sz w:val="28"/>
          <w:szCs w:val="28"/>
          <w:lang w:val="es-PE"/>
        </w:rPr>
      </w:pPr>
      <w:r w:rsidRPr="00272BDF">
        <w:rPr>
          <w:b/>
          <w:bCs/>
          <w:i/>
          <w:sz w:val="28"/>
          <w:szCs w:val="28"/>
          <w:lang w:val="es-PE"/>
        </w:rPr>
        <w:t xml:space="preserve">Conclusiones, otras iniciativas y siguientes pasos. </w:t>
      </w:r>
    </w:p>
    <w:p w:rsidR="00272BDF" w:rsidRDefault="00D55406" w:rsidP="00D55406">
      <w:pPr>
        <w:spacing w:after="0" w:line="240" w:lineRule="auto"/>
        <w:jc w:val="both"/>
        <w:rPr>
          <w:b/>
          <w:i/>
          <w:szCs w:val="20"/>
          <w:lang w:val="es-PE"/>
        </w:rPr>
      </w:pPr>
      <w:r w:rsidRPr="00272BDF">
        <w:rPr>
          <w:b/>
          <w:i/>
          <w:szCs w:val="20"/>
          <w:lang w:val="es-PE"/>
        </w:rPr>
        <w:t>Lecciones aprendidas</w:t>
      </w:r>
    </w:p>
    <w:p w:rsidR="00961C5B" w:rsidRPr="001F5DE1" w:rsidRDefault="00961C5B" w:rsidP="00D55406">
      <w:pPr>
        <w:spacing w:after="0" w:line="240" w:lineRule="auto"/>
        <w:jc w:val="both"/>
        <w:rPr>
          <w:szCs w:val="20"/>
          <w:lang w:val="es-PE"/>
        </w:rPr>
      </w:pPr>
      <w:r w:rsidRPr="001F5DE1">
        <w:rPr>
          <w:szCs w:val="20"/>
          <w:lang w:val="es-PE"/>
        </w:rPr>
        <w:t>La implementación del Gobierno Abierto en el Perú</w:t>
      </w:r>
      <w:r w:rsidR="00F25102">
        <w:rPr>
          <w:szCs w:val="20"/>
          <w:lang w:val="es-PE"/>
        </w:rPr>
        <w:t>,</w:t>
      </w:r>
      <w:r w:rsidRPr="001F5DE1">
        <w:rPr>
          <w:szCs w:val="20"/>
          <w:lang w:val="es-PE"/>
        </w:rPr>
        <w:t xml:space="preserve"> así como en los países que forman parte de la Alianza, ha constituido un proceso de aprendizaje desde la formulación de los planes de acción como </w:t>
      </w:r>
      <w:r w:rsidR="00F25102">
        <w:rPr>
          <w:szCs w:val="20"/>
          <w:lang w:val="es-PE"/>
        </w:rPr>
        <w:t>en</w:t>
      </w:r>
      <w:r w:rsidRPr="001F5DE1">
        <w:rPr>
          <w:szCs w:val="20"/>
          <w:lang w:val="es-PE"/>
        </w:rPr>
        <w:t xml:space="preserve"> su </w:t>
      </w:r>
      <w:r w:rsidR="00F25102">
        <w:rPr>
          <w:szCs w:val="20"/>
          <w:lang w:val="es-PE"/>
        </w:rPr>
        <w:t xml:space="preserve"> posterior </w:t>
      </w:r>
      <w:r w:rsidRPr="001F5DE1">
        <w:rPr>
          <w:szCs w:val="20"/>
          <w:lang w:val="es-PE"/>
        </w:rPr>
        <w:t>implementación y evaluación.</w:t>
      </w:r>
    </w:p>
    <w:p w:rsidR="00755E9E" w:rsidRPr="001F5DE1" w:rsidRDefault="00961C5B" w:rsidP="00D55406">
      <w:pPr>
        <w:spacing w:after="0" w:line="240" w:lineRule="auto"/>
        <w:jc w:val="both"/>
        <w:rPr>
          <w:szCs w:val="20"/>
          <w:lang w:val="es-PE"/>
        </w:rPr>
      </w:pPr>
      <w:r w:rsidRPr="001F5DE1">
        <w:rPr>
          <w:szCs w:val="20"/>
          <w:lang w:val="es-PE"/>
        </w:rPr>
        <w:t xml:space="preserve">En </w:t>
      </w:r>
      <w:r w:rsidR="00F25102">
        <w:rPr>
          <w:szCs w:val="20"/>
          <w:lang w:val="es-PE"/>
        </w:rPr>
        <w:t>nuestro país, se ha identificado compromisos</w:t>
      </w:r>
      <w:r w:rsidRPr="001F5DE1">
        <w:rPr>
          <w:szCs w:val="20"/>
          <w:lang w:val="es-PE"/>
        </w:rPr>
        <w:t xml:space="preserve"> </w:t>
      </w:r>
      <w:r w:rsidR="00755E9E" w:rsidRPr="001F5DE1">
        <w:rPr>
          <w:szCs w:val="20"/>
          <w:lang w:val="es-PE"/>
        </w:rPr>
        <w:t>que orientan los esfuerzos a mejorar marcos normativos y mejora de la prestación de servicios públicos</w:t>
      </w:r>
      <w:r w:rsidR="00F25102">
        <w:rPr>
          <w:szCs w:val="20"/>
          <w:lang w:val="es-PE"/>
        </w:rPr>
        <w:t>,</w:t>
      </w:r>
      <w:r w:rsidR="00755E9E" w:rsidRPr="001F5DE1">
        <w:rPr>
          <w:szCs w:val="20"/>
          <w:lang w:val="es-PE"/>
        </w:rPr>
        <w:t xml:space="preserve"> basados en el uso de las</w:t>
      </w:r>
      <w:r w:rsidR="00F25102">
        <w:rPr>
          <w:szCs w:val="20"/>
          <w:lang w:val="es-PE"/>
        </w:rPr>
        <w:t xml:space="preserve"> tecnologías de la información. </w:t>
      </w:r>
      <w:r w:rsidR="00755E9E" w:rsidRPr="001F5DE1">
        <w:rPr>
          <w:szCs w:val="20"/>
          <w:lang w:val="es-PE"/>
        </w:rPr>
        <w:t>Considerando la realidad nacional y la experiencia de la impleme</w:t>
      </w:r>
      <w:r w:rsidR="00F25102">
        <w:rPr>
          <w:szCs w:val="20"/>
          <w:lang w:val="es-PE"/>
        </w:rPr>
        <w:t>ntación de los planes de acción, las lecciones aprendidas de dicho proceso generan una reflexión en torno a la formulación de</w:t>
      </w:r>
      <w:r w:rsidR="00755E9E" w:rsidRPr="001F5DE1">
        <w:rPr>
          <w:szCs w:val="20"/>
          <w:lang w:val="es-PE"/>
        </w:rPr>
        <w:t xml:space="preserve"> los compromisos de los siguientes planes de acción</w:t>
      </w:r>
      <w:r w:rsidR="00F25102">
        <w:rPr>
          <w:szCs w:val="20"/>
          <w:lang w:val="es-PE"/>
        </w:rPr>
        <w:t>,</w:t>
      </w:r>
      <w:r w:rsidR="00755E9E" w:rsidRPr="001F5DE1">
        <w:rPr>
          <w:szCs w:val="20"/>
          <w:lang w:val="es-PE"/>
        </w:rPr>
        <w:t xml:space="preserve"> con un enfoque de gobierno abierto para el desarrollo sostenible, que posibilite atender y solucionar de manera efectiva los problemas que enfrenta el país, </w:t>
      </w:r>
      <w:r w:rsidR="00F25102">
        <w:rPr>
          <w:szCs w:val="20"/>
          <w:lang w:val="es-PE"/>
        </w:rPr>
        <w:t>focalizando</w:t>
      </w:r>
      <w:r w:rsidR="00755E9E" w:rsidRPr="001F5DE1">
        <w:rPr>
          <w:szCs w:val="20"/>
          <w:lang w:val="es-PE"/>
        </w:rPr>
        <w:t xml:space="preserve"> las intervenciones</w:t>
      </w:r>
      <w:r w:rsidR="00EE593E">
        <w:rPr>
          <w:szCs w:val="20"/>
          <w:lang w:val="es-PE"/>
        </w:rPr>
        <w:t xml:space="preserve">, generando evidencias </w:t>
      </w:r>
      <w:r w:rsidR="00755E9E" w:rsidRPr="001F5DE1">
        <w:rPr>
          <w:szCs w:val="20"/>
          <w:lang w:val="es-PE"/>
        </w:rPr>
        <w:t xml:space="preserve">y articulando </w:t>
      </w:r>
      <w:r w:rsidR="00F25102">
        <w:rPr>
          <w:szCs w:val="20"/>
          <w:lang w:val="es-PE"/>
        </w:rPr>
        <w:t>la acción de los distintos</w:t>
      </w:r>
      <w:r w:rsidR="00755E9E" w:rsidRPr="001F5DE1">
        <w:rPr>
          <w:szCs w:val="20"/>
          <w:lang w:val="es-PE"/>
        </w:rPr>
        <w:t xml:space="preserve"> actores involucrados para </w:t>
      </w:r>
      <w:r w:rsidR="00F25102">
        <w:rPr>
          <w:szCs w:val="20"/>
          <w:lang w:val="es-PE"/>
        </w:rPr>
        <w:t>promover un mayor impacto del Estado en beneficio de los ciudadanos.</w:t>
      </w:r>
    </w:p>
    <w:p w:rsidR="00755E9E" w:rsidRPr="001F5DE1" w:rsidRDefault="00755E9E" w:rsidP="00D55406">
      <w:pPr>
        <w:spacing w:after="0" w:line="240" w:lineRule="auto"/>
        <w:jc w:val="both"/>
        <w:rPr>
          <w:szCs w:val="20"/>
          <w:lang w:val="es-PE"/>
        </w:rPr>
      </w:pPr>
    </w:p>
    <w:p w:rsidR="00755E9E" w:rsidRPr="001F5DE1" w:rsidRDefault="002E6930" w:rsidP="00D55406">
      <w:pPr>
        <w:spacing w:after="0" w:line="240" w:lineRule="auto"/>
        <w:jc w:val="both"/>
        <w:rPr>
          <w:szCs w:val="20"/>
          <w:lang w:val="es-PE"/>
        </w:rPr>
      </w:pPr>
      <w:r>
        <w:rPr>
          <w:szCs w:val="20"/>
          <w:lang w:val="es-PE"/>
        </w:rPr>
        <w:t xml:space="preserve">Las distintas experiencias de países que conforman la Alianza concuerdan en </w:t>
      </w:r>
      <w:r w:rsidR="001F5DE1" w:rsidRPr="001F5DE1">
        <w:rPr>
          <w:szCs w:val="20"/>
          <w:lang w:val="es-PE"/>
        </w:rPr>
        <w:t xml:space="preserve"> </w:t>
      </w:r>
      <w:r>
        <w:rPr>
          <w:szCs w:val="20"/>
          <w:lang w:val="es-PE"/>
        </w:rPr>
        <w:t xml:space="preserve">la estrecha relación entre </w:t>
      </w:r>
      <w:r w:rsidR="00EE593E">
        <w:rPr>
          <w:szCs w:val="20"/>
          <w:lang w:val="es-PE"/>
        </w:rPr>
        <w:t xml:space="preserve">transparencia y </w:t>
      </w:r>
      <w:r w:rsidR="001F5DE1" w:rsidRPr="001F5DE1">
        <w:rPr>
          <w:szCs w:val="20"/>
          <w:lang w:val="es-PE"/>
        </w:rPr>
        <w:t>p</w:t>
      </w:r>
      <w:r>
        <w:rPr>
          <w:szCs w:val="20"/>
          <w:lang w:val="es-PE"/>
        </w:rPr>
        <w:t>articipación ciudadana. El proceso de formulación del Plan de Acción Nacional 2015-2016</w:t>
      </w:r>
      <w:r w:rsidR="00EA6623">
        <w:rPr>
          <w:szCs w:val="20"/>
          <w:lang w:val="es-PE"/>
        </w:rPr>
        <w:t xml:space="preserve"> evidencia la necesidad de restablecer y consolidar</w:t>
      </w:r>
      <w:r>
        <w:rPr>
          <w:szCs w:val="20"/>
          <w:lang w:val="es-PE"/>
        </w:rPr>
        <w:t xml:space="preserve"> </w:t>
      </w:r>
      <w:r w:rsidR="001F5DE1" w:rsidRPr="001F5DE1">
        <w:rPr>
          <w:szCs w:val="20"/>
          <w:lang w:val="es-PE"/>
        </w:rPr>
        <w:t xml:space="preserve">los canales de comunicación para </w:t>
      </w:r>
      <w:r w:rsidR="00EA6623">
        <w:rPr>
          <w:szCs w:val="20"/>
          <w:lang w:val="es-PE"/>
        </w:rPr>
        <w:t>promover</w:t>
      </w:r>
      <w:r w:rsidR="001F5DE1" w:rsidRPr="001F5DE1">
        <w:rPr>
          <w:szCs w:val="20"/>
          <w:lang w:val="es-PE"/>
        </w:rPr>
        <w:t xml:space="preserve"> un gobierno abierto, </w:t>
      </w:r>
      <w:r w:rsidR="00EA6623">
        <w:rPr>
          <w:szCs w:val="20"/>
          <w:lang w:val="es-PE"/>
        </w:rPr>
        <w:t>donde se alineen los</w:t>
      </w:r>
      <w:r w:rsidR="001F5DE1" w:rsidRPr="001F5DE1">
        <w:rPr>
          <w:szCs w:val="20"/>
          <w:lang w:val="es-PE"/>
        </w:rPr>
        <w:t xml:space="preserve"> objetivos comunes y </w:t>
      </w:r>
      <w:r w:rsidR="00EA6623">
        <w:rPr>
          <w:szCs w:val="20"/>
          <w:lang w:val="es-PE"/>
        </w:rPr>
        <w:t>se genere valor público con la participación activa de los ciudadanos.</w:t>
      </w:r>
    </w:p>
    <w:p w:rsidR="00755E9E" w:rsidRDefault="00755E9E" w:rsidP="00D55406">
      <w:pPr>
        <w:spacing w:after="0" w:line="240" w:lineRule="auto"/>
        <w:jc w:val="both"/>
        <w:rPr>
          <w:color w:val="FF0000"/>
          <w:szCs w:val="20"/>
          <w:lang w:val="es-PE"/>
        </w:rPr>
      </w:pPr>
    </w:p>
    <w:p w:rsidR="00272BDF" w:rsidRDefault="00D55406" w:rsidP="00D55406">
      <w:pPr>
        <w:spacing w:after="0" w:line="240" w:lineRule="auto"/>
        <w:jc w:val="both"/>
        <w:rPr>
          <w:b/>
          <w:i/>
          <w:szCs w:val="20"/>
          <w:lang w:val="es-PE"/>
        </w:rPr>
      </w:pPr>
      <w:r w:rsidRPr="00272BDF">
        <w:rPr>
          <w:b/>
          <w:i/>
          <w:szCs w:val="20"/>
          <w:lang w:val="es-PE"/>
        </w:rPr>
        <w:t>Siguientes pasos</w:t>
      </w:r>
    </w:p>
    <w:p w:rsidR="001F5DE1" w:rsidRDefault="001F5DE1" w:rsidP="00D55406">
      <w:pPr>
        <w:spacing w:after="0" w:line="240" w:lineRule="auto"/>
        <w:jc w:val="both"/>
        <w:rPr>
          <w:szCs w:val="20"/>
          <w:lang w:val="es-PE"/>
        </w:rPr>
      </w:pPr>
      <w:r w:rsidRPr="001F5DE1">
        <w:rPr>
          <w:szCs w:val="20"/>
          <w:lang w:val="es-PE"/>
        </w:rPr>
        <w:t>La demanda de</w:t>
      </w:r>
      <w:r w:rsidR="00E83EAE">
        <w:rPr>
          <w:szCs w:val="20"/>
          <w:lang w:val="es-PE"/>
        </w:rPr>
        <w:t xml:space="preserve"> la</w:t>
      </w:r>
      <w:r w:rsidRPr="001F5DE1">
        <w:rPr>
          <w:szCs w:val="20"/>
          <w:lang w:val="es-PE"/>
        </w:rPr>
        <w:t xml:space="preserve"> sociedad civil respecto a una entidad que garantice el cumplimiento de la Ley de Transparencia y Acceso a la Información Pública </w:t>
      </w:r>
      <w:r w:rsidR="00E83EAE">
        <w:rPr>
          <w:szCs w:val="20"/>
          <w:lang w:val="es-PE"/>
        </w:rPr>
        <w:t>representa</w:t>
      </w:r>
      <w:r w:rsidRPr="001F5DE1">
        <w:rPr>
          <w:szCs w:val="20"/>
          <w:lang w:val="es-PE"/>
        </w:rPr>
        <w:t xml:space="preserve"> un gran hito en el proceso de i</w:t>
      </w:r>
      <w:r w:rsidR="00E83EAE">
        <w:rPr>
          <w:szCs w:val="20"/>
          <w:lang w:val="es-PE"/>
        </w:rPr>
        <w:t>mplementación del segundo plan. Así, con la implementación</w:t>
      </w:r>
      <w:r w:rsidRPr="001F5DE1">
        <w:rPr>
          <w:szCs w:val="20"/>
          <w:lang w:val="es-PE"/>
        </w:rPr>
        <w:t xml:space="preserve"> del Grupo de Trabajo</w:t>
      </w:r>
      <w:r w:rsidR="00E83EAE">
        <w:rPr>
          <w:szCs w:val="20"/>
          <w:lang w:val="es-PE"/>
        </w:rPr>
        <w:t>,</w:t>
      </w:r>
      <w:r w:rsidRPr="001F5DE1">
        <w:rPr>
          <w:szCs w:val="20"/>
          <w:lang w:val="es-PE"/>
        </w:rPr>
        <w:t xml:space="preserve"> </w:t>
      </w:r>
      <w:r w:rsidR="00E83EAE">
        <w:rPr>
          <w:szCs w:val="20"/>
          <w:lang w:val="es-PE"/>
        </w:rPr>
        <w:t>se ha establecido</w:t>
      </w:r>
      <w:r w:rsidRPr="001F5DE1">
        <w:rPr>
          <w:szCs w:val="20"/>
          <w:lang w:val="es-PE"/>
        </w:rPr>
        <w:t xml:space="preserve"> el encargo de elaborar el informe con el proyecto de creación de la Autoridad Autónoma de Transparencia, Acceso a la Información Pública y Protección de Datos Personales. </w:t>
      </w:r>
    </w:p>
    <w:p w:rsidR="001F5DE1" w:rsidRPr="00D55406" w:rsidRDefault="001F5DE1" w:rsidP="00D55406">
      <w:pPr>
        <w:spacing w:after="0" w:line="240" w:lineRule="auto"/>
        <w:jc w:val="both"/>
        <w:rPr>
          <w:color w:val="FF0000"/>
          <w:szCs w:val="20"/>
          <w:lang w:val="es-PE"/>
        </w:rPr>
      </w:pPr>
    </w:p>
    <w:p w:rsidR="00A14B06" w:rsidRDefault="00E83EAE" w:rsidP="002C2EAC">
      <w:r>
        <w:t>A continuación se presenta el siguiente cuadro resumen, c</w:t>
      </w:r>
      <w:r w:rsidR="00A14B06">
        <w:t>omo resultado de la implementación del Plan de Acción:</w:t>
      </w:r>
    </w:p>
    <w:tbl>
      <w:tblPr>
        <w:tblStyle w:val="Tablaconcuadrcula"/>
        <w:tblW w:w="8491" w:type="dxa"/>
        <w:tblLook w:val="04A0" w:firstRow="1" w:lastRow="0" w:firstColumn="1" w:lastColumn="0" w:noHBand="0" w:noVBand="1"/>
      </w:tblPr>
      <w:tblGrid>
        <w:gridCol w:w="470"/>
        <w:gridCol w:w="6267"/>
        <w:gridCol w:w="1754"/>
      </w:tblGrid>
      <w:tr w:rsidR="00A14B06" w:rsidRPr="002F0DF9" w:rsidTr="00FB45DB">
        <w:trPr>
          <w:trHeight w:val="156"/>
        </w:trPr>
        <w:tc>
          <w:tcPr>
            <w:tcW w:w="470" w:type="dxa"/>
            <w:shd w:val="clear" w:color="auto" w:fill="B8CCE4" w:themeFill="accent1" w:themeFillTint="66"/>
          </w:tcPr>
          <w:p w:rsidR="00A14B06" w:rsidRPr="002F0DF9" w:rsidRDefault="00A14B06" w:rsidP="00FB45DB">
            <w:pPr>
              <w:rPr>
                <w:b/>
                <w:sz w:val="20"/>
                <w:szCs w:val="20"/>
              </w:rPr>
            </w:pPr>
            <w:r w:rsidRPr="002F0DF9">
              <w:rPr>
                <w:b/>
                <w:sz w:val="20"/>
                <w:szCs w:val="20"/>
              </w:rPr>
              <w:t>N°</w:t>
            </w:r>
          </w:p>
        </w:tc>
        <w:tc>
          <w:tcPr>
            <w:tcW w:w="6267" w:type="dxa"/>
            <w:shd w:val="clear" w:color="auto" w:fill="B8CCE4" w:themeFill="accent1" w:themeFillTint="66"/>
          </w:tcPr>
          <w:p w:rsidR="00A14B06" w:rsidRPr="002F0DF9" w:rsidRDefault="00A14B06" w:rsidP="00FB45DB">
            <w:pPr>
              <w:rPr>
                <w:b/>
                <w:sz w:val="20"/>
                <w:szCs w:val="20"/>
              </w:rPr>
            </w:pPr>
            <w:r w:rsidRPr="002F0DF9">
              <w:rPr>
                <w:b/>
                <w:sz w:val="20"/>
                <w:szCs w:val="20"/>
              </w:rPr>
              <w:t>Compromiso</w:t>
            </w:r>
          </w:p>
        </w:tc>
        <w:tc>
          <w:tcPr>
            <w:tcW w:w="1754" w:type="dxa"/>
            <w:shd w:val="clear" w:color="auto" w:fill="B8CCE4" w:themeFill="accent1" w:themeFillTint="66"/>
          </w:tcPr>
          <w:p w:rsidR="00A14B06" w:rsidRPr="002F0DF9" w:rsidRDefault="00A14B06" w:rsidP="00F25102">
            <w:pPr>
              <w:jc w:val="center"/>
              <w:rPr>
                <w:b/>
                <w:sz w:val="20"/>
                <w:szCs w:val="20"/>
              </w:rPr>
            </w:pPr>
            <w:r w:rsidRPr="002F0DF9">
              <w:rPr>
                <w:b/>
                <w:sz w:val="20"/>
                <w:szCs w:val="20"/>
              </w:rPr>
              <w:t>Estado de Cumplimiento</w:t>
            </w:r>
          </w:p>
        </w:tc>
      </w:tr>
      <w:tr w:rsidR="00A14B06" w:rsidRPr="002F0DF9" w:rsidTr="00FB45DB">
        <w:trPr>
          <w:trHeight w:val="319"/>
        </w:trPr>
        <w:tc>
          <w:tcPr>
            <w:tcW w:w="470" w:type="dxa"/>
          </w:tcPr>
          <w:p w:rsidR="00A14B06" w:rsidRPr="002F0DF9" w:rsidRDefault="00A14B06" w:rsidP="00FB45DB">
            <w:pPr>
              <w:rPr>
                <w:sz w:val="20"/>
                <w:szCs w:val="20"/>
              </w:rPr>
            </w:pPr>
            <w:r w:rsidRPr="002F0DF9">
              <w:rPr>
                <w:sz w:val="20"/>
                <w:szCs w:val="20"/>
              </w:rPr>
              <w:t>1.</w:t>
            </w:r>
          </w:p>
        </w:tc>
        <w:tc>
          <w:tcPr>
            <w:tcW w:w="6267" w:type="dxa"/>
          </w:tcPr>
          <w:p w:rsidR="00A14B06" w:rsidRPr="002F0DF9" w:rsidRDefault="00A14B06" w:rsidP="00FB45DB">
            <w:pPr>
              <w:rPr>
                <w:sz w:val="20"/>
                <w:szCs w:val="20"/>
              </w:rPr>
            </w:pPr>
            <w:r w:rsidRPr="002F0DF9">
              <w:rPr>
                <w:sz w:val="20"/>
                <w:szCs w:val="20"/>
              </w:rPr>
              <w:t>Modificación de la Ley de Transparencia y Acceso a la Información Pública</w:t>
            </w:r>
          </w:p>
        </w:tc>
        <w:tc>
          <w:tcPr>
            <w:tcW w:w="1754" w:type="dxa"/>
          </w:tcPr>
          <w:p w:rsidR="00A14B06" w:rsidRPr="002F0DF9" w:rsidRDefault="00A14B06" w:rsidP="00F25102">
            <w:pPr>
              <w:jc w:val="center"/>
              <w:rPr>
                <w:sz w:val="20"/>
                <w:szCs w:val="20"/>
              </w:rPr>
            </w:pPr>
            <w:r w:rsidRPr="002F0DF9">
              <w:rPr>
                <w:sz w:val="20"/>
                <w:szCs w:val="20"/>
              </w:rPr>
              <w:t>No iniciado</w:t>
            </w:r>
          </w:p>
        </w:tc>
      </w:tr>
      <w:tr w:rsidR="00A14B06" w:rsidRPr="002F0DF9" w:rsidTr="00FB45DB">
        <w:trPr>
          <w:trHeight w:val="156"/>
        </w:trPr>
        <w:tc>
          <w:tcPr>
            <w:tcW w:w="470" w:type="dxa"/>
          </w:tcPr>
          <w:p w:rsidR="00A14B06" w:rsidRPr="002F0DF9" w:rsidRDefault="00A14B06" w:rsidP="00FB45DB">
            <w:pPr>
              <w:rPr>
                <w:sz w:val="20"/>
                <w:szCs w:val="20"/>
              </w:rPr>
            </w:pPr>
            <w:r w:rsidRPr="002F0DF9">
              <w:rPr>
                <w:sz w:val="20"/>
                <w:szCs w:val="20"/>
              </w:rPr>
              <w:t>2.</w:t>
            </w:r>
          </w:p>
        </w:tc>
        <w:tc>
          <w:tcPr>
            <w:tcW w:w="6267" w:type="dxa"/>
          </w:tcPr>
          <w:p w:rsidR="00A14B06" w:rsidRPr="002F0DF9" w:rsidRDefault="00A14B06" w:rsidP="00FB45DB">
            <w:pPr>
              <w:rPr>
                <w:sz w:val="20"/>
                <w:szCs w:val="20"/>
              </w:rPr>
            </w:pPr>
            <w:r w:rsidRPr="002F0DF9">
              <w:rPr>
                <w:sz w:val="20"/>
                <w:szCs w:val="20"/>
              </w:rPr>
              <w:t>Mejora del Portal de Transparencia Estándar</w:t>
            </w:r>
          </w:p>
        </w:tc>
        <w:tc>
          <w:tcPr>
            <w:tcW w:w="1754" w:type="dxa"/>
          </w:tcPr>
          <w:p w:rsidR="00A14B06" w:rsidRPr="002F0DF9" w:rsidRDefault="00A14B06" w:rsidP="00F25102">
            <w:pPr>
              <w:jc w:val="center"/>
              <w:rPr>
                <w:sz w:val="20"/>
                <w:szCs w:val="20"/>
              </w:rPr>
            </w:pPr>
            <w:r w:rsidRPr="002F0DF9">
              <w:rPr>
                <w:sz w:val="20"/>
                <w:szCs w:val="20"/>
              </w:rPr>
              <w:t>Sustancial</w:t>
            </w:r>
          </w:p>
        </w:tc>
      </w:tr>
      <w:tr w:rsidR="00A14B06" w:rsidRPr="002F0DF9" w:rsidTr="00FB45DB">
        <w:trPr>
          <w:trHeight w:val="313"/>
        </w:trPr>
        <w:tc>
          <w:tcPr>
            <w:tcW w:w="470" w:type="dxa"/>
          </w:tcPr>
          <w:p w:rsidR="00A14B06" w:rsidRPr="002F0DF9" w:rsidRDefault="00A14B06" w:rsidP="00FB45DB">
            <w:pPr>
              <w:rPr>
                <w:sz w:val="20"/>
                <w:szCs w:val="20"/>
              </w:rPr>
            </w:pPr>
            <w:r w:rsidRPr="002F0DF9">
              <w:rPr>
                <w:sz w:val="20"/>
                <w:szCs w:val="20"/>
              </w:rPr>
              <w:t>3.</w:t>
            </w:r>
          </w:p>
        </w:tc>
        <w:tc>
          <w:tcPr>
            <w:tcW w:w="6267" w:type="dxa"/>
          </w:tcPr>
          <w:p w:rsidR="00A14B06" w:rsidRPr="002F0DF9" w:rsidRDefault="00A14B06" w:rsidP="00FB45DB">
            <w:pPr>
              <w:rPr>
                <w:sz w:val="20"/>
                <w:szCs w:val="20"/>
              </w:rPr>
            </w:pPr>
            <w:r w:rsidRPr="002F0DF9">
              <w:rPr>
                <w:sz w:val="20"/>
                <w:szCs w:val="20"/>
              </w:rPr>
              <w:t>Mejorar conocimientos a funcionarios y servidores públicos en transparencia y acceso a la información pública</w:t>
            </w:r>
          </w:p>
        </w:tc>
        <w:tc>
          <w:tcPr>
            <w:tcW w:w="1754" w:type="dxa"/>
          </w:tcPr>
          <w:p w:rsidR="00A14B06" w:rsidRPr="002F0DF9" w:rsidRDefault="00A14B06" w:rsidP="00F25102">
            <w:pPr>
              <w:jc w:val="center"/>
              <w:rPr>
                <w:sz w:val="20"/>
                <w:szCs w:val="20"/>
              </w:rPr>
            </w:pPr>
            <w:r w:rsidRPr="002F0DF9">
              <w:rPr>
                <w:sz w:val="20"/>
                <w:szCs w:val="20"/>
              </w:rPr>
              <w:t>Sustancial</w:t>
            </w:r>
          </w:p>
        </w:tc>
      </w:tr>
      <w:tr w:rsidR="00A14B06" w:rsidRPr="002F0DF9" w:rsidTr="00FB45DB">
        <w:trPr>
          <w:trHeight w:val="319"/>
        </w:trPr>
        <w:tc>
          <w:tcPr>
            <w:tcW w:w="470" w:type="dxa"/>
          </w:tcPr>
          <w:p w:rsidR="00A14B06" w:rsidRPr="002F0DF9" w:rsidRDefault="00A14B06" w:rsidP="00FB45DB">
            <w:pPr>
              <w:rPr>
                <w:sz w:val="20"/>
                <w:szCs w:val="20"/>
              </w:rPr>
            </w:pPr>
            <w:r w:rsidRPr="002F0DF9">
              <w:rPr>
                <w:sz w:val="20"/>
                <w:szCs w:val="20"/>
              </w:rPr>
              <w:t>4.</w:t>
            </w:r>
          </w:p>
        </w:tc>
        <w:tc>
          <w:tcPr>
            <w:tcW w:w="6267" w:type="dxa"/>
          </w:tcPr>
          <w:p w:rsidR="00A14B06" w:rsidRPr="002F0DF9" w:rsidRDefault="00A14B06" w:rsidP="00FB45DB">
            <w:pPr>
              <w:rPr>
                <w:sz w:val="20"/>
                <w:szCs w:val="20"/>
              </w:rPr>
            </w:pPr>
            <w:r w:rsidRPr="002F0DF9">
              <w:rPr>
                <w:sz w:val="20"/>
                <w:szCs w:val="20"/>
              </w:rPr>
              <w:t>Fomentar una mayor información sobre usuarios y la cobertura de los programas sociales</w:t>
            </w:r>
          </w:p>
        </w:tc>
        <w:tc>
          <w:tcPr>
            <w:tcW w:w="1754" w:type="dxa"/>
          </w:tcPr>
          <w:p w:rsidR="00A14B06" w:rsidRPr="002F0DF9" w:rsidRDefault="00A14B06" w:rsidP="00F25102">
            <w:pPr>
              <w:jc w:val="center"/>
              <w:rPr>
                <w:sz w:val="20"/>
                <w:szCs w:val="20"/>
              </w:rPr>
            </w:pPr>
            <w:r w:rsidRPr="002F0DF9">
              <w:rPr>
                <w:sz w:val="20"/>
                <w:szCs w:val="20"/>
              </w:rPr>
              <w:t>Sustancial</w:t>
            </w:r>
          </w:p>
        </w:tc>
      </w:tr>
      <w:tr w:rsidR="00A14B06" w:rsidRPr="002F0DF9" w:rsidTr="00FB45DB">
        <w:trPr>
          <w:trHeight w:val="313"/>
        </w:trPr>
        <w:tc>
          <w:tcPr>
            <w:tcW w:w="470" w:type="dxa"/>
          </w:tcPr>
          <w:p w:rsidR="00A14B06" w:rsidRPr="002F0DF9" w:rsidRDefault="00A14B06" w:rsidP="00FB45DB">
            <w:pPr>
              <w:rPr>
                <w:sz w:val="20"/>
                <w:szCs w:val="20"/>
              </w:rPr>
            </w:pPr>
            <w:r w:rsidRPr="002F0DF9">
              <w:rPr>
                <w:sz w:val="20"/>
                <w:szCs w:val="20"/>
              </w:rPr>
              <w:t>5.</w:t>
            </w:r>
          </w:p>
        </w:tc>
        <w:tc>
          <w:tcPr>
            <w:tcW w:w="6267" w:type="dxa"/>
          </w:tcPr>
          <w:p w:rsidR="00A14B06" w:rsidRPr="002F0DF9" w:rsidRDefault="00A14B06" w:rsidP="00FB45DB">
            <w:pPr>
              <w:rPr>
                <w:sz w:val="20"/>
                <w:szCs w:val="20"/>
              </w:rPr>
            </w:pPr>
            <w:r w:rsidRPr="002F0DF9">
              <w:rPr>
                <w:sz w:val="20"/>
                <w:szCs w:val="20"/>
              </w:rPr>
              <w:t>Mejorar el SEACE- Sistema Electrónico de Adquisiciones del Estado</w:t>
            </w:r>
          </w:p>
        </w:tc>
        <w:tc>
          <w:tcPr>
            <w:tcW w:w="1754" w:type="dxa"/>
          </w:tcPr>
          <w:p w:rsidR="00A14B06" w:rsidRPr="002F0DF9" w:rsidRDefault="00A14B06" w:rsidP="00F25102">
            <w:pPr>
              <w:jc w:val="center"/>
              <w:rPr>
                <w:sz w:val="20"/>
                <w:szCs w:val="20"/>
              </w:rPr>
            </w:pPr>
            <w:r w:rsidRPr="002F0DF9">
              <w:rPr>
                <w:sz w:val="20"/>
                <w:szCs w:val="20"/>
              </w:rPr>
              <w:t>Limitado</w:t>
            </w:r>
          </w:p>
        </w:tc>
      </w:tr>
      <w:tr w:rsidR="00A14B06" w:rsidRPr="002F0DF9" w:rsidTr="00FB45DB">
        <w:trPr>
          <w:trHeight w:val="319"/>
        </w:trPr>
        <w:tc>
          <w:tcPr>
            <w:tcW w:w="470" w:type="dxa"/>
          </w:tcPr>
          <w:p w:rsidR="00A14B06" w:rsidRPr="002F0DF9" w:rsidRDefault="00A14B06" w:rsidP="00FB45DB">
            <w:pPr>
              <w:rPr>
                <w:sz w:val="20"/>
                <w:szCs w:val="20"/>
              </w:rPr>
            </w:pPr>
            <w:r w:rsidRPr="002F0DF9">
              <w:rPr>
                <w:sz w:val="20"/>
                <w:szCs w:val="20"/>
              </w:rPr>
              <w:t>6.</w:t>
            </w:r>
          </w:p>
        </w:tc>
        <w:tc>
          <w:tcPr>
            <w:tcW w:w="6267" w:type="dxa"/>
          </w:tcPr>
          <w:p w:rsidR="00A14B06" w:rsidRPr="002F0DF9" w:rsidRDefault="00A14B06" w:rsidP="00FB45DB">
            <w:pPr>
              <w:rPr>
                <w:sz w:val="20"/>
                <w:szCs w:val="20"/>
              </w:rPr>
            </w:pPr>
            <w:r w:rsidRPr="002F0DF9">
              <w:rPr>
                <w:sz w:val="20"/>
                <w:szCs w:val="20"/>
              </w:rPr>
              <w:t>Implementar Comisiones para la Transparencia de la Industrias Extractivas</w:t>
            </w:r>
          </w:p>
        </w:tc>
        <w:tc>
          <w:tcPr>
            <w:tcW w:w="1754" w:type="dxa"/>
          </w:tcPr>
          <w:p w:rsidR="00A14B06" w:rsidRPr="002F0DF9" w:rsidRDefault="00A14B06" w:rsidP="00F25102">
            <w:pPr>
              <w:jc w:val="center"/>
              <w:rPr>
                <w:sz w:val="20"/>
                <w:szCs w:val="20"/>
              </w:rPr>
            </w:pPr>
            <w:r w:rsidRPr="002F0DF9">
              <w:rPr>
                <w:sz w:val="20"/>
                <w:szCs w:val="20"/>
              </w:rPr>
              <w:t>Completo</w:t>
            </w:r>
          </w:p>
        </w:tc>
      </w:tr>
      <w:tr w:rsidR="00A14B06" w:rsidRPr="002F0DF9" w:rsidTr="00FB45DB">
        <w:trPr>
          <w:trHeight w:val="156"/>
        </w:trPr>
        <w:tc>
          <w:tcPr>
            <w:tcW w:w="470" w:type="dxa"/>
          </w:tcPr>
          <w:p w:rsidR="00A14B06" w:rsidRPr="002F0DF9" w:rsidRDefault="00A14B06" w:rsidP="00FB45DB">
            <w:pPr>
              <w:rPr>
                <w:sz w:val="20"/>
                <w:szCs w:val="20"/>
              </w:rPr>
            </w:pPr>
            <w:r w:rsidRPr="002F0DF9">
              <w:rPr>
                <w:sz w:val="20"/>
                <w:szCs w:val="20"/>
              </w:rPr>
              <w:t>7.</w:t>
            </w:r>
          </w:p>
        </w:tc>
        <w:tc>
          <w:tcPr>
            <w:tcW w:w="6267" w:type="dxa"/>
          </w:tcPr>
          <w:p w:rsidR="00A14B06" w:rsidRPr="002F0DF9" w:rsidRDefault="00A14B06" w:rsidP="00FB45DB">
            <w:pPr>
              <w:rPr>
                <w:sz w:val="20"/>
                <w:szCs w:val="20"/>
              </w:rPr>
            </w:pPr>
            <w:r w:rsidRPr="002F0DF9">
              <w:rPr>
                <w:sz w:val="20"/>
                <w:szCs w:val="20"/>
              </w:rPr>
              <w:t>Fortalecer la gestión de la participación ciudadana</w:t>
            </w:r>
          </w:p>
        </w:tc>
        <w:tc>
          <w:tcPr>
            <w:tcW w:w="1754" w:type="dxa"/>
          </w:tcPr>
          <w:p w:rsidR="00A14B06" w:rsidRPr="002F0DF9" w:rsidRDefault="00A14B06" w:rsidP="00F25102">
            <w:pPr>
              <w:jc w:val="center"/>
              <w:rPr>
                <w:sz w:val="20"/>
                <w:szCs w:val="20"/>
              </w:rPr>
            </w:pPr>
            <w:r w:rsidRPr="002F0DF9">
              <w:rPr>
                <w:sz w:val="20"/>
                <w:szCs w:val="20"/>
              </w:rPr>
              <w:t>No iniciado</w:t>
            </w:r>
          </w:p>
        </w:tc>
      </w:tr>
      <w:tr w:rsidR="00A14B06" w:rsidRPr="002F0DF9" w:rsidTr="00FB45DB">
        <w:trPr>
          <w:trHeight w:val="476"/>
        </w:trPr>
        <w:tc>
          <w:tcPr>
            <w:tcW w:w="470" w:type="dxa"/>
          </w:tcPr>
          <w:p w:rsidR="00A14B06" w:rsidRPr="002F0DF9" w:rsidRDefault="00A14B06" w:rsidP="00FB45DB">
            <w:pPr>
              <w:rPr>
                <w:sz w:val="20"/>
                <w:szCs w:val="20"/>
              </w:rPr>
            </w:pPr>
            <w:r w:rsidRPr="002F0DF9">
              <w:rPr>
                <w:sz w:val="20"/>
                <w:szCs w:val="20"/>
              </w:rPr>
              <w:t>8.</w:t>
            </w:r>
          </w:p>
        </w:tc>
        <w:tc>
          <w:tcPr>
            <w:tcW w:w="6267" w:type="dxa"/>
          </w:tcPr>
          <w:p w:rsidR="00A14B06" w:rsidRPr="002F0DF9" w:rsidRDefault="00A14B06" w:rsidP="00FB45DB">
            <w:pPr>
              <w:rPr>
                <w:sz w:val="20"/>
                <w:szCs w:val="20"/>
              </w:rPr>
            </w:pPr>
            <w:r w:rsidRPr="002F0DF9">
              <w:rPr>
                <w:sz w:val="20"/>
                <w:szCs w:val="20"/>
              </w:rPr>
              <w:t>Mejorar los conocimientos y habilidades de los funcionarios y servidores públicos y de los pueblos indígenas para la implementación de la Ley de Consulta Previa</w:t>
            </w:r>
          </w:p>
        </w:tc>
        <w:tc>
          <w:tcPr>
            <w:tcW w:w="1754" w:type="dxa"/>
          </w:tcPr>
          <w:p w:rsidR="00A14B06" w:rsidRPr="002F0DF9" w:rsidRDefault="00A14B06" w:rsidP="00F25102">
            <w:pPr>
              <w:jc w:val="center"/>
              <w:rPr>
                <w:sz w:val="20"/>
                <w:szCs w:val="20"/>
              </w:rPr>
            </w:pPr>
            <w:r w:rsidRPr="002F0DF9">
              <w:rPr>
                <w:sz w:val="20"/>
                <w:szCs w:val="20"/>
              </w:rPr>
              <w:t>Completo</w:t>
            </w:r>
          </w:p>
          <w:p w:rsidR="00A14B06" w:rsidRPr="002F0DF9" w:rsidRDefault="00A14B06" w:rsidP="00F25102">
            <w:pPr>
              <w:jc w:val="center"/>
              <w:rPr>
                <w:sz w:val="20"/>
                <w:szCs w:val="20"/>
              </w:rPr>
            </w:pPr>
          </w:p>
          <w:p w:rsidR="00A14B06" w:rsidRPr="002F0DF9" w:rsidRDefault="00A14B06" w:rsidP="00F25102">
            <w:pPr>
              <w:jc w:val="center"/>
              <w:rPr>
                <w:sz w:val="20"/>
                <w:szCs w:val="20"/>
              </w:rPr>
            </w:pPr>
          </w:p>
        </w:tc>
      </w:tr>
      <w:tr w:rsidR="00A14B06" w:rsidRPr="002F0DF9" w:rsidTr="00FB45DB">
        <w:trPr>
          <w:trHeight w:val="476"/>
        </w:trPr>
        <w:tc>
          <w:tcPr>
            <w:tcW w:w="470" w:type="dxa"/>
          </w:tcPr>
          <w:p w:rsidR="00A14B06" w:rsidRPr="002F0DF9" w:rsidRDefault="00A14B06" w:rsidP="00FB45DB">
            <w:pPr>
              <w:rPr>
                <w:sz w:val="20"/>
                <w:szCs w:val="20"/>
              </w:rPr>
            </w:pPr>
            <w:r w:rsidRPr="002F0DF9">
              <w:rPr>
                <w:sz w:val="20"/>
                <w:szCs w:val="20"/>
              </w:rPr>
              <w:t>9.</w:t>
            </w:r>
          </w:p>
        </w:tc>
        <w:tc>
          <w:tcPr>
            <w:tcW w:w="6267" w:type="dxa"/>
          </w:tcPr>
          <w:p w:rsidR="00A14B06" w:rsidRPr="002F0DF9" w:rsidRDefault="00A14B06" w:rsidP="00FB45DB">
            <w:pPr>
              <w:rPr>
                <w:sz w:val="20"/>
                <w:szCs w:val="20"/>
              </w:rPr>
            </w:pPr>
            <w:r w:rsidRPr="002F0DF9">
              <w:rPr>
                <w:sz w:val="20"/>
                <w:szCs w:val="20"/>
              </w:rPr>
              <w:t xml:space="preserve">Institucionalizar la participación ciudadana mediante mecanismos de vigilancia social a los procesos </w:t>
            </w:r>
            <w:r w:rsidRPr="002F0DF9">
              <w:rPr>
                <w:sz w:val="20"/>
                <w:szCs w:val="20"/>
                <w:lang w:val="es-PE"/>
              </w:rPr>
              <w:t>del Programa Nacional de Alimentación Escolar PNAE- “Qali Warma”</w:t>
            </w:r>
          </w:p>
        </w:tc>
        <w:tc>
          <w:tcPr>
            <w:tcW w:w="1754" w:type="dxa"/>
          </w:tcPr>
          <w:p w:rsidR="00A14B06" w:rsidRPr="002F0DF9" w:rsidRDefault="00A14B06" w:rsidP="00F25102">
            <w:pPr>
              <w:jc w:val="center"/>
              <w:rPr>
                <w:sz w:val="20"/>
                <w:szCs w:val="20"/>
              </w:rPr>
            </w:pPr>
            <w:r w:rsidRPr="002F0DF9">
              <w:rPr>
                <w:sz w:val="20"/>
                <w:szCs w:val="20"/>
              </w:rPr>
              <w:t>Sustancial</w:t>
            </w:r>
          </w:p>
        </w:tc>
      </w:tr>
      <w:tr w:rsidR="00A14B06" w:rsidRPr="002F0DF9" w:rsidTr="00FB45DB">
        <w:trPr>
          <w:trHeight w:val="313"/>
        </w:trPr>
        <w:tc>
          <w:tcPr>
            <w:tcW w:w="470" w:type="dxa"/>
          </w:tcPr>
          <w:p w:rsidR="00A14B06" w:rsidRPr="002F0DF9" w:rsidRDefault="00A14B06" w:rsidP="00FB45DB">
            <w:pPr>
              <w:rPr>
                <w:sz w:val="20"/>
                <w:szCs w:val="20"/>
              </w:rPr>
            </w:pPr>
            <w:r w:rsidRPr="002F0DF9">
              <w:rPr>
                <w:sz w:val="20"/>
                <w:szCs w:val="20"/>
              </w:rPr>
              <w:t>10.</w:t>
            </w:r>
          </w:p>
        </w:tc>
        <w:tc>
          <w:tcPr>
            <w:tcW w:w="6267" w:type="dxa"/>
          </w:tcPr>
          <w:p w:rsidR="00A14B06" w:rsidRPr="002F0DF9" w:rsidRDefault="00A14B06" w:rsidP="00FB45DB">
            <w:pPr>
              <w:rPr>
                <w:sz w:val="20"/>
                <w:szCs w:val="20"/>
              </w:rPr>
            </w:pPr>
            <w:r w:rsidRPr="002F0DF9">
              <w:rPr>
                <w:sz w:val="20"/>
                <w:szCs w:val="20"/>
              </w:rPr>
              <w:t>Fomentar la participación ciudadana en los Acuerdos Plenarios de la Corte Suprema de la República</w:t>
            </w:r>
          </w:p>
        </w:tc>
        <w:tc>
          <w:tcPr>
            <w:tcW w:w="1754" w:type="dxa"/>
          </w:tcPr>
          <w:p w:rsidR="00A14B06" w:rsidRPr="002F0DF9" w:rsidRDefault="00A14B06" w:rsidP="00F25102">
            <w:pPr>
              <w:jc w:val="center"/>
              <w:rPr>
                <w:sz w:val="20"/>
                <w:szCs w:val="20"/>
              </w:rPr>
            </w:pPr>
            <w:r w:rsidRPr="002F0DF9">
              <w:rPr>
                <w:sz w:val="20"/>
                <w:szCs w:val="20"/>
              </w:rPr>
              <w:t>No iniciado</w:t>
            </w:r>
          </w:p>
        </w:tc>
      </w:tr>
      <w:tr w:rsidR="00A14B06" w:rsidRPr="002F0DF9" w:rsidTr="00FB45DB">
        <w:trPr>
          <w:trHeight w:val="319"/>
        </w:trPr>
        <w:tc>
          <w:tcPr>
            <w:tcW w:w="470" w:type="dxa"/>
          </w:tcPr>
          <w:p w:rsidR="00A14B06" w:rsidRPr="002F0DF9" w:rsidRDefault="00A14B06" w:rsidP="00FB45DB">
            <w:pPr>
              <w:rPr>
                <w:sz w:val="20"/>
                <w:szCs w:val="20"/>
              </w:rPr>
            </w:pPr>
            <w:r w:rsidRPr="002F0DF9">
              <w:rPr>
                <w:sz w:val="20"/>
                <w:szCs w:val="20"/>
              </w:rPr>
              <w:t>11.</w:t>
            </w:r>
          </w:p>
        </w:tc>
        <w:tc>
          <w:tcPr>
            <w:tcW w:w="6267" w:type="dxa"/>
          </w:tcPr>
          <w:p w:rsidR="00A14B06" w:rsidRPr="002F0DF9" w:rsidRDefault="00A14B06" w:rsidP="00FB45DB">
            <w:pPr>
              <w:rPr>
                <w:sz w:val="20"/>
                <w:szCs w:val="20"/>
              </w:rPr>
            </w:pPr>
            <w:r w:rsidRPr="002F0DF9">
              <w:rPr>
                <w:rFonts w:ascii="Calibri" w:hAnsi="Calibri"/>
                <w:color w:val="000000"/>
                <w:sz w:val="20"/>
                <w:szCs w:val="20"/>
              </w:rPr>
              <w:t>Información comprensible de Informes de Rendición de cuentas de los Titulares de las Entidades Públicas</w:t>
            </w:r>
          </w:p>
        </w:tc>
        <w:tc>
          <w:tcPr>
            <w:tcW w:w="1754" w:type="dxa"/>
          </w:tcPr>
          <w:p w:rsidR="00A14B06" w:rsidRPr="002F0DF9" w:rsidRDefault="00A14B06" w:rsidP="00F25102">
            <w:pPr>
              <w:jc w:val="center"/>
              <w:rPr>
                <w:sz w:val="20"/>
                <w:szCs w:val="20"/>
              </w:rPr>
            </w:pPr>
            <w:r w:rsidRPr="002F0DF9">
              <w:rPr>
                <w:sz w:val="20"/>
                <w:szCs w:val="20"/>
              </w:rPr>
              <w:t>Sustancial</w:t>
            </w:r>
          </w:p>
        </w:tc>
      </w:tr>
      <w:tr w:rsidR="00A14B06" w:rsidRPr="002F0DF9" w:rsidTr="00FB45DB">
        <w:trPr>
          <w:trHeight w:val="156"/>
        </w:trPr>
        <w:tc>
          <w:tcPr>
            <w:tcW w:w="470" w:type="dxa"/>
          </w:tcPr>
          <w:p w:rsidR="00A14B06" w:rsidRPr="002F0DF9" w:rsidRDefault="00A14B06" w:rsidP="00FB45DB">
            <w:pPr>
              <w:rPr>
                <w:sz w:val="20"/>
                <w:szCs w:val="20"/>
              </w:rPr>
            </w:pPr>
            <w:r w:rsidRPr="002F0DF9">
              <w:rPr>
                <w:sz w:val="20"/>
                <w:szCs w:val="20"/>
              </w:rPr>
              <w:t>12.</w:t>
            </w:r>
          </w:p>
        </w:tc>
        <w:tc>
          <w:tcPr>
            <w:tcW w:w="6267" w:type="dxa"/>
          </w:tcPr>
          <w:p w:rsidR="00A14B06" w:rsidRPr="002F0DF9" w:rsidRDefault="00A14B06" w:rsidP="00FB45DB">
            <w:pPr>
              <w:rPr>
                <w:rFonts w:ascii="Calibri" w:hAnsi="Calibri"/>
                <w:color w:val="000000"/>
                <w:sz w:val="20"/>
                <w:szCs w:val="20"/>
              </w:rPr>
            </w:pPr>
            <w:r w:rsidRPr="002F0DF9">
              <w:rPr>
                <w:sz w:val="20"/>
                <w:szCs w:val="20"/>
              </w:rPr>
              <w:t>Mejorar la calidad de las audiencias de rendición de cuentas</w:t>
            </w:r>
          </w:p>
        </w:tc>
        <w:tc>
          <w:tcPr>
            <w:tcW w:w="1754" w:type="dxa"/>
          </w:tcPr>
          <w:p w:rsidR="00A14B06" w:rsidRPr="002F0DF9" w:rsidRDefault="00A14B06" w:rsidP="00F25102">
            <w:pPr>
              <w:jc w:val="center"/>
              <w:rPr>
                <w:sz w:val="20"/>
                <w:szCs w:val="20"/>
              </w:rPr>
            </w:pPr>
            <w:r w:rsidRPr="002F0DF9">
              <w:rPr>
                <w:sz w:val="20"/>
                <w:szCs w:val="20"/>
              </w:rPr>
              <w:t xml:space="preserve">No </w:t>
            </w:r>
            <w:r w:rsidR="007C6E9B" w:rsidRPr="002F0DF9">
              <w:rPr>
                <w:sz w:val="20"/>
                <w:szCs w:val="20"/>
              </w:rPr>
              <w:t>iniciado</w:t>
            </w:r>
          </w:p>
        </w:tc>
      </w:tr>
      <w:tr w:rsidR="00A14B06" w:rsidRPr="002F0DF9" w:rsidTr="00FB45DB">
        <w:trPr>
          <w:trHeight w:val="476"/>
        </w:trPr>
        <w:tc>
          <w:tcPr>
            <w:tcW w:w="470" w:type="dxa"/>
          </w:tcPr>
          <w:p w:rsidR="00A14B06" w:rsidRPr="002F0DF9" w:rsidRDefault="00A14B06" w:rsidP="00FB45DB">
            <w:pPr>
              <w:rPr>
                <w:sz w:val="20"/>
                <w:szCs w:val="20"/>
              </w:rPr>
            </w:pPr>
            <w:r w:rsidRPr="002F0DF9">
              <w:rPr>
                <w:sz w:val="20"/>
                <w:szCs w:val="20"/>
              </w:rPr>
              <w:t>13.</w:t>
            </w:r>
          </w:p>
        </w:tc>
        <w:tc>
          <w:tcPr>
            <w:tcW w:w="6267" w:type="dxa"/>
          </w:tcPr>
          <w:p w:rsidR="00A14B06" w:rsidRPr="002F0DF9" w:rsidRDefault="00A14B06" w:rsidP="00FB45DB">
            <w:pPr>
              <w:rPr>
                <w:sz w:val="20"/>
                <w:szCs w:val="20"/>
              </w:rPr>
            </w:pPr>
            <w:r w:rsidRPr="002F0DF9">
              <w:rPr>
                <w:sz w:val="20"/>
                <w:szCs w:val="20"/>
              </w:rPr>
              <w:t>Implementar mecanismos para rendir cuentas sobre el gasto público en políticas, programas y proyectos dirigidos a la niñez.</w:t>
            </w:r>
          </w:p>
        </w:tc>
        <w:tc>
          <w:tcPr>
            <w:tcW w:w="1754" w:type="dxa"/>
          </w:tcPr>
          <w:p w:rsidR="00A14B06" w:rsidRPr="002F0DF9" w:rsidRDefault="00A14B06" w:rsidP="00F25102">
            <w:pPr>
              <w:jc w:val="center"/>
              <w:rPr>
                <w:sz w:val="20"/>
                <w:szCs w:val="20"/>
              </w:rPr>
            </w:pPr>
            <w:r w:rsidRPr="002F0DF9">
              <w:rPr>
                <w:sz w:val="20"/>
                <w:szCs w:val="20"/>
              </w:rPr>
              <w:t>Completo</w:t>
            </w:r>
          </w:p>
        </w:tc>
      </w:tr>
      <w:tr w:rsidR="00A14B06" w:rsidRPr="002F0DF9" w:rsidTr="00FB45DB">
        <w:trPr>
          <w:trHeight w:val="313"/>
        </w:trPr>
        <w:tc>
          <w:tcPr>
            <w:tcW w:w="470" w:type="dxa"/>
          </w:tcPr>
          <w:p w:rsidR="00A14B06" w:rsidRPr="002F0DF9" w:rsidRDefault="00A14B06" w:rsidP="00FB45DB">
            <w:pPr>
              <w:rPr>
                <w:sz w:val="20"/>
                <w:szCs w:val="20"/>
              </w:rPr>
            </w:pPr>
            <w:r w:rsidRPr="002F0DF9">
              <w:rPr>
                <w:sz w:val="20"/>
                <w:szCs w:val="20"/>
              </w:rPr>
              <w:t>14.</w:t>
            </w:r>
          </w:p>
        </w:tc>
        <w:tc>
          <w:tcPr>
            <w:tcW w:w="6267" w:type="dxa"/>
          </w:tcPr>
          <w:p w:rsidR="00A14B06" w:rsidRPr="002F0DF9" w:rsidRDefault="00A14B06" w:rsidP="00FB45DB">
            <w:pPr>
              <w:rPr>
                <w:sz w:val="20"/>
                <w:szCs w:val="20"/>
              </w:rPr>
            </w:pPr>
            <w:r w:rsidRPr="002F0DF9">
              <w:rPr>
                <w:rFonts w:ascii="Calibri" w:hAnsi="Calibri"/>
                <w:color w:val="000000"/>
                <w:sz w:val="20"/>
                <w:szCs w:val="20"/>
              </w:rPr>
              <w:t>Promover la publicación de datos abiertos de manera clara utilizando estándares abiertos e interoperables</w:t>
            </w:r>
          </w:p>
        </w:tc>
        <w:tc>
          <w:tcPr>
            <w:tcW w:w="1754" w:type="dxa"/>
          </w:tcPr>
          <w:p w:rsidR="00A14B06" w:rsidRPr="002F0DF9" w:rsidRDefault="00A14B06" w:rsidP="00F25102">
            <w:pPr>
              <w:jc w:val="center"/>
              <w:rPr>
                <w:sz w:val="20"/>
                <w:szCs w:val="20"/>
              </w:rPr>
            </w:pPr>
            <w:r w:rsidRPr="002F0DF9">
              <w:rPr>
                <w:sz w:val="20"/>
                <w:szCs w:val="20"/>
              </w:rPr>
              <w:t>Sustancial</w:t>
            </w:r>
          </w:p>
        </w:tc>
      </w:tr>
      <w:tr w:rsidR="00A14B06" w:rsidRPr="002F0DF9" w:rsidTr="00FB45DB">
        <w:trPr>
          <w:trHeight w:val="156"/>
        </w:trPr>
        <w:tc>
          <w:tcPr>
            <w:tcW w:w="470" w:type="dxa"/>
          </w:tcPr>
          <w:p w:rsidR="00A14B06" w:rsidRPr="002F0DF9" w:rsidRDefault="00A14B06" w:rsidP="00FB45DB">
            <w:pPr>
              <w:rPr>
                <w:sz w:val="20"/>
                <w:szCs w:val="20"/>
              </w:rPr>
            </w:pPr>
            <w:r w:rsidRPr="002F0DF9">
              <w:rPr>
                <w:sz w:val="20"/>
                <w:szCs w:val="20"/>
              </w:rPr>
              <w:t>15.</w:t>
            </w:r>
          </w:p>
        </w:tc>
        <w:tc>
          <w:tcPr>
            <w:tcW w:w="6267" w:type="dxa"/>
          </w:tcPr>
          <w:p w:rsidR="00A14B06" w:rsidRPr="002F0DF9" w:rsidRDefault="00A14B06" w:rsidP="00FB45DB">
            <w:pPr>
              <w:rPr>
                <w:rFonts w:ascii="Calibri" w:hAnsi="Calibri"/>
                <w:color w:val="000000"/>
                <w:sz w:val="20"/>
                <w:szCs w:val="20"/>
              </w:rPr>
            </w:pPr>
            <w:r w:rsidRPr="002F0DF9">
              <w:rPr>
                <w:rFonts w:ascii="Calibri" w:hAnsi="Calibri"/>
                <w:color w:val="000000"/>
                <w:sz w:val="20"/>
                <w:szCs w:val="20"/>
              </w:rPr>
              <w:t>Incrementar el número de servicios en línea</w:t>
            </w:r>
          </w:p>
        </w:tc>
        <w:tc>
          <w:tcPr>
            <w:tcW w:w="1754" w:type="dxa"/>
          </w:tcPr>
          <w:p w:rsidR="00A14B06" w:rsidRPr="002F0DF9" w:rsidRDefault="00A14B06" w:rsidP="00F25102">
            <w:pPr>
              <w:jc w:val="center"/>
              <w:rPr>
                <w:sz w:val="20"/>
                <w:szCs w:val="20"/>
              </w:rPr>
            </w:pPr>
            <w:r w:rsidRPr="002F0DF9">
              <w:rPr>
                <w:sz w:val="20"/>
                <w:szCs w:val="20"/>
              </w:rPr>
              <w:t>Completo</w:t>
            </w:r>
          </w:p>
        </w:tc>
      </w:tr>
      <w:tr w:rsidR="00A14B06" w:rsidRPr="002F0DF9" w:rsidTr="00FB45DB">
        <w:trPr>
          <w:trHeight w:val="476"/>
        </w:trPr>
        <w:tc>
          <w:tcPr>
            <w:tcW w:w="470" w:type="dxa"/>
          </w:tcPr>
          <w:p w:rsidR="00A14B06" w:rsidRPr="002F0DF9" w:rsidRDefault="00A14B06" w:rsidP="00FB45DB">
            <w:pPr>
              <w:rPr>
                <w:sz w:val="20"/>
                <w:szCs w:val="20"/>
              </w:rPr>
            </w:pPr>
            <w:r w:rsidRPr="002F0DF9">
              <w:rPr>
                <w:sz w:val="20"/>
                <w:szCs w:val="20"/>
              </w:rPr>
              <w:t>16.</w:t>
            </w:r>
          </w:p>
        </w:tc>
        <w:tc>
          <w:tcPr>
            <w:tcW w:w="6267" w:type="dxa"/>
          </w:tcPr>
          <w:p w:rsidR="00A14B06" w:rsidRPr="002F0DF9" w:rsidRDefault="00A14B06" w:rsidP="00FB45DB">
            <w:pPr>
              <w:rPr>
                <w:rFonts w:ascii="Calibri" w:hAnsi="Calibri"/>
                <w:color w:val="000000"/>
                <w:sz w:val="20"/>
                <w:szCs w:val="20"/>
              </w:rPr>
            </w:pPr>
            <w:r w:rsidRPr="002F0DF9">
              <w:rPr>
                <w:rFonts w:ascii="Calibri" w:hAnsi="Calibri"/>
                <w:color w:val="000000"/>
                <w:sz w:val="20"/>
                <w:szCs w:val="20"/>
              </w:rPr>
              <w:t>Mejorar los conocimientos de los funcionarios y servidores públicos para que desarrollen y brinden servicios públicos en línea</w:t>
            </w:r>
          </w:p>
        </w:tc>
        <w:tc>
          <w:tcPr>
            <w:tcW w:w="1754" w:type="dxa"/>
          </w:tcPr>
          <w:p w:rsidR="00A14B06" w:rsidRPr="002F0DF9" w:rsidRDefault="00A14B06" w:rsidP="00F25102">
            <w:pPr>
              <w:jc w:val="center"/>
              <w:rPr>
                <w:sz w:val="20"/>
                <w:szCs w:val="20"/>
              </w:rPr>
            </w:pPr>
            <w:r w:rsidRPr="002F0DF9">
              <w:rPr>
                <w:sz w:val="20"/>
                <w:szCs w:val="20"/>
              </w:rPr>
              <w:t>Completo</w:t>
            </w:r>
          </w:p>
        </w:tc>
      </w:tr>
      <w:tr w:rsidR="00A14B06" w:rsidRPr="002F0DF9" w:rsidTr="00FB45DB">
        <w:trPr>
          <w:trHeight w:val="476"/>
        </w:trPr>
        <w:tc>
          <w:tcPr>
            <w:tcW w:w="470" w:type="dxa"/>
          </w:tcPr>
          <w:p w:rsidR="00A14B06" w:rsidRPr="002F0DF9" w:rsidRDefault="00A14B06" w:rsidP="00FB45DB">
            <w:pPr>
              <w:rPr>
                <w:sz w:val="20"/>
                <w:szCs w:val="20"/>
              </w:rPr>
            </w:pPr>
            <w:r w:rsidRPr="002F0DF9">
              <w:rPr>
                <w:sz w:val="20"/>
                <w:szCs w:val="20"/>
              </w:rPr>
              <w:t>17.</w:t>
            </w:r>
          </w:p>
        </w:tc>
        <w:tc>
          <w:tcPr>
            <w:tcW w:w="6267" w:type="dxa"/>
          </w:tcPr>
          <w:p w:rsidR="00A14B06" w:rsidRPr="002F0DF9" w:rsidRDefault="00A14B06" w:rsidP="00FB45DB">
            <w:pPr>
              <w:rPr>
                <w:rFonts w:ascii="Calibri" w:hAnsi="Calibri"/>
                <w:color w:val="000000"/>
                <w:sz w:val="20"/>
                <w:szCs w:val="20"/>
              </w:rPr>
            </w:pPr>
            <w:r w:rsidRPr="002F0DF9">
              <w:rPr>
                <w:rFonts w:ascii="Calibri" w:hAnsi="Calibri"/>
                <w:color w:val="000000"/>
                <w:sz w:val="20"/>
                <w:szCs w:val="20"/>
              </w:rPr>
              <w:t>Promover una adecuada gestión de las Redes Sociales en las entidades de la Administración Pública como herramientas para comunicar las acciones de dichas entidades</w:t>
            </w:r>
          </w:p>
        </w:tc>
        <w:tc>
          <w:tcPr>
            <w:tcW w:w="1754" w:type="dxa"/>
          </w:tcPr>
          <w:p w:rsidR="00A14B06" w:rsidRPr="002F0DF9" w:rsidRDefault="00A14B06" w:rsidP="00F25102">
            <w:pPr>
              <w:jc w:val="center"/>
              <w:rPr>
                <w:sz w:val="20"/>
                <w:szCs w:val="20"/>
              </w:rPr>
            </w:pPr>
            <w:r w:rsidRPr="002F0DF9">
              <w:rPr>
                <w:sz w:val="20"/>
                <w:szCs w:val="20"/>
              </w:rPr>
              <w:t>Sustancial</w:t>
            </w:r>
          </w:p>
        </w:tc>
      </w:tr>
    </w:tbl>
    <w:p w:rsidR="00A14B06" w:rsidRDefault="00A14B06" w:rsidP="00EF33B6">
      <w:pPr>
        <w:jc w:val="both"/>
      </w:pPr>
    </w:p>
    <w:tbl>
      <w:tblPr>
        <w:tblStyle w:val="Tablaconcuadrcula"/>
        <w:tblW w:w="0" w:type="auto"/>
        <w:tblInd w:w="2628" w:type="dxa"/>
        <w:tblLook w:val="04A0" w:firstRow="1" w:lastRow="0" w:firstColumn="1" w:lastColumn="0" w:noHBand="0" w:noVBand="1"/>
      </w:tblPr>
      <w:tblGrid>
        <w:gridCol w:w="2547"/>
        <w:gridCol w:w="1016"/>
      </w:tblGrid>
      <w:tr w:rsidR="00A14B06" w:rsidTr="00272BDF">
        <w:tc>
          <w:tcPr>
            <w:tcW w:w="2547" w:type="dxa"/>
            <w:shd w:val="clear" w:color="auto" w:fill="B8CCE4" w:themeFill="accent1" w:themeFillTint="66"/>
          </w:tcPr>
          <w:p w:rsidR="00A14B06" w:rsidRDefault="00A14B06" w:rsidP="00FB45DB">
            <w:r>
              <w:t>Estado de cumplimiento</w:t>
            </w:r>
          </w:p>
        </w:tc>
        <w:tc>
          <w:tcPr>
            <w:tcW w:w="1016" w:type="dxa"/>
            <w:shd w:val="clear" w:color="auto" w:fill="B8CCE4" w:themeFill="accent1" w:themeFillTint="66"/>
          </w:tcPr>
          <w:p w:rsidR="00A14B06" w:rsidRDefault="00A14B06" w:rsidP="00FB45DB">
            <w:r>
              <w:t>Cantidad</w:t>
            </w:r>
          </w:p>
        </w:tc>
      </w:tr>
      <w:tr w:rsidR="00A14B06" w:rsidTr="00272BDF">
        <w:tc>
          <w:tcPr>
            <w:tcW w:w="2547" w:type="dxa"/>
          </w:tcPr>
          <w:p w:rsidR="00A14B06" w:rsidRDefault="00A14B06" w:rsidP="00FB45DB">
            <w:r>
              <w:t>No iniciado</w:t>
            </w:r>
          </w:p>
        </w:tc>
        <w:tc>
          <w:tcPr>
            <w:tcW w:w="1016" w:type="dxa"/>
          </w:tcPr>
          <w:p w:rsidR="00A14B06" w:rsidRDefault="00A14B06" w:rsidP="00A14B06">
            <w:pPr>
              <w:jc w:val="center"/>
            </w:pPr>
            <w:r>
              <w:t>4</w:t>
            </w:r>
          </w:p>
        </w:tc>
      </w:tr>
      <w:tr w:rsidR="00A14B06" w:rsidTr="00272BDF">
        <w:tc>
          <w:tcPr>
            <w:tcW w:w="2547" w:type="dxa"/>
          </w:tcPr>
          <w:p w:rsidR="00A14B06" w:rsidRDefault="00A14B06" w:rsidP="00FB45DB">
            <w:r>
              <w:t>Limitado</w:t>
            </w:r>
          </w:p>
        </w:tc>
        <w:tc>
          <w:tcPr>
            <w:tcW w:w="1016" w:type="dxa"/>
          </w:tcPr>
          <w:p w:rsidR="00A14B06" w:rsidRDefault="00A14B06" w:rsidP="00A14B06">
            <w:pPr>
              <w:jc w:val="center"/>
            </w:pPr>
            <w:r>
              <w:t>1</w:t>
            </w:r>
          </w:p>
        </w:tc>
      </w:tr>
      <w:tr w:rsidR="00A14B06" w:rsidTr="00272BDF">
        <w:tc>
          <w:tcPr>
            <w:tcW w:w="2547" w:type="dxa"/>
          </w:tcPr>
          <w:p w:rsidR="00A14B06" w:rsidRDefault="00A14B06" w:rsidP="00FB45DB">
            <w:r>
              <w:t>Sustancial</w:t>
            </w:r>
          </w:p>
        </w:tc>
        <w:tc>
          <w:tcPr>
            <w:tcW w:w="1016" w:type="dxa"/>
          </w:tcPr>
          <w:p w:rsidR="00A14B06" w:rsidRDefault="00A14B06" w:rsidP="00A14B06">
            <w:pPr>
              <w:jc w:val="center"/>
            </w:pPr>
            <w:r>
              <w:t>7</w:t>
            </w:r>
          </w:p>
        </w:tc>
      </w:tr>
      <w:tr w:rsidR="00A14B06" w:rsidTr="00272BDF">
        <w:tc>
          <w:tcPr>
            <w:tcW w:w="2547" w:type="dxa"/>
          </w:tcPr>
          <w:p w:rsidR="00A14B06" w:rsidRDefault="00A14B06" w:rsidP="00FB45DB">
            <w:r>
              <w:t xml:space="preserve">Completo </w:t>
            </w:r>
          </w:p>
        </w:tc>
        <w:tc>
          <w:tcPr>
            <w:tcW w:w="1016" w:type="dxa"/>
          </w:tcPr>
          <w:p w:rsidR="00A14B06" w:rsidRDefault="00A14B06" w:rsidP="00A14B06">
            <w:pPr>
              <w:jc w:val="center"/>
            </w:pPr>
            <w:r>
              <w:t>5</w:t>
            </w:r>
          </w:p>
        </w:tc>
      </w:tr>
      <w:tr w:rsidR="00A14B06" w:rsidTr="00272BDF">
        <w:tc>
          <w:tcPr>
            <w:tcW w:w="2547" w:type="dxa"/>
            <w:shd w:val="clear" w:color="auto" w:fill="B8CCE4" w:themeFill="accent1" w:themeFillTint="66"/>
          </w:tcPr>
          <w:p w:rsidR="00A14B06" w:rsidRPr="00F25102" w:rsidRDefault="00A14B06" w:rsidP="00FB45DB">
            <w:pPr>
              <w:rPr>
                <w:b/>
              </w:rPr>
            </w:pPr>
            <w:r w:rsidRPr="00F25102">
              <w:rPr>
                <w:b/>
              </w:rPr>
              <w:t>Total</w:t>
            </w:r>
          </w:p>
        </w:tc>
        <w:tc>
          <w:tcPr>
            <w:tcW w:w="1016" w:type="dxa"/>
            <w:shd w:val="clear" w:color="auto" w:fill="B8CCE4" w:themeFill="accent1" w:themeFillTint="66"/>
          </w:tcPr>
          <w:p w:rsidR="00A14B06" w:rsidRPr="00F25102" w:rsidRDefault="00A14B06" w:rsidP="00A14B06">
            <w:pPr>
              <w:jc w:val="center"/>
              <w:rPr>
                <w:b/>
              </w:rPr>
            </w:pPr>
            <w:r w:rsidRPr="00F25102">
              <w:rPr>
                <w:b/>
              </w:rPr>
              <w:t>17</w:t>
            </w:r>
          </w:p>
        </w:tc>
      </w:tr>
    </w:tbl>
    <w:p w:rsidR="00A14B06" w:rsidRDefault="00272BDF" w:rsidP="00EF33B6">
      <w:pPr>
        <w:jc w:val="both"/>
      </w:pPr>
      <w:r>
        <w:t xml:space="preserve">  </w:t>
      </w:r>
    </w:p>
    <w:sectPr w:rsidR="00A14B06" w:rsidSect="00BC1A00">
      <w:footerReference w:type="first" r:id="rId68"/>
      <w:pgSz w:w="12240" w:h="15840"/>
      <w:pgMar w:top="1519" w:right="1701" w:bottom="1276"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E0D" w:rsidRDefault="002F3E0D" w:rsidP="00BC42E0">
      <w:pPr>
        <w:spacing w:after="0" w:line="240" w:lineRule="auto"/>
      </w:pPr>
      <w:r>
        <w:separator/>
      </w:r>
    </w:p>
  </w:endnote>
  <w:endnote w:type="continuationSeparator" w:id="0">
    <w:p w:rsidR="002F3E0D" w:rsidRDefault="002F3E0D" w:rsidP="00BC4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tham Bold">
    <w:altName w:val="Gotham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m">
    <w:altName w:val="Gotham"/>
    <w:panose1 w:val="00000000000000000000"/>
    <w:charset w:val="00"/>
    <w:family w:val="swiss"/>
    <w:notTrueType/>
    <w:pitch w:val="default"/>
    <w:sig w:usb0="00000003" w:usb1="00000000" w:usb2="00000000" w:usb3="00000000" w:csb0="00000001" w:csb1="00000000"/>
  </w:font>
  <w:font w:name="Gotham-Book">
    <w:panose1 w:val="00000000000000000000"/>
    <w:charset w:val="00"/>
    <w:family w:val="auto"/>
    <w:notTrueType/>
    <w:pitch w:val="default"/>
    <w:sig w:usb0="00000003" w:usb1="00000000" w:usb2="00000000" w:usb3="00000000" w:csb0="00000001" w:csb1="00000000"/>
  </w:font>
  <w:font w:name="Gotham-Book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24" w:rsidRDefault="00E11724" w:rsidP="00A24D19">
    <w:pPr>
      <w:pStyle w:val="Piedepgina"/>
    </w:pPr>
  </w:p>
  <w:p w:rsidR="00E11724" w:rsidRDefault="00E117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E0D" w:rsidRDefault="002F3E0D" w:rsidP="00BC42E0">
      <w:pPr>
        <w:spacing w:after="0" w:line="240" w:lineRule="auto"/>
      </w:pPr>
      <w:r>
        <w:separator/>
      </w:r>
    </w:p>
  </w:footnote>
  <w:footnote w:type="continuationSeparator" w:id="0">
    <w:p w:rsidR="002F3E0D" w:rsidRDefault="002F3E0D" w:rsidP="00BC42E0">
      <w:pPr>
        <w:spacing w:after="0" w:line="240" w:lineRule="auto"/>
      </w:pPr>
      <w:r>
        <w:continuationSeparator/>
      </w:r>
    </w:p>
  </w:footnote>
  <w:footnote w:id="1">
    <w:p w:rsidR="00E11724" w:rsidRDefault="00E11724">
      <w:pPr>
        <w:pStyle w:val="Textonotapie"/>
        <w:rPr>
          <w:sz w:val="18"/>
          <w:szCs w:val="18"/>
        </w:rPr>
      </w:pPr>
      <w:r w:rsidRPr="006857C8">
        <w:rPr>
          <w:rStyle w:val="Refdenotaalpie"/>
          <w:sz w:val="18"/>
          <w:szCs w:val="18"/>
        </w:rPr>
        <w:footnoteRef/>
      </w:r>
      <w:r w:rsidRPr="006857C8">
        <w:rPr>
          <w:sz w:val="18"/>
          <w:szCs w:val="18"/>
        </w:rPr>
        <w:t xml:space="preserve"> </w:t>
      </w:r>
      <w:hyperlink r:id="rId1" w:history="1">
        <w:r w:rsidRPr="001A65E2">
          <w:rPr>
            <w:rStyle w:val="Hipervnculo"/>
            <w:sz w:val="18"/>
            <w:szCs w:val="18"/>
          </w:rPr>
          <w:t>http://www.pcm.gob.pe/gobierno_abierto_peru/</w:t>
        </w:r>
      </w:hyperlink>
      <w:r>
        <w:rPr>
          <w:sz w:val="18"/>
          <w:szCs w:val="18"/>
        </w:rPr>
        <w:t xml:space="preserve"> ; </w:t>
      </w:r>
    </w:p>
    <w:p w:rsidR="00E11724" w:rsidRDefault="002F3E0D">
      <w:pPr>
        <w:pStyle w:val="Textonotapie"/>
        <w:rPr>
          <w:sz w:val="18"/>
          <w:szCs w:val="18"/>
        </w:rPr>
      </w:pPr>
      <w:hyperlink r:id="rId2" w:history="1">
        <w:r w:rsidR="00E11724" w:rsidRPr="001A65E2">
          <w:rPr>
            <w:rStyle w:val="Hipervnculo"/>
            <w:sz w:val="18"/>
            <w:szCs w:val="18"/>
          </w:rPr>
          <w:t>http://www.pcm.gob.pe/wp-content/uploads/2014/01/PLAN_AGA.pdf</w:t>
        </w:r>
      </w:hyperlink>
    </w:p>
    <w:p w:rsidR="00E11724" w:rsidRPr="006857C8" w:rsidRDefault="00E11724">
      <w:pPr>
        <w:pStyle w:val="Textonotapie"/>
        <w:rPr>
          <w:sz w:val="18"/>
          <w:szCs w:val="18"/>
        </w:rPr>
      </w:pPr>
    </w:p>
  </w:footnote>
  <w:footnote w:id="2">
    <w:p w:rsidR="00E11724" w:rsidRPr="00886165" w:rsidRDefault="00E11724" w:rsidP="00265D44">
      <w:pPr>
        <w:pStyle w:val="Piedepgina"/>
        <w:rPr>
          <w:sz w:val="14"/>
          <w:szCs w:val="14"/>
        </w:rPr>
      </w:pPr>
      <w:r>
        <w:rPr>
          <w:rStyle w:val="Refdenotaalpie"/>
        </w:rPr>
        <w:footnoteRef/>
      </w:r>
      <w:r>
        <w:t xml:space="preserve"> </w:t>
      </w:r>
      <w:r w:rsidRPr="00886165">
        <w:rPr>
          <w:sz w:val="14"/>
          <w:szCs w:val="14"/>
        </w:rPr>
        <w:t>Algunos sustentos de Fortalecimiento de Conocimientos y Capacidades:</w:t>
      </w:r>
    </w:p>
    <w:p w:rsidR="00E11724" w:rsidRPr="00886165" w:rsidRDefault="00E11724" w:rsidP="00265D44">
      <w:pPr>
        <w:pStyle w:val="Piedepgina"/>
        <w:rPr>
          <w:sz w:val="14"/>
          <w:szCs w:val="14"/>
        </w:rPr>
      </w:pPr>
      <w:r w:rsidRPr="00886165">
        <w:rPr>
          <w:sz w:val="14"/>
          <w:szCs w:val="14"/>
        </w:rPr>
        <w:t>- Taller de Capacitación en el derecho a la consulta previa de los pueblos indígenas u originarios con funcionarios y funcionarias de la Superintendencia Nacionales de Bienes Estatales</w:t>
      </w:r>
    </w:p>
    <w:p w:rsidR="00E11724" w:rsidRPr="00886165" w:rsidRDefault="002F3E0D" w:rsidP="00265D44">
      <w:pPr>
        <w:pStyle w:val="Piedepgina"/>
        <w:rPr>
          <w:sz w:val="14"/>
          <w:szCs w:val="14"/>
        </w:rPr>
      </w:pPr>
      <w:hyperlink r:id="rId3" w:history="1">
        <w:r w:rsidR="00E11724" w:rsidRPr="00886165">
          <w:rPr>
            <w:rStyle w:val="Hipervnculo"/>
            <w:sz w:val="14"/>
            <w:szCs w:val="14"/>
          </w:rPr>
          <w:t>http://consultaprevia.cultura.gob.pe/capacitaciones/3101/</w:t>
        </w:r>
      </w:hyperlink>
    </w:p>
    <w:p w:rsidR="00E11724" w:rsidRPr="00886165" w:rsidRDefault="00E11724" w:rsidP="00265D44">
      <w:pPr>
        <w:pStyle w:val="Piedepgina"/>
        <w:rPr>
          <w:sz w:val="14"/>
          <w:szCs w:val="14"/>
        </w:rPr>
      </w:pPr>
      <w:r w:rsidRPr="00886165">
        <w:rPr>
          <w:sz w:val="14"/>
          <w:szCs w:val="14"/>
        </w:rPr>
        <w:t xml:space="preserve">- Taller de  Capacitación para líderes y lideresas indígenas en derecho a la consulta previa – CNA </w:t>
      </w:r>
      <w:hyperlink r:id="rId4" w:history="1">
        <w:r w:rsidRPr="00886165">
          <w:rPr>
            <w:rStyle w:val="Hipervnculo"/>
            <w:sz w:val="14"/>
            <w:szCs w:val="14"/>
          </w:rPr>
          <w:t>http://consultaprevia.cultura.gob.pe/categoria/talleres-con-lideres/?nombre=&amp;fecha=2016-04</w:t>
        </w:r>
      </w:hyperlink>
    </w:p>
    <w:p w:rsidR="00E11724" w:rsidRPr="00886165" w:rsidRDefault="00E11724" w:rsidP="00265D44">
      <w:pPr>
        <w:pStyle w:val="Piedepgina"/>
        <w:rPr>
          <w:sz w:val="14"/>
          <w:szCs w:val="14"/>
        </w:rPr>
      </w:pPr>
      <w:r w:rsidRPr="00886165">
        <w:rPr>
          <w:sz w:val="14"/>
          <w:szCs w:val="14"/>
        </w:rPr>
        <w:t xml:space="preserve">- </w:t>
      </w:r>
      <w:hyperlink r:id="rId5" w:history="1">
        <w:r w:rsidRPr="00886165">
          <w:rPr>
            <w:sz w:val="14"/>
            <w:szCs w:val="14"/>
          </w:rPr>
          <w:t>Taller de capacitación sobre el derecho a la consulta previa de los pueblos indígenas u originarios con líderes y lideresas indígenas de las Bases de la Federación de Pueblos Indígenas de Bajo y Alto Corrientes – FEPIBAC</w:t>
        </w:r>
      </w:hyperlink>
    </w:p>
    <w:p w:rsidR="00E11724" w:rsidRPr="00886165" w:rsidRDefault="002F3E0D" w:rsidP="00265D44">
      <w:pPr>
        <w:pStyle w:val="Piedepgina"/>
        <w:rPr>
          <w:sz w:val="14"/>
          <w:szCs w:val="14"/>
          <w:lang w:val="es-PE"/>
        </w:rPr>
      </w:pPr>
      <w:hyperlink r:id="rId6" w:history="1">
        <w:r w:rsidR="00E11724" w:rsidRPr="00886165">
          <w:rPr>
            <w:rStyle w:val="Hipervnculo"/>
            <w:sz w:val="14"/>
            <w:szCs w:val="14"/>
          </w:rPr>
          <w:t>http://consultaprevia.cultura.gob.pe/capacitaciones/taller-de-capacitacion-sobre-el-derecho-a-la-consulta-previa-de-los-pueblos-indigenas-u-originarios-con-lideres-y-lideresas-indigenas-de-las-bases-de-la-federacion-de-pueblos-indigenas-de-bajo-y-alto/</w:t>
        </w:r>
      </w:hyperlink>
    </w:p>
    <w:p w:rsidR="00E11724" w:rsidRPr="00712523" w:rsidRDefault="00E11724" w:rsidP="00265D44">
      <w:pPr>
        <w:pStyle w:val="Textonotapie"/>
        <w:rPr>
          <w:lang w:val="es-P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473B"/>
    <w:multiLevelType w:val="hybridMultilevel"/>
    <w:tmpl w:val="7BFCDB1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3C013DC"/>
    <w:multiLevelType w:val="hybridMultilevel"/>
    <w:tmpl w:val="D0E2EF88"/>
    <w:lvl w:ilvl="0" w:tplc="280A000B">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nsid w:val="05E71547"/>
    <w:multiLevelType w:val="hybridMultilevel"/>
    <w:tmpl w:val="F71EEFA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0DC6F2E"/>
    <w:multiLevelType w:val="hybridMultilevel"/>
    <w:tmpl w:val="1018A6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113E2878"/>
    <w:multiLevelType w:val="hybridMultilevel"/>
    <w:tmpl w:val="E6B691E2"/>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1505A75"/>
    <w:multiLevelType w:val="multilevel"/>
    <w:tmpl w:val="757EBF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1A22587"/>
    <w:multiLevelType w:val="hybridMultilevel"/>
    <w:tmpl w:val="D326EB5E"/>
    <w:lvl w:ilvl="0" w:tplc="4B0446FE">
      <w:start w:val="1"/>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16C40F4E"/>
    <w:multiLevelType w:val="hybridMultilevel"/>
    <w:tmpl w:val="AAD8C7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nsid w:val="18D43A68"/>
    <w:multiLevelType w:val="hybridMultilevel"/>
    <w:tmpl w:val="E1AC28D2"/>
    <w:lvl w:ilvl="0" w:tplc="F7D67A0E">
      <w:numFmt w:val="bullet"/>
      <w:lvlText w:val="-"/>
      <w:lvlJc w:val="left"/>
      <w:pPr>
        <w:ind w:left="564" w:hanging="360"/>
      </w:pPr>
      <w:rPr>
        <w:rFonts w:ascii="Calibri" w:eastAsiaTheme="minorHAnsi" w:hAnsi="Calibri" w:cstheme="minorBidi" w:hint="default"/>
      </w:rPr>
    </w:lvl>
    <w:lvl w:ilvl="1" w:tplc="280A0003" w:tentative="1">
      <w:start w:val="1"/>
      <w:numFmt w:val="bullet"/>
      <w:lvlText w:val="o"/>
      <w:lvlJc w:val="left"/>
      <w:pPr>
        <w:ind w:left="1284" w:hanging="360"/>
      </w:pPr>
      <w:rPr>
        <w:rFonts w:ascii="Courier New" w:hAnsi="Courier New" w:cs="Courier New" w:hint="default"/>
      </w:rPr>
    </w:lvl>
    <w:lvl w:ilvl="2" w:tplc="280A0005" w:tentative="1">
      <w:start w:val="1"/>
      <w:numFmt w:val="bullet"/>
      <w:lvlText w:val=""/>
      <w:lvlJc w:val="left"/>
      <w:pPr>
        <w:ind w:left="2004" w:hanging="360"/>
      </w:pPr>
      <w:rPr>
        <w:rFonts w:ascii="Wingdings" w:hAnsi="Wingdings" w:hint="default"/>
      </w:rPr>
    </w:lvl>
    <w:lvl w:ilvl="3" w:tplc="280A0001" w:tentative="1">
      <w:start w:val="1"/>
      <w:numFmt w:val="bullet"/>
      <w:lvlText w:val=""/>
      <w:lvlJc w:val="left"/>
      <w:pPr>
        <w:ind w:left="2724" w:hanging="360"/>
      </w:pPr>
      <w:rPr>
        <w:rFonts w:ascii="Symbol" w:hAnsi="Symbol" w:hint="default"/>
      </w:rPr>
    </w:lvl>
    <w:lvl w:ilvl="4" w:tplc="280A0003" w:tentative="1">
      <w:start w:val="1"/>
      <w:numFmt w:val="bullet"/>
      <w:lvlText w:val="o"/>
      <w:lvlJc w:val="left"/>
      <w:pPr>
        <w:ind w:left="3444" w:hanging="360"/>
      </w:pPr>
      <w:rPr>
        <w:rFonts w:ascii="Courier New" w:hAnsi="Courier New" w:cs="Courier New" w:hint="default"/>
      </w:rPr>
    </w:lvl>
    <w:lvl w:ilvl="5" w:tplc="280A0005" w:tentative="1">
      <w:start w:val="1"/>
      <w:numFmt w:val="bullet"/>
      <w:lvlText w:val=""/>
      <w:lvlJc w:val="left"/>
      <w:pPr>
        <w:ind w:left="4164" w:hanging="360"/>
      </w:pPr>
      <w:rPr>
        <w:rFonts w:ascii="Wingdings" w:hAnsi="Wingdings" w:hint="default"/>
      </w:rPr>
    </w:lvl>
    <w:lvl w:ilvl="6" w:tplc="280A0001" w:tentative="1">
      <w:start w:val="1"/>
      <w:numFmt w:val="bullet"/>
      <w:lvlText w:val=""/>
      <w:lvlJc w:val="left"/>
      <w:pPr>
        <w:ind w:left="4884" w:hanging="360"/>
      </w:pPr>
      <w:rPr>
        <w:rFonts w:ascii="Symbol" w:hAnsi="Symbol" w:hint="default"/>
      </w:rPr>
    </w:lvl>
    <w:lvl w:ilvl="7" w:tplc="280A0003" w:tentative="1">
      <w:start w:val="1"/>
      <w:numFmt w:val="bullet"/>
      <w:lvlText w:val="o"/>
      <w:lvlJc w:val="left"/>
      <w:pPr>
        <w:ind w:left="5604" w:hanging="360"/>
      </w:pPr>
      <w:rPr>
        <w:rFonts w:ascii="Courier New" w:hAnsi="Courier New" w:cs="Courier New" w:hint="default"/>
      </w:rPr>
    </w:lvl>
    <w:lvl w:ilvl="8" w:tplc="280A0005" w:tentative="1">
      <w:start w:val="1"/>
      <w:numFmt w:val="bullet"/>
      <w:lvlText w:val=""/>
      <w:lvlJc w:val="left"/>
      <w:pPr>
        <w:ind w:left="6324" w:hanging="360"/>
      </w:pPr>
      <w:rPr>
        <w:rFonts w:ascii="Wingdings" w:hAnsi="Wingdings" w:hint="default"/>
      </w:rPr>
    </w:lvl>
  </w:abstractNum>
  <w:abstractNum w:abstractNumId="9">
    <w:nsid w:val="19F80019"/>
    <w:multiLevelType w:val="hybridMultilevel"/>
    <w:tmpl w:val="0C58E87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1C134EA2"/>
    <w:multiLevelType w:val="hybridMultilevel"/>
    <w:tmpl w:val="051EB2A8"/>
    <w:lvl w:ilvl="0" w:tplc="7F08BCD4">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1D4049AF"/>
    <w:multiLevelType w:val="hybridMultilevel"/>
    <w:tmpl w:val="A3DCA64C"/>
    <w:lvl w:ilvl="0" w:tplc="DBBE91F4">
      <w:numFmt w:val="bullet"/>
      <w:lvlText w:val="-"/>
      <w:lvlJc w:val="left"/>
      <w:pPr>
        <w:ind w:left="1211" w:hanging="360"/>
      </w:pPr>
      <w:rPr>
        <w:rFonts w:ascii="Calibri" w:eastAsia="Calibri" w:hAnsi="Calibri" w:cs="Calibri" w:hint="default"/>
      </w:rPr>
    </w:lvl>
    <w:lvl w:ilvl="1" w:tplc="280A0003" w:tentative="1">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2">
    <w:nsid w:val="1F2A573B"/>
    <w:multiLevelType w:val="hybridMultilevel"/>
    <w:tmpl w:val="9B8AAD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205510F9"/>
    <w:multiLevelType w:val="hybridMultilevel"/>
    <w:tmpl w:val="B0E6E6E4"/>
    <w:lvl w:ilvl="0" w:tplc="280A0015">
      <w:start w:val="1"/>
      <w:numFmt w:val="upperLetter"/>
      <w:lvlText w:val="%1."/>
      <w:lvlJc w:val="left"/>
      <w:pPr>
        <w:ind w:left="36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2652D3E"/>
    <w:multiLevelType w:val="multilevel"/>
    <w:tmpl w:val="981842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C557B2A"/>
    <w:multiLevelType w:val="hybridMultilevel"/>
    <w:tmpl w:val="FBCC8CB6"/>
    <w:lvl w:ilvl="0" w:tplc="10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2C9C0F80"/>
    <w:multiLevelType w:val="multilevel"/>
    <w:tmpl w:val="DD20A2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CFF627E"/>
    <w:multiLevelType w:val="hybridMultilevel"/>
    <w:tmpl w:val="9D80DC7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30321D1C"/>
    <w:multiLevelType w:val="multilevel"/>
    <w:tmpl w:val="F71EEF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4A96EB0"/>
    <w:multiLevelType w:val="hybridMultilevel"/>
    <w:tmpl w:val="67C0A2DE"/>
    <w:lvl w:ilvl="0" w:tplc="B81C8F6A">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8890C49"/>
    <w:multiLevelType w:val="multilevel"/>
    <w:tmpl w:val="892021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DCC0E2E"/>
    <w:multiLevelType w:val="multilevel"/>
    <w:tmpl w:val="F71EEF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ED0637A"/>
    <w:multiLevelType w:val="hybridMultilevel"/>
    <w:tmpl w:val="1CFE9210"/>
    <w:lvl w:ilvl="0" w:tplc="1E46AE1C">
      <w:start w:val="1"/>
      <w:numFmt w:val="decimal"/>
      <w:lvlText w:val="%1."/>
      <w:lvlJc w:val="left"/>
      <w:pPr>
        <w:ind w:left="720" w:hanging="360"/>
      </w:pPr>
      <w:rPr>
        <w:rFonts w:hint="default"/>
        <w:u w:val="singl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nsid w:val="3F961C2A"/>
    <w:multiLevelType w:val="hybridMultilevel"/>
    <w:tmpl w:val="E3C21D7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45C85D6E"/>
    <w:multiLevelType w:val="hybridMultilevel"/>
    <w:tmpl w:val="34F613F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4EFB386C"/>
    <w:multiLevelType w:val="hybridMultilevel"/>
    <w:tmpl w:val="EA02064E"/>
    <w:lvl w:ilvl="0" w:tplc="A85ED166">
      <w:start w:val="7"/>
      <w:numFmt w:val="bullet"/>
      <w:lvlText w:val="-"/>
      <w:lvlJc w:val="left"/>
      <w:pPr>
        <w:ind w:left="785" w:hanging="360"/>
      </w:pPr>
      <w:rPr>
        <w:rFonts w:ascii="Calibri" w:eastAsiaTheme="minorHAnsi" w:hAnsi="Calibri" w:cstheme="minorBidi" w:hint="default"/>
      </w:rPr>
    </w:lvl>
    <w:lvl w:ilvl="1" w:tplc="280A0003" w:tentative="1">
      <w:start w:val="1"/>
      <w:numFmt w:val="bullet"/>
      <w:lvlText w:val="o"/>
      <w:lvlJc w:val="left"/>
      <w:pPr>
        <w:ind w:left="1505" w:hanging="360"/>
      </w:pPr>
      <w:rPr>
        <w:rFonts w:ascii="Courier New" w:hAnsi="Courier New" w:cs="Courier New" w:hint="default"/>
      </w:rPr>
    </w:lvl>
    <w:lvl w:ilvl="2" w:tplc="280A0005" w:tentative="1">
      <w:start w:val="1"/>
      <w:numFmt w:val="bullet"/>
      <w:lvlText w:val=""/>
      <w:lvlJc w:val="left"/>
      <w:pPr>
        <w:ind w:left="2225" w:hanging="360"/>
      </w:pPr>
      <w:rPr>
        <w:rFonts w:ascii="Wingdings" w:hAnsi="Wingdings" w:hint="default"/>
      </w:rPr>
    </w:lvl>
    <w:lvl w:ilvl="3" w:tplc="280A0001" w:tentative="1">
      <w:start w:val="1"/>
      <w:numFmt w:val="bullet"/>
      <w:lvlText w:val=""/>
      <w:lvlJc w:val="left"/>
      <w:pPr>
        <w:ind w:left="2945" w:hanging="360"/>
      </w:pPr>
      <w:rPr>
        <w:rFonts w:ascii="Symbol" w:hAnsi="Symbol" w:hint="default"/>
      </w:rPr>
    </w:lvl>
    <w:lvl w:ilvl="4" w:tplc="280A0003" w:tentative="1">
      <w:start w:val="1"/>
      <w:numFmt w:val="bullet"/>
      <w:lvlText w:val="o"/>
      <w:lvlJc w:val="left"/>
      <w:pPr>
        <w:ind w:left="3665" w:hanging="360"/>
      </w:pPr>
      <w:rPr>
        <w:rFonts w:ascii="Courier New" w:hAnsi="Courier New" w:cs="Courier New" w:hint="default"/>
      </w:rPr>
    </w:lvl>
    <w:lvl w:ilvl="5" w:tplc="280A0005" w:tentative="1">
      <w:start w:val="1"/>
      <w:numFmt w:val="bullet"/>
      <w:lvlText w:val=""/>
      <w:lvlJc w:val="left"/>
      <w:pPr>
        <w:ind w:left="4385" w:hanging="360"/>
      </w:pPr>
      <w:rPr>
        <w:rFonts w:ascii="Wingdings" w:hAnsi="Wingdings" w:hint="default"/>
      </w:rPr>
    </w:lvl>
    <w:lvl w:ilvl="6" w:tplc="280A0001" w:tentative="1">
      <w:start w:val="1"/>
      <w:numFmt w:val="bullet"/>
      <w:lvlText w:val=""/>
      <w:lvlJc w:val="left"/>
      <w:pPr>
        <w:ind w:left="5105" w:hanging="360"/>
      </w:pPr>
      <w:rPr>
        <w:rFonts w:ascii="Symbol" w:hAnsi="Symbol" w:hint="default"/>
      </w:rPr>
    </w:lvl>
    <w:lvl w:ilvl="7" w:tplc="280A0003" w:tentative="1">
      <w:start w:val="1"/>
      <w:numFmt w:val="bullet"/>
      <w:lvlText w:val="o"/>
      <w:lvlJc w:val="left"/>
      <w:pPr>
        <w:ind w:left="5825" w:hanging="360"/>
      </w:pPr>
      <w:rPr>
        <w:rFonts w:ascii="Courier New" w:hAnsi="Courier New" w:cs="Courier New" w:hint="default"/>
      </w:rPr>
    </w:lvl>
    <w:lvl w:ilvl="8" w:tplc="280A0005" w:tentative="1">
      <w:start w:val="1"/>
      <w:numFmt w:val="bullet"/>
      <w:lvlText w:val=""/>
      <w:lvlJc w:val="left"/>
      <w:pPr>
        <w:ind w:left="6545" w:hanging="360"/>
      </w:pPr>
      <w:rPr>
        <w:rFonts w:ascii="Wingdings" w:hAnsi="Wingdings" w:hint="default"/>
      </w:rPr>
    </w:lvl>
  </w:abstractNum>
  <w:abstractNum w:abstractNumId="26">
    <w:nsid w:val="518814DD"/>
    <w:multiLevelType w:val="multilevel"/>
    <w:tmpl w:val="981842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58F1ABD"/>
    <w:multiLevelType w:val="hybridMultilevel"/>
    <w:tmpl w:val="D3064DDC"/>
    <w:lvl w:ilvl="0" w:tplc="C16CFCDC">
      <w:numFmt w:val="bullet"/>
      <w:lvlText w:val="•"/>
      <w:lvlJc w:val="left"/>
      <w:pPr>
        <w:ind w:left="360" w:hanging="360"/>
      </w:pPr>
      <w:rPr>
        <w:rFonts w:ascii="Calibri" w:eastAsiaTheme="minorHAnsi" w:hAnsi="Calibri" w:cs="Arial" w:hint="default"/>
      </w:rPr>
    </w:lvl>
    <w:lvl w:ilvl="1" w:tplc="5712AFE8">
      <w:numFmt w:val="bullet"/>
      <w:lvlText w:val=""/>
      <w:lvlJc w:val="left"/>
      <w:pPr>
        <w:ind w:left="1440" w:hanging="360"/>
      </w:pPr>
      <w:rPr>
        <w:rFonts w:ascii="Symbol" w:eastAsiaTheme="minorHAnsi" w:hAnsi="Symbol" w:cstheme="minorBid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564A2676"/>
    <w:multiLevelType w:val="multilevel"/>
    <w:tmpl w:val="F71EEF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ACF7CDE"/>
    <w:multiLevelType w:val="hybridMultilevel"/>
    <w:tmpl w:val="5240E3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5EDC6C91"/>
    <w:multiLevelType w:val="hybridMultilevel"/>
    <w:tmpl w:val="B94AF6B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65B932AE"/>
    <w:multiLevelType w:val="hybridMultilevel"/>
    <w:tmpl w:val="E7DA5A26"/>
    <w:lvl w:ilvl="0" w:tplc="E16CA740">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6C110A99"/>
    <w:multiLevelType w:val="multilevel"/>
    <w:tmpl w:val="F71EEF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2032E9C"/>
    <w:multiLevelType w:val="hybridMultilevel"/>
    <w:tmpl w:val="8996D8B0"/>
    <w:lvl w:ilvl="0" w:tplc="C16CFCDC">
      <w:numFmt w:val="bullet"/>
      <w:lvlText w:val="•"/>
      <w:lvlJc w:val="left"/>
      <w:pPr>
        <w:ind w:left="720" w:hanging="360"/>
      </w:pPr>
      <w:rPr>
        <w:rFonts w:ascii="Calibri" w:eastAsiaTheme="minorHAnsi" w:hAnsi="Calibri" w:cs="Arial" w:hint="default"/>
      </w:rPr>
    </w:lvl>
    <w:lvl w:ilvl="1" w:tplc="280A0003">
      <w:start w:val="1"/>
      <w:numFmt w:val="bullet"/>
      <w:lvlText w:val="o"/>
      <w:lvlJc w:val="left"/>
      <w:pPr>
        <w:ind w:left="1440" w:hanging="360"/>
      </w:pPr>
      <w:rPr>
        <w:rFonts w:ascii="Courier New" w:hAnsi="Courier New" w:cs="Courier New" w:hint="default"/>
      </w:rPr>
    </w:lvl>
    <w:lvl w:ilvl="2" w:tplc="8DD49ACC">
      <w:start w:val="51"/>
      <w:numFmt w:val="bullet"/>
      <w:lvlText w:val="-"/>
      <w:lvlJc w:val="left"/>
      <w:pPr>
        <w:ind w:left="2160" w:hanging="360"/>
      </w:pPr>
      <w:rPr>
        <w:rFonts w:ascii="Calibri" w:eastAsiaTheme="minorHAnsi" w:hAnsi="Calibri" w:cstheme="minorBidi"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nsid w:val="74621D26"/>
    <w:multiLevelType w:val="hybridMultilevel"/>
    <w:tmpl w:val="322E5C2C"/>
    <w:lvl w:ilvl="0" w:tplc="6D523E0A">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762C4B90"/>
    <w:multiLevelType w:val="hybridMultilevel"/>
    <w:tmpl w:val="D5A223A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nsid w:val="797C6E6B"/>
    <w:multiLevelType w:val="hybridMultilevel"/>
    <w:tmpl w:val="C37A900E"/>
    <w:lvl w:ilvl="0" w:tplc="280A000F">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2"/>
  </w:num>
  <w:num w:numId="2">
    <w:abstractNumId w:val="27"/>
  </w:num>
  <w:num w:numId="3">
    <w:abstractNumId w:val="33"/>
  </w:num>
  <w:num w:numId="4">
    <w:abstractNumId w:val="13"/>
  </w:num>
  <w:num w:numId="5">
    <w:abstractNumId w:val="34"/>
  </w:num>
  <w:num w:numId="6">
    <w:abstractNumId w:val="35"/>
  </w:num>
  <w:num w:numId="7">
    <w:abstractNumId w:val="30"/>
  </w:num>
  <w:num w:numId="8">
    <w:abstractNumId w:val="17"/>
  </w:num>
  <w:num w:numId="9">
    <w:abstractNumId w:val="2"/>
  </w:num>
  <w:num w:numId="10">
    <w:abstractNumId w:val="23"/>
  </w:num>
  <w:num w:numId="11">
    <w:abstractNumId w:val="1"/>
  </w:num>
  <w:num w:numId="12">
    <w:abstractNumId w:val="11"/>
  </w:num>
  <w:num w:numId="13">
    <w:abstractNumId w:val="24"/>
  </w:num>
  <w:num w:numId="14">
    <w:abstractNumId w:val="6"/>
  </w:num>
  <w:num w:numId="15">
    <w:abstractNumId w:val="21"/>
  </w:num>
  <w:num w:numId="16">
    <w:abstractNumId w:val="18"/>
  </w:num>
  <w:num w:numId="17">
    <w:abstractNumId w:val="16"/>
  </w:num>
  <w:num w:numId="18">
    <w:abstractNumId w:val="14"/>
  </w:num>
  <w:num w:numId="19">
    <w:abstractNumId w:val="26"/>
  </w:num>
  <w:num w:numId="20">
    <w:abstractNumId w:val="32"/>
  </w:num>
  <w:num w:numId="21">
    <w:abstractNumId w:val="5"/>
  </w:num>
  <w:num w:numId="22">
    <w:abstractNumId w:val="28"/>
  </w:num>
  <w:num w:numId="23">
    <w:abstractNumId w:val="20"/>
  </w:num>
  <w:num w:numId="24">
    <w:abstractNumId w:val="31"/>
  </w:num>
  <w:num w:numId="25">
    <w:abstractNumId w:val="0"/>
  </w:num>
  <w:num w:numId="26">
    <w:abstractNumId w:val="36"/>
  </w:num>
  <w:num w:numId="27">
    <w:abstractNumId w:val="4"/>
  </w:num>
  <w:num w:numId="28">
    <w:abstractNumId w:val="15"/>
  </w:num>
  <w:num w:numId="29">
    <w:abstractNumId w:val="25"/>
  </w:num>
  <w:num w:numId="30">
    <w:abstractNumId w:val="9"/>
  </w:num>
  <w:num w:numId="31">
    <w:abstractNumId w:val="29"/>
  </w:num>
  <w:num w:numId="32">
    <w:abstractNumId w:val="7"/>
  </w:num>
  <w:num w:numId="33">
    <w:abstractNumId w:val="19"/>
  </w:num>
  <w:num w:numId="34">
    <w:abstractNumId w:val="10"/>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2"/>
  </w:num>
  <w:num w:numId="3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69"/>
    <w:rsid w:val="00000388"/>
    <w:rsid w:val="00003D89"/>
    <w:rsid w:val="00010DC3"/>
    <w:rsid w:val="00011808"/>
    <w:rsid w:val="00013EC0"/>
    <w:rsid w:val="00014A31"/>
    <w:rsid w:val="00016B8B"/>
    <w:rsid w:val="000207D7"/>
    <w:rsid w:val="00030ED0"/>
    <w:rsid w:val="000326E9"/>
    <w:rsid w:val="00033088"/>
    <w:rsid w:val="0003553B"/>
    <w:rsid w:val="00040D2C"/>
    <w:rsid w:val="00043689"/>
    <w:rsid w:val="00046F3C"/>
    <w:rsid w:val="0005747A"/>
    <w:rsid w:val="00061951"/>
    <w:rsid w:val="00067EC2"/>
    <w:rsid w:val="00080654"/>
    <w:rsid w:val="00084A02"/>
    <w:rsid w:val="000921DE"/>
    <w:rsid w:val="000A074A"/>
    <w:rsid w:val="000B16C4"/>
    <w:rsid w:val="000B4CD3"/>
    <w:rsid w:val="000B5217"/>
    <w:rsid w:val="000C6B21"/>
    <w:rsid w:val="000D0DF8"/>
    <w:rsid w:val="000D293F"/>
    <w:rsid w:val="000D4A9D"/>
    <w:rsid w:val="000E0488"/>
    <w:rsid w:val="000E0F12"/>
    <w:rsid w:val="000E1EC0"/>
    <w:rsid w:val="000E394A"/>
    <w:rsid w:val="000E5CE1"/>
    <w:rsid w:val="000F7B44"/>
    <w:rsid w:val="00102519"/>
    <w:rsid w:val="0010384A"/>
    <w:rsid w:val="00105837"/>
    <w:rsid w:val="00131DC0"/>
    <w:rsid w:val="00133B92"/>
    <w:rsid w:val="00137011"/>
    <w:rsid w:val="00137FD3"/>
    <w:rsid w:val="00141D64"/>
    <w:rsid w:val="0014607C"/>
    <w:rsid w:val="00150479"/>
    <w:rsid w:val="00155B1D"/>
    <w:rsid w:val="00157F6F"/>
    <w:rsid w:val="00162F34"/>
    <w:rsid w:val="001715DF"/>
    <w:rsid w:val="001754FE"/>
    <w:rsid w:val="001774C1"/>
    <w:rsid w:val="00183EC4"/>
    <w:rsid w:val="00185A10"/>
    <w:rsid w:val="00187A5D"/>
    <w:rsid w:val="00194361"/>
    <w:rsid w:val="001A0533"/>
    <w:rsid w:val="001A1549"/>
    <w:rsid w:val="001B08C0"/>
    <w:rsid w:val="001B6855"/>
    <w:rsid w:val="001C1CC3"/>
    <w:rsid w:val="001C55F9"/>
    <w:rsid w:val="001C574F"/>
    <w:rsid w:val="001D5B6D"/>
    <w:rsid w:val="001E3564"/>
    <w:rsid w:val="001E67E3"/>
    <w:rsid w:val="001F04BA"/>
    <w:rsid w:val="001F057B"/>
    <w:rsid w:val="001F1972"/>
    <w:rsid w:val="001F2A73"/>
    <w:rsid w:val="001F5DE1"/>
    <w:rsid w:val="002052A3"/>
    <w:rsid w:val="0022247B"/>
    <w:rsid w:val="00226F50"/>
    <w:rsid w:val="00230A74"/>
    <w:rsid w:val="00252DAE"/>
    <w:rsid w:val="002536E7"/>
    <w:rsid w:val="00265D44"/>
    <w:rsid w:val="00272BDF"/>
    <w:rsid w:val="00276384"/>
    <w:rsid w:val="002802A5"/>
    <w:rsid w:val="00283C4F"/>
    <w:rsid w:val="00286327"/>
    <w:rsid w:val="002908C4"/>
    <w:rsid w:val="00291388"/>
    <w:rsid w:val="00292778"/>
    <w:rsid w:val="00292AB2"/>
    <w:rsid w:val="0029488C"/>
    <w:rsid w:val="00295641"/>
    <w:rsid w:val="00297BB5"/>
    <w:rsid w:val="002A0A31"/>
    <w:rsid w:val="002A2EC8"/>
    <w:rsid w:val="002A46AD"/>
    <w:rsid w:val="002B5D82"/>
    <w:rsid w:val="002C2EAC"/>
    <w:rsid w:val="002D077F"/>
    <w:rsid w:val="002D1068"/>
    <w:rsid w:val="002D2BFC"/>
    <w:rsid w:val="002D5D75"/>
    <w:rsid w:val="002E0267"/>
    <w:rsid w:val="002E436B"/>
    <w:rsid w:val="002E6930"/>
    <w:rsid w:val="002F1E3A"/>
    <w:rsid w:val="002F3E0D"/>
    <w:rsid w:val="002F7763"/>
    <w:rsid w:val="00303F9E"/>
    <w:rsid w:val="003068B4"/>
    <w:rsid w:val="00322D70"/>
    <w:rsid w:val="00332B2C"/>
    <w:rsid w:val="00333322"/>
    <w:rsid w:val="00334F32"/>
    <w:rsid w:val="00342527"/>
    <w:rsid w:val="00356DC8"/>
    <w:rsid w:val="0036515C"/>
    <w:rsid w:val="00366D3C"/>
    <w:rsid w:val="003965C5"/>
    <w:rsid w:val="00397837"/>
    <w:rsid w:val="003A2D55"/>
    <w:rsid w:val="003A3521"/>
    <w:rsid w:val="003A3ABE"/>
    <w:rsid w:val="003A67F1"/>
    <w:rsid w:val="003B1927"/>
    <w:rsid w:val="003B2DEA"/>
    <w:rsid w:val="003B5489"/>
    <w:rsid w:val="003B56D1"/>
    <w:rsid w:val="003B6D32"/>
    <w:rsid w:val="003D2BC9"/>
    <w:rsid w:val="003D453C"/>
    <w:rsid w:val="003E084F"/>
    <w:rsid w:val="003E0C45"/>
    <w:rsid w:val="003E230A"/>
    <w:rsid w:val="003F04D3"/>
    <w:rsid w:val="003F1BBB"/>
    <w:rsid w:val="003F2BBE"/>
    <w:rsid w:val="003F3745"/>
    <w:rsid w:val="003F6EFB"/>
    <w:rsid w:val="00403384"/>
    <w:rsid w:val="004112EE"/>
    <w:rsid w:val="0041190D"/>
    <w:rsid w:val="0041466B"/>
    <w:rsid w:val="00416DF6"/>
    <w:rsid w:val="00417D25"/>
    <w:rsid w:val="00420F02"/>
    <w:rsid w:val="00432DBA"/>
    <w:rsid w:val="00437AF4"/>
    <w:rsid w:val="0045073C"/>
    <w:rsid w:val="00453003"/>
    <w:rsid w:val="00464347"/>
    <w:rsid w:val="00465D73"/>
    <w:rsid w:val="00474434"/>
    <w:rsid w:val="00477C37"/>
    <w:rsid w:val="004832CD"/>
    <w:rsid w:val="00484745"/>
    <w:rsid w:val="004929BF"/>
    <w:rsid w:val="00494E52"/>
    <w:rsid w:val="004A6FB0"/>
    <w:rsid w:val="004B5C6B"/>
    <w:rsid w:val="004C1255"/>
    <w:rsid w:val="004C59BF"/>
    <w:rsid w:val="004C6192"/>
    <w:rsid w:val="004D1EFB"/>
    <w:rsid w:val="004D2932"/>
    <w:rsid w:val="004D6D70"/>
    <w:rsid w:val="004E710A"/>
    <w:rsid w:val="004F01B9"/>
    <w:rsid w:val="004F084B"/>
    <w:rsid w:val="004F4B63"/>
    <w:rsid w:val="004F4F72"/>
    <w:rsid w:val="004F7FFA"/>
    <w:rsid w:val="0050313B"/>
    <w:rsid w:val="005325F5"/>
    <w:rsid w:val="005344FD"/>
    <w:rsid w:val="005345C5"/>
    <w:rsid w:val="0054597C"/>
    <w:rsid w:val="00547837"/>
    <w:rsid w:val="00554757"/>
    <w:rsid w:val="00555444"/>
    <w:rsid w:val="0055554C"/>
    <w:rsid w:val="00555583"/>
    <w:rsid w:val="00556F28"/>
    <w:rsid w:val="0056200A"/>
    <w:rsid w:val="0057062F"/>
    <w:rsid w:val="005A2F4D"/>
    <w:rsid w:val="005A348E"/>
    <w:rsid w:val="005A56D4"/>
    <w:rsid w:val="005A6487"/>
    <w:rsid w:val="005A7DCF"/>
    <w:rsid w:val="005B48BE"/>
    <w:rsid w:val="005C55C1"/>
    <w:rsid w:val="005D0114"/>
    <w:rsid w:val="005E32C3"/>
    <w:rsid w:val="005E6E1A"/>
    <w:rsid w:val="00604687"/>
    <w:rsid w:val="00604C38"/>
    <w:rsid w:val="00606260"/>
    <w:rsid w:val="0061224E"/>
    <w:rsid w:val="00612734"/>
    <w:rsid w:val="00614F58"/>
    <w:rsid w:val="00617CDE"/>
    <w:rsid w:val="00621383"/>
    <w:rsid w:val="0062249D"/>
    <w:rsid w:val="00627CC2"/>
    <w:rsid w:val="006312F9"/>
    <w:rsid w:val="006316FC"/>
    <w:rsid w:val="00635ACD"/>
    <w:rsid w:val="00645431"/>
    <w:rsid w:val="006465DE"/>
    <w:rsid w:val="006466AE"/>
    <w:rsid w:val="006612ED"/>
    <w:rsid w:val="00672F76"/>
    <w:rsid w:val="006824B0"/>
    <w:rsid w:val="006857C8"/>
    <w:rsid w:val="00686C23"/>
    <w:rsid w:val="00690EE6"/>
    <w:rsid w:val="006A119E"/>
    <w:rsid w:val="006A4DC6"/>
    <w:rsid w:val="006A5CBF"/>
    <w:rsid w:val="006A5EAA"/>
    <w:rsid w:val="006A6F3E"/>
    <w:rsid w:val="006B7435"/>
    <w:rsid w:val="006B7922"/>
    <w:rsid w:val="006C5AC6"/>
    <w:rsid w:val="006C7870"/>
    <w:rsid w:val="006D20EF"/>
    <w:rsid w:val="006D3389"/>
    <w:rsid w:val="006D7F16"/>
    <w:rsid w:val="006E1C75"/>
    <w:rsid w:val="006E5344"/>
    <w:rsid w:val="006F10D2"/>
    <w:rsid w:val="0070372D"/>
    <w:rsid w:val="00704AD8"/>
    <w:rsid w:val="00707D64"/>
    <w:rsid w:val="007253CA"/>
    <w:rsid w:val="00727C09"/>
    <w:rsid w:val="00737BCB"/>
    <w:rsid w:val="00740134"/>
    <w:rsid w:val="00740726"/>
    <w:rsid w:val="007408F3"/>
    <w:rsid w:val="0074549C"/>
    <w:rsid w:val="00746982"/>
    <w:rsid w:val="00750D8C"/>
    <w:rsid w:val="00753DF3"/>
    <w:rsid w:val="00755E9E"/>
    <w:rsid w:val="00767F8F"/>
    <w:rsid w:val="00771D37"/>
    <w:rsid w:val="00785DA5"/>
    <w:rsid w:val="00790122"/>
    <w:rsid w:val="00791090"/>
    <w:rsid w:val="00795B4F"/>
    <w:rsid w:val="0079680E"/>
    <w:rsid w:val="007A27A4"/>
    <w:rsid w:val="007A5847"/>
    <w:rsid w:val="007B2AA3"/>
    <w:rsid w:val="007B599E"/>
    <w:rsid w:val="007B6A82"/>
    <w:rsid w:val="007C1FFC"/>
    <w:rsid w:val="007C4C54"/>
    <w:rsid w:val="007C6E9B"/>
    <w:rsid w:val="007D3A3A"/>
    <w:rsid w:val="007E51B6"/>
    <w:rsid w:val="007E696A"/>
    <w:rsid w:val="007F1890"/>
    <w:rsid w:val="007F41C6"/>
    <w:rsid w:val="0080368D"/>
    <w:rsid w:val="0081131D"/>
    <w:rsid w:val="00813B02"/>
    <w:rsid w:val="008316A6"/>
    <w:rsid w:val="00836A6F"/>
    <w:rsid w:val="008402F9"/>
    <w:rsid w:val="00846A0F"/>
    <w:rsid w:val="008616E3"/>
    <w:rsid w:val="00863769"/>
    <w:rsid w:val="008637D9"/>
    <w:rsid w:val="00866EFD"/>
    <w:rsid w:val="00872D59"/>
    <w:rsid w:val="00877B2F"/>
    <w:rsid w:val="00887082"/>
    <w:rsid w:val="00891F42"/>
    <w:rsid w:val="00892267"/>
    <w:rsid w:val="00895AA1"/>
    <w:rsid w:val="0089632D"/>
    <w:rsid w:val="008B16E3"/>
    <w:rsid w:val="008B6C96"/>
    <w:rsid w:val="008B7C56"/>
    <w:rsid w:val="008C7310"/>
    <w:rsid w:val="008D1830"/>
    <w:rsid w:val="008D4D0E"/>
    <w:rsid w:val="008D6E1D"/>
    <w:rsid w:val="008D79F2"/>
    <w:rsid w:val="008E646B"/>
    <w:rsid w:val="008F0795"/>
    <w:rsid w:val="008F1376"/>
    <w:rsid w:val="008F1EC4"/>
    <w:rsid w:val="0091291D"/>
    <w:rsid w:val="00914CAA"/>
    <w:rsid w:val="009156BE"/>
    <w:rsid w:val="009174F1"/>
    <w:rsid w:val="00917C1E"/>
    <w:rsid w:val="0092101E"/>
    <w:rsid w:val="00922112"/>
    <w:rsid w:val="009247D5"/>
    <w:rsid w:val="00925413"/>
    <w:rsid w:val="00925A15"/>
    <w:rsid w:val="00930A8F"/>
    <w:rsid w:val="00931B30"/>
    <w:rsid w:val="00934932"/>
    <w:rsid w:val="00937E5F"/>
    <w:rsid w:val="00942DA5"/>
    <w:rsid w:val="0094403F"/>
    <w:rsid w:val="009465AB"/>
    <w:rsid w:val="00946AC7"/>
    <w:rsid w:val="009562AF"/>
    <w:rsid w:val="00957AB1"/>
    <w:rsid w:val="00961C5B"/>
    <w:rsid w:val="009620B4"/>
    <w:rsid w:val="00965A6F"/>
    <w:rsid w:val="009705A7"/>
    <w:rsid w:val="009708AC"/>
    <w:rsid w:val="009764C1"/>
    <w:rsid w:val="009823C9"/>
    <w:rsid w:val="00984797"/>
    <w:rsid w:val="00985BA3"/>
    <w:rsid w:val="00993549"/>
    <w:rsid w:val="009949D8"/>
    <w:rsid w:val="009973E7"/>
    <w:rsid w:val="009A46A0"/>
    <w:rsid w:val="009A6EA8"/>
    <w:rsid w:val="009B09B1"/>
    <w:rsid w:val="009B0ED0"/>
    <w:rsid w:val="009B1E45"/>
    <w:rsid w:val="009B30F8"/>
    <w:rsid w:val="009B4668"/>
    <w:rsid w:val="009C650B"/>
    <w:rsid w:val="009C73B8"/>
    <w:rsid w:val="009C7D2E"/>
    <w:rsid w:val="009F6616"/>
    <w:rsid w:val="00A01145"/>
    <w:rsid w:val="00A14B06"/>
    <w:rsid w:val="00A227EF"/>
    <w:rsid w:val="00A22DD4"/>
    <w:rsid w:val="00A24D19"/>
    <w:rsid w:val="00A27E2C"/>
    <w:rsid w:val="00A34967"/>
    <w:rsid w:val="00A353C5"/>
    <w:rsid w:val="00A433A8"/>
    <w:rsid w:val="00A44858"/>
    <w:rsid w:val="00A56D20"/>
    <w:rsid w:val="00A6024D"/>
    <w:rsid w:val="00A62313"/>
    <w:rsid w:val="00A659E7"/>
    <w:rsid w:val="00A71214"/>
    <w:rsid w:val="00A7226D"/>
    <w:rsid w:val="00A7398B"/>
    <w:rsid w:val="00A73B3E"/>
    <w:rsid w:val="00A80FBE"/>
    <w:rsid w:val="00A819C8"/>
    <w:rsid w:val="00A87193"/>
    <w:rsid w:val="00A90888"/>
    <w:rsid w:val="00A92ED0"/>
    <w:rsid w:val="00AB01CB"/>
    <w:rsid w:val="00AB1482"/>
    <w:rsid w:val="00AB6865"/>
    <w:rsid w:val="00AD03C5"/>
    <w:rsid w:val="00AD61B0"/>
    <w:rsid w:val="00AD750F"/>
    <w:rsid w:val="00AD77DD"/>
    <w:rsid w:val="00AD7A1F"/>
    <w:rsid w:val="00AE05FA"/>
    <w:rsid w:val="00AE075E"/>
    <w:rsid w:val="00AE2C1B"/>
    <w:rsid w:val="00AF0C03"/>
    <w:rsid w:val="00B020D5"/>
    <w:rsid w:val="00B1053C"/>
    <w:rsid w:val="00B142D6"/>
    <w:rsid w:val="00B23295"/>
    <w:rsid w:val="00B23AE2"/>
    <w:rsid w:val="00B26A08"/>
    <w:rsid w:val="00B26CD5"/>
    <w:rsid w:val="00B26F9C"/>
    <w:rsid w:val="00B56704"/>
    <w:rsid w:val="00B56E74"/>
    <w:rsid w:val="00B61F0C"/>
    <w:rsid w:val="00B620B0"/>
    <w:rsid w:val="00B621D7"/>
    <w:rsid w:val="00B64C0E"/>
    <w:rsid w:val="00B67CF8"/>
    <w:rsid w:val="00B70722"/>
    <w:rsid w:val="00B743BD"/>
    <w:rsid w:val="00B757AD"/>
    <w:rsid w:val="00B76B11"/>
    <w:rsid w:val="00B77EE6"/>
    <w:rsid w:val="00B8145B"/>
    <w:rsid w:val="00B87CE3"/>
    <w:rsid w:val="00B92A7C"/>
    <w:rsid w:val="00B94DA4"/>
    <w:rsid w:val="00B950A6"/>
    <w:rsid w:val="00BA0D46"/>
    <w:rsid w:val="00BA10FA"/>
    <w:rsid w:val="00BB53A4"/>
    <w:rsid w:val="00BB53EA"/>
    <w:rsid w:val="00BC1A00"/>
    <w:rsid w:val="00BC42E0"/>
    <w:rsid w:val="00BD0A65"/>
    <w:rsid w:val="00BD56A7"/>
    <w:rsid w:val="00BD5764"/>
    <w:rsid w:val="00BF16CD"/>
    <w:rsid w:val="00BF42B5"/>
    <w:rsid w:val="00BF5406"/>
    <w:rsid w:val="00BF6F66"/>
    <w:rsid w:val="00BF76DF"/>
    <w:rsid w:val="00C01D66"/>
    <w:rsid w:val="00C0701E"/>
    <w:rsid w:val="00C12DAB"/>
    <w:rsid w:val="00C1649A"/>
    <w:rsid w:val="00C20BCC"/>
    <w:rsid w:val="00C20F88"/>
    <w:rsid w:val="00C23910"/>
    <w:rsid w:val="00C268A9"/>
    <w:rsid w:val="00C512EA"/>
    <w:rsid w:val="00C5223F"/>
    <w:rsid w:val="00C660A0"/>
    <w:rsid w:val="00C67622"/>
    <w:rsid w:val="00C72C76"/>
    <w:rsid w:val="00C76543"/>
    <w:rsid w:val="00C8410F"/>
    <w:rsid w:val="00C91317"/>
    <w:rsid w:val="00C959CD"/>
    <w:rsid w:val="00C95BE9"/>
    <w:rsid w:val="00C97D72"/>
    <w:rsid w:val="00CA0DBF"/>
    <w:rsid w:val="00CB6664"/>
    <w:rsid w:val="00CC2065"/>
    <w:rsid w:val="00CC22B8"/>
    <w:rsid w:val="00CC7C54"/>
    <w:rsid w:val="00CD1969"/>
    <w:rsid w:val="00CE27FC"/>
    <w:rsid w:val="00D0378F"/>
    <w:rsid w:val="00D115B9"/>
    <w:rsid w:val="00D12754"/>
    <w:rsid w:val="00D206DC"/>
    <w:rsid w:val="00D20C0D"/>
    <w:rsid w:val="00D21EEF"/>
    <w:rsid w:val="00D23395"/>
    <w:rsid w:val="00D316EF"/>
    <w:rsid w:val="00D35598"/>
    <w:rsid w:val="00D362B8"/>
    <w:rsid w:val="00D46851"/>
    <w:rsid w:val="00D5233D"/>
    <w:rsid w:val="00D55406"/>
    <w:rsid w:val="00D55FE7"/>
    <w:rsid w:val="00D5714A"/>
    <w:rsid w:val="00D5726E"/>
    <w:rsid w:val="00D639E1"/>
    <w:rsid w:val="00D74322"/>
    <w:rsid w:val="00D76BF5"/>
    <w:rsid w:val="00D82494"/>
    <w:rsid w:val="00D90726"/>
    <w:rsid w:val="00DA4243"/>
    <w:rsid w:val="00DA646D"/>
    <w:rsid w:val="00DB0754"/>
    <w:rsid w:val="00DB16EF"/>
    <w:rsid w:val="00DB32F8"/>
    <w:rsid w:val="00DD0875"/>
    <w:rsid w:val="00DD22FF"/>
    <w:rsid w:val="00DD54CA"/>
    <w:rsid w:val="00DD5576"/>
    <w:rsid w:val="00DE5160"/>
    <w:rsid w:val="00DF077D"/>
    <w:rsid w:val="00DF54FD"/>
    <w:rsid w:val="00DF5991"/>
    <w:rsid w:val="00E0319E"/>
    <w:rsid w:val="00E035D9"/>
    <w:rsid w:val="00E05792"/>
    <w:rsid w:val="00E06D1A"/>
    <w:rsid w:val="00E107BA"/>
    <w:rsid w:val="00E11724"/>
    <w:rsid w:val="00E202F8"/>
    <w:rsid w:val="00E24E47"/>
    <w:rsid w:val="00E3074B"/>
    <w:rsid w:val="00E35A26"/>
    <w:rsid w:val="00E43EE9"/>
    <w:rsid w:val="00E47B58"/>
    <w:rsid w:val="00E521FA"/>
    <w:rsid w:val="00E57D79"/>
    <w:rsid w:val="00E60C30"/>
    <w:rsid w:val="00E64984"/>
    <w:rsid w:val="00E815BE"/>
    <w:rsid w:val="00E83EAE"/>
    <w:rsid w:val="00E84EB3"/>
    <w:rsid w:val="00E92126"/>
    <w:rsid w:val="00E9422B"/>
    <w:rsid w:val="00E96152"/>
    <w:rsid w:val="00EA115B"/>
    <w:rsid w:val="00EA3DFB"/>
    <w:rsid w:val="00EA6623"/>
    <w:rsid w:val="00EA73DF"/>
    <w:rsid w:val="00EB3F67"/>
    <w:rsid w:val="00EB66E2"/>
    <w:rsid w:val="00EB7D49"/>
    <w:rsid w:val="00EC093D"/>
    <w:rsid w:val="00EC1DA7"/>
    <w:rsid w:val="00ED2BC8"/>
    <w:rsid w:val="00ED36F3"/>
    <w:rsid w:val="00ED5561"/>
    <w:rsid w:val="00EE271F"/>
    <w:rsid w:val="00EE2B5D"/>
    <w:rsid w:val="00EE3DCE"/>
    <w:rsid w:val="00EE593E"/>
    <w:rsid w:val="00EE7888"/>
    <w:rsid w:val="00EF33B6"/>
    <w:rsid w:val="00EF4C68"/>
    <w:rsid w:val="00F0257B"/>
    <w:rsid w:val="00F03BB9"/>
    <w:rsid w:val="00F04869"/>
    <w:rsid w:val="00F06FFF"/>
    <w:rsid w:val="00F10EA2"/>
    <w:rsid w:val="00F165D1"/>
    <w:rsid w:val="00F17075"/>
    <w:rsid w:val="00F201DB"/>
    <w:rsid w:val="00F22552"/>
    <w:rsid w:val="00F25102"/>
    <w:rsid w:val="00F25989"/>
    <w:rsid w:val="00F27589"/>
    <w:rsid w:val="00F33302"/>
    <w:rsid w:val="00F35A90"/>
    <w:rsid w:val="00F40088"/>
    <w:rsid w:val="00F46AC6"/>
    <w:rsid w:val="00F5091C"/>
    <w:rsid w:val="00F53BB2"/>
    <w:rsid w:val="00F56713"/>
    <w:rsid w:val="00F5712A"/>
    <w:rsid w:val="00F60A46"/>
    <w:rsid w:val="00F71D3E"/>
    <w:rsid w:val="00F8353E"/>
    <w:rsid w:val="00F85784"/>
    <w:rsid w:val="00FA0AF3"/>
    <w:rsid w:val="00FB45DB"/>
    <w:rsid w:val="00FB5841"/>
    <w:rsid w:val="00FC3A70"/>
    <w:rsid w:val="00FC3E8A"/>
    <w:rsid w:val="00FC4007"/>
    <w:rsid w:val="00FD0155"/>
    <w:rsid w:val="00FD1C08"/>
    <w:rsid w:val="00FE56E4"/>
    <w:rsid w:val="00FF60A6"/>
    <w:rsid w:val="00FF644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C0F6D5-5B0A-4102-BA5A-A51DD2C8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062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61F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A56D20"/>
    <w:pPr>
      <w:keepNext/>
      <w:autoSpaceDE w:val="0"/>
      <w:autoSpaceDN w:val="0"/>
      <w:adjustRightInd w:val="0"/>
      <w:spacing w:after="0" w:line="240" w:lineRule="auto"/>
      <w:outlineLvl w:val="2"/>
    </w:pPr>
    <w:rPr>
      <w:rFonts w:ascii="Gotham Bold" w:hAnsi="Gotham Bold" w:cs="Gotham Bold"/>
      <w:b/>
      <w:color w:val="000000"/>
      <w:sz w:val="20"/>
      <w:szCs w:val="24"/>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20B0"/>
    <w:pPr>
      <w:ind w:left="720"/>
      <w:contextualSpacing/>
    </w:pPr>
  </w:style>
  <w:style w:type="character" w:customStyle="1" w:styleId="Ttulo1Car">
    <w:name w:val="Título 1 Car"/>
    <w:basedOn w:val="Fuentedeprrafopredeter"/>
    <w:link w:val="Ttulo1"/>
    <w:uiPriority w:val="9"/>
    <w:rsid w:val="00606260"/>
    <w:rPr>
      <w:rFonts w:asciiTheme="majorHAnsi" w:eastAsiaTheme="majorEastAsia" w:hAnsiTheme="majorHAnsi" w:cstheme="majorBidi"/>
      <w:b/>
      <w:bCs/>
      <w:color w:val="365F91" w:themeColor="accent1" w:themeShade="BF"/>
      <w:sz w:val="28"/>
      <w:szCs w:val="28"/>
    </w:rPr>
  </w:style>
  <w:style w:type="paragraph" w:styleId="Citadestacada">
    <w:name w:val="Intense Quote"/>
    <w:basedOn w:val="Normal"/>
    <w:next w:val="Normal"/>
    <w:link w:val="CitadestacadaCar"/>
    <w:uiPriority w:val="30"/>
    <w:qFormat/>
    <w:rsid w:val="00606260"/>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606260"/>
    <w:rPr>
      <w:b/>
      <w:bCs/>
      <w:i/>
      <w:iCs/>
      <w:color w:val="4F81BD" w:themeColor="accent1"/>
    </w:rPr>
  </w:style>
  <w:style w:type="character" w:styleId="Hipervnculo">
    <w:name w:val="Hyperlink"/>
    <w:basedOn w:val="Fuentedeprrafopredeter"/>
    <w:uiPriority w:val="99"/>
    <w:unhideWhenUsed/>
    <w:rsid w:val="00A7398B"/>
    <w:rPr>
      <w:color w:val="0000FF" w:themeColor="hyperlink"/>
      <w:u w:val="single"/>
    </w:rPr>
  </w:style>
  <w:style w:type="paragraph" w:styleId="NormalWeb">
    <w:name w:val="Normal (Web)"/>
    <w:basedOn w:val="Normal"/>
    <w:uiPriority w:val="99"/>
    <w:unhideWhenUsed/>
    <w:rsid w:val="00A7398B"/>
    <w:pPr>
      <w:spacing w:before="100" w:beforeAutospacing="1" w:after="100" w:afterAutospacing="1" w:line="240" w:lineRule="auto"/>
    </w:pPr>
    <w:rPr>
      <w:rFonts w:ascii="Times New Roman" w:eastAsia="Times New Roman" w:hAnsi="Times New Roman" w:cs="Times New Roman"/>
      <w:sz w:val="24"/>
      <w:szCs w:val="24"/>
      <w:lang w:eastAsia="es-GT"/>
    </w:rPr>
  </w:style>
  <w:style w:type="paragraph" w:styleId="Sinespaciado">
    <w:name w:val="No Spacing"/>
    <w:link w:val="SinespaciadoCar"/>
    <w:uiPriority w:val="1"/>
    <w:qFormat/>
    <w:rsid w:val="00F27589"/>
    <w:pPr>
      <w:spacing w:after="0" w:line="240" w:lineRule="auto"/>
    </w:pPr>
    <w:rPr>
      <w:rFonts w:eastAsiaTheme="minorEastAsia"/>
      <w:lang w:eastAsia="es-GT"/>
    </w:rPr>
  </w:style>
  <w:style w:type="character" w:customStyle="1" w:styleId="SinespaciadoCar">
    <w:name w:val="Sin espaciado Car"/>
    <w:basedOn w:val="Fuentedeprrafopredeter"/>
    <w:link w:val="Sinespaciado"/>
    <w:uiPriority w:val="1"/>
    <w:rsid w:val="00F27589"/>
    <w:rPr>
      <w:rFonts w:eastAsiaTheme="minorEastAsia"/>
      <w:lang w:eastAsia="es-GT"/>
    </w:rPr>
  </w:style>
  <w:style w:type="paragraph" w:styleId="Textodeglobo">
    <w:name w:val="Balloon Text"/>
    <w:basedOn w:val="Normal"/>
    <w:link w:val="TextodegloboCar"/>
    <w:uiPriority w:val="99"/>
    <w:semiHidden/>
    <w:unhideWhenUsed/>
    <w:rsid w:val="00F275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7589"/>
    <w:rPr>
      <w:rFonts w:ascii="Tahoma" w:hAnsi="Tahoma" w:cs="Tahoma"/>
      <w:sz w:val="16"/>
      <w:szCs w:val="16"/>
    </w:rPr>
  </w:style>
  <w:style w:type="table" w:styleId="Tablaconcuadrcula">
    <w:name w:val="Table Grid"/>
    <w:basedOn w:val="Tablanormal"/>
    <w:uiPriority w:val="39"/>
    <w:rsid w:val="00C20B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1">
    <w:name w:val="Light Grid Accent 1"/>
    <w:basedOn w:val="Tablanormal"/>
    <w:uiPriority w:val="62"/>
    <w:rsid w:val="00C20BC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Cuadrculamedia2-nfasis1">
    <w:name w:val="Medium Grid 2 Accent 1"/>
    <w:basedOn w:val="Tablanormal"/>
    <w:uiPriority w:val="68"/>
    <w:rsid w:val="00EB7D4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3-nfasis1">
    <w:name w:val="Medium Grid 3 Accent 1"/>
    <w:basedOn w:val="Tablanormal"/>
    <w:uiPriority w:val="69"/>
    <w:rsid w:val="00E9422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Encabezado">
    <w:name w:val="header"/>
    <w:basedOn w:val="Normal"/>
    <w:link w:val="EncabezadoCar"/>
    <w:uiPriority w:val="99"/>
    <w:unhideWhenUsed/>
    <w:rsid w:val="00BC42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42E0"/>
  </w:style>
  <w:style w:type="paragraph" w:styleId="Piedepgina">
    <w:name w:val="footer"/>
    <w:basedOn w:val="Normal"/>
    <w:link w:val="PiedepginaCar"/>
    <w:uiPriority w:val="99"/>
    <w:unhideWhenUsed/>
    <w:rsid w:val="00BC42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42E0"/>
  </w:style>
  <w:style w:type="character" w:styleId="Refdecomentario">
    <w:name w:val="annotation reference"/>
    <w:semiHidden/>
    <w:unhideWhenUsed/>
    <w:rsid w:val="00D362B8"/>
    <w:rPr>
      <w:sz w:val="16"/>
      <w:szCs w:val="16"/>
    </w:rPr>
  </w:style>
  <w:style w:type="character" w:styleId="Hipervnculovisitado">
    <w:name w:val="FollowedHyperlink"/>
    <w:basedOn w:val="Fuentedeprrafopredeter"/>
    <w:uiPriority w:val="99"/>
    <w:semiHidden/>
    <w:unhideWhenUsed/>
    <w:rsid w:val="00D362B8"/>
    <w:rPr>
      <w:color w:val="800080" w:themeColor="followedHyperlink"/>
      <w:u w:val="single"/>
    </w:rPr>
  </w:style>
  <w:style w:type="paragraph" w:customStyle="1" w:styleId="Standard">
    <w:name w:val="Standard"/>
    <w:rsid w:val="00D362B8"/>
    <w:pPr>
      <w:suppressAutoHyphens/>
      <w:autoSpaceDN w:val="0"/>
      <w:textAlignment w:val="baseline"/>
    </w:pPr>
    <w:rPr>
      <w:rFonts w:ascii="Calibri" w:eastAsia="Arial Unicode MS" w:hAnsi="Calibri" w:cs="Calibri"/>
      <w:kern w:val="3"/>
    </w:rPr>
  </w:style>
  <w:style w:type="paragraph" w:customStyle="1" w:styleId="Default">
    <w:name w:val="Default"/>
    <w:rsid w:val="00D362B8"/>
    <w:pPr>
      <w:autoSpaceDE w:val="0"/>
      <w:autoSpaceDN w:val="0"/>
      <w:adjustRightInd w:val="0"/>
      <w:spacing w:after="0" w:line="240" w:lineRule="auto"/>
    </w:pPr>
    <w:rPr>
      <w:rFonts w:ascii="Calibri" w:hAnsi="Calibri" w:cs="Calibri"/>
      <w:color w:val="000000"/>
      <w:sz w:val="24"/>
      <w:szCs w:val="24"/>
    </w:rPr>
  </w:style>
  <w:style w:type="character" w:customStyle="1" w:styleId="Ttulo2Car">
    <w:name w:val="Título 2 Car"/>
    <w:basedOn w:val="Fuentedeprrafopredeter"/>
    <w:link w:val="Ttulo2"/>
    <w:uiPriority w:val="9"/>
    <w:rsid w:val="00B61F0C"/>
    <w:rPr>
      <w:rFonts w:asciiTheme="majorHAnsi" w:eastAsiaTheme="majorEastAsia" w:hAnsiTheme="majorHAnsi" w:cstheme="majorBidi"/>
      <w:b/>
      <w:bCs/>
      <w:color w:val="4F81BD" w:themeColor="accent1"/>
      <w:sz w:val="26"/>
      <w:szCs w:val="26"/>
    </w:rPr>
  </w:style>
  <w:style w:type="paragraph" w:styleId="ndice1">
    <w:name w:val="index 1"/>
    <w:basedOn w:val="Normal"/>
    <w:next w:val="Normal"/>
    <w:autoRedefine/>
    <w:uiPriority w:val="99"/>
    <w:unhideWhenUsed/>
    <w:rsid w:val="001E3564"/>
    <w:pPr>
      <w:spacing w:after="0"/>
      <w:ind w:left="220" w:hanging="220"/>
    </w:pPr>
    <w:rPr>
      <w:sz w:val="24"/>
      <w:szCs w:val="18"/>
    </w:rPr>
  </w:style>
  <w:style w:type="paragraph" w:styleId="ndice2">
    <w:name w:val="index 2"/>
    <w:basedOn w:val="Normal"/>
    <w:next w:val="Normal"/>
    <w:autoRedefine/>
    <w:uiPriority w:val="99"/>
    <w:unhideWhenUsed/>
    <w:rsid w:val="001E3564"/>
    <w:pPr>
      <w:spacing w:after="0"/>
      <w:ind w:left="440" w:hanging="220"/>
    </w:pPr>
    <w:rPr>
      <w:sz w:val="18"/>
      <w:szCs w:val="18"/>
    </w:rPr>
  </w:style>
  <w:style w:type="paragraph" w:styleId="ndice3">
    <w:name w:val="index 3"/>
    <w:basedOn w:val="Normal"/>
    <w:next w:val="Normal"/>
    <w:autoRedefine/>
    <w:uiPriority w:val="99"/>
    <w:unhideWhenUsed/>
    <w:rsid w:val="001E3564"/>
    <w:pPr>
      <w:spacing w:after="0"/>
      <w:ind w:left="660" w:hanging="220"/>
    </w:pPr>
    <w:rPr>
      <w:sz w:val="18"/>
      <w:szCs w:val="18"/>
    </w:rPr>
  </w:style>
  <w:style w:type="paragraph" w:styleId="ndice4">
    <w:name w:val="index 4"/>
    <w:basedOn w:val="Normal"/>
    <w:next w:val="Normal"/>
    <w:autoRedefine/>
    <w:uiPriority w:val="99"/>
    <w:unhideWhenUsed/>
    <w:rsid w:val="001E3564"/>
    <w:pPr>
      <w:spacing w:after="0"/>
      <w:ind w:left="880" w:hanging="220"/>
    </w:pPr>
    <w:rPr>
      <w:sz w:val="18"/>
      <w:szCs w:val="18"/>
    </w:rPr>
  </w:style>
  <w:style w:type="paragraph" w:styleId="ndice5">
    <w:name w:val="index 5"/>
    <w:basedOn w:val="Normal"/>
    <w:next w:val="Normal"/>
    <w:autoRedefine/>
    <w:uiPriority w:val="99"/>
    <w:unhideWhenUsed/>
    <w:rsid w:val="001E3564"/>
    <w:pPr>
      <w:spacing w:after="0"/>
      <w:ind w:left="1100" w:hanging="220"/>
    </w:pPr>
    <w:rPr>
      <w:sz w:val="18"/>
      <w:szCs w:val="18"/>
    </w:rPr>
  </w:style>
  <w:style w:type="paragraph" w:styleId="ndice6">
    <w:name w:val="index 6"/>
    <w:basedOn w:val="Normal"/>
    <w:next w:val="Normal"/>
    <w:autoRedefine/>
    <w:uiPriority w:val="99"/>
    <w:unhideWhenUsed/>
    <w:rsid w:val="001E3564"/>
    <w:pPr>
      <w:spacing w:after="0"/>
      <w:ind w:left="1320" w:hanging="220"/>
    </w:pPr>
    <w:rPr>
      <w:sz w:val="18"/>
      <w:szCs w:val="18"/>
    </w:rPr>
  </w:style>
  <w:style w:type="paragraph" w:styleId="ndice7">
    <w:name w:val="index 7"/>
    <w:basedOn w:val="Normal"/>
    <w:next w:val="Normal"/>
    <w:autoRedefine/>
    <w:uiPriority w:val="99"/>
    <w:unhideWhenUsed/>
    <w:rsid w:val="001E3564"/>
    <w:pPr>
      <w:spacing w:after="0"/>
      <w:ind w:left="1540" w:hanging="220"/>
    </w:pPr>
    <w:rPr>
      <w:sz w:val="18"/>
      <w:szCs w:val="18"/>
    </w:rPr>
  </w:style>
  <w:style w:type="paragraph" w:styleId="ndice8">
    <w:name w:val="index 8"/>
    <w:basedOn w:val="Normal"/>
    <w:next w:val="Normal"/>
    <w:autoRedefine/>
    <w:uiPriority w:val="99"/>
    <w:unhideWhenUsed/>
    <w:rsid w:val="001E3564"/>
    <w:pPr>
      <w:spacing w:after="0"/>
      <w:ind w:left="1760" w:hanging="220"/>
    </w:pPr>
    <w:rPr>
      <w:sz w:val="18"/>
      <w:szCs w:val="18"/>
    </w:rPr>
  </w:style>
  <w:style w:type="paragraph" w:styleId="ndice9">
    <w:name w:val="index 9"/>
    <w:basedOn w:val="Normal"/>
    <w:next w:val="Normal"/>
    <w:autoRedefine/>
    <w:uiPriority w:val="99"/>
    <w:unhideWhenUsed/>
    <w:rsid w:val="001E3564"/>
    <w:pPr>
      <w:spacing w:after="0"/>
      <w:ind w:left="1980" w:hanging="220"/>
    </w:pPr>
    <w:rPr>
      <w:sz w:val="18"/>
      <w:szCs w:val="18"/>
    </w:rPr>
  </w:style>
  <w:style w:type="paragraph" w:styleId="Ttulodendice">
    <w:name w:val="index heading"/>
    <w:basedOn w:val="Normal"/>
    <w:next w:val="ndice1"/>
    <w:uiPriority w:val="99"/>
    <w:unhideWhenUsed/>
    <w:rsid w:val="001E3564"/>
    <w:pPr>
      <w:spacing w:before="240" w:after="120"/>
      <w:ind w:left="140"/>
    </w:pPr>
    <w:rPr>
      <w:rFonts w:asciiTheme="majorHAnsi" w:hAnsiTheme="majorHAnsi"/>
      <w:b/>
      <w:bCs/>
      <w:sz w:val="28"/>
      <w:szCs w:val="28"/>
    </w:rPr>
  </w:style>
  <w:style w:type="paragraph" w:styleId="TtulodeTDC">
    <w:name w:val="TOC Heading"/>
    <w:basedOn w:val="Ttulo1"/>
    <w:next w:val="Normal"/>
    <w:uiPriority w:val="39"/>
    <w:unhideWhenUsed/>
    <w:qFormat/>
    <w:rsid w:val="00946AC7"/>
    <w:pPr>
      <w:outlineLvl w:val="9"/>
    </w:pPr>
    <w:rPr>
      <w:lang w:eastAsia="es-GT"/>
    </w:rPr>
  </w:style>
  <w:style w:type="paragraph" w:styleId="TDC1">
    <w:name w:val="toc 1"/>
    <w:basedOn w:val="Ttulo1"/>
    <w:next w:val="Default"/>
    <w:link w:val="TDC1Car"/>
    <w:autoRedefine/>
    <w:uiPriority w:val="39"/>
    <w:unhideWhenUsed/>
    <w:qFormat/>
    <w:rsid w:val="00BF76DF"/>
    <w:pPr>
      <w:tabs>
        <w:tab w:val="left" w:pos="284"/>
        <w:tab w:val="left" w:pos="660"/>
        <w:tab w:val="right" w:pos="8828"/>
      </w:tabs>
      <w:spacing w:after="100"/>
      <w:jc w:val="both"/>
    </w:pPr>
  </w:style>
  <w:style w:type="paragraph" w:styleId="TDC2">
    <w:name w:val="toc 2"/>
    <w:basedOn w:val="Normal"/>
    <w:next w:val="Normal"/>
    <w:autoRedefine/>
    <w:uiPriority w:val="39"/>
    <w:unhideWhenUsed/>
    <w:qFormat/>
    <w:rsid w:val="004F4F72"/>
    <w:pPr>
      <w:tabs>
        <w:tab w:val="left" w:pos="660"/>
        <w:tab w:val="right" w:leader="dot" w:pos="8828"/>
      </w:tabs>
      <w:spacing w:after="100"/>
      <w:ind w:left="220"/>
    </w:pPr>
    <w:rPr>
      <w:rFonts w:ascii="Calibri" w:hAnsi="Calibri"/>
      <w:b/>
      <w:noProof/>
      <w:color w:val="365F91" w:themeColor="accent1" w:themeShade="BF"/>
      <w:sz w:val="26"/>
      <w:szCs w:val="26"/>
    </w:rPr>
  </w:style>
  <w:style w:type="character" w:customStyle="1" w:styleId="TDC1Car">
    <w:name w:val="TDC 1 Car"/>
    <w:basedOn w:val="Ttulo1Car"/>
    <w:link w:val="TDC1"/>
    <w:uiPriority w:val="39"/>
    <w:rsid w:val="00BF76DF"/>
    <w:rPr>
      <w:rFonts w:asciiTheme="majorHAnsi" w:eastAsiaTheme="majorEastAsia" w:hAnsiTheme="majorHAnsi" w:cstheme="majorBidi"/>
      <w:b/>
      <w:bCs/>
      <w:color w:val="365F91" w:themeColor="accent1" w:themeShade="BF"/>
      <w:sz w:val="28"/>
      <w:szCs w:val="28"/>
    </w:rPr>
  </w:style>
  <w:style w:type="paragraph" w:styleId="TDC3">
    <w:name w:val="toc 3"/>
    <w:basedOn w:val="Normal"/>
    <w:next w:val="Normal"/>
    <w:autoRedefine/>
    <w:uiPriority w:val="39"/>
    <w:semiHidden/>
    <w:unhideWhenUsed/>
    <w:qFormat/>
    <w:rsid w:val="00C67622"/>
    <w:pPr>
      <w:spacing w:after="100"/>
      <w:ind w:left="440"/>
    </w:pPr>
    <w:rPr>
      <w:rFonts w:eastAsiaTheme="minorEastAsia"/>
      <w:lang w:eastAsia="es-GT"/>
    </w:rPr>
  </w:style>
  <w:style w:type="character" w:customStyle="1" w:styleId="apple-converted-space">
    <w:name w:val="apple-converted-space"/>
    <w:basedOn w:val="Fuentedeprrafopredeter"/>
    <w:rsid w:val="0092101E"/>
  </w:style>
  <w:style w:type="paragraph" w:styleId="Textonotaalfinal">
    <w:name w:val="endnote text"/>
    <w:basedOn w:val="Normal"/>
    <w:link w:val="TextonotaalfinalCar"/>
    <w:uiPriority w:val="99"/>
    <w:semiHidden/>
    <w:unhideWhenUsed/>
    <w:rsid w:val="00BC1A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C1A00"/>
    <w:rPr>
      <w:sz w:val="20"/>
      <w:szCs w:val="20"/>
    </w:rPr>
  </w:style>
  <w:style w:type="character" w:styleId="Refdenotaalfinal">
    <w:name w:val="endnote reference"/>
    <w:basedOn w:val="Fuentedeprrafopredeter"/>
    <w:uiPriority w:val="99"/>
    <w:semiHidden/>
    <w:unhideWhenUsed/>
    <w:rsid w:val="00BC1A00"/>
    <w:rPr>
      <w:vertAlign w:val="superscript"/>
    </w:rPr>
  </w:style>
  <w:style w:type="paragraph" w:styleId="Sangradetextonormal">
    <w:name w:val="Body Text Indent"/>
    <w:basedOn w:val="Normal"/>
    <w:link w:val="SangradetextonormalCar"/>
    <w:uiPriority w:val="99"/>
    <w:unhideWhenUsed/>
    <w:rsid w:val="00295641"/>
    <w:pPr>
      <w:spacing w:after="100" w:afterAutospacing="1" w:line="240" w:lineRule="auto"/>
      <w:ind w:firstLine="360"/>
      <w:jc w:val="both"/>
    </w:pPr>
  </w:style>
  <w:style w:type="character" w:customStyle="1" w:styleId="SangradetextonormalCar">
    <w:name w:val="Sangría de texto normal Car"/>
    <w:basedOn w:val="Fuentedeprrafopredeter"/>
    <w:link w:val="Sangradetextonormal"/>
    <w:uiPriority w:val="99"/>
    <w:rsid w:val="00295641"/>
  </w:style>
  <w:style w:type="character" w:customStyle="1" w:styleId="A6">
    <w:name w:val="A6"/>
    <w:uiPriority w:val="99"/>
    <w:rsid w:val="008D79F2"/>
    <w:rPr>
      <w:rFonts w:cs="Gotham"/>
      <w:i/>
      <w:iCs/>
      <w:color w:val="000000"/>
      <w:sz w:val="20"/>
      <w:szCs w:val="20"/>
    </w:rPr>
  </w:style>
  <w:style w:type="paragraph" w:styleId="Textoindependiente">
    <w:name w:val="Body Text"/>
    <w:basedOn w:val="Normal"/>
    <w:link w:val="TextoindependienteCar"/>
    <w:uiPriority w:val="99"/>
    <w:unhideWhenUsed/>
    <w:rsid w:val="008D79F2"/>
    <w:pPr>
      <w:spacing w:after="100" w:afterAutospacing="1" w:line="240" w:lineRule="auto"/>
      <w:jc w:val="both"/>
    </w:pPr>
    <w:rPr>
      <w:rFonts w:ascii="Gotham" w:hAnsi="Gotham"/>
      <w:i/>
      <w:iCs/>
      <w:color w:val="FF0000"/>
      <w:sz w:val="20"/>
      <w:szCs w:val="20"/>
      <w:lang w:val="es-PE"/>
    </w:rPr>
  </w:style>
  <w:style w:type="character" w:customStyle="1" w:styleId="TextoindependienteCar">
    <w:name w:val="Texto independiente Car"/>
    <w:basedOn w:val="Fuentedeprrafopredeter"/>
    <w:link w:val="Textoindependiente"/>
    <w:uiPriority w:val="99"/>
    <w:rsid w:val="008D79F2"/>
    <w:rPr>
      <w:rFonts w:ascii="Gotham" w:hAnsi="Gotham"/>
      <w:i/>
      <w:iCs/>
      <w:color w:val="FF0000"/>
      <w:sz w:val="20"/>
      <w:szCs w:val="20"/>
      <w:lang w:val="es-PE"/>
    </w:rPr>
  </w:style>
  <w:style w:type="paragraph" w:styleId="Textoindependiente2">
    <w:name w:val="Body Text 2"/>
    <w:basedOn w:val="Normal"/>
    <w:link w:val="Textoindependiente2Car"/>
    <w:uiPriority w:val="99"/>
    <w:unhideWhenUsed/>
    <w:rsid w:val="008D79F2"/>
    <w:pPr>
      <w:spacing w:after="100" w:afterAutospacing="1" w:line="240" w:lineRule="auto"/>
      <w:jc w:val="both"/>
    </w:pPr>
    <w:rPr>
      <w:color w:val="FF0000"/>
    </w:rPr>
  </w:style>
  <w:style w:type="character" w:customStyle="1" w:styleId="Textoindependiente2Car">
    <w:name w:val="Texto independiente 2 Car"/>
    <w:basedOn w:val="Fuentedeprrafopredeter"/>
    <w:link w:val="Textoindependiente2"/>
    <w:uiPriority w:val="99"/>
    <w:rsid w:val="008D79F2"/>
    <w:rPr>
      <w:color w:val="FF0000"/>
    </w:rPr>
  </w:style>
  <w:style w:type="character" w:customStyle="1" w:styleId="Ttulo3Car">
    <w:name w:val="Título 3 Car"/>
    <w:basedOn w:val="Fuentedeprrafopredeter"/>
    <w:link w:val="Ttulo3"/>
    <w:uiPriority w:val="9"/>
    <w:rsid w:val="00A56D20"/>
    <w:rPr>
      <w:rFonts w:ascii="Gotham Bold" w:hAnsi="Gotham Bold" w:cs="Gotham Bold"/>
      <w:b/>
      <w:color w:val="000000"/>
      <w:sz w:val="20"/>
      <w:szCs w:val="24"/>
      <w:lang w:val="es-PE"/>
    </w:rPr>
  </w:style>
  <w:style w:type="paragraph" w:customStyle="1" w:styleId="Pa6">
    <w:name w:val="Pa6"/>
    <w:basedOn w:val="Default"/>
    <w:next w:val="Default"/>
    <w:uiPriority w:val="99"/>
    <w:rsid w:val="00D55406"/>
    <w:pPr>
      <w:spacing w:line="201" w:lineRule="atLeast"/>
    </w:pPr>
    <w:rPr>
      <w:rFonts w:ascii="Gotham Bold" w:hAnsi="Gotham Bold" w:cstheme="minorBidi"/>
      <w:color w:val="auto"/>
      <w:lang w:val="es-PE"/>
    </w:rPr>
  </w:style>
  <w:style w:type="paragraph" w:customStyle="1" w:styleId="Pa1">
    <w:name w:val="Pa1"/>
    <w:basedOn w:val="Default"/>
    <w:next w:val="Default"/>
    <w:uiPriority w:val="99"/>
    <w:rsid w:val="00D55406"/>
    <w:pPr>
      <w:spacing w:line="241" w:lineRule="atLeast"/>
    </w:pPr>
    <w:rPr>
      <w:rFonts w:ascii="Gotham Bold" w:hAnsi="Gotham Bold" w:cstheme="minorBidi"/>
      <w:color w:val="auto"/>
      <w:lang w:val="es-PE"/>
    </w:rPr>
  </w:style>
  <w:style w:type="table" w:customStyle="1" w:styleId="Tablaconcuadrcula1">
    <w:name w:val="Tabla con cuadrícula1"/>
    <w:basedOn w:val="Tablanormal"/>
    <w:next w:val="Tablaconcuadrcula"/>
    <w:uiPriority w:val="59"/>
    <w:rsid w:val="009A6E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265D4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65D44"/>
    <w:rPr>
      <w:sz w:val="20"/>
      <w:szCs w:val="20"/>
    </w:rPr>
  </w:style>
  <w:style w:type="character" w:styleId="Refdenotaalpie">
    <w:name w:val="footnote reference"/>
    <w:basedOn w:val="Fuentedeprrafopredeter"/>
    <w:uiPriority w:val="99"/>
    <w:semiHidden/>
    <w:unhideWhenUsed/>
    <w:rsid w:val="00265D44"/>
    <w:rPr>
      <w:vertAlign w:val="superscript"/>
    </w:rPr>
  </w:style>
  <w:style w:type="paragraph" w:customStyle="1" w:styleId="Normal1">
    <w:name w:val="Normal1"/>
    <w:rsid w:val="001F04BA"/>
    <w:rPr>
      <w:rFonts w:ascii="Cambria" w:eastAsia="Cambria" w:hAnsi="Cambria" w:cs="Cambria"/>
      <w:color w:val="000000"/>
      <w:lang w:val="es-ES_tradnl" w:eastAsia="es-ES"/>
    </w:rPr>
  </w:style>
  <w:style w:type="paragraph" w:styleId="Textocomentario">
    <w:name w:val="annotation text"/>
    <w:basedOn w:val="Normal"/>
    <w:link w:val="TextocomentarioCar"/>
    <w:uiPriority w:val="99"/>
    <w:semiHidden/>
    <w:unhideWhenUsed/>
    <w:rsid w:val="007401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40134"/>
    <w:rPr>
      <w:sz w:val="20"/>
      <w:szCs w:val="20"/>
    </w:rPr>
  </w:style>
  <w:style w:type="paragraph" w:styleId="Asuntodelcomentario">
    <w:name w:val="annotation subject"/>
    <w:basedOn w:val="Textocomentario"/>
    <w:next w:val="Textocomentario"/>
    <w:link w:val="AsuntodelcomentarioCar"/>
    <w:uiPriority w:val="99"/>
    <w:semiHidden/>
    <w:unhideWhenUsed/>
    <w:rsid w:val="00740134"/>
    <w:rPr>
      <w:b/>
      <w:bCs/>
    </w:rPr>
  </w:style>
  <w:style w:type="character" w:customStyle="1" w:styleId="AsuntodelcomentarioCar">
    <w:name w:val="Asunto del comentario Car"/>
    <w:basedOn w:val="TextocomentarioCar"/>
    <w:link w:val="Asuntodelcomentario"/>
    <w:uiPriority w:val="99"/>
    <w:semiHidden/>
    <w:rsid w:val="007401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141961">
      <w:bodyDiv w:val="1"/>
      <w:marLeft w:val="0"/>
      <w:marRight w:val="0"/>
      <w:marTop w:val="0"/>
      <w:marBottom w:val="0"/>
      <w:divBdr>
        <w:top w:val="none" w:sz="0" w:space="0" w:color="auto"/>
        <w:left w:val="none" w:sz="0" w:space="0" w:color="auto"/>
        <w:bottom w:val="none" w:sz="0" w:space="0" w:color="auto"/>
        <w:right w:val="none" w:sz="0" w:space="0" w:color="auto"/>
      </w:divBdr>
    </w:div>
    <w:div w:id="554389077">
      <w:bodyDiv w:val="1"/>
      <w:marLeft w:val="0"/>
      <w:marRight w:val="0"/>
      <w:marTop w:val="0"/>
      <w:marBottom w:val="0"/>
      <w:divBdr>
        <w:top w:val="none" w:sz="0" w:space="0" w:color="auto"/>
        <w:left w:val="none" w:sz="0" w:space="0" w:color="auto"/>
        <w:bottom w:val="none" w:sz="0" w:space="0" w:color="auto"/>
        <w:right w:val="none" w:sz="0" w:space="0" w:color="auto"/>
      </w:divBdr>
      <w:divsChild>
        <w:div w:id="307974547">
          <w:marLeft w:val="547"/>
          <w:marRight w:val="0"/>
          <w:marTop w:val="115"/>
          <w:marBottom w:val="0"/>
          <w:divBdr>
            <w:top w:val="none" w:sz="0" w:space="0" w:color="auto"/>
            <w:left w:val="none" w:sz="0" w:space="0" w:color="auto"/>
            <w:bottom w:val="none" w:sz="0" w:space="0" w:color="auto"/>
            <w:right w:val="none" w:sz="0" w:space="0" w:color="auto"/>
          </w:divBdr>
        </w:div>
        <w:div w:id="643003104">
          <w:marLeft w:val="547"/>
          <w:marRight w:val="0"/>
          <w:marTop w:val="115"/>
          <w:marBottom w:val="0"/>
          <w:divBdr>
            <w:top w:val="none" w:sz="0" w:space="0" w:color="auto"/>
            <w:left w:val="none" w:sz="0" w:space="0" w:color="auto"/>
            <w:bottom w:val="none" w:sz="0" w:space="0" w:color="auto"/>
            <w:right w:val="none" w:sz="0" w:space="0" w:color="auto"/>
          </w:divBdr>
        </w:div>
        <w:div w:id="1097947785">
          <w:marLeft w:val="547"/>
          <w:marRight w:val="0"/>
          <w:marTop w:val="115"/>
          <w:marBottom w:val="0"/>
          <w:divBdr>
            <w:top w:val="none" w:sz="0" w:space="0" w:color="auto"/>
            <w:left w:val="none" w:sz="0" w:space="0" w:color="auto"/>
            <w:bottom w:val="none" w:sz="0" w:space="0" w:color="auto"/>
            <w:right w:val="none" w:sz="0" w:space="0" w:color="auto"/>
          </w:divBdr>
        </w:div>
        <w:div w:id="1179080575">
          <w:marLeft w:val="547"/>
          <w:marRight w:val="0"/>
          <w:marTop w:val="115"/>
          <w:marBottom w:val="0"/>
          <w:divBdr>
            <w:top w:val="none" w:sz="0" w:space="0" w:color="auto"/>
            <w:left w:val="none" w:sz="0" w:space="0" w:color="auto"/>
            <w:bottom w:val="none" w:sz="0" w:space="0" w:color="auto"/>
            <w:right w:val="none" w:sz="0" w:space="0" w:color="auto"/>
          </w:divBdr>
        </w:div>
        <w:div w:id="1899854330">
          <w:marLeft w:val="547"/>
          <w:marRight w:val="0"/>
          <w:marTop w:val="115"/>
          <w:marBottom w:val="0"/>
          <w:divBdr>
            <w:top w:val="none" w:sz="0" w:space="0" w:color="auto"/>
            <w:left w:val="none" w:sz="0" w:space="0" w:color="auto"/>
            <w:bottom w:val="none" w:sz="0" w:space="0" w:color="auto"/>
            <w:right w:val="none" w:sz="0" w:space="0" w:color="auto"/>
          </w:divBdr>
        </w:div>
      </w:divsChild>
    </w:div>
    <w:div w:id="762382615">
      <w:bodyDiv w:val="1"/>
      <w:marLeft w:val="0"/>
      <w:marRight w:val="0"/>
      <w:marTop w:val="0"/>
      <w:marBottom w:val="0"/>
      <w:divBdr>
        <w:top w:val="none" w:sz="0" w:space="0" w:color="auto"/>
        <w:left w:val="none" w:sz="0" w:space="0" w:color="auto"/>
        <w:bottom w:val="none" w:sz="0" w:space="0" w:color="auto"/>
        <w:right w:val="none" w:sz="0" w:space="0" w:color="auto"/>
      </w:divBdr>
    </w:div>
    <w:div w:id="836579062">
      <w:bodyDiv w:val="1"/>
      <w:marLeft w:val="0"/>
      <w:marRight w:val="0"/>
      <w:marTop w:val="0"/>
      <w:marBottom w:val="0"/>
      <w:divBdr>
        <w:top w:val="none" w:sz="0" w:space="0" w:color="auto"/>
        <w:left w:val="none" w:sz="0" w:space="0" w:color="auto"/>
        <w:bottom w:val="none" w:sz="0" w:space="0" w:color="auto"/>
        <w:right w:val="none" w:sz="0" w:space="0" w:color="auto"/>
      </w:divBdr>
    </w:div>
    <w:div w:id="853497398">
      <w:bodyDiv w:val="1"/>
      <w:marLeft w:val="0"/>
      <w:marRight w:val="0"/>
      <w:marTop w:val="0"/>
      <w:marBottom w:val="0"/>
      <w:divBdr>
        <w:top w:val="none" w:sz="0" w:space="0" w:color="auto"/>
        <w:left w:val="none" w:sz="0" w:space="0" w:color="auto"/>
        <w:bottom w:val="none" w:sz="0" w:space="0" w:color="auto"/>
        <w:right w:val="none" w:sz="0" w:space="0" w:color="auto"/>
      </w:divBdr>
    </w:div>
    <w:div w:id="950009937">
      <w:bodyDiv w:val="1"/>
      <w:marLeft w:val="0"/>
      <w:marRight w:val="0"/>
      <w:marTop w:val="0"/>
      <w:marBottom w:val="0"/>
      <w:divBdr>
        <w:top w:val="none" w:sz="0" w:space="0" w:color="auto"/>
        <w:left w:val="none" w:sz="0" w:space="0" w:color="auto"/>
        <w:bottom w:val="none" w:sz="0" w:space="0" w:color="auto"/>
        <w:right w:val="none" w:sz="0" w:space="0" w:color="auto"/>
      </w:divBdr>
    </w:div>
    <w:div w:id="1071122081">
      <w:bodyDiv w:val="1"/>
      <w:marLeft w:val="0"/>
      <w:marRight w:val="0"/>
      <w:marTop w:val="0"/>
      <w:marBottom w:val="0"/>
      <w:divBdr>
        <w:top w:val="none" w:sz="0" w:space="0" w:color="auto"/>
        <w:left w:val="none" w:sz="0" w:space="0" w:color="auto"/>
        <w:bottom w:val="none" w:sz="0" w:space="0" w:color="auto"/>
        <w:right w:val="none" w:sz="0" w:space="0" w:color="auto"/>
      </w:divBdr>
    </w:div>
    <w:div w:id="1277369534">
      <w:bodyDiv w:val="1"/>
      <w:marLeft w:val="0"/>
      <w:marRight w:val="0"/>
      <w:marTop w:val="0"/>
      <w:marBottom w:val="0"/>
      <w:divBdr>
        <w:top w:val="none" w:sz="0" w:space="0" w:color="auto"/>
        <w:left w:val="none" w:sz="0" w:space="0" w:color="auto"/>
        <w:bottom w:val="none" w:sz="0" w:space="0" w:color="auto"/>
        <w:right w:val="none" w:sz="0" w:space="0" w:color="auto"/>
      </w:divBdr>
    </w:div>
    <w:div w:id="1595897623">
      <w:bodyDiv w:val="1"/>
      <w:marLeft w:val="0"/>
      <w:marRight w:val="0"/>
      <w:marTop w:val="0"/>
      <w:marBottom w:val="0"/>
      <w:divBdr>
        <w:top w:val="none" w:sz="0" w:space="0" w:color="auto"/>
        <w:left w:val="none" w:sz="0" w:space="0" w:color="auto"/>
        <w:bottom w:val="none" w:sz="0" w:space="0" w:color="auto"/>
        <w:right w:val="none" w:sz="0" w:space="0" w:color="auto"/>
      </w:divBdr>
    </w:div>
    <w:div w:id="1984117490">
      <w:bodyDiv w:val="1"/>
      <w:marLeft w:val="0"/>
      <w:marRight w:val="0"/>
      <w:marTop w:val="0"/>
      <w:marBottom w:val="0"/>
      <w:divBdr>
        <w:top w:val="none" w:sz="0" w:space="0" w:color="auto"/>
        <w:left w:val="none" w:sz="0" w:space="0" w:color="auto"/>
        <w:bottom w:val="none" w:sz="0" w:space="0" w:color="auto"/>
        <w:right w:val="none" w:sz="0" w:space="0" w:color="auto"/>
      </w:divBdr>
    </w:div>
    <w:div w:id="2032409250">
      <w:bodyDiv w:val="1"/>
      <w:marLeft w:val="0"/>
      <w:marRight w:val="0"/>
      <w:marTop w:val="0"/>
      <w:marBottom w:val="0"/>
      <w:divBdr>
        <w:top w:val="none" w:sz="0" w:space="0" w:color="auto"/>
        <w:left w:val="none" w:sz="0" w:space="0" w:color="auto"/>
        <w:bottom w:val="none" w:sz="0" w:space="0" w:color="auto"/>
        <w:right w:val="none" w:sz="0" w:space="0" w:color="auto"/>
      </w:divBdr>
    </w:div>
    <w:div w:id="213983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itiperu.minem.gob.pe" TargetMode="External"/><Relationship Id="rId21" Type="http://schemas.openxmlformats.org/officeDocument/2006/relationships/hyperlink" Target="mailto:despachoministerial1@midis.gob.pe" TargetMode="External"/><Relationship Id="rId42" Type="http://schemas.openxmlformats.org/officeDocument/2006/relationships/hyperlink" Target="http://datos.minsa.gob.pe/" TargetMode="External"/><Relationship Id="rId47" Type="http://schemas.openxmlformats.org/officeDocument/2006/relationships/hyperlink" Target="http://datosabiertos.miraflores.gob.pe/home" TargetMode="External"/><Relationship Id="rId63" Type="http://schemas.openxmlformats.org/officeDocument/2006/relationships/hyperlink" Target="http://www.ongei.gob.pe/eventos/ongei_eventos.asp?pk_id_entidad=1878"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fzavala@pcm.gob.pe" TargetMode="External"/><Relationship Id="rId29" Type="http://schemas.openxmlformats.org/officeDocument/2006/relationships/hyperlink" Target="mailto:aluna@cultura.gob.pe" TargetMode="External"/><Relationship Id="rId11" Type="http://schemas.openxmlformats.org/officeDocument/2006/relationships/image" Target="cid:image002.jpg@01D21359.D6CC0E40" TargetMode="External"/><Relationship Id="rId24" Type="http://schemas.openxmlformats.org/officeDocument/2006/relationships/hyperlink" Target="http://eitipiura.regionpiura.gob.pe/" TargetMode="External"/><Relationship Id="rId32" Type="http://schemas.openxmlformats.org/officeDocument/2006/relationships/hyperlink" Target="mailto:amromero@mimp.gob.pe" TargetMode="External"/><Relationship Id="rId37" Type="http://schemas.openxmlformats.org/officeDocument/2006/relationships/hyperlink" Target="http://www.mimp.gob.pe/webs/mimp/pnaia/pdf/ppto/gasto-publico-en-ninos-ninas-adolescentesNov2015.pdf" TargetMode="External"/><Relationship Id="rId40" Type="http://schemas.openxmlformats.org/officeDocument/2006/relationships/hyperlink" Target="http://www.datosabiertos.gob.pe" TargetMode="External"/><Relationship Id="rId45" Type="http://schemas.openxmlformats.org/officeDocument/2006/relationships/hyperlink" Target="http://datosabiertos.munlima.gob.pe/" TargetMode="External"/><Relationship Id="rId53" Type="http://schemas.openxmlformats.org/officeDocument/2006/relationships/hyperlink" Target="https://movil.softwarepublico.gob.pe/portfolio.html" TargetMode="External"/><Relationship Id="rId58" Type="http://schemas.openxmlformats.org/officeDocument/2006/relationships/hyperlink" Target="mailto:fzavala@pcm.gob.pe" TargetMode="External"/><Relationship Id="rId66" Type="http://schemas.openxmlformats.org/officeDocument/2006/relationships/hyperlink" Target="http://peru.gob.pe/Portal_Transparencia_Estandar/(S(j43otqcab31n3ahylscsmxu3))/pte_transparencia_inicio.aspx" TargetMode="External"/><Relationship Id="rId5" Type="http://schemas.openxmlformats.org/officeDocument/2006/relationships/webSettings" Target="webSettings.xml"/><Relationship Id="rId61" Type="http://schemas.openxmlformats.org/officeDocument/2006/relationships/hyperlink" Target="http://www.peru.gob.pe/redessociales" TargetMode="External"/><Relationship Id="rId19" Type="http://schemas.openxmlformats.org/officeDocument/2006/relationships/hyperlink" Target="http://sgp.pcm.gob.pe/transparencia-y-acceso-a-la-informacion-publica/" TargetMode="External"/><Relationship Id="rId14" Type="http://schemas.openxmlformats.org/officeDocument/2006/relationships/hyperlink" Target="http://onds.pcm.gob.pe/objetivos-y-funciones/" TargetMode="External"/><Relationship Id="rId22" Type="http://schemas.openxmlformats.org/officeDocument/2006/relationships/hyperlink" Target="mailto:mpastor@osce.gob.pe" TargetMode="External"/><Relationship Id="rId27" Type="http://schemas.openxmlformats.org/officeDocument/2006/relationships/hyperlink" Target="mailto:rperez@minem.gob.pe" TargetMode="External"/><Relationship Id="rId30" Type="http://schemas.openxmlformats.org/officeDocument/2006/relationships/hyperlink" Target="mailto:ealarcon@contraloria.gob.pe" TargetMode="External"/><Relationship Id="rId35" Type="http://schemas.openxmlformats.org/officeDocument/2006/relationships/hyperlink" Target="http://www.mef.gob.pe/index.php?option=com_content&amp;view=article&amp;id=3849&amp;Itemid=101531&amp;lang=es" TargetMode="External"/><Relationship Id="rId43" Type="http://schemas.openxmlformats.org/officeDocument/2006/relationships/hyperlink" Target="http://datos.minedu.gob.pe/" TargetMode="External"/><Relationship Id="rId48" Type="http://schemas.openxmlformats.org/officeDocument/2006/relationships/hyperlink" Target="http://datosabiertos.msi.gob.pe/home/" TargetMode="External"/><Relationship Id="rId56" Type="http://schemas.openxmlformats.org/officeDocument/2006/relationships/hyperlink" Target="https://www.ongei.gob.pe/eventos/ongei_eventos.asp?pk_id_entidad=1878/eventos/ongei_eventos.asp?pk_id_entidad=1878" TargetMode="External"/><Relationship Id="rId64" Type="http://schemas.openxmlformats.org/officeDocument/2006/relationships/hyperlink" Target="http://www.peru.gob.pe/redessociales/" TargetMode="External"/><Relationship Id="rId69"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mailto:fzavala@pcm.gob.pe"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peru.gob.pe/Portal_Transparencia_Estandar/(S(j43otqcab31n3ahylscsmxu3))/pte_transparencia_inicio.aspx" TargetMode="External"/><Relationship Id="rId25" Type="http://schemas.openxmlformats.org/officeDocument/2006/relationships/hyperlink" Target="http://regionmoquegua.gob.pe/web13/transparencia/eiti.html" TargetMode="External"/><Relationship Id="rId33" Type="http://schemas.openxmlformats.org/officeDocument/2006/relationships/hyperlink" Target="mailto:ministro@mef.gob.pe" TargetMode="External"/><Relationship Id="rId38" Type="http://schemas.openxmlformats.org/officeDocument/2006/relationships/hyperlink" Target="mailto:fzavala@pcm.gob.pe" TargetMode="External"/><Relationship Id="rId46" Type="http://schemas.openxmlformats.org/officeDocument/2006/relationships/hyperlink" Target="http://www.sat.gob.pe/websitev9/Inicio/DatosAbiertos" TargetMode="External"/><Relationship Id="rId59" Type="http://schemas.openxmlformats.org/officeDocument/2006/relationships/hyperlink" Target="http://www.ongei.gob.pe/eventos/ongei_eventos.asp?pk_id_entidad=1878" TargetMode="External"/><Relationship Id="rId67" Type="http://schemas.openxmlformats.org/officeDocument/2006/relationships/hyperlink" Target="http://doc.contraloria.gob.pe/ddjj/mantenimiento/mensaje.html" TargetMode="External"/><Relationship Id="rId20" Type="http://schemas.openxmlformats.org/officeDocument/2006/relationships/hyperlink" Target="http://www.servir.gob.pe/servir-premia-a-ganadores-de-buenas-practicas-en-gestion-de-la-capacitacion/" TargetMode="External"/><Relationship Id="rId41" Type="http://schemas.openxmlformats.org/officeDocument/2006/relationships/hyperlink" Target="http://jnedatosabiertos.pe/" TargetMode="External"/><Relationship Id="rId54" Type="http://schemas.openxmlformats.org/officeDocument/2006/relationships/hyperlink" Target="http://www.regionlalibertad.gob.pe/noticias/regionales/5989-exitosa-hackathon-en-la-libertad-marca-el-rumbo-de-la-innovacion-digital-en-el-norte-del-pais" TargetMode="External"/><Relationship Id="rId62" Type="http://schemas.openxmlformats.org/officeDocument/2006/relationships/hyperlink" Target="http://www.peru.gob.pe/redessociales/"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fzavala@pcm.gob.pe" TargetMode="External"/><Relationship Id="rId23" Type="http://schemas.openxmlformats.org/officeDocument/2006/relationships/hyperlink" Target="mailto:gtamayo@minem.gob.pe" TargetMode="External"/><Relationship Id="rId28" Type="http://schemas.openxmlformats.org/officeDocument/2006/relationships/hyperlink" Target="mailto:fzavala@pcm.gob.pe" TargetMode="External"/><Relationship Id="rId36" Type="http://schemas.openxmlformats.org/officeDocument/2006/relationships/hyperlink" Target="http://www.unicef.org/peru/spanish/GastoPublico-en-ninos-ninas-adolescentes-en-Peru-1erSemestre2015.pdf" TargetMode="External"/><Relationship Id="rId49" Type="http://schemas.openxmlformats.org/officeDocument/2006/relationships/hyperlink" Target="http://www.mdsmp.gob.pe/datos/index.php" TargetMode="External"/><Relationship Id="rId57" Type="http://schemas.openxmlformats.org/officeDocument/2006/relationships/hyperlink" Target="http://www.serviciosalciudadano.gob.pe" TargetMode="External"/><Relationship Id="rId10" Type="http://schemas.openxmlformats.org/officeDocument/2006/relationships/image" Target="media/image3.jpeg"/><Relationship Id="rId31" Type="http://schemas.openxmlformats.org/officeDocument/2006/relationships/hyperlink" Target="mailto:fzavala@pcm.gob.pe" TargetMode="External"/><Relationship Id="rId44" Type="http://schemas.openxmlformats.org/officeDocument/2006/relationships/hyperlink" Target="http://datos.concytec.gob.pe/" TargetMode="External"/><Relationship Id="rId52" Type="http://schemas.openxmlformats.org/officeDocument/2006/relationships/hyperlink" Target="https://play.google.com/store/apps/details?id=com.ongei.mperu&amp;hl=es" TargetMode="External"/><Relationship Id="rId60" Type="http://schemas.openxmlformats.org/officeDocument/2006/relationships/hyperlink" Target="mailto:fzavala@pcm.gob.pe" TargetMode="External"/><Relationship Id="rId65" Type="http://schemas.openxmlformats.org/officeDocument/2006/relationships/hyperlink" Target="http://www.mef.gob.pe/index.php?option=com_content&amp;view=section&amp;id=37&amp;Itemid=100143&amp;lang=es"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acuerdonacional.pe/" TargetMode="External"/><Relationship Id="rId18" Type="http://schemas.openxmlformats.org/officeDocument/2006/relationships/hyperlink" Target="mailto:fzavala@pcm.gob.pe" TargetMode="External"/><Relationship Id="rId39" Type="http://schemas.openxmlformats.org/officeDocument/2006/relationships/hyperlink" Target="http://www.datosabiertos.gob.pe" TargetMode="External"/><Relationship Id="rId34" Type="http://schemas.openxmlformats.org/officeDocument/2006/relationships/hyperlink" Target="http://www.unicef.org/peruspanish/gasto-publico-ninos-ninas-adolescentes-2014.pdf" TargetMode="External"/><Relationship Id="rId50" Type="http://schemas.openxmlformats.org/officeDocument/2006/relationships/hyperlink" Target="http://www.regionlalibertad.gob.pe/datosabiertos/" TargetMode="External"/><Relationship Id="rId55" Type="http://schemas.openxmlformats.org/officeDocument/2006/relationships/hyperlink" Target="https://www.ministeriodesalud.go.cr/index.php/sobre-ministerio/campanas-en-salud?id=55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consultaprevia.cultura.gob.pe/capacitaciones/3101/" TargetMode="External"/><Relationship Id="rId2" Type="http://schemas.openxmlformats.org/officeDocument/2006/relationships/hyperlink" Target="http://www.pcm.gob.pe/wp-content/uploads/2014/01/PLAN_AGA.pdf" TargetMode="External"/><Relationship Id="rId1" Type="http://schemas.openxmlformats.org/officeDocument/2006/relationships/hyperlink" Target="http://www.pcm.gob.pe/gobierno_abierto_peru/" TargetMode="External"/><Relationship Id="rId6" Type="http://schemas.openxmlformats.org/officeDocument/2006/relationships/hyperlink" Target="http://consultaprevia.cultura.gob.pe/capacitaciones/taller-de-capacitacion-sobre-el-derecho-a-la-consulta-previa-de-los-pueblos-indigenas-u-originarios-con-lideres-y-lideresas-indigenas-de-las-bases-de-la-federacion-de-pueblos-indigenas-de-bajo-y-alto/" TargetMode="External"/><Relationship Id="rId5" Type="http://schemas.openxmlformats.org/officeDocument/2006/relationships/hyperlink" Target="http://consultaprevia.cultura.gob.pe/capacitaciones/taller-de-capacitacion-sobre-el-derecho-a-la-consulta-previa-de-los-pueblos-indigenas-u-originarios-con-lideres-y-lideresas-indigenas-de-las-bases-de-la-federacion-de-pueblos-indigenas-de-bajo-y-alto/" TargetMode="External"/><Relationship Id="rId4" Type="http://schemas.openxmlformats.org/officeDocument/2006/relationships/hyperlink" Target="http://consultaprevia.cultura.gob.pe/categoria/talleres-con-lideres/?nombre=&amp;fecha=2016-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2849D-10BF-4655-B69D-79C11E42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15240</Words>
  <Characters>83822</Characters>
  <Application>Microsoft Office Word</Application>
  <DocSecurity>0</DocSecurity>
  <Lines>698</Lines>
  <Paragraphs>197</Paragraphs>
  <ScaleCrop>false</ScaleCrop>
  <HeadingPairs>
    <vt:vector size="2" baseType="variant">
      <vt:variant>
        <vt:lpstr>Título</vt:lpstr>
      </vt:variant>
      <vt:variant>
        <vt:i4>1</vt:i4>
      </vt:variant>
    </vt:vector>
  </HeadingPairs>
  <TitlesOfParts>
    <vt:vector size="1" baseType="lpstr">
      <vt:lpstr>GUATEMALA</vt:lpstr>
    </vt:vector>
  </TitlesOfParts>
  <Company>Microsoft</Company>
  <LinksUpToDate>false</LinksUpToDate>
  <CharactersWithSpaces>98865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GUATEMALA</dc:title>
  <dc:subject>INFORME DE AUTOEVALUACIÓN DE MEDIO TÉRMINO DEL SEGUNDO PLAN DE ACCIÓN NACIONAL DE GOBIERNO ABIERTO GUATEMALA            2014- 2016</dc:subject>
  <dc:creator>Diego Donis</dc:creator>
  <cp:lastModifiedBy>Patricia Guillen Nolasco</cp:lastModifiedBy>
  <cp:revision>4</cp:revision>
  <cp:lastPrinted>2015-09-29T17:30:00Z</cp:lastPrinted>
  <dcterms:created xsi:type="dcterms:W3CDTF">2016-09-29T00:00:00Z</dcterms:created>
  <dcterms:modified xsi:type="dcterms:W3CDTF">2016-09-29T00:10:00Z</dcterms:modified>
</cp:coreProperties>
</file>