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BC9" w:rsidRPr="0095252E" w:rsidRDefault="003D2BC9" w:rsidP="00095484">
      <w:pPr>
        <w:autoSpaceDE w:val="0"/>
        <w:autoSpaceDN w:val="0"/>
        <w:jc w:val="center"/>
        <w:rPr>
          <w:rFonts w:ascii="Gotham Bold" w:hAnsi="Gotham Bold"/>
          <w:b/>
          <w:bCs/>
          <w:color w:val="000000"/>
          <w:sz w:val="96"/>
          <w:szCs w:val="96"/>
          <w:lang w:val="en-US"/>
        </w:rPr>
      </w:pPr>
      <w:bookmarkStart w:id="0" w:name="_Toc431288968"/>
      <w:bookmarkStart w:id="1" w:name="_Toc428787069"/>
      <w:bookmarkStart w:id="2" w:name="_Toc428794289"/>
      <w:bookmarkStart w:id="3" w:name="_Toc428796076"/>
      <w:bookmarkStart w:id="4" w:name="_Toc428800183"/>
      <w:bookmarkStart w:id="5" w:name="_Toc428800412"/>
      <w:bookmarkStart w:id="6" w:name="_Toc428803014"/>
      <w:bookmarkStart w:id="7" w:name="_Toc431283340"/>
      <w:bookmarkStart w:id="8" w:name="_Toc431286911"/>
      <w:r w:rsidRPr="0095252E">
        <w:rPr>
          <w:rFonts w:ascii="Gotham Bold" w:hAnsi="Gotham Bold"/>
          <w:b/>
          <w:bCs/>
          <w:noProof/>
          <w:color w:val="000000"/>
          <w:sz w:val="96"/>
          <w:szCs w:val="96"/>
          <w:lang w:val="es-ES" w:eastAsia="es-ES"/>
        </w:rPr>
        <w:drawing>
          <wp:anchor distT="0" distB="0" distL="114300" distR="114300" simplePos="0" relativeHeight="251661824" behindDoc="1" locked="0" layoutInCell="1" allowOverlap="1" wp14:anchorId="757D40BA" wp14:editId="61292325">
            <wp:simplePos x="0" y="0"/>
            <wp:positionH relativeFrom="margin">
              <wp:posOffset>3425190</wp:posOffset>
            </wp:positionH>
            <wp:positionV relativeFrom="paragraph">
              <wp:posOffset>473710</wp:posOffset>
            </wp:positionV>
            <wp:extent cx="2313305" cy="438150"/>
            <wp:effectExtent l="0" t="0" r="0" b="0"/>
            <wp:wrapTight wrapText="bothSides">
              <wp:wrapPolygon edited="0">
                <wp:start x="0" y="0"/>
                <wp:lineTo x="0" y="20661"/>
                <wp:lineTo x="21345" y="20661"/>
                <wp:lineTo x="2134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b. del Perú.JPG"/>
                    <pic:cNvPicPr/>
                  </pic:nvPicPr>
                  <pic:blipFill rotWithShape="1">
                    <a:blip r:embed="rId8">
                      <a:extLst>
                        <a:ext uri="{28A0092B-C50C-407E-A947-70E740481C1C}">
                          <a14:useLocalDpi xmlns:a14="http://schemas.microsoft.com/office/drawing/2010/main" val="0"/>
                        </a:ext>
                      </a:extLst>
                    </a:blip>
                    <a:srcRect b="35694"/>
                    <a:stretch/>
                  </pic:blipFill>
                  <pic:spPr bwMode="auto">
                    <a:xfrm>
                      <a:off x="0" y="0"/>
                      <a:ext cx="2313305"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95484" w:rsidRPr="0095252E" w:rsidRDefault="00095484" w:rsidP="00095484">
      <w:pPr>
        <w:autoSpaceDE w:val="0"/>
        <w:autoSpaceDN w:val="0"/>
        <w:ind w:left="4956" w:firstLine="708"/>
        <w:jc w:val="center"/>
        <w:rPr>
          <w:rFonts w:ascii="Times New Roman" w:hAnsi="Times New Roman" w:cs="Times New Roman"/>
          <w:bCs/>
          <w:color w:val="000000"/>
          <w:sz w:val="32"/>
          <w:szCs w:val="28"/>
          <w:lang w:val="en-US"/>
        </w:rPr>
      </w:pPr>
      <w:r w:rsidRPr="0095252E">
        <w:rPr>
          <w:rFonts w:ascii="Times New Roman" w:hAnsi="Times New Roman" w:cs="Times New Roman"/>
          <w:bCs/>
          <w:color w:val="000000"/>
          <w:sz w:val="32"/>
          <w:szCs w:val="28"/>
          <w:lang w:val="en-US"/>
        </w:rPr>
        <w:t>Peruvian Government</w:t>
      </w:r>
    </w:p>
    <w:p w:rsidR="00627CC2" w:rsidRPr="0095252E" w:rsidRDefault="00627CC2" w:rsidP="003D2BC9">
      <w:pPr>
        <w:autoSpaceDE w:val="0"/>
        <w:autoSpaceDN w:val="0"/>
        <w:rPr>
          <w:rFonts w:ascii="Gotham Bold" w:hAnsi="Gotham Bold"/>
          <w:b/>
          <w:bCs/>
          <w:color w:val="000000"/>
          <w:sz w:val="96"/>
          <w:szCs w:val="96"/>
          <w:lang w:val="en-US"/>
        </w:rPr>
      </w:pPr>
    </w:p>
    <w:p w:rsidR="00095484" w:rsidRPr="0095252E" w:rsidRDefault="00095484" w:rsidP="003D2BC9">
      <w:pPr>
        <w:autoSpaceDE w:val="0"/>
        <w:autoSpaceDN w:val="0"/>
        <w:rPr>
          <w:rFonts w:ascii="Gotham Bold" w:hAnsi="Gotham Bold"/>
          <w:b/>
          <w:bCs/>
          <w:color w:val="000000"/>
          <w:sz w:val="96"/>
          <w:szCs w:val="96"/>
          <w:lang w:val="en-US"/>
        </w:rPr>
      </w:pPr>
    </w:p>
    <w:p w:rsidR="003D2BC9" w:rsidRPr="0095252E" w:rsidRDefault="00A662B4" w:rsidP="003D2BC9">
      <w:pPr>
        <w:autoSpaceDE w:val="0"/>
        <w:autoSpaceDN w:val="0"/>
        <w:rPr>
          <w:rFonts w:ascii="Gotham Bold" w:hAnsi="Gotham Bold"/>
          <w:b/>
          <w:bCs/>
          <w:color w:val="000000"/>
          <w:sz w:val="96"/>
          <w:szCs w:val="96"/>
          <w:lang w:val="en-US"/>
        </w:rPr>
      </w:pPr>
      <w:r w:rsidRPr="0095252E">
        <w:rPr>
          <w:rFonts w:ascii="Gotham Bold" w:hAnsi="Gotham Bold"/>
          <w:b/>
          <w:bCs/>
          <w:color w:val="000000"/>
          <w:sz w:val="96"/>
          <w:szCs w:val="96"/>
          <w:lang w:val="en-US"/>
        </w:rPr>
        <w:t>PERU</w:t>
      </w:r>
    </w:p>
    <w:p w:rsidR="003D2BC9" w:rsidRPr="0095252E" w:rsidRDefault="002601C3" w:rsidP="003D2BC9">
      <w:pPr>
        <w:autoSpaceDE w:val="0"/>
        <w:autoSpaceDN w:val="0"/>
        <w:rPr>
          <w:rFonts w:ascii="Gotham Bold" w:hAnsi="Gotham Bold"/>
          <w:b/>
          <w:bCs/>
          <w:color w:val="000000"/>
          <w:sz w:val="32"/>
          <w:szCs w:val="32"/>
          <w:lang w:val="en-US"/>
        </w:rPr>
      </w:pPr>
      <w:r w:rsidRPr="0095252E">
        <w:rPr>
          <w:rFonts w:ascii="Gotham Bold" w:hAnsi="Gotham Bold"/>
          <w:b/>
          <w:bCs/>
          <w:noProof/>
          <w:color w:val="000000"/>
          <w:sz w:val="32"/>
          <w:szCs w:val="32"/>
          <w:lang w:val="es-ES" w:eastAsia="es-ES"/>
        </w:rPr>
        <w:drawing>
          <wp:inline distT="0" distB="0" distL="0" distR="0">
            <wp:extent cx="923810" cy="800000"/>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G.png"/>
                    <pic:cNvPicPr/>
                  </pic:nvPicPr>
                  <pic:blipFill>
                    <a:blip r:embed="rId9">
                      <a:extLst>
                        <a:ext uri="{28A0092B-C50C-407E-A947-70E740481C1C}">
                          <a14:useLocalDpi xmlns:a14="http://schemas.microsoft.com/office/drawing/2010/main" val="0"/>
                        </a:ext>
                      </a:extLst>
                    </a:blip>
                    <a:stretch>
                      <a:fillRect/>
                    </a:stretch>
                  </pic:blipFill>
                  <pic:spPr>
                    <a:xfrm>
                      <a:off x="0" y="0"/>
                      <a:ext cx="923810" cy="800000"/>
                    </a:xfrm>
                    <a:prstGeom prst="rect">
                      <a:avLst/>
                    </a:prstGeom>
                  </pic:spPr>
                </pic:pic>
              </a:graphicData>
            </a:graphic>
          </wp:inline>
        </w:drawing>
      </w:r>
    </w:p>
    <w:p w:rsidR="003D2BC9" w:rsidRPr="0095252E" w:rsidRDefault="003D2BC9" w:rsidP="003D2BC9">
      <w:pPr>
        <w:autoSpaceDE w:val="0"/>
        <w:autoSpaceDN w:val="0"/>
        <w:rPr>
          <w:rFonts w:ascii="Gotham Bold" w:hAnsi="Gotham Bold"/>
          <w:b/>
          <w:bCs/>
          <w:color w:val="000000"/>
          <w:sz w:val="32"/>
          <w:szCs w:val="32"/>
          <w:lang w:val="en-US"/>
        </w:rPr>
      </w:pPr>
    </w:p>
    <w:p w:rsidR="003D2BC9" w:rsidRPr="0095252E" w:rsidRDefault="004004E4" w:rsidP="003D2BC9">
      <w:pPr>
        <w:autoSpaceDE w:val="0"/>
        <w:autoSpaceDN w:val="0"/>
        <w:rPr>
          <w:rFonts w:ascii="Gotham Bold" w:hAnsi="Gotham Bold"/>
          <w:b/>
          <w:bCs/>
          <w:color w:val="000000"/>
          <w:sz w:val="32"/>
          <w:szCs w:val="32"/>
          <w:lang w:val="en-US"/>
        </w:rPr>
      </w:pPr>
      <w:r>
        <w:rPr>
          <w:rFonts w:ascii="Gotham Bold" w:hAnsi="Gotham Bold"/>
          <w:b/>
          <w:bCs/>
          <w:color w:val="000000"/>
          <w:sz w:val="32"/>
          <w:szCs w:val="32"/>
          <w:lang w:val="en-US"/>
        </w:rPr>
        <w:t>Middle Term Self-e</w:t>
      </w:r>
      <w:r w:rsidR="00A662B4" w:rsidRPr="0095252E">
        <w:rPr>
          <w:rFonts w:ascii="Gotham Bold" w:hAnsi="Gotham Bold"/>
          <w:b/>
          <w:bCs/>
          <w:color w:val="000000"/>
          <w:sz w:val="32"/>
          <w:szCs w:val="32"/>
          <w:lang w:val="en-US"/>
        </w:rPr>
        <w:t>valuation Report</w:t>
      </w:r>
    </w:p>
    <w:p w:rsidR="003D2BC9" w:rsidRPr="0095252E" w:rsidRDefault="00A662B4" w:rsidP="00627CC2">
      <w:pPr>
        <w:autoSpaceDE w:val="0"/>
        <w:autoSpaceDN w:val="0"/>
        <w:spacing w:after="0"/>
        <w:rPr>
          <w:rFonts w:ascii="Gotham Bold" w:hAnsi="Gotham Bold"/>
          <w:b/>
          <w:bCs/>
          <w:color w:val="000000"/>
          <w:sz w:val="32"/>
          <w:szCs w:val="32"/>
          <w:lang w:val="en-US"/>
        </w:rPr>
      </w:pPr>
      <w:r w:rsidRPr="0095252E">
        <w:rPr>
          <w:rFonts w:ascii="Gotham Bold" w:hAnsi="Gotham Bold"/>
          <w:b/>
          <w:bCs/>
          <w:color w:val="000000"/>
          <w:sz w:val="32"/>
          <w:szCs w:val="32"/>
          <w:lang w:val="en-US"/>
        </w:rPr>
        <w:t>National Action Plan</w:t>
      </w:r>
    </w:p>
    <w:p w:rsidR="003D2BC9" w:rsidRPr="0095252E" w:rsidRDefault="003D2BC9" w:rsidP="00627CC2">
      <w:pPr>
        <w:autoSpaceDE w:val="0"/>
        <w:autoSpaceDN w:val="0"/>
        <w:spacing w:after="0"/>
        <w:rPr>
          <w:rFonts w:ascii="Gotham Bold" w:hAnsi="Gotham Bold"/>
          <w:b/>
          <w:bCs/>
          <w:color w:val="000000"/>
          <w:sz w:val="32"/>
          <w:szCs w:val="32"/>
          <w:lang w:val="en-US"/>
        </w:rPr>
      </w:pPr>
      <w:r w:rsidRPr="0095252E">
        <w:rPr>
          <w:rFonts w:ascii="Gotham Bold" w:hAnsi="Gotham Bold"/>
          <w:b/>
          <w:bCs/>
          <w:color w:val="000000"/>
          <w:sz w:val="32"/>
          <w:szCs w:val="32"/>
          <w:lang w:val="en-US"/>
        </w:rPr>
        <w:t>201</w:t>
      </w:r>
      <w:r w:rsidR="00627CC2" w:rsidRPr="0095252E">
        <w:rPr>
          <w:rFonts w:ascii="Gotham Bold" w:hAnsi="Gotham Bold"/>
          <w:b/>
          <w:bCs/>
          <w:color w:val="000000"/>
          <w:sz w:val="32"/>
          <w:szCs w:val="32"/>
          <w:lang w:val="en-US"/>
        </w:rPr>
        <w:t>5</w:t>
      </w:r>
      <w:r w:rsidRPr="0095252E">
        <w:rPr>
          <w:rFonts w:ascii="Gotham Bold" w:hAnsi="Gotham Bold"/>
          <w:b/>
          <w:bCs/>
          <w:color w:val="000000"/>
          <w:sz w:val="32"/>
          <w:szCs w:val="32"/>
          <w:lang w:val="en-US"/>
        </w:rPr>
        <w:t>-201</w:t>
      </w:r>
      <w:r w:rsidR="00627CC2" w:rsidRPr="0095252E">
        <w:rPr>
          <w:rFonts w:ascii="Gotham Bold" w:hAnsi="Gotham Bold"/>
          <w:b/>
          <w:bCs/>
          <w:color w:val="000000"/>
          <w:sz w:val="32"/>
          <w:szCs w:val="32"/>
          <w:lang w:val="en-US"/>
        </w:rPr>
        <w:t>6</w:t>
      </w:r>
    </w:p>
    <w:p w:rsidR="003D2BC9" w:rsidRPr="0095252E" w:rsidRDefault="003D2BC9" w:rsidP="003D2BC9">
      <w:pPr>
        <w:autoSpaceDE w:val="0"/>
        <w:autoSpaceDN w:val="0"/>
        <w:jc w:val="center"/>
        <w:rPr>
          <w:rFonts w:ascii="Gotham Bold" w:hAnsi="Gotham Bold"/>
          <w:b/>
          <w:bCs/>
          <w:color w:val="000000"/>
          <w:sz w:val="32"/>
          <w:szCs w:val="32"/>
          <w:lang w:val="en-US"/>
        </w:rPr>
      </w:pPr>
      <w:r w:rsidRPr="0095252E">
        <w:rPr>
          <w:rFonts w:ascii="Gotham Bold" w:hAnsi="Gotham Bold"/>
          <w:b/>
          <w:bCs/>
          <w:noProof/>
          <w:color w:val="000000"/>
          <w:sz w:val="32"/>
          <w:szCs w:val="32"/>
          <w:lang w:val="es-ES" w:eastAsia="es-ES"/>
        </w:rPr>
        <w:drawing>
          <wp:anchor distT="0" distB="0" distL="114300" distR="114300" simplePos="0" relativeHeight="251655680" behindDoc="1" locked="0" layoutInCell="1" allowOverlap="1" wp14:anchorId="6969A398" wp14:editId="14B5DBF5">
            <wp:simplePos x="0" y="0"/>
            <wp:positionH relativeFrom="page">
              <wp:align>left</wp:align>
            </wp:positionH>
            <wp:positionV relativeFrom="paragraph">
              <wp:posOffset>419716</wp:posOffset>
            </wp:positionV>
            <wp:extent cx="8099425" cy="271145"/>
            <wp:effectExtent l="0" t="0" r="0" b="0"/>
            <wp:wrapTight wrapText="bothSides">
              <wp:wrapPolygon edited="0">
                <wp:start x="0" y="0"/>
                <wp:lineTo x="0" y="19728"/>
                <wp:lineTo x="21541" y="19728"/>
                <wp:lineTo x="21541" y="0"/>
                <wp:lineTo x="0" y="0"/>
              </wp:wrapPolygon>
            </wp:wrapTight>
            <wp:docPr id="1" name="Imagen 1" descr="cid:image002.jpg@01D21359.D6CC0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21359.D6CC0E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099425" cy="271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2BC9" w:rsidRPr="0095252E" w:rsidRDefault="003D2BC9" w:rsidP="001E7FBA">
      <w:pPr>
        <w:autoSpaceDE w:val="0"/>
        <w:autoSpaceDN w:val="0"/>
        <w:jc w:val="right"/>
        <w:rPr>
          <w:rFonts w:ascii="Gotham Bold" w:hAnsi="Gotham Bold"/>
          <w:b/>
          <w:bCs/>
          <w:color w:val="000000"/>
          <w:sz w:val="32"/>
          <w:szCs w:val="32"/>
          <w:lang w:val="en-US"/>
        </w:rPr>
      </w:pPr>
      <w:r w:rsidRPr="0095252E">
        <w:rPr>
          <w:rFonts w:ascii="Gotham Bold" w:hAnsi="Gotham Bold"/>
          <w:b/>
          <w:bCs/>
          <w:color w:val="000000"/>
          <w:sz w:val="32"/>
          <w:szCs w:val="32"/>
          <w:lang w:val="en-US"/>
        </w:rPr>
        <w:t>Se</w:t>
      </w:r>
      <w:r w:rsidR="00A662B4" w:rsidRPr="0095252E">
        <w:rPr>
          <w:rFonts w:ascii="Gotham Bold" w:hAnsi="Gotham Bold"/>
          <w:b/>
          <w:bCs/>
          <w:color w:val="000000"/>
          <w:sz w:val="32"/>
          <w:szCs w:val="32"/>
          <w:lang w:val="en-US"/>
        </w:rPr>
        <w:t>ptember</w:t>
      </w:r>
      <w:r w:rsidRPr="0095252E">
        <w:rPr>
          <w:rFonts w:ascii="Gotham Bold" w:hAnsi="Gotham Bold"/>
          <w:b/>
          <w:bCs/>
          <w:color w:val="000000"/>
          <w:sz w:val="32"/>
          <w:szCs w:val="32"/>
          <w:lang w:val="en-US"/>
        </w:rPr>
        <w:t xml:space="preserve"> 201</w:t>
      </w:r>
      <w:r w:rsidR="00627CC2" w:rsidRPr="0095252E">
        <w:rPr>
          <w:rFonts w:ascii="Gotham Bold" w:hAnsi="Gotham Bold"/>
          <w:b/>
          <w:bCs/>
          <w:color w:val="000000"/>
          <w:sz w:val="32"/>
          <w:szCs w:val="32"/>
          <w:lang w:val="en-US"/>
        </w:rPr>
        <w:t>6</w:t>
      </w:r>
    </w:p>
    <w:p w:rsidR="00095484" w:rsidRPr="0095252E" w:rsidRDefault="00095484" w:rsidP="003D2BC9">
      <w:pPr>
        <w:autoSpaceDE w:val="0"/>
        <w:autoSpaceDN w:val="0"/>
        <w:jc w:val="right"/>
        <w:rPr>
          <w:rFonts w:ascii="Gotham Bold" w:hAnsi="Gotham Bold"/>
          <w:b/>
          <w:bCs/>
          <w:color w:val="000000"/>
          <w:sz w:val="32"/>
          <w:szCs w:val="32"/>
          <w:lang w:val="en-US"/>
        </w:rPr>
      </w:pPr>
    </w:p>
    <w:p w:rsidR="00F04869" w:rsidRPr="0095252E" w:rsidRDefault="00A56D20" w:rsidP="003A3ABE">
      <w:pPr>
        <w:numPr>
          <w:ilvl w:val="0"/>
          <w:numId w:val="5"/>
        </w:numPr>
        <w:autoSpaceDE w:val="0"/>
        <w:autoSpaceDN w:val="0"/>
        <w:adjustRightInd w:val="0"/>
        <w:spacing w:after="0" w:line="240" w:lineRule="auto"/>
        <w:ind w:left="284"/>
        <w:rPr>
          <w:i/>
          <w:sz w:val="28"/>
          <w:szCs w:val="28"/>
          <w:lang w:val="en-US"/>
        </w:rPr>
      </w:pPr>
      <w:r w:rsidRPr="0095252E">
        <w:rPr>
          <w:rFonts w:cs="Gotham Bold"/>
          <w:b/>
          <w:i/>
          <w:color w:val="000000"/>
          <w:sz w:val="28"/>
          <w:szCs w:val="28"/>
          <w:lang w:val="en-US"/>
        </w:rPr>
        <w:lastRenderedPageBreak/>
        <w:t>Introduc</w:t>
      </w:r>
      <w:r w:rsidR="00A662B4" w:rsidRPr="0095252E">
        <w:rPr>
          <w:rFonts w:cs="Gotham Bold"/>
          <w:b/>
          <w:i/>
          <w:color w:val="000000"/>
          <w:sz w:val="28"/>
          <w:szCs w:val="28"/>
          <w:lang w:val="en-US"/>
        </w:rPr>
        <w:t>tion and background</w:t>
      </w:r>
      <w:bookmarkEnd w:id="0"/>
      <w:bookmarkEnd w:id="1"/>
      <w:bookmarkEnd w:id="2"/>
      <w:bookmarkEnd w:id="3"/>
      <w:bookmarkEnd w:id="4"/>
      <w:bookmarkEnd w:id="5"/>
      <w:bookmarkEnd w:id="6"/>
      <w:bookmarkEnd w:id="7"/>
      <w:bookmarkEnd w:id="8"/>
    </w:p>
    <w:p w:rsidR="009620B4" w:rsidRPr="0095252E" w:rsidRDefault="009620B4" w:rsidP="009620B4">
      <w:pPr>
        <w:autoSpaceDE w:val="0"/>
        <w:autoSpaceDN w:val="0"/>
        <w:adjustRightInd w:val="0"/>
        <w:spacing w:after="0" w:line="240" w:lineRule="auto"/>
        <w:ind w:left="284"/>
        <w:rPr>
          <w:i/>
          <w:sz w:val="28"/>
          <w:szCs w:val="28"/>
          <w:lang w:val="en-US"/>
        </w:rPr>
      </w:pPr>
    </w:p>
    <w:p w:rsidR="003E0C45" w:rsidRPr="0095252E" w:rsidRDefault="00A662B4" w:rsidP="003E0C45">
      <w:pPr>
        <w:pStyle w:val="Prrafodelista"/>
        <w:spacing w:line="240" w:lineRule="auto"/>
        <w:ind w:left="284"/>
        <w:jc w:val="both"/>
        <w:rPr>
          <w:rFonts w:cs="Arial"/>
          <w:shd w:val="clear" w:color="auto" w:fill="FFFFFF"/>
          <w:lang w:val="en-US"/>
        </w:rPr>
      </w:pPr>
      <w:r w:rsidRPr="0095252E">
        <w:rPr>
          <w:rFonts w:cs="Arial"/>
          <w:shd w:val="clear" w:color="auto" w:fill="FFFFFF"/>
          <w:lang w:val="en-US"/>
        </w:rPr>
        <w:t xml:space="preserve">The </w:t>
      </w:r>
      <w:r w:rsidR="003E0C45" w:rsidRPr="0095252E">
        <w:rPr>
          <w:rFonts w:cs="Arial"/>
          <w:shd w:val="clear" w:color="auto" w:fill="FFFFFF"/>
          <w:lang w:val="en-US"/>
        </w:rPr>
        <w:t>Open Government Partnership</w:t>
      </w:r>
      <w:r w:rsidR="00634011" w:rsidRPr="0095252E">
        <w:rPr>
          <w:rFonts w:cs="Arial"/>
          <w:shd w:val="clear" w:color="auto" w:fill="FFFFFF"/>
          <w:lang w:val="en-US"/>
        </w:rPr>
        <w:t xml:space="preserve"> is a global initiative </w:t>
      </w:r>
      <w:r w:rsidR="00736DB9" w:rsidRPr="0095252E">
        <w:rPr>
          <w:rFonts w:cs="Arial"/>
          <w:shd w:val="clear" w:color="auto" w:fill="FFFFFF"/>
          <w:lang w:val="en-US"/>
        </w:rPr>
        <w:t>aiming</w:t>
      </w:r>
      <w:r w:rsidR="00634011" w:rsidRPr="0095252E">
        <w:rPr>
          <w:rFonts w:cs="Arial"/>
          <w:shd w:val="clear" w:color="auto" w:fill="FFFFFF"/>
          <w:lang w:val="en-US"/>
        </w:rPr>
        <w:t xml:space="preserve"> to improve the transparency levels by means of </w:t>
      </w:r>
      <w:r w:rsidR="00A52E5B" w:rsidRPr="0095252E">
        <w:rPr>
          <w:rFonts w:cs="Arial"/>
          <w:shd w:val="clear" w:color="auto" w:fill="FFFFFF"/>
          <w:lang w:val="en-US"/>
        </w:rPr>
        <w:t>opening the access to information that allows the public administration to hold accountable</w:t>
      </w:r>
      <w:r w:rsidR="00DD6B7C" w:rsidRPr="0095252E">
        <w:rPr>
          <w:rFonts w:cs="Arial"/>
          <w:shd w:val="clear" w:color="auto" w:fill="FFFFFF"/>
          <w:lang w:val="en-US"/>
        </w:rPr>
        <w:t xml:space="preserve"> and also it would allow the citizenship to execute a proper social control and to participate in </w:t>
      </w:r>
      <w:r w:rsidR="00736DB9" w:rsidRPr="0095252E">
        <w:rPr>
          <w:rFonts w:cs="Arial"/>
          <w:shd w:val="clear" w:color="auto" w:fill="FFFFFF"/>
          <w:lang w:val="en-US"/>
        </w:rPr>
        <w:t>the</w:t>
      </w:r>
      <w:r w:rsidR="00DD6B7C" w:rsidRPr="0095252E">
        <w:rPr>
          <w:rFonts w:cs="Arial"/>
          <w:shd w:val="clear" w:color="auto" w:fill="FFFFFF"/>
          <w:lang w:val="en-US"/>
        </w:rPr>
        <w:t xml:space="preserve"> design and </w:t>
      </w:r>
      <w:r w:rsidR="00736DB9" w:rsidRPr="0095252E">
        <w:rPr>
          <w:rFonts w:cs="Arial"/>
          <w:shd w:val="clear" w:color="auto" w:fill="FFFFFF"/>
          <w:lang w:val="en-US"/>
        </w:rPr>
        <w:t>implementation</w:t>
      </w:r>
      <w:r w:rsidR="00DD6B7C" w:rsidRPr="0095252E">
        <w:rPr>
          <w:rFonts w:cs="Arial"/>
          <w:shd w:val="clear" w:color="auto" w:fill="FFFFFF"/>
          <w:lang w:val="en-US"/>
        </w:rPr>
        <w:t xml:space="preserve"> of the public policies, in favor of the collaboration spaces between the public </w:t>
      </w:r>
      <w:r w:rsidR="00736DB9" w:rsidRPr="0095252E">
        <w:rPr>
          <w:rFonts w:cs="Arial"/>
          <w:shd w:val="clear" w:color="auto" w:fill="FFFFFF"/>
          <w:lang w:val="en-US"/>
        </w:rPr>
        <w:t>entities</w:t>
      </w:r>
      <w:r w:rsidR="00DD6B7C" w:rsidRPr="0095252E">
        <w:rPr>
          <w:rFonts w:cs="Arial"/>
          <w:shd w:val="clear" w:color="auto" w:fill="FFFFFF"/>
          <w:lang w:val="en-US"/>
        </w:rPr>
        <w:t xml:space="preserve"> and the civil </w:t>
      </w:r>
      <w:r w:rsidR="00736DB9" w:rsidRPr="0095252E">
        <w:rPr>
          <w:rFonts w:cs="Arial"/>
          <w:shd w:val="clear" w:color="auto" w:fill="FFFFFF"/>
          <w:lang w:val="en-US"/>
        </w:rPr>
        <w:t>society.</w:t>
      </w:r>
    </w:p>
    <w:p w:rsidR="009620B4" w:rsidRPr="0095252E" w:rsidRDefault="009620B4" w:rsidP="009620B4">
      <w:pPr>
        <w:pStyle w:val="Prrafodelista"/>
        <w:spacing w:line="240" w:lineRule="auto"/>
        <w:ind w:left="284"/>
        <w:jc w:val="both"/>
        <w:rPr>
          <w:rFonts w:cs="Arial"/>
          <w:shd w:val="clear" w:color="auto" w:fill="FFFFFF"/>
          <w:lang w:val="en-US"/>
        </w:rPr>
      </w:pPr>
    </w:p>
    <w:p w:rsidR="00C5666D" w:rsidRPr="0095252E" w:rsidRDefault="00736DB9" w:rsidP="003E0C45">
      <w:pPr>
        <w:pStyle w:val="Prrafodelista"/>
        <w:spacing w:line="240" w:lineRule="auto"/>
        <w:ind w:left="284"/>
        <w:jc w:val="both"/>
        <w:rPr>
          <w:rFonts w:cs="Arial"/>
          <w:shd w:val="clear" w:color="auto" w:fill="FFFFFF"/>
          <w:lang w:val="en-US"/>
        </w:rPr>
      </w:pPr>
      <w:r w:rsidRPr="0095252E">
        <w:rPr>
          <w:rFonts w:cs="Arial"/>
          <w:shd w:val="clear" w:color="auto" w:fill="FFFFFF"/>
          <w:lang w:val="en-US"/>
        </w:rPr>
        <w:t xml:space="preserve">Peru has been incorporated as a member of the Open Government </w:t>
      </w:r>
      <w:r w:rsidR="00FC30C6" w:rsidRPr="0095252E">
        <w:rPr>
          <w:rFonts w:cs="Arial"/>
          <w:shd w:val="clear" w:color="auto" w:fill="FFFFFF"/>
          <w:lang w:val="en-US"/>
        </w:rPr>
        <w:t>Partnership</w:t>
      </w:r>
      <w:r w:rsidRPr="0095252E">
        <w:rPr>
          <w:rFonts w:cs="Arial"/>
          <w:shd w:val="clear" w:color="auto" w:fill="FFFFFF"/>
          <w:lang w:val="en-US"/>
        </w:rPr>
        <w:t xml:space="preserve"> on April, 2012, which will be accomplished developing an Action Plan which includes commitments regarding </w:t>
      </w:r>
      <w:r w:rsidR="00FC30C6" w:rsidRPr="0095252E">
        <w:rPr>
          <w:rFonts w:cs="Arial"/>
          <w:shd w:val="clear" w:color="auto" w:fill="FFFFFF"/>
          <w:lang w:val="en-US"/>
        </w:rPr>
        <w:t>transparency</w:t>
      </w:r>
      <w:r w:rsidRPr="0095252E">
        <w:rPr>
          <w:rFonts w:cs="Arial"/>
          <w:shd w:val="clear" w:color="auto" w:fill="FFFFFF"/>
          <w:lang w:val="en-US"/>
        </w:rPr>
        <w:t xml:space="preserve"> and </w:t>
      </w:r>
      <w:r w:rsidR="00300607" w:rsidRPr="0095252E">
        <w:rPr>
          <w:rFonts w:cs="Arial"/>
          <w:shd w:val="clear" w:color="auto" w:fill="FFFFFF"/>
          <w:lang w:val="en-US"/>
        </w:rPr>
        <w:t>public information a</w:t>
      </w:r>
      <w:r w:rsidR="00643370" w:rsidRPr="0095252E">
        <w:rPr>
          <w:rFonts w:cs="Arial"/>
          <w:shd w:val="clear" w:color="auto" w:fill="FFFFFF"/>
          <w:lang w:val="en-US"/>
        </w:rPr>
        <w:t xml:space="preserve">ccess, public integrity, electronic government and the promotion of the development of </w:t>
      </w:r>
      <w:r w:rsidR="00FC30C6" w:rsidRPr="0095252E">
        <w:rPr>
          <w:rFonts w:cs="Arial"/>
          <w:shd w:val="clear" w:color="auto" w:fill="FFFFFF"/>
          <w:lang w:val="en-US"/>
        </w:rPr>
        <w:t>new</w:t>
      </w:r>
      <w:r w:rsidR="00643370" w:rsidRPr="0095252E">
        <w:rPr>
          <w:rFonts w:cs="Arial"/>
          <w:shd w:val="clear" w:color="auto" w:fill="FFFFFF"/>
          <w:lang w:val="en-US"/>
        </w:rPr>
        <w:t xml:space="preserve"> technologies, participation, and </w:t>
      </w:r>
      <w:r w:rsidR="00217E5E" w:rsidRPr="0095252E">
        <w:rPr>
          <w:rFonts w:cs="Arial"/>
          <w:shd w:val="clear" w:color="auto" w:fill="FFFFFF"/>
          <w:lang w:val="en-US"/>
        </w:rPr>
        <w:t>performance report</w:t>
      </w:r>
      <w:r w:rsidR="00643370" w:rsidRPr="0095252E">
        <w:rPr>
          <w:rFonts w:cs="Arial"/>
          <w:shd w:val="clear" w:color="auto" w:fill="FFFFFF"/>
          <w:lang w:val="en-US"/>
        </w:rPr>
        <w:t>. On April 10, 2012, the first 2012-</w:t>
      </w:r>
      <w:r w:rsidR="00FC30C6" w:rsidRPr="0095252E">
        <w:rPr>
          <w:rFonts w:cs="Arial"/>
          <w:shd w:val="clear" w:color="auto" w:fill="FFFFFF"/>
          <w:lang w:val="en-US"/>
        </w:rPr>
        <w:t xml:space="preserve">2014 Action </w:t>
      </w:r>
      <w:r w:rsidR="00C1707E" w:rsidRPr="0095252E">
        <w:rPr>
          <w:rFonts w:cs="Arial"/>
          <w:shd w:val="clear" w:color="auto" w:fill="FFFFFF"/>
          <w:lang w:val="en-US"/>
        </w:rPr>
        <w:t>Plan was</w:t>
      </w:r>
      <w:r w:rsidR="00FC30C6" w:rsidRPr="0095252E">
        <w:rPr>
          <w:rFonts w:cs="Arial"/>
          <w:shd w:val="clear" w:color="auto" w:fill="FFFFFF"/>
          <w:lang w:val="en-US"/>
        </w:rPr>
        <w:t xml:space="preserve"> approved by me</w:t>
      </w:r>
      <w:r w:rsidR="007D02E0" w:rsidRPr="0095252E">
        <w:rPr>
          <w:rFonts w:cs="Arial"/>
          <w:shd w:val="clear" w:color="auto" w:fill="FFFFFF"/>
          <w:lang w:val="en-US"/>
        </w:rPr>
        <w:t>ans of Ministerial Resolution No.</w:t>
      </w:r>
      <w:r w:rsidR="00FC30C6" w:rsidRPr="0095252E">
        <w:rPr>
          <w:rFonts w:cs="Arial"/>
          <w:shd w:val="clear" w:color="auto" w:fill="FFFFFF"/>
          <w:lang w:val="en-US"/>
        </w:rPr>
        <w:t xml:space="preserve"> 085-2012-PCM, which was </w:t>
      </w:r>
      <w:r w:rsidR="00300607" w:rsidRPr="0095252E">
        <w:rPr>
          <w:rFonts w:cs="Arial"/>
          <w:shd w:val="clear" w:color="auto" w:fill="FFFFFF"/>
          <w:lang w:val="en-US"/>
        </w:rPr>
        <w:t xml:space="preserve">prepared </w:t>
      </w:r>
      <w:r w:rsidR="00FC30C6" w:rsidRPr="0095252E">
        <w:rPr>
          <w:rFonts w:cs="Arial"/>
          <w:shd w:val="clear" w:color="auto" w:fill="FFFFFF"/>
          <w:lang w:val="en-US"/>
        </w:rPr>
        <w:t>according to the requirements</w:t>
      </w:r>
      <w:r w:rsidR="007D02E0" w:rsidRPr="0095252E">
        <w:rPr>
          <w:rFonts w:cs="Arial"/>
          <w:shd w:val="clear" w:color="auto" w:fill="FFFFFF"/>
          <w:lang w:val="en-US"/>
        </w:rPr>
        <w:t xml:space="preserve"> estab</w:t>
      </w:r>
      <w:r w:rsidR="00C5666D" w:rsidRPr="0095252E">
        <w:rPr>
          <w:rFonts w:cs="Arial"/>
          <w:shd w:val="clear" w:color="auto" w:fill="FFFFFF"/>
          <w:lang w:val="en-US"/>
        </w:rPr>
        <w:t>lished by the Partnership, in a participative fashion and in favor of the integration of di</w:t>
      </w:r>
      <w:r w:rsidR="007D02E0" w:rsidRPr="0095252E">
        <w:rPr>
          <w:rFonts w:cs="Arial"/>
          <w:shd w:val="clear" w:color="auto" w:fill="FFFFFF"/>
          <w:lang w:val="en-US"/>
        </w:rPr>
        <w:t>f</w:t>
      </w:r>
      <w:r w:rsidR="00C5666D" w:rsidRPr="0095252E">
        <w:rPr>
          <w:rFonts w:cs="Arial"/>
          <w:shd w:val="clear" w:color="auto" w:fill="FFFFFF"/>
          <w:lang w:val="en-US"/>
        </w:rPr>
        <w:t>ferent sectors and representatives of the civil society and the business unions.</w:t>
      </w:r>
    </w:p>
    <w:p w:rsidR="009620B4" w:rsidRPr="0095252E" w:rsidRDefault="009620B4" w:rsidP="009620B4">
      <w:pPr>
        <w:pStyle w:val="Prrafodelista"/>
        <w:spacing w:line="240" w:lineRule="auto"/>
        <w:ind w:left="284"/>
        <w:jc w:val="both"/>
        <w:rPr>
          <w:rFonts w:cs="Arial"/>
          <w:shd w:val="clear" w:color="auto" w:fill="FFFFFF"/>
          <w:lang w:val="en-US"/>
        </w:rPr>
      </w:pPr>
    </w:p>
    <w:p w:rsidR="00C5666D" w:rsidRPr="0095252E" w:rsidRDefault="00C5666D" w:rsidP="009620B4">
      <w:pPr>
        <w:pStyle w:val="Prrafodelista"/>
        <w:spacing w:line="240" w:lineRule="auto"/>
        <w:ind w:left="284"/>
        <w:jc w:val="both"/>
        <w:rPr>
          <w:rFonts w:cs="Arial"/>
          <w:shd w:val="clear" w:color="auto" w:fill="FFFFFF"/>
          <w:lang w:val="en-US"/>
        </w:rPr>
      </w:pPr>
      <w:r w:rsidRPr="0095252E">
        <w:rPr>
          <w:rFonts w:cs="Arial"/>
          <w:shd w:val="clear" w:color="auto" w:fill="FFFFFF"/>
          <w:lang w:val="en-US"/>
        </w:rPr>
        <w:t xml:space="preserve">In this regard, </w:t>
      </w:r>
      <w:r w:rsidR="00300607" w:rsidRPr="0095252E">
        <w:rPr>
          <w:rFonts w:cs="Arial"/>
          <w:shd w:val="clear" w:color="auto" w:fill="FFFFFF"/>
          <w:lang w:val="en-US"/>
        </w:rPr>
        <w:t>we</w:t>
      </w:r>
      <w:r w:rsidRPr="0095252E">
        <w:rPr>
          <w:rFonts w:cs="Arial"/>
          <w:shd w:val="clear" w:color="auto" w:fill="FFFFFF"/>
          <w:lang w:val="en-US"/>
        </w:rPr>
        <w:t xml:space="preserve"> consider the Open Government as the entity that creates a constant dialogue with the citizens in order to listen to them and to take decisi</w:t>
      </w:r>
      <w:r w:rsidR="001A62C9" w:rsidRPr="0095252E">
        <w:rPr>
          <w:rFonts w:cs="Arial"/>
          <w:shd w:val="clear" w:color="auto" w:fill="FFFFFF"/>
          <w:lang w:val="en-US"/>
        </w:rPr>
        <w:t xml:space="preserve">ons based on their needs, </w:t>
      </w:r>
      <w:r w:rsidR="00300607" w:rsidRPr="0095252E">
        <w:rPr>
          <w:rFonts w:cs="Arial"/>
          <w:shd w:val="clear" w:color="auto" w:fill="FFFFFF"/>
          <w:lang w:val="en-US"/>
        </w:rPr>
        <w:t xml:space="preserve">facilitating </w:t>
      </w:r>
      <w:r w:rsidR="001A62C9" w:rsidRPr="0095252E">
        <w:rPr>
          <w:rFonts w:cs="Arial"/>
          <w:shd w:val="clear" w:color="auto" w:fill="FFFFFF"/>
          <w:lang w:val="en-US"/>
        </w:rPr>
        <w:t>the collaboration between offic</w:t>
      </w:r>
      <w:r w:rsidR="00300607" w:rsidRPr="0095252E">
        <w:rPr>
          <w:rFonts w:cs="Arial"/>
          <w:shd w:val="clear" w:color="auto" w:fill="FFFFFF"/>
          <w:lang w:val="en-US"/>
        </w:rPr>
        <w:t>ials</w:t>
      </w:r>
      <w:r w:rsidR="001A62C9" w:rsidRPr="0095252E">
        <w:rPr>
          <w:rFonts w:cs="Arial"/>
          <w:shd w:val="clear" w:color="auto" w:fill="FFFFFF"/>
          <w:lang w:val="en-US"/>
        </w:rPr>
        <w:t xml:space="preserve"> and the citizens during the development of services provided by the Government and </w:t>
      </w:r>
      <w:r w:rsidR="00ED6439" w:rsidRPr="0095252E">
        <w:rPr>
          <w:rFonts w:cs="Arial"/>
          <w:shd w:val="clear" w:color="auto" w:fill="FFFFFF"/>
          <w:lang w:val="en-US"/>
        </w:rPr>
        <w:t>reporting</w:t>
      </w:r>
      <w:r w:rsidR="00300607" w:rsidRPr="0095252E">
        <w:rPr>
          <w:rFonts w:cs="Arial"/>
          <w:shd w:val="clear" w:color="auto" w:fill="FFFFFF"/>
          <w:lang w:val="en-US"/>
        </w:rPr>
        <w:t xml:space="preserve"> </w:t>
      </w:r>
      <w:r w:rsidR="00ED6439" w:rsidRPr="0095252E">
        <w:rPr>
          <w:rFonts w:cs="Arial"/>
          <w:shd w:val="clear" w:color="auto" w:fill="FFFFFF"/>
          <w:lang w:val="en-US"/>
        </w:rPr>
        <w:t xml:space="preserve">the </w:t>
      </w:r>
      <w:r w:rsidR="00300607" w:rsidRPr="0095252E">
        <w:rPr>
          <w:rFonts w:cs="Arial"/>
          <w:shd w:val="clear" w:color="auto" w:fill="FFFFFF"/>
          <w:lang w:val="en-US"/>
        </w:rPr>
        <w:t xml:space="preserve">agreements </w:t>
      </w:r>
      <w:r w:rsidR="001A62C9" w:rsidRPr="0095252E">
        <w:rPr>
          <w:rFonts w:cs="Arial"/>
          <w:shd w:val="clear" w:color="auto" w:fill="FFFFFF"/>
          <w:lang w:val="en-US"/>
        </w:rPr>
        <w:t xml:space="preserve">accepted and the commitments assumed </w:t>
      </w:r>
      <w:r w:rsidR="00301F4A" w:rsidRPr="0095252E">
        <w:rPr>
          <w:rFonts w:cs="Arial"/>
          <w:shd w:val="clear" w:color="auto" w:fill="FFFFFF"/>
          <w:lang w:val="en-US"/>
        </w:rPr>
        <w:t xml:space="preserve">to strengthen the institutionality and the </w:t>
      </w:r>
      <w:r w:rsidR="00ED6439" w:rsidRPr="0095252E">
        <w:rPr>
          <w:rFonts w:cs="Arial"/>
          <w:shd w:val="clear" w:color="auto" w:fill="FFFFFF"/>
          <w:lang w:val="en-US"/>
        </w:rPr>
        <w:t xml:space="preserve">management of </w:t>
      </w:r>
      <w:r w:rsidR="00F00205" w:rsidRPr="0095252E">
        <w:rPr>
          <w:rFonts w:cs="Arial"/>
          <w:shd w:val="clear" w:color="auto" w:fill="FFFFFF"/>
          <w:lang w:val="en-US"/>
        </w:rPr>
        <w:t>public matters to improve</w:t>
      </w:r>
      <w:r w:rsidR="00ED6439" w:rsidRPr="0095252E">
        <w:rPr>
          <w:rFonts w:cs="Arial"/>
          <w:shd w:val="clear" w:color="auto" w:fill="FFFFFF"/>
          <w:lang w:val="en-US"/>
        </w:rPr>
        <w:t xml:space="preserve"> the citizens’</w:t>
      </w:r>
      <w:r w:rsidR="00C1707E" w:rsidRPr="0095252E">
        <w:rPr>
          <w:rFonts w:cs="Arial"/>
          <w:shd w:val="clear" w:color="auto" w:fill="FFFFFF"/>
          <w:lang w:val="en-US"/>
        </w:rPr>
        <w:t xml:space="preserve"> quality of life.</w:t>
      </w:r>
    </w:p>
    <w:p w:rsidR="009620B4" w:rsidRPr="0095252E" w:rsidRDefault="009620B4" w:rsidP="009620B4">
      <w:pPr>
        <w:pStyle w:val="Prrafodelista"/>
        <w:spacing w:line="240" w:lineRule="auto"/>
        <w:ind w:left="284"/>
        <w:jc w:val="both"/>
        <w:rPr>
          <w:rFonts w:cs="Arial"/>
          <w:shd w:val="clear" w:color="auto" w:fill="FFFFFF"/>
          <w:lang w:val="en-US"/>
        </w:rPr>
      </w:pPr>
    </w:p>
    <w:p w:rsidR="00617CDE" w:rsidRPr="0095252E" w:rsidRDefault="00C1707E" w:rsidP="009620B4">
      <w:pPr>
        <w:pStyle w:val="Prrafodelista"/>
        <w:spacing w:line="240" w:lineRule="auto"/>
        <w:ind w:left="284"/>
        <w:jc w:val="both"/>
        <w:rPr>
          <w:rFonts w:cs="Arial"/>
          <w:shd w:val="clear" w:color="auto" w:fill="FFFFFF"/>
          <w:lang w:val="en-US"/>
        </w:rPr>
      </w:pPr>
      <w:r w:rsidRPr="0095252E">
        <w:rPr>
          <w:rFonts w:cs="Arial"/>
          <w:shd w:val="clear" w:color="auto" w:fill="FFFFFF"/>
          <w:lang w:val="en-US"/>
        </w:rPr>
        <w:t>The Op</w:t>
      </w:r>
      <w:r w:rsidR="00946542" w:rsidRPr="0095252E">
        <w:rPr>
          <w:rFonts w:cs="Arial"/>
          <w:shd w:val="clear" w:color="auto" w:fill="FFFFFF"/>
          <w:lang w:val="en-US"/>
        </w:rPr>
        <w:t>en Government is a key element fo</w:t>
      </w:r>
      <w:r w:rsidRPr="0095252E">
        <w:rPr>
          <w:rFonts w:cs="Arial"/>
          <w:shd w:val="clear" w:color="auto" w:fill="FFFFFF"/>
          <w:lang w:val="en-US"/>
        </w:rPr>
        <w:t>r</w:t>
      </w:r>
      <w:r w:rsidR="00946542" w:rsidRPr="0095252E">
        <w:rPr>
          <w:rFonts w:cs="Arial"/>
          <w:shd w:val="clear" w:color="auto" w:fill="FFFFFF"/>
          <w:lang w:val="en-US"/>
        </w:rPr>
        <w:t xml:space="preserve"> </w:t>
      </w:r>
      <w:r w:rsidRPr="0095252E">
        <w:rPr>
          <w:rFonts w:cs="Arial"/>
          <w:shd w:val="clear" w:color="auto" w:fill="FFFFFF"/>
          <w:lang w:val="en-US"/>
        </w:rPr>
        <w:t xml:space="preserve">the </w:t>
      </w:r>
      <w:r w:rsidR="00946542" w:rsidRPr="0095252E">
        <w:rPr>
          <w:rFonts w:cs="Arial"/>
          <w:shd w:val="clear" w:color="auto" w:fill="FFFFFF"/>
          <w:lang w:val="en-US"/>
        </w:rPr>
        <w:t xml:space="preserve">National </w:t>
      </w:r>
      <w:r w:rsidR="00ED6439" w:rsidRPr="0095252E">
        <w:rPr>
          <w:rFonts w:cs="Arial"/>
          <w:shd w:val="clear" w:color="auto" w:fill="FFFFFF"/>
          <w:lang w:val="en-US"/>
        </w:rPr>
        <w:t xml:space="preserve">Modernization </w:t>
      </w:r>
      <w:r w:rsidR="00946542" w:rsidRPr="0095252E">
        <w:rPr>
          <w:rFonts w:cs="Arial"/>
          <w:shd w:val="clear" w:color="auto" w:fill="FFFFFF"/>
          <w:lang w:val="en-US"/>
        </w:rPr>
        <w:t>Policy, approved by</w:t>
      </w:r>
      <w:r w:rsidR="00ED6439" w:rsidRPr="0095252E">
        <w:rPr>
          <w:rFonts w:cs="Arial"/>
          <w:shd w:val="clear" w:color="auto" w:fill="FFFFFF"/>
          <w:lang w:val="en-US"/>
        </w:rPr>
        <w:t xml:space="preserve"> Supreme Decree</w:t>
      </w:r>
      <w:r w:rsidR="00946542" w:rsidRPr="0095252E">
        <w:rPr>
          <w:rFonts w:cs="Arial"/>
          <w:shd w:val="clear" w:color="auto" w:fill="FFFFFF"/>
          <w:lang w:val="en-US"/>
        </w:rPr>
        <w:t xml:space="preserve"> No. 004-2013-PCM, which must be implemented by all Government entities. </w:t>
      </w:r>
    </w:p>
    <w:p w:rsidR="009620B4" w:rsidRPr="0095252E" w:rsidRDefault="009620B4" w:rsidP="009620B4">
      <w:pPr>
        <w:pStyle w:val="Prrafodelista"/>
        <w:spacing w:line="240" w:lineRule="auto"/>
        <w:ind w:left="284"/>
        <w:jc w:val="both"/>
        <w:rPr>
          <w:rFonts w:cs="Arial"/>
          <w:shd w:val="clear" w:color="auto" w:fill="FFFFFF"/>
          <w:lang w:val="en-US"/>
        </w:rPr>
      </w:pPr>
    </w:p>
    <w:p w:rsidR="002536E7" w:rsidRPr="0095252E" w:rsidRDefault="00946542" w:rsidP="009620B4">
      <w:pPr>
        <w:pStyle w:val="Prrafodelista"/>
        <w:spacing w:line="240" w:lineRule="auto"/>
        <w:ind w:left="284"/>
        <w:jc w:val="both"/>
        <w:rPr>
          <w:rFonts w:cs="Arial"/>
          <w:shd w:val="clear" w:color="auto" w:fill="FFFFFF"/>
          <w:lang w:val="en-US"/>
        </w:rPr>
      </w:pPr>
      <w:r w:rsidRPr="0095252E">
        <w:rPr>
          <w:rFonts w:cs="Arial"/>
          <w:shd w:val="clear" w:color="auto" w:fill="FFFFFF"/>
          <w:lang w:val="en-US"/>
        </w:rPr>
        <w:t xml:space="preserve">In order to guarantee the proper </w:t>
      </w:r>
      <w:r w:rsidR="00ED6439" w:rsidRPr="0095252E">
        <w:rPr>
          <w:rFonts w:cs="Arial"/>
          <w:shd w:val="clear" w:color="auto" w:fill="FFFFFF"/>
          <w:lang w:val="en-US"/>
        </w:rPr>
        <w:t>compliance</w:t>
      </w:r>
      <w:r w:rsidRPr="0095252E">
        <w:rPr>
          <w:rFonts w:cs="Arial"/>
          <w:shd w:val="clear" w:color="auto" w:fill="FFFFFF"/>
          <w:lang w:val="en-US"/>
        </w:rPr>
        <w:t xml:space="preserve"> of the Action Plan Commitment</w:t>
      </w:r>
      <w:r w:rsidR="00ED6439" w:rsidRPr="0095252E">
        <w:rPr>
          <w:rFonts w:cs="Arial"/>
          <w:shd w:val="clear" w:color="auto" w:fill="FFFFFF"/>
          <w:lang w:val="en-US"/>
        </w:rPr>
        <w:t xml:space="preserve">s, a Permanent Multisector </w:t>
      </w:r>
      <w:r w:rsidRPr="0095252E">
        <w:rPr>
          <w:rFonts w:cs="Arial"/>
          <w:shd w:val="clear" w:color="auto" w:fill="FFFFFF"/>
          <w:lang w:val="en-US"/>
        </w:rPr>
        <w:t xml:space="preserve">Commission </w:t>
      </w:r>
      <w:r w:rsidR="003C3A07" w:rsidRPr="0095252E">
        <w:rPr>
          <w:rFonts w:cs="Arial"/>
          <w:shd w:val="clear" w:color="auto" w:fill="FFFFFF"/>
          <w:lang w:val="en-US"/>
        </w:rPr>
        <w:t>to perform the follow up of</w:t>
      </w:r>
      <w:r w:rsidR="00BD6E05" w:rsidRPr="0095252E">
        <w:rPr>
          <w:rFonts w:cs="Arial"/>
          <w:shd w:val="clear" w:color="auto" w:fill="FFFFFF"/>
          <w:lang w:val="en-US"/>
        </w:rPr>
        <w:t xml:space="preserve"> the Open Government Action Plan Implementation, by means of the Executive Order No. 003-2013-PCM, a</w:t>
      </w:r>
      <w:r w:rsidR="007A713F" w:rsidRPr="0095252E">
        <w:rPr>
          <w:rFonts w:cs="Arial"/>
          <w:shd w:val="clear" w:color="auto" w:fill="FFFFFF"/>
          <w:lang w:val="en-US"/>
        </w:rPr>
        <w:t>ssigned</w:t>
      </w:r>
      <w:r w:rsidR="00BD6E05" w:rsidRPr="0095252E">
        <w:rPr>
          <w:rFonts w:cs="Arial"/>
          <w:shd w:val="clear" w:color="auto" w:fill="FFFFFF"/>
          <w:lang w:val="en-US"/>
        </w:rPr>
        <w:t xml:space="preserve"> to the President of the </w:t>
      </w:r>
      <w:r w:rsidR="00EE0E86" w:rsidRPr="0095252E">
        <w:rPr>
          <w:rFonts w:cs="Arial"/>
          <w:shd w:val="clear" w:color="auto" w:fill="FFFFFF"/>
          <w:lang w:val="en-US"/>
        </w:rPr>
        <w:t>Cabinet</w:t>
      </w:r>
      <w:r w:rsidR="002536E7" w:rsidRPr="0095252E">
        <w:rPr>
          <w:rFonts w:cs="Arial"/>
          <w:shd w:val="clear" w:color="auto" w:fill="FFFFFF"/>
          <w:lang w:val="en-US"/>
        </w:rPr>
        <w:t>,</w:t>
      </w:r>
      <w:r w:rsidR="00BD6E05" w:rsidRPr="0095252E">
        <w:rPr>
          <w:rFonts w:cs="Arial"/>
          <w:shd w:val="clear" w:color="auto" w:fill="FFFFFF"/>
          <w:lang w:val="en-US"/>
        </w:rPr>
        <w:t xml:space="preserve"> composed by</w:t>
      </w:r>
      <w:r w:rsidR="002536E7" w:rsidRPr="0095252E">
        <w:rPr>
          <w:rFonts w:cs="Arial"/>
          <w:shd w:val="clear" w:color="auto" w:fill="FFFFFF"/>
          <w:lang w:val="en-US"/>
        </w:rPr>
        <w:t>:</w:t>
      </w:r>
    </w:p>
    <w:p w:rsidR="002536E7" w:rsidRPr="0095252E" w:rsidRDefault="00462647" w:rsidP="009620B4">
      <w:pPr>
        <w:pStyle w:val="Prrafodelista"/>
        <w:spacing w:line="240" w:lineRule="auto"/>
        <w:ind w:left="284"/>
        <w:jc w:val="both"/>
        <w:rPr>
          <w:noProof/>
          <w:lang w:val="en-US" w:eastAsia="es-PE"/>
        </w:rPr>
      </w:pPr>
      <w:r w:rsidRPr="0095252E">
        <w:rPr>
          <w:noProof/>
          <w:lang w:val="es-ES" w:eastAsia="es-ES"/>
        </w:rPr>
        <w:drawing>
          <wp:inline distT="0" distB="0" distL="0" distR="0">
            <wp:extent cx="5390476" cy="2342857"/>
            <wp:effectExtent l="0" t="0" r="127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CM 02.png"/>
                    <pic:cNvPicPr/>
                  </pic:nvPicPr>
                  <pic:blipFill>
                    <a:blip r:embed="rId12">
                      <a:extLst>
                        <a:ext uri="{28A0092B-C50C-407E-A947-70E740481C1C}">
                          <a14:useLocalDpi xmlns:a14="http://schemas.microsoft.com/office/drawing/2010/main" val="0"/>
                        </a:ext>
                      </a:extLst>
                    </a:blip>
                    <a:stretch>
                      <a:fillRect/>
                    </a:stretch>
                  </pic:blipFill>
                  <pic:spPr>
                    <a:xfrm>
                      <a:off x="0" y="0"/>
                      <a:ext cx="5390476" cy="2342857"/>
                    </a:xfrm>
                    <a:prstGeom prst="rect">
                      <a:avLst/>
                    </a:prstGeom>
                  </pic:spPr>
                </pic:pic>
              </a:graphicData>
            </a:graphic>
          </wp:inline>
        </w:drawing>
      </w:r>
    </w:p>
    <w:p w:rsidR="000C661D" w:rsidRPr="0095252E" w:rsidRDefault="000C661D" w:rsidP="009620B4">
      <w:pPr>
        <w:pStyle w:val="Prrafodelista"/>
        <w:spacing w:line="240" w:lineRule="auto"/>
        <w:ind w:left="284"/>
        <w:jc w:val="both"/>
        <w:rPr>
          <w:rFonts w:cs="Arial"/>
          <w:shd w:val="clear" w:color="auto" w:fill="FFFFFF"/>
          <w:lang w:val="en-US"/>
        </w:rPr>
      </w:pPr>
      <w:r w:rsidRPr="0095252E">
        <w:rPr>
          <w:rFonts w:cs="Arial"/>
          <w:shd w:val="clear" w:color="auto" w:fill="FFFFFF"/>
          <w:lang w:val="en-US"/>
        </w:rPr>
        <w:t xml:space="preserve">Considering the experience of </w:t>
      </w:r>
      <w:r w:rsidR="0018559B" w:rsidRPr="0095252E">
        <w:rPr>
          <w:rFonts w:cs="Arial"/>
          <w:shd w:val="clear" w:color="auto" w:fill="FFFFFF"/>
          <w:lang w:val="en-US"/>
        </w:rPr>
        <w:t>the</w:t>
      </w:r>
      <w:r w:rsidRPr="0095252E">
        <w:rPr>
          <w:rFonts w:cs="Arial"/>
          <w:shd w:val="clear" w:color="auto" w:fill="FFFFFF"/>
          <w:lang w:val="en-US"/>
        </w:rPr>
        <w:t xml:space="preserve"> formulation and implementation</w:t>
      </w:r>
      <w:r w:rsidR="002A768F" w:rsidRPr="0095252E">
        <w:rPr>
          <w:rFonts w:cs="Arial"/>
          <w:shd w:val="clear" w:color="auto" w:fill="FFFFFF"/>
          <w:lang w:val="en-US"/>
        </w:rPr>
        <w:t xml:space="preserve"> of </w:t>
      </w:r>
      <w:r w:rsidR="0018559B" w:rsidRPr="0095252E">
        <w:rPr>
          <w:rFonts w:cs="Arial"/>
          <w:shd w:val="clear" w:color="auto" w:fill="FFFFFF"/>
          <w:lang w:val="en-US"/>
        </w:rPr>
        <w:t>the</w:t>
      </w:r>
      <w:r w:rsidR="002A768F" w:rsidRPr="0095252E">
        <w:rPr>
          <w:rFonts w:cs="Arial"/>
          <w:shd w:val="clear" w:color="auto" w:fill="FFFFFF"/>
          <w:lang w:val="en-US"/>
        </w:rPr>
        <w:t xml:space="preserve"> first </w:t>
      </w:r>
      <w:r w:rsidR="00F72608" w:rsidRPr="0095252E">
        <w:rPr>
          <w:rFonts w:cs="Arial"/>
          <w:shd w:val="clear" w:color="auto" w:fill="FFFFFF"/>
          <w:lang w:val="en-US"/>
        </w:rPr>
        <w:t>action plan</w:t>
      </w:r>
      <w:r w:rsidR="002A768F" w:rsidRPr="0095252E">
        <w:rPr>
          <w:rFonts w:cs="Arial"/>
          <w:shd w:val="clear" w:color="auto" w:fill="FFFFFF"/>
          <w:lang w:val="en-US"/>
        </w:rPr>
        <w:t>, the</w:t>
      </w:r>
      <w:r w:rsidRPr="0095252E">
        <w:rPr>
          <w:rFonts w:cs="Arial"/>
          <w:shd w:val="clear" w:color="auto" w:fill="FFFFFF"/>
          <w:lang w:val="en-US"/>
        </w:rPr>
        <w:t xml:space="preserve"> </w:t>
      </w:r>
      <w:r w:rsidR="002A768F" w:rsidRPr="0095252E">
        <w:rPr>
          <w:rFonts w:cs="Arial"/>
          <w:shd w:val="clear" w:color="auto" w:fill="FFFFFF"/>
          <w:lang w:val="en-US"/>
        </w:rPr>
        <w:t xml:space="preserve">2015-2016 </w:t>
      </w:r>
      <w:r w:rsidRPr="0095252E">
        <w:rPr>
          <w:rFonts w:cs="Arial"/>
          <w:shd w:val="clear" w:color="auto" w:fill="FFFFFF"/>
          <w:lang w:val="en-US"/>
        </w:rPr>
        <w:t>second action plan was approved</w:t>
      </w:r>
      <w:r w:rsidR="002A768F" w:rsidRPr="0095252E">
        <w:rPr>
          <w:rFonts w:cs="Arial"/>
          <w:shd w:val="clear" w:color="auto" w:fill="FFFFFF"/>
          <w:lang w:val="en-US"/>
        </w:rPr>
        <w:t>, by means of a Ministerial Resolution No. 176-2015-PCM, published on July 17, 2015. The commitments in Trans</w:t>
      </w:r>
      <w:r w:rsidR="0018559B" w:rsidRPr="0095252E">
        <w:rPr>
          <w:rFonts w:cs="Arial"/>
          <w:shd w:val="clear" w:color="auto" w:fill="FFFFFF"/>
          <w:lang w:val="en-US"/>
        </w:rPr>
        <w:t xml:space="preserve">parency and Access to Public </w:t>
      </w:r>
      <w:r w:rsidR="0018559B" w:rsidRPr="0095252E">
        <w:rPr>
          <w:rFonts w:cs="Arial"/>
          <w:shd w:val="clear" w:color="auto" w:fill="FFFFFF"/>
          <w:lang w:val="en-US"/>
        </w:rPr>
        <w:lastRenderedPageBreak/>
        <w:t>information matters provided in the second plan reflect the interest of Peru to strengthen the regulatory framework</w:t>
      </w:r>
      <w:r w:rsidR="00FA5532" w:rsidRPr="0095252E">
        <w:rPr>
          <w:rFonts w:cs="Arial"/>
          <w:shd w:val="clear" w:color="auto" w:fill="FFFFFF"/>
          <w:lang w:val="en-US"/>
        </w:rPr>
        <w:t xml:space="preserve">, to improve the </w:t>
      </w:r>
      <w:r w:rsidR="009C0345" w:rsidRPr="0095252E">
        <w:rPr>
          <w:rFonts w:cs="Arial"/>
          <w:shd w:val="clear" w:color="auto" w:fill="FFFFFF"/>
          <w:lang w:val="en-US"/>
        </w:rPr>
        <w:t>enabling tools and to develop the civil ser</w:t>
      </w:r>
      <w:r w:rsidR="00F72608" w:rsidRPr="0095252E">
        <w:rPr>
          <w:rFonts w:cs="Arial"/>
          <w:shd w:val="clear" w:color="auto" w:fill="FFFFFF"/>
          <w:lang w:val="en-US"/>
        </w:rPr>
        <w:t>vant</w:t>
      </w:r>
      <w:r w:rsidR="009C0345" w:rsidRPr="0095252E">
        <w:rPr>
          <w:rFonts w:cs="Arial"/>
          <w:shd w:val="clear" w:color="auto" w:fill="FFFFFF"/>
          <w:lang w:val="en-US"/>
        </w:rPr>
        <w:t xml:space="preserve">s skills in the three government levels, particularly, regarding the destruction and loss of information, infractions and punishments, the improvement of the </w:t>
      </w:r>
      <w:r w:rsidR="00D23D00" w:rsidRPr="0095252E">
        <w:rPr>
          <w:rFonts w:cs="Arial"/>
          <w:shd w:val="clear" w:color="auto" w:fill="FFFFFF"/>
          <w:lang w:val="en-US"/>
        </w:rPr>
        <w:t xml:space="preserve">site for the standard transparency and procurement system, to enable the information access and research and its reuse. </w:t>
      </w:r>
      <w:r w:rsidR="00CB555B" w:rsidRPr="0095252E">
        <w:rPr>
          <w:rFonts w:cs="Arial"/>
          <w:shd w:val="clear" w:color="auto" w:fill="FFFFFF"/>
          <w:lang w:val="en-US"/>
        </w:rPr>
        <w:t>Besides that, the aim is also to encourage a greater transparency in the social programs and extractive industry management at a regional government level.</w:t>
      </w:r>
    </w:p>
    <w:p w:rsidR="00CB555B" w:rsidRPr="0095252E" w:rsidRDefault="00CB555B" w:rsidP="009620B4">
      <w:pPr>
        <w:pStyle w:val="Prrafodelista"/>
        <w:spacing w:line="240" w:lineRule="auto"/>
        <w:ind w:left="284"/>
        <w:jc w:val="both"/>
        <w:rPr>
          <w:rFonts w:cs="Arial"/>
          <w:shd w:val="clear" w:color="auto" w:fill="FFFFFF"/>
          <w:lang w:val="en-US"/>
        </w:rPr>
      </w:pPr>
    </w:p>
    <w:p w:rsidR="0018559B" w:rsidRPr="0095252E" w:rsidRDefault="00CB555B" w:rsidP="009620B4">
      <w:pPr>
        <w:pStyle w:val="Prrafodelista"/>
        <w:spacing w:line="240" w:lineRule="auto"/>
        <w:ind w:left="284"/>
        <w:jc w:val="both"/>
        <w:rPr>
          <w:rFonts w:cs="Arial"/>
          <w:shd w:val="clear" w:color="auto" w:fill="FFFFFF"/>
          <w:lang w:val="en-US"/>
        </w:rPr>
      </w:pPr>
      <w:r w:rsidRPr="0095252E">
        <w:rPr>
          <w:rFonts w:cs="Arial"/>
          <w:shd w:val="clear" w:color="auto" w:fill="FFFFFF"/>
          <w:lang w:val="en-US"/>
        </w:rPr>
        <w:t xml:space="preserve">Regarding the citizen participation, the engagement aims to develop a regulatory framework that allows to provide alignments about the management of the citizen participation in public entities at the three levels of the </w:t>
      </w:r>
      <w:r w:rsidR="002F584B" w:rsidRPr="0095252E">
        <w:rPr>
          <w:rFonts w:cs="Arial"/>
          <w:shd w:val="clear" w:color="auto" w:fill="FFFFFF"/>
          <w:lang w:val="en-US"/>
        </w:rPr>
        <w:t>government; and the development of skill in the civil serv</w:t>
      </w:r>
      <w:r w:rsidR="00F72608" w:rsidRPr="0095252E">
        <w:rPr>
          <w:rFonts w:cs="Arial"/>
          <w:shd w:val="clear" w:color="auto" w:fill="FFFFFF"/>
          <w:lang w:val="en-US"/>
        </w:rPr>
        <w:t>ants</w:t>
      </w:r>
      <w:r w:rsidR="002F584B" w:rsidRPr="0095252E">
        <w:rPr>
          <w:rFonts w:cs="Arial"/>
          <w:shd w:val="clear" w:color="auto" w:fill="FFFFFF"/>
          <w:lang w:val="en-US"/>
        </w:rPr>
        <w:t xml:space="preserve"> and indigenous communities about the Prior Consultation Law. In addition, it propose</w:t>
      </w:r>
      <w:r w:rsidR="004F73C6" w:rsidRPr="0095252E">
        <w:rPr>
          <w:rFonts w:cs="Arial"/>
          <w:shd w:val="clear" w:color="auto" w:fill="FFFFFF"/>
          <w:lang w:val="en-US"/>
        </w:rPr>
        <w:t>s</w:t>
      </w:r>
      <w:r w:rsidR="002F584B" w:rsidRPr="0095252E">
        <w:rPr>
          <w:rFonts w:cs="Arial"/>
          <w:shd w:val="clear" w:color="auto" w:fill="FFFFFF"/>
          <w:lang w:val="en-US"/>
        </w:rPr>
        <w:t xml:space="preserve"> the social actors participation in the </w:t>
      </w:r>
      <w:r w:rsidR="00440A2E" w:rsidRPr="0095252E">
        <w:rPr>
          <w:rFonts w:cs="Arial"/>
          <w:shd w:val="clear" w:color="auto" w:fill="FFFFFF"/>
          <w:lang w:val="en-US"/>
        </w:rPr>
        <w:t>surveillance</w:t>
      </w:r>
      <w:r w:rsidR="002F584B" w:rsidRPr="0095252E">
        <w:rPr>
          <w:rFonts w:cs="Arial"/>
          <w:shd w:val="clear" w:color="auto" w:fill="FFFFFF"/>
          <w:lang w:val="en-US"/>
        </w:rPr>
        <w:t xml:space="preserve"> of the</w:t>
      </w:r>
      <w:r w:rsidR="004F73C6" w:rsidRPr="0095252E">
        <w:rPr>
          <w:rFonts w:cs="Arial"/>
          <w:shd w:val="clear" w:color="auto" w:fill="FFFFFF"/>
          <w:lang w:val="en-US"/>
        </w:rPr>
        <w:t xml:space="preserve"> management of the</w:t>
      </w:r>
      <w:r w:rsidR="002F584B" w:rsidRPr="0095252E">
        <w:rPr>
          <w:rFonts w:cs="Arial"/>
          <w:shd w:val="clear" w:color="auto" w:fill="FFFFFF"/>
          <w:lang w:val="en-US"/>
        </w:rPr>
        <w:t xml:space="preserve"> </w:t>
      </w:r>
      <w:r w:rsidR="00440A2E" w:rsidRPr="0095252E">
        <w:rPr>
          <w:rFonts w:cs="Arial"/>
          <w:shd w:val="clear" w:color="auto" w:fill="FFFFFF"/>
          <w:lang w:val="en-US"/>
        </w:rPr>
        <w:t>National</w:t>
      </w:r>
      <w:r w:rsidR="002F584B" w:rsidRPr="0095252E">
        <w:rPr>
          <w:rFonts w:cs="Arial"/>
          <w:shd w:val="clear" w:color="auto" w:fill="FFFFFF"/>
          <w:lang w:val="en-US"/>
        </w:rPr>
        <w:t xml:space="preserve"> </w:t>
      </w:r>
      <w:r w:rsidR="004F73C6" w:rsidRPr="0095252E">
        <w:rPr>
          <w:rFonts w:cs="Arial"/>
          <w:shd w:val="clear" w:color="auto" w:fill="FFFFFF"/>
          <w:lang w:val="en-US"/>
        </w:rPr>
        <w:t xml:space="preserve">School Feeding </w:t>
      </w:r>
      <w:r w:rsidR="002F584B" w:rsidRPr="0095252E">
        <w:rPr>
          <w:rFonts w:cs="Arial"/>
          <w:shd w:val="clear" w:color="auto" w:fill="FFFFFF"/>
          <w:lang w:val="en-US"/>
        </w:rPr>
        <w:t xml:space="preserve">Program </w:t>
      </w:r>
      <w:r w:rsidR="004F73C6" w:rsidRPr="0095252E">
        <w:rPr>
          <w:rFonts w:cs="Arial"/>
          <w:shd w:val="clear" w:color="auto" w:fill="FFFFFF"/>
          <w:lang w:val="en-US"/>
        </w:rPr>
        <w:t>and</w:t>
      </w:r>
      <w:r w:rsidR="00440A2E" w:rsidRPr="0095252E">
        <w:rPr>
          <w:rFonts w:cs="Arial"/>
          <w:shd w:val="clear" w:color="auto" w:fill="FFFFFF"/>
          <w:lang w:val="en-US"/>
        </w:rPr>
        <w:t xml:space="preserve"> the plenary agreements of the Supreme Court of the Republic.</w:t>
      </w:r>
    </w:p>
    <w:p w:rsidR="00E93AFD" w:rsidRPr="0095252E" w:rsidRDefault="00E93AFD" w:rsidP="009620B4">
      <w:pPr>
        <w:pStyle w:val="Prrafodelista"/>
        <w:spacing w:line="240" w:lineRule="auto"/>
        <w:ind w:left="284"/>
        <w:jc w:val="both"/>
        <w:rPr>
          <w:rFonts w:cs="Arial"/>
          <w:shd w:val="clear" w:color="auto" w:fill="FFFFFF"/>
          <w:lang w:val="en-US"/>
        </w:rPr>
      </w:pPr>
    </w:p>
    <w:p w:rsidR="00E93AFD" w:rsidRPr="0095252E" w:rsidRDefault="00440A2E" w:rsidP="009620B4">
      <w:pPr>
        <w:pStyle w:val="Prrafodelista"/>
        <w:spacing w:line="240" w:lineRule="auto"/>
        <w:ind w:left="284"/>
        <w:jc w:val="both"/>
        <w:rPr>
          <w:rFonts w:cs="Arial"/>
          <w:shd w:val="clear" w:color="auto" w:fill="FFFFFF"/>
          <w:lang w:val="en-US"/>
        </w:rPr>
      </w:pPr>
      <w:r w:rsidRPr="0095252E">
        <w:rPr>
          <w:rFonts w:cs="Arial"/>
          <w:shd w:val="clear" w:color="auto" w:fill="FFFFFF"/>
          <w:lang w:val="en-US"/>
        </w:rPr>
        <w:t xml:space="preserve">In relation with the </w:t>
      </w:r>
      <w:r w:rsidR="004F73C6" w:rsidRPr="0095252E">
        <w:rPr>
          <w:rFonts w:cs="Arial"/>
          <w:shd w:val="clear" w:color="auto" w:fill="FFFFFF"/>
          <w:lang w:val="en-US"/>
        </w:rPr>
        <w:t>reporting</w:t>
      </w:r>
      <w:r w:rsidRPr="0095252E">
        <w:rPr>
          <w:rFonts w:cs="Arial"/>
          <w:shd w:val="clear" w:color="auto" w:fill="FFFFFF"/>
          <w:lang w:val="en-US"/>
        </w:rPr>
        <w:t xml:space="preserve">, </w:t>
      </w:r>
      <w:r w:rsidR="00EB2A9D" w:rsidRPr="0095252E">
        <w:rPr>
          <w:rFonts w:cs="Arial"/>
          <w:shd w:val="clear" w:color="auto" w:fill="FFFFFF"/>
          <w:lang w:val="en-US"/>
        </w:rPr>
        <w:t>the commitments</w:t>
      </w:r>
      <w:r w:rsidR="004F73C6" w:rsidRPr="0095252E">
        <w:rPr>
          <w:rFonts w:cs="Arial"/>
          <w:shd w:val="clear" w:color="auto" w:fill="FFFFFF"/>
          <w:lang w:val="en-US"/>
        </w:rPr>
        <w:t xml:space="preserve"> of the Peruvian Government aim</w:t>
      </w:r>
      <w:r w:rsidR="00EB2A9D" w:rsidRPr="0095252E">
        <w:rPr>
          <w:rFonts w:cs="Arial"/>
          <w:shd w:val="clear" w:color="auto" w:fill="FFFFFF"/>
          <w:lang w:val="en-US"/>
        </w:rPr>
        <w:t xml:space="preserve"> to develop the regul</w:t>
      </w:r>
      <w:r w:rsidR="0078568C" w:rsidRPr="0095252E">
        <w:rPr>
          <w:rFonts w:cs="Arial"/>
          <w:shd w:val="clear" w:color="auto" w:fill="FFFFFF"/>
          <w:lang w:val="en-US"/>
        </w:rPr>
        <w:t>atory frame and the tools that ena</w:t>
      </w:r>
      <w:r w:rsidR="00EB2A9D" w:rsidRPr="0095252E">
        <w:rPr>
          <w:rFonts w:cs="Arial"/>
          <w:shd w:val="clear" w:color="auto" w:fill="FFFFFF"/>
          <w:lang w:val="en-US"/>
        </w:rPr>
        <w:t xml:space="preserve">bles the </w:t>
      </w:r>
      <w:r w:rsidR="00532047" w:rsidRPr="0095252E">
        <w:rPr>
          <w:rFonts w:cs="Arial"/>
          <w:shd w:val="clear" w:color="auto" w:fill="FFFFFF"/>
          <w:lang w:val="en-US"/>
        </w:rPr>
        <w:t>process</w:t>
      </w:r>
      <w:r w:rsidR="0078568C" w:rsidRPr="0095252E">
        <w:rPr>
          <w:rFonts w:cs="Arial"/>
          <w:shd w:val="clear" w:color="auto" w:fill="FFFFFF"/>
          <w:lang w:val="en-US"/>
        </w:rPr>
        <w:t xml:space="preserve"> to provide a performance report </w:t>
      </w:r>
      <w:r w:rsidR="00EB2A9D" w:rsidRPr="0095252E">
        <w:rPr>
          <w:rFonts w:cs="Arial"/>
          <w:shd w:val="clear" w:color="auto" w:fill="FFFFFF"/>
          <w:lang w:val="en-US"/>
        </w:rPr>
        <w:t>of the holders of the Public entities, and to improve the audience quality at a regional and local government levels. Moreover, it propose</w:t>
      </w:r>
      <w:r w:rsidR="0078568C" w:rsidRPr="0095252E">
        <w:rPr>
          <w:rFonts w:cs="Arial"/>
          <w:shd w:val="clear" w:color="auto" w:fill="FFFFFF"/>
          <w:lang w:val="en-US"/>
        </w:rPr>
        <w:t xml:space="preserve">d that it should be published and that </w:t>
      </w:r>
      <w:r w:rsidR="00EB2A9D" w:rsidRPr="0095252E">
        <w:rPr>
          <w:rFonts w:cs="Arial"/>
          <w:shd w:val="clear" w:color="auto" w:fill="FFFFFF"/>
          <w:lang w:val="en-US"/>
        </w:rPr>
        <w:t>the entities, programs and</w:t>
      </w:r>
      <w:r w:rsidR="0078568C" w:rsidRPr="0095252E">
        <w:rPr>
          <w:rFonts w:cs="Arial"/>
          <w:shd w:val="clear" w:color="auto" w:fill="FFFFFF"/>
          <w:lang w:val="en-US"/>
        </w:rPr>
        <w:t xml:space="preserve"> projects addressed to children should provide a performance report.</w:t>
      </w:r>
    </w:p>
    <w:p w:rsidR="009620B4" w:rsidRPr="0095252E" w:rsidRDefault="009620B4" w:rsidP="009620B4">
      <w:pPr>
        <w:pStyle w:val="Prrafodelista"/>
        <w:spacing w:line="240" w:lineRule="auto"/>
        <w:ind w:left="284"/>
        <w:jc w:val="both"/>
        <w:rPr>
          <w:rFonts w:cs="Arial"/>
          <w:shd w:val="clear" w:color="auto" w:fill="FFFFFF"/>
          <w:lang w:val="en-US"/>
        </w:rPr>
      </w:pPr>
    </w:p>
    <w:p w:rsidR="009620B4" w:rsidRPr="0095252E" w:rsidRDefault="009620B4" w:rsidP="009620B4">
      <w:pPr>
        <w:pStyle w:val="Prrafodelista"/>
        <w:spacing w:line="240" w:lineRule="auto"/>
        <w:ind w:left="360"/>
        <w:jc w:val="both"/>
        <w:rPr>
          <w:rFonts w:cs="Arial"/>
          <w:shd w:val="clear" w:color="auto" w:fill="FFFFFF"/>
          <w:lang w:val="en-US"/>
        </w:rPr>
      </w:pPr>
    </w:p>
    <w:p w:rsidR="00532047" w:rsidRPr="0095252E" w:rsidRDefault="00532047" w:rsidP="009620B4">
      <w:pPr>
        <w:pStyle w:val="Prrafodelista"/>
        <w:spacing w:line="240" w:lineRule="auto"/>
        <w:ind w:left="284"/>
        <w:jc w:val="both"/>
        <w:rPr>
          <w:rFonts w:cs="Arial"/>
          <w:shd w:val="clear" w:color="auto" w:fill="FFFFFF"/>
          <w:lang w:val="en-US"/>
        </w:rPr>
      </w:pPr>
      <w:r w:rsidRPr="0095252E">
        <w:rPr>
          <w:rFonts w:cs="Arial"/>
          <w:shd w:val="clear" w:color="auto" w:fill="FFFFFF"/>
          <w:lang w:val="en-US"/>
        </w:rPr>
        <w:t xml:space="preserve">The challenged defined by the Partnership which is handled in the Peruvian Action Plan, is referred to the </w:t>
      </w:r>
      <w:r w:rsidRPr="0095252E">
        <w:rPr>
          <w:rFonts w:cs="Arial"/>
          <w:b/>
          <w:i/>
          <w:shd w:val="clear" w:color="auto" w:fill="FFFFFF"/>
          <w:lang w:val="en-US"/>
        </w:rPr>
        <w:t xml:space="preserve">improvement of public </w:t>
      </w:r>
      <w:r w:rsidR="00787D24" w:rsidRPr="0095252E">
        <w:rPr>
          <w:rFonts w:cs="Arial"/>
          <w:b/>
          <w:i/>
          <w:shd w:val="clear" w:color="auto" w:fill="FFFFFF"/>
          <w:lang w:val="en-US"/>
        </w:rPr>
        <w:t>services</w:t>
      </w:r>
      <w:r w:rsidRPr="0095252E">
        <w:rPr>
          <w:rFonts w:cs="Arial"/>
          <w:shd w:val="clear" w:color="auto" w:fill="FFFFFF"/>
          <w:lang w:val="en-US"/>
        </w:rPr>
        <w:t xml:space="preserve">, the commitment </w:t>
      </w:r>
      <w:r w:rsidR="00BF4CCD" w:rsidRPr="0095252E">
        <w:rPr>
          <w:rFonts w:cs="Arial"/>
          <w:shd w:val="clear" w:color="auto" w:fill="FFFFFF"/>
          <w:lang w:val="en-US"/>
        </w:rPr>
        <w:t xml:space="preserve">of the Peruvian Government </w:t>
      </w:r>
      <w:r w:rsidRPr="0095252E">
        <w:rPr>
          <w:rFonts w:cs="Arial"/>
          <w:shd w:val="clear" w:color="auto" w:fill="FFFFFF"/>
          <w:lang w:val="en-US"/>
        </w:rPr>
        <w:t xml:space="preserve">to establish the regulatory framework </w:t>
      </w:r>
      <w:r w:rsidR="00623C2B" w:rsidRPr="0095252E">
        <w:rPr>
          <w:rFonts w:cs="Arial"/>
          <w:shd w:val="clear" w:color="auto" w:fill="FFFFFF"/>
          <w:lang w:val="en-US"/>
        </w:rPr>
        <w:t xml:space="preserve"> and to develop the tools to impleme</w:t>
      </w:r>
      <w:r w:rsidR="00787D24" w:rsidRPr="0095252E">
        <w:rPr>
          <w:rFonts w:cs="Arial"/>
          <w:shd w:val="clear" w:color="auto" w:fill="FFFFFF"/>
          <w:lang w:val="en-US"/>
        </w:rPr>
        <w:t>nt a national</w:t>
      </w:r>
      <w:r w:rsidR="00623C2B" w:rsidRPr="0095252E">
        <w:rPr>
          <w:rFonts w:cs="Arial"/>
          <w:shd w:val="clear" w:color="auto" w:fill="FFFFFF"/>
          <w:lang w:val="en-US"/>
        </w:rPr>
        <w:t xml:space="preserve"> strategy </w:t>
      </w:r>
      <w:r w:rsidR="00787D24" w:rsidRPr="0095252E">
        <w:rPr>
          <w:rFonts w:cs="Arial"/>
          <w:shd w:val="clear" w:color="auto" w:fill="FFFFFF"/>
          <w:lang w:val="en-US"/>
        </w:rPr>
        <w:t xml:space="preserve">to provide access to public information and allow its reuse (Open data) </w:t>
      </w:r>
      <w:r w:rsidRPr="0095252E">
        <w:rPr>
          <w:rFonts w:cs="Arial"/>
          <w:shd w:val="clear" w:color="auto" w:fill="FFFFFF"/>
          <w:lang w:val="en-US"/>
        </w:rPr>
        <w:t>has been expressed</w:t>
      </w:r>
      <w:r w:rsidR="00787D24" w:rsidRPr="0095252E">
        <w:rPr>
          <w:rFonts w:cs="Arial"/>
          <w:shd w:val="clear" w:color="auto" w:fill="FFFFFF"/>
          <w:lang w:val="en-US"/>
        </w:rPr>
        <w:t>, which promotes the innovation through the use of new technologies, and contributes to the increase of th</w:t>
      </w:r>
      <w:r w:rsidR="002E020B" w:rsidRPr="0095252E">
        <w:rPr>
          <w:rFonts w:cs="Arial"/>
          <w:shd w:val="clear" w:color="auto" w:fill="FFFFFF"/>
          <w:lang w:val="en-US"/>
        </w:rPr>
        <w:t xml:space="preserve">e number of online services for </w:t>
      </w:r>
      <w:r w:rsidR="00787D24" w:rsidRPr="0095252E">
        <w:rPr>
          <w:rFonts w:cs="Arial"/>
          <w:shd w:val="clear" w:color="auto" w:fill="FFFFFF"/>
          <w:lang w:val="en-US"/>
        </w:rPr>
        <w:t>multi-chann</w:t>
      </w:r>
      <w:r w:rsidR="002E020B" w:rsidRPr="0095252E">
        <w:rPr>
          <w:rFonts w:cs="Arial"/>
          <w:shd w:val="clear" w:color="auto" w:fill="FFFFFF"/>
          <w:lang w:val="en-US"/>
        </w:rPr>
        <w:t>el procedures, with</w:t>
      </w:r>
      <w:r w:rsidR="00787D24" w:rsidRPr="0095252E">
        <w:rPr>
          <w:rFonts w:cs="Arial"/>
          <w:shd w:val="clear" w:color="auto" w:fill="FFFFFF"/>
          <w:lang w:val="en-US"/>
        </w:rPr>
        <w:t xml:space="preserve"> citizenship participation.</w:t>
      </w:r>
      <w:r w:rsidR="002E020B" w:rsidRPr="0095252E">
        <w:rPr>
          <w:rFonts w:cs="Arial"/>
          <w:shd w:val="clear" w:color="auto" w:fill="FFFFFF"/>
          <w:lang w:val="en-US"/>
        </w:rPr>
        <w:t xml:space="preserve"> Likewise</w:t>
      </w:r>
      <w:r w:rsidR="009B7859" w:rsidRPr="0095252E">
        <w:rPr>
          <w:rFonts w:cs="Arial"/>
          <w:shd w:val="clear" w:color="auto" w:fill="FFFFFF"/>
          <w:lang w:val="en-US"/>
        </w:rPr>
        <w:t xml:space="preserve">, it includes the need </w:t>
      </w:r>
      <w:r w:rsidR="002E020B" w:rsidRPr="0095252E">
        <w:rPr>
          <w:rFonts w:cs="Arial"/>
          <w:shd w:val="clear" w:color="auto" w:fill="FFFFFF"/>
          <w:lang w:val="en-US"/>
        </w:rPr>
        <w:t>to develop skills in</w:t>
      </w:r>
      <w:r w:rsidR="009B7859" w:rsidRPr="0095252E">
        <w:rPr>
          <w:rFonts w:cs="Arial"/>
          <w:shd w:val="clear" w:color="auto" w:fill="FFFFFF"/>
          <w:lang w:val="en-US"/>
        </w:rPr>
        <w:t xml:space="preserve"> civil servants and the </w:t>
      </w:r>
      <w:r w:rsidR="002E020B" w:rsidRPr="0095252E">
        <w:rPr>
          <w:rFonts w:cs="Arial"/>
          <w:shd w:val="clear" w:color="auto" w:fill="FFFFFF"/>
          <w:lang w:val="en-US"/>
        </w:rPr>
        <w:t>adoption of services by the</w:t>
      </w:r>
      <w:r w:rsidR="009B7859" w:rsidRPr="0095252E">
        <w:rPr>
          <w:rFonts w:cs="Arial"/>
          <w:shd w:val="clear" w:color="auto" w:fill="FFFFFF"/>
          <w:lang w:val="en-US"/>
        </w:rPr>
        <w:t xml:space="preserve"> citizens.</w:t>
      </w:r>
    </w:p>
    <w:p w:rsidR="00787D24" w:rsidRPr="0095252E" w:rsidRDefault="00787D24" w:rsidP="009620B4">
      <w:pPr>
        <w:pStyle w:val="Prrafodelista"/>
        <w:spacing w:line="240" w:lineRule="auto"/>
        <w:ind w:left="284"/>
        <w:jc w:val="both"/>
        <w:rPr>
          <w:rFonts w:cs="Arial"/>
          <w:shd w:val="clear" w:color="auto" w:fill="FFFFFF"/>
          <w:lang w:val="en-US"/>
        </w:rPr>
      </w:pPr>
    </w:p>
    <w:p w:rsidR="00016B8B" w:rsidRPr="0095252E" w:rsidRDefault="00016B8B" w:rsidP="00A56D20">
      <w:pPr>
        <w:autoSpaceDE w:val="0"/>
        <w:autoSpaceDN w:val="0"/>
        <w:adjustRightInd w:val="0"/>
        <w:spacing w:after="0" w:line="240" w:lineRule="auto"/>
        <w:rPr>
          <w:rFonts w:cs="Gotham Bold"/>
          <w:b/>
          <w:color w:val="000000"/>
          <w:sz w:val="28"/>
          <w:szCs w:val="28"/>
          <w:lang w:val="en-US"/>
        </w:rPr>
      </w:pPr>
    </w:p>
    <w:p w:rsidR="00B26F9C" w:rsidRPr="0095252E" w:rsidRDefault="003E335D" w:rsidP="003A3ABE">
      <w:pPr>
        <w:numPr>
          <w:ilvl w:val="0"/>
          <w:numId w:val="5"/>
        </w:numPr>
        <w:autoSpaceDE w:val="0"/>
        <w:autoSpaceDN w:val="0"/>
        <w:adjustRightInd w:val="0"/>
        <w:spacing w:after="0" w:line="240" w:lineRule="auto"/>
        <w:ind w:left="284"/>
        <w:rPr>
          <w:b/>
          <w:i/>
          <w:sz w:val="28"/>
          <w:szCs w:val="28"/>
          <w:u w:val="single"/>
          <w:lang w:val="en-US"/>
        </w:rPr>
      </w:pPr>
      <w:bookmarkStart w:id="9" w:name="_Toc428787070"/>
      <w:bookmarkStart w:id="10" w:name="_Toc428794290"/>
      <w:bookmarkStart w:id="11" w:name="_Toc428796077"/>
      <w:bookmarkStart w:id="12" w:name="_Toc428800184"/>
      <w:bookmarkStart w:id="13" w:name="_Toc428800413"/>
      <w:bookmarkStart w:id="14" w:name="_Toc428803015"/>
      <w:bookmarkStart w:id="15" w:name="_Toc431283341"/>
      <w:bookmarkStart w:id="16" w:name="_Toc431286912"/>
      <w:bookmarkStart w:id="17" w:name="_Toc431288969"/>
      <w:r w:rsidRPr="0095252E">
        <w:rPr>
          <w:b/>
          <w:i/>
          <w:sz w:val="28"/>
          <w:szCs w:val="28"/>
          <w:lang w:val="en-US"/>
        </w:rPr>
        <w:t xml:space="preserve">Preparation process </w:t>
      </w:r>
      <w:r w:rsidR="0078568C" w:rsidRPr="0095252E">
        <w:rPr>
          <w:b/>
          <w:i/>
          <w:sz w:val="28"/>
          <w:szCs w:val="28"/>
          <w:lang w:val="en-US"/>
        </w:rPr>
        <w:t>of</w:t>
      </w:r>
      <w:r w:rsidRPr="0095252E">
        <w:rPr>
          <w:b/>
          <w:i/>
          <w:sz w:val="28"/>
          <w:szCs w:val="28"/>
          <w:lang w:val="en-US"/>
        </w:rPr>
        <w:t xml:space="preserve"> the National Action Plan</w:t>
      </w:r>
      <w:bookmarkEnd w:id="9"/>
      <w:bookmarkEnd w:id="10"/>
      <w:bookmarkEnd w:id="11"/>
      <w:bookmarkEnd w:id="12"/>
      <w:bookmarkEnd w:id="13"/>
      <w:bookmarkEnd w:id="14"/>
      <w:bookmarkEnd w:id="15"/>
      <w:bookmarkEnd w:id="16"/>
      <w:bookmarkEnd w:id="17"/>
    </w:p>
    <w:p w:rsidR="002536E7" w:rsidRPr="0095252E" w:rsidRDefault="002536E7" w:rsidP="002536E7">
      <w:pPr>
        <w:pStyle w:val="Textoindependiente2"/>
        <w:spacing w:after="0" w:afterAutospacing="0"/>
        <w:rPr>
          <w:color w:val="auto"/>
          <w:u w:val="single"/>
          <w:lang w:val="en-US"/>
        </w:rPr>
      </w:pPr>
    </w:p>
    <w:p w:rsidR="00DA60C9" w:rsidRPr="0095252E" w:rsidRDefault="003E335D" w:rsidP="002536E7">
      <w:pPr>
        <w:pStyle w:val="Textoindependiente2"/>
        <w:spacing w:after="0" w:afterAutospacing="0"/>
        <w:rPr>
          <w:color w:val="auto"/>
          <w:lang w:val="en-US"/>
        </w:rPr>
      </w:pPr>
      <w:r w:rsidRPr="0095252E">
        <w:rPr>
          <w:color w:val="auto"/>
          <w:lang w:val="en-US"/>
        </w:rPr>
        <w:t>The preparation process of the Peruvian Action Plan considered the guidan</w:t>
      </w:r>
      <w:r w:rsidR="00DA60C9" w:rsidRPr="0095252E">
        <w:rPr>
          <w:color w:val="auto"/>
          <w:lang w:val="en-US"/>
        </w:rPr>
        <w:t>ce provided by the Partnership</w:t>
      </w:r>
      <w:r w:rsidR="002E020B" w:rsidRPr="0095252E">
        <w:rPr>
          <w:color w:val="auto"/>
          <w:lang w:val="en-US"/>
        </w:rPr>
        <w:t>. Thus</w:t>
      </w:r>
      <w:r w:rsidR="00DA60C9" w:rsidRPr="0095252E">
        <w:rPr>
          <w:color w:val="auto"/>
          <w:lang w:val="en-US"/>
        </w:rPr>
        <w:t>, on December 17, 2013, t</w:t>
      </w:r>
      <w:r w:rsidR="0067247B" w:rsidRPr="0095252E">
        <w:rPr>
          <w:color w:val="auto"/>
          <w:lang w:val="en-US"/>
        </w:rPr>
        <w:t>he plan and the work schedule were</w:t>
      </w:r>
      <w:r w:rsidR="00DA60C9" w:rsidRPr="0095252E">
        <w:rPr>
          <w:color w:val="auto"/>
          <w:lang w:val="en-US"/>
        </w:rPr>
        <w:t xml:space="preserve"> officially presented before the Permanent Multi-sector Commission to carry out the follow up of the Open Government Action Plan</w:t>
      </w:r>
      <w:r w:rsidR="0067247B" w:rsidRPr="0095252E">
        <w:rPr>
          <w:color w:val="auto"/>
          <w:lang w:val="en-US"/>
        </w:rPr>
        <w:t xml:space="preserve"> implementation</w:t>
      </w:r>
      <w:r w:rsidR="00DA60C9" w:rsidRPr="0095252E">
        <w:rPr>
          <w:color w:val="auto"/>
          <w:lang w:val="en-US"/>
        </w:rPr>
        <w:t>, so it can be assessed and then start the execution of the activities that has been scheduled.</w:t>
      </w:r>
    </w:p>
    <w:p w:rsidR="006857C8" w:rsidRPr="0095252E" w:rsidRDefault="006857C8" w:rsidP="002536E7">
      <w:pPr>
        <w:pStyle w:val="Textoindependiente2"/>
        <w:spacing w:after="0" w:afterAutospacing="0"/>
        <w:rPr>
          <w:color w:val="auto"/>
          <w:lang w:val="en-US"/>
        </w:rPr>
      </w:pPr>
    </w:p>
    <w:p w:rsidR="003F6EFB" w:rsidRPr="0095252E" w:rsidRDefault="002E020B" w:rsidP="002536E7">
      <w:pPr>
        <w:pStyle w:val="Textoindependiente2"/>
        <w:spacing w:after="0" w:afterAutospacing="0"/>
        <w:rPr>
          <w:color w:val="auto"/>
          <w:lang w:val="en-US"/>
        </w:rPr>
      </w:pPr>
      <w:r w:rsidRPr="0095252E">
        <w:rPr>
          <w:color w:val="auto"/>
          <w:lang w:val="en-US"/>
        </w:rPr>
        <w:t>Likewise,</w:t>
      </w:r>
      <w:r w:rsidR="00C96786" w:rsidRPr="0095252E">
        <w:rPr>
          <w:color w:val="auto"/>
          <w:lang w:val="en-US"/>
        </w:rPr>
        <w:t xml:space="preserve"> a participative methodology was proposed, through workshops and meetings to collect contributions and proposals of the public entities, civil society organizations and business unions, regarding the commitments that should be included in such Plan. </w:t>
      </w:r>
    </w:p>
    <w:p w:rsidR="009973E7" w:rsidRPr="0095252E" w:rsidRDefault="009973E7" w:rsidP="002536E7">
      <w:pPr>
        <w:pStyle w:val="Textoindependiente2"/>
        <w:spacing w:after="0" w:afterAutospacing="0"/>
        <w:rPr>
          <w:color w:val="auto"/>
          <w:lang w:val="en-US"/>
        </w:rPr>
      </w:pPr>
    </w:p>
    <w:p w:rsidR="009973E7" w:rsidRPr="0095252E" w:rsidRDefault="00751688" w:rsidP="002536E7">
      <w:pPr>
        <w:pStyle w:val="Textoindependiente2"/>
        <w:spacing w:after="0" w:afterAutospacing="0"/>
        <w:rPr>
          <w:b/>
          <w:i/>
          <w:color w:val="auto"/>
          <w:lang w:val="en-US"/>
        </w:rPr>
      </w:pPr>
      <w:r w:rsidRPr="0095252E">
        <w:rPr>
          <w:b/>
          <w:i/>
          <w:color w:val="auto"/>
          <w:lang w:val="en-US"/>
        </w:rPr>
        <w:t xml:space="preserve">Dissemination of the Preparation process </w:t>
      </w:r>
      <w:bookmarkStart w:id="18" w:name="_GoBack"/>
      <w:bookmarkEnd w:id="18"/>
    </w:p>
    <w:p w:rsidR="00E15257" w:rsidRPr="0095252E" w:rsidRDefault="00E15257" w:rsidP="002536E7">
      <w:pPr>
        <w:pStyle w:val="Textoindependiente2"/>
        <w:spacing w:after="0" w:afterAutospacing="0"/>
        <w:rPr>
          <w:color w:val="auto"/>
          <w:lang w:val="en-US"/>
        </w:rPr>
      </w:pPr>
      <w:r w:rsidRPr="0095252E">
        <w:rPr>
          <w:color w:val="auto"/>
          <w:lang w:val="en-US"/>
        </w:rPr>
        <w:t>For the dissemination of the consultation process</w:t>
      </w:r>
      <w:r w:rsidR="00EE0E86" w:rsidRPr="0095252E">
        <w:rPr>
          <w:color w:val="auto"/>
          <w:vertAlign w:val="superscript"/>
          <w:lang w:val="en-US"/>
        </w:rPr>
        <w:t>1</w:t>
      </w:r>
      <w:r w:rsidRPr="0095252E">
        <w:rPr>
          <w:color w:val="auto"/>
          <w:lang w:val="en-US"/>
        </w:rPr>
        <w:t xml:space="preserve">, information and communication technologies (ICTs) were used, through web pages, social networks, such as Facebook, Twitter and other channels </w:t>
      </w:r>
      <w:r w:rsidRPr="0095252E">
        <w:rPr>
          <w:color w:val="auto"/>
          <w:lang w:val="en-US"/>
        </w:rPr>
        <w:lastRenderedPageBreak/>
        <w:t>to facilitate the collection of contributions and proposals from institutions and Citizenship in general who could not participate in the workshops. From these spaces and mechanisms, a meeting between the actors</w:t>
      </w:r>
      <w:r w:rsidR="009736B2" w:rsidRPr="0095252E">
        <w:rPr>
          <w:color w:val="auto"/>
          <w:lang w:val="en-US"/>
        </w:rPr>
        <w:t xml:space="preserve"> was needed</w:t>
      </w:r>
      <w:r w:rsidRPr="0095252E">
        <w:rPr>
          <w:color w:val="auto"/>
          <w:lang w:val="en-US"/>
        </w:rPr>
        <w:t xml:space="preserve"> to deliberate on the different commitments to be included in the second plan</w:t>
      </w:r>
      <w:r w:rsidR="009736B2" w:rsidRPr="0095252E">
        <w:rPr>
          <w:color w:val="auto"/>
          <w:lang w:val="en-US"/>
        </w:rPr>
        <w:t>.</w:t>
      </w:r>
    </w:p>
    <w:p w:rsidR="006857C8" w:rsidRPr="0095252E" w:rsidRDefault="006857C8" w:rsidP="002536E7">
      <w:pPr>
        <w:pStyle w:val="Textoindependiente2"/>
        <w:spacing w:after="0" w:afterAutospacing="0"/>
        <w:rPr>
          <w:color w:val="auto"/>
          <w:lang w:val="en-US"/>
        </w:rPr>
      </w:pPr>
    </w:p>
    <w:p w:rsidR="009973E7" w:rsidRPr="0095252E" w:rsidRDefault="00EE0E86" w:rsidP="002536E7">
      <w:pPr>
        <w:pStyle w:val="Textoindependiente2"/>
        <w:spacing w:after="0" w:afterAutospacing="0"/>
        <w:rPr>
          <w:b/>
          <w:i/>
          <w:color w:val="auto"/>
          <w:lang w:val="en-US"/>
        </w:rPr>
      </w:pPr>
      <w:r w:rsidRPr="0095252E">
        <w:rPr>
          <w:b/>
          <w:i/>
          <w:color w:val="auto"/>
          <w:lang w:val="en-US"/>
        </w:rPr>
        <w:t>Plan Preparation</w:t>
      </w:r>
    </w:p>
    <w:p w:rsidR="00EE0E86" w:rsidRPr="0095252E" w:rsidRDefault="00EE0E86" w:rsidP="002536E7">
      <w:pPr>
        <w:pStyle w:val="Textoindependiente2"/>
        <w:spacing w:after="0" w:afterAutospacing="0"/>
        <w:rPr>
          <w:color w:val="auto"/>
          <w:lang w:val="en-US"/>
        </w:rPr>
      </w:pPr>
    </w:p>
    <w:p w:rsidR="00F424C2" w:rsidRPr="0095252E" w:rsidRDefault="00EE0E86" w:rsidP="002536E7">
      <w:pPr>
        <w:pStyle w:val="Textoindependiente2"/>
        <w:spacing w:after="0" w:afterAutospacing="0"/>
        <w:rPr>
          <w:color w:val="auto"/>
          <w:lang w:val="en-US"/>
        </w:rPr>
      </w:pPr>
      <w:r w:rsidRPr="0095252E">
        <w:rPr>
          <w:color w:val="auto"/>
          <w:lang w:val="en-US"/>
        </w:rPr>
        <w:t>As mentioned above, decentralized workshops were held in the Ayacucho, Piura and San Martin Regions, and two workshops in the city of Lima. Meetings were also held with representatives of the Congress of the Republic, in order to report the activities that were being carried out to prepare the Plan. The final result presented 18 prioritized commitments.</w:t>
      </w:r>
    </w:p>
    <w:p w:rsidR="00EE0E86" w:rsidRPr="0095252E" w:rsidRDefault="00EE0E86" w:rsidP="002536E7">
      <w:pPr>
        <w:pStyle w:val="Textoindependiente2"/>
        <w:spacing w:after="0" w:afterAutospacing="0"/>
        <w:rPr>
          <w:color w:val="auto"/>
          <w:lang w:val="en-US"/>
        </w:rPr>
      </w:pPr>
    </w:p>
    <w:p w:rsidR="00960F48" w:rsidRPr="0095252E" w:rsidRDefault="00EE0E86" w:rsidP="004F01B9">
      <w:pPr>
        <w:pStyle w:val="Textoindependiente2"/>
        <w:spacing w:after="0" w:afterAutospacing="0"/>
        <w:rPr>
          <w:color w:val="auto"/>
          <w:lang w:val="en-US"/>
        </w:rPr>
      </w:pPr>
      <w:r w:rsidRPr="0095252E">
        <w:rPr>
          <w:color w:val="auto"/>
          <w:lang w:val="en-US"/>
        </w:rPr>
        <w:t xml:space="preserve">As a result of the workshops, </w:t>
      </w:r>
      <w:r w:rsidR="00960F48" w:rsidRPr="0095252E">
        <w:rPr>
          <w:color w:val="auto"/>
          <w:lang w:val="en-US"/>
        </w:rPr>
        <w:t xml:space="preserve">49 commitments were prioritized and proposals submitted in writing by the different sectors of the Executive </w:t>
      </w:r>
      <w:r w:rsidRPr="0095252E">
        <w:rPr>
          <w:color w:val="auto"/>
          <w:lang w:val="en-US"/>
        </w:rPr>
        <w:t>Power</w:t>
      </w:r>
      <w:r w:rsidR="00960F48" w:rsidRPr="0095252E">
        <w:rPr>
          <w:color w:val="auto"/>
          <w:lang w:val="en-US"/>
        </w:rPr>
        <w:t xml:space="preserve"> (170 proposals), which were grouped according to their content and aligned with the unfulfilled commitments of the first plan.</w:t>
      </w:r>
    </w:p>
    <w:p w:rsidR="00CE27FC" w:rsidRPr="0095252E" w:rsidRDefault="00CE27FC" w:rsidP="002536E7">
      <w:pPr>
        <w:pStyle w:val="Textoindependiente2"/>
        <w:spacing w:after="0" w:afterAutospacing="0"/>
        <w:rPr>
          <w:color w:val="auto"/>
          <w:lang w:val="en-US"/>
        </w:rPr>
      </w:pPr>
    </w:p>
    <w:p w:rsidR="00960F48" w:rsidRPr="0095252E" w:rsidRDefault="007514E6" w:rsidP="002536E7">
      <w:pPr>
        <w:pStyle w:val="Textoindependiente2"/>
        <w:spacing w:after="0" w:afterAutospacing="0"/>
        <w:rPr>
          <w:color w:val="auto"/>
          <w:lang w:val="en-US"/>
        </w:rPr>
      </w:pPr>
      <w:r w:rsidRPr="0095252E">
        <w:rPr>
          <w:color w:val="auto"/>
          <w:lang w:val="en-US"/>
        </w:rPr>
        <w:t>Regarding</w:t>
      </w:r>
      <w:r w:rsidR="00960F48" w:rsidRPr="0095252E">
        <w:rPr>
          <w:color w:val="auto"/>
          <w:lang w:val="en-US"/>
        </w:rPr>
        <w:t xml:space="preserve"> the work</w:t>
      </w:r>
      <w:r w:rsidRPr="0095252E">
        <w:rPr>
          <w:color w:val="auto"/>
          <w:lang w:val="en-US"/>
        </w:rPr>
        <w:t xml:space="preserve"> </w:t>
      </w:r>
      <w:r w:rsidR="00960F48" w:rsidRPr="0095252E">
        <w:rPr>
          <w:color w:val="auto"/>
          <w:lang w:val="en-US"/>
        </w:rPr>
        <w:t xml:space="preserve">developed, the components in which the prioritized commitments were grouped were established: </w:t>
      </w:r>
      <w:r w:rsidR="00960F48" w:rsidRPr="0095252E">
        <w:rPr>
          <w:b/>
          <w:color w:val="auto"/>
          <w:lang w:val="en-US"/>
        </w:rPr>
        <w:t>1) Transparency and Access to public information, 2)</w:t>
      </w:r>
      <w:r w:rsidR="00EE0E86" w:rsidRPr="0095252E">
        <w:rPr>
          <w:b/>
          <w:color w:val="auto"/>
          <w:lang w:val="en-US"/>
        </w:rPr>
        <w:t xml:space="preserve"> reporting</w:t>
      </w:r>
      <w:r w:rsidR="00960F48" w:rsidRPr="0095252E">
        <w:rPr>
          <w:b/>
          <w:color w:val="auto"/>
          <w:lang w:val="en-US"/>
        </w:rPr>
        <w:t>, 3) improvement of public services and 4) citizen participation</w:t>
      </w:r>
      <w:r w:rsidR="00960F48" w:rsidRPr="0095252E">
        <w:rPr>
          <w:color w:val="auto"/>
          <w:lang w:val="en-US"/>
        </w:rPr>
        <w:t xml:space="preserve">. The following actions were </w:t>
      </w:r>
      <w:r w:rsidRPr="0095252E">
        <w:rPr>
          <w:color w:val="auto"/>
          <w:lang w:val="en-US"/>
        </w:rPr>
        <w:t>established</w:t>
      </w:r>
      <w:r w:rsidR="00960F48" w:rsidRPr="0095252E">
        <w:rPr>
          <w:color w:val="auto"/>
          <w:lang w:val="en-US"/>
        </w:rPr>
        <w:t xml:space="preserve"> for approval, including the formation of the drafting group, systematization of </w:t>
      </w:r>
      <w:r w:rsidRPr="0095252E">
        <w:rPr>
          <w:color w:val="auto"/>
          <w:lang w:val="en-US"/>
        </w:rPr>
        <w:t>cards</w:t>
      </w:r>
      <w:r w:rsidR="00960F48" w:rsidRPr="0095252E">
        <w:rPr>
          <w:color w:val="auto"/>
          <w:lang w:val="en-US"/>
        </w:rPr>
        <w:t xml:space="preserve"> with </w:t>
      </w:r>
      <w:r w:rsidR="00EE0E86" w:rsidRPr="0095252E">
        <w:rPr>
          <w:color w:val="auto"/>
          <w:lang w:val="en-US"/>
        </w:rPr>
        <w:t xml:space="preserve">the </w:t>
      </w:r>
      <w:r w:rsidR="00960F48" w:rsidRPr="0095252E">
        <w:rPr>
          <w:color w:val="auto"/>
          <w:lang w:val="en-US"/>
        </w:rPr>
        <w:t xml:space="preserve">prioritized commitments, drafting of the plan, conducting a workshop </w:t>
      </w:r>
      <w:r w:rsidR="00D50FAE" w:rsidRPr="0095252E">
        <w:rPr>
          <w:color w:val="auto"/>
          <w:lang w:val="en-US"/>
        </w:rPr>
        <w:t xml:space="preserve">so the sectors and the Commission are able to </w:t>
      </w:r>
      <w:r w:rsidR="00D36817" w:rsidRPr="0095252E">
        <w:rPr>
          <w:color w:val="auto"/>
          <w:lang w:val="en-US"/>
        </w:rPr>
        <w:t>determine t</w:t>
      </w:r>
      <w:r w:rsidR="00D50FAE" w:rsidRPr="0095252E">
        <w:rPr>
          <w:color w:val="auto"/>
          <w:lang w:val="en-US"/>
        </w:rPr>
        <w:t xml:space="preserve">he </w:t>
      </w:r>
      <w:r w:rsidR="00D36817" w:rsidRPr="0095252E">
        <w:rPr>
          <w:color w:val="auto"/>
          <w:lang w:val="en-US"/>
        </w:rPr>
        <w:t>adjustments</w:t>
      </w:r>
      <w:r w:rsidR="00D50FAE" w:rsidRPr="0095252E">
        <w:rPr>
          <w:color w:val="auto"/>
          <w:lang w:val="en-US"/>
        </w:rPr>
        <w:t xml:space="preserve"> to be</w:t>
      </w:r>
      <w:r w:rsidR="00EE0E86" w:rsidRPr="0095252E">
        <w:rPr>
          <w:color w:val="auto"/>
          <w:lang w:val="en-US"/>
        </w:rPr>
        <w:t xml:space="preserve"> made, online public consultation</w:t>
      </w:r>
      <w:r w:rsidR="00960F48" w:rsidRPr="0095252E">
        <w:rPr>
          <w:color w:val="auto"/>
          <w:lang w:val="en-US"/>
        </w:rPr>
        <w:t xml:space="preserve">, systematization of the contributions and approval of the </w:t>
      </w:r>
      <w:r w:rsidR="00D36817" w:rsidRPr="0095252E">
        <w:rPr>
          <w:color w:val="auto"/>
          <w:lang w:val="en-US"/>
        </w:rPr>
        <w:t xml:space="preserve">plan </w:t>
      </w:r>
      <w:r w:rsidR="00960F48" w:rsidRPr="0095252E">
        <w:rPr>
          <w:color w:val="auto"/>
          <w:lang w:val="en-US"/>
        </w:rPr>
        <w:t>final version.</w:t>
      </w:r>
    </w:p>
    <w:p w:rsidR="00CE27FC" w:rsidRPr="0095252E" w:rsidRDefault="00CE27FC" w:rsidP="002536E7">
      <w:pPr>
        <w:pStyle w:val="Textoindependiente2"/>
        <w:spacing w:after="0" w:afterAutospacing="0"/>
        <w:rPr>
          <w:color w:val="auto"/>
          <w:lang w:val="en-US"/>
        </w:rPr>
      </w:pPr>
    </w:p>
    <w:p w:rsidR="009973E7" w:rsidRPr="0095252E" w:rsidRDefault="00D36817" w:rsidP="002536E7">
      <w:pPr>
        <w:pStyle w:val="Textoindependiente2"/>
        <w:spacing w:after="0" w:afterAutospacing="0"/>
        <w:rPr>
          <w:b/>
          <w:i/>
          <w:color w:val="auto"/>
          <w:lang w:val="en-US"/>
        </w:rPr>
      </w:pPr>
      <w:r w:rsidRPr="0095252E">
        <w:rPr>
          <w:b/>
          <w:i/>
          <w:color w:val="auto"/>
          <w:lang w:val="en-US"/>
        </w:rPr>
        <w:t>Approval of the Plan</w:t>
      </w:r>
    </w:p>
    <w:p w:rsidR="00C1649A" w:rsidRPr="0095252E" w:rsidRDefault="00C1649A" w:rsidP="002536E7">
      <w:pPr>
        <w:pStyle w:val="Textoindependiente2"/>
        <w:spacing w:after="0" w:afterAutospacing="0"/>
        <w:rPr>
          <w:b/>
          <w:i/>
          <w:color w:val="auto"/>
          <w:lang w:val="en-US"/>
        </w:rPr>
      </w:pPr>
    </w:p>
    <w:p w:rsidR="00D36817" w:rsidRPr="0095252E" w:rsidRDefault="00D36817" w:rsidP="006D20EF">
      <w:pPr>
        <w:pStyle w:val="Textoindependiente2"/>
        <w:spacing w:after="0" w:afterAutospacing="0"/>
        <w:rPr>
          <w:color w:val="auto"/>
          <w:lang w:val="en-US"/>
        </w:rPr>
      </w:pPr>
      <w:r w:rsidRPr="0095252E">
        <w:rPr>
          <w:color w:val="auto"/>
          <w:lang w:val="en-US"/>
        </w:rPr>
        <w:t xml:space="preserve">Due to the change of management in the Presidency of the </w:t>
      </w:r>
      <w:r w:rsidR="00EE0E86" w:rsidRPr="0095252E">
        <w:rPr>
          <w:color w:val="auto"/>
          <w:lang w:val="en-US"/>
        </w:rPr>
        <w:t>Cabinet</w:t>
      </w:r>
      <w:r w:rsidRPr="0095252E">
        <w:rPr>
          <w:color w:val="auto"/>
          <w:lang w:val="en-US"/>
        </w:rPr>
        <w:t xml:space="preserve">, the approval of the agreed plan - scheduled for June 2014 - was delayed and was approved in July 2015, </w:t>
      </w:r>
      <w:r w:rsidR="00003DBC">
        <w:rPr>
          <w:color w:val="auto"/>
          <w:lang w:val="en-US"/>
        </w:rPr>
        <w:t xml:space="preserve">pursuant to </w:t>
      </w:r>
      <w:r w:rsidRPr="0095252E">
        <w:rPr>
          <w:color w:val="auto"/>
          <w:lang w:val="en-US"/>
        </w:rPr>
        <w:t xml:space="preserve">the communication sent by the Open Government Partnership recommending the Government </w:t>
      </w:r>
      <w:r w:rsidR="00422E97" w:rsidRPr="0095252E">
        <w:rPr>
          <w:color w:val="auto"/>
          <w:lang w:val="en-US"/>
        </w:rPr>
        <w:t>of</w:t>
      </w:r>
      <w:r w:rsidRPr="0095252E">
        <w:rPr>
          <w:color w:val="auto"/>
          <w:lang w:val="en-US"/>
        </w:rPr>
        <w:t xml:space="preserve"> Peru </w:t>
      </w:r>
      <w:r w:rsidR="00422E97" w:rsidRPr="0095252E">
        <w:rPr>
          <w:color w:val="auto"/>
          <w:lang w:val="en-US"/>
        </w:rPr>
        <w:t>to have it approved</w:t>
      </w:r>
      <w:r w:rsidRPr="0095252E">
        <w:rPr>
          <w:color w:val="auto"/>
          <w:lang w:val="en-US"/>
        </w:rPr>
        <w:t xml:space="preserve"> before January 1, 2015. In December 2014</w:t>
      </w:r>
      <w:r w:rsidR="00422E97" w:rsidRPr="0095252E">
        <w:rPr>
          <w:color w:val="auto"/>
          <w:lang w:val="en-US"/>
        </w:rPr>
        <w:t>,</w:t>
      </w:r>
      <w:r w:rsidRPr="0095252E">
        <w:rPr>
          <w:color w:val="auto"/>
          <w:lang w:val="en-US"/>
        </w:rPr>
        <w:t xml:space="preserve"> organizations representing</w:t>
      </w:r>
      <w:r w:rsidR="00422E97" w:rsidRPr="0095252E">
        <w:rPr>
          <w:color w:val="auto"/>
          <w:lang w:val="en-US"/>
        </w:rPr>
        <w:t xml:space="preserve"> the civil society informed </w:t>
      </w:r>
      <w:r w:rsidRPr="0095252E">
        <w:rPr>
          <w:color w:val="auto"/>
          <w:lang w:val="en-US"/>
        </w:rPr>
        <w:t xml:space="preserve">the Presidency of the </w:t>
      </w:r>
      <w:r w:rsidR="00EE0E86" w:rsidRPr="0095252E">
        <w:rPr>
          <w:color w:val="auto"/>
          <w:lang w:val="en-US"/>
        </w:rPr>
        <w:t>Cabinet</w:t>
      </w:r>
      <w:r w:rsidRPr="0095252E">
        <w:rPr>
          <w:color w:val="auto"/>
          <w:lang w:val="en-US"/>
        </w:rPr>
        <w:t xml:space="preserve"> their decision to suspend the </w:t>
      </w:r>
      <w:r w:rsidR="009E1186" w:rsidRPr="0095252E">
        <w:rPr>
          <w:color w:val="auto"/>
          <w:lang w:val="en-US"/>
        </w:rPr>
        <w:t>AGA PLAN process support</w:t>
      </w:r>
      <w:r w:rsidRPr="0095252E">
        <w:rPr>
          <w:color w:val="auto"/>
          <w:lang w:val="en-US"/>
        </w:rPr>
        <w:t>.</w:t>
      </w:r>
    </w:p>
    <w:p w:rsidR="00EE0E86" w:rsidRPr="0095252E" w:rsidRDefault="00EE0E86" w:rsidP="00C1649A">
      <w:pPr>
        <w:pStyle w:val="Textoindependiente2"/>
        <w:spacing w:after="0" w:afterAutospacing="0"/>
        <w:rPr>
          <w:color w:val="auto"/>
          <w:lang w:val="en-US"/>
        </w:rPr>
      </w:pPr>
    </w:p>
    <w:p w:rsidR="000834F6" w:rsidRPr="0095252E" w:rsidRDefault="000834F6" w:rsidP="000834F6">
      <w:pPr>
        <w:pStyle w:val="Textoindependiente2"/>
        <w:spacing w:after="0" w:afterAutospacing="0"/>
        <w:rPr>
          <w:color w:val="auto"/>
          <w:lang w:val="en-US"/>
        </w:rPr>
      </w:pPr>
      <w:r w:rsidRPr="0095252E">
        <w:rPr>
          <w:color w:val="auto"/>
          <w:lang w:val="en-US"/>
        </w:rPr>
        <w:t>__________________________</w:t>
      </w:r>
    </w:p>
    <w:p w:rsidR="000834F6" w:rsidRPr="0095252E" w:rsidRDefault="000834F6" w:rsidP="000834F6">
      <w:pPr>
        <w:pStyle w:val="Textonotapie"/>
        <w:rPr>
          <w:sz w:val="18"/>
          <w:szCs w:val="18"/>
          <w:lang w:val="en-US"/>
        </w:rPr>
      </w:pPr>
      <w:r w:rsidRPr="0095252E">
        <w:rPr>
          <w:rStyle w:val="Refdenotaalpie"/>
          <w:sz w:val="18"/>
          <w:szCs w:val="18"/>
          <w:lang w:val="en-US"/>
        </w:rPr>
        <w:footnoteRef/>
      </w:r>
      <w:r w:rsidRPr="0095252E">
        <w:rPr>
          <w:sz w:val="18"/>
          <w:szCs w:val="18"/>
          <w:lang w:val="en-US"/>
        </w:rPr>
        <w:t xml:space="preserve"> </w:t>
      </w:r>
      <w:hyperlink r:id="rId13" w:history="1">
        <w:r w:rsidRPr="0095252E">
          <w:rPr>
            <w:rStyle w:val="Hipervnculo"/>
            <w:sz w:val="18"/>
            <w:szCs w:val="18"/>
            <w:lang w:val="en-US"/>
          </w:rPr>
          <w:t>http://www.pcm.gob.pe/gobierno_abierto_peru/</w:t>
        </w:r>
      </w:hyperlink>
      <w:r w:rsidRPr="0095252E">
        <w:rPr>
          <w:sz w:val="18"/>
          <w:szCs w:val="18"/>
          <w:lang w:val="en-US"/>
        </w:rPr>
        <w:t xml:space="preserve"> ; </w:t>
      </w:r>
    </w:p>
    <w:p w:rsidR="000834F6" w:rsidRPr="0095252E" w:rsidRDefault="002C33FD" w:rsidP="000834F6">
      <w:pPr>
        <w:pStyle w:val="Textonotapie"/>
        <w:rPr>
          <w:sz w:val="18"/>
          <w:szCs w:val="18"/>
          <w:lang w:val="en-US"/>
        </w:rPr>
      </w:pPr>
      <w:hyperlink r:id="rId14" w:history="1">
        <w:r w:rsidR="000834F6" w:rsidRPr="0095252E">
          <w:rPr>
            <w:rStyle w:val="Hipervnculo"/>
            <w:sz w:val="18"/>
            <w:szCs w:val="18"/>
            <w:lang w:val="en-US"/>
          </w:rPr>
          <w:t>http://www.pcm.gob.pe/wp-content/uploads/2014/01/PLAN_AGA.pdf</w:t>
        </w:r>
      </w:hyperlink>
    </w:p>
    <w:p w:rsidR="000834F6" w:rsidRPr="0095252E" w:rsidRDefault="000834F6">
      <w:pPr>
        <w:rPr>
          <w:lang w:val="en-US"/>
        </w:rPr>
      </w:pPr>
      <w:r w:rsidRPr="0095252E">
        <w:rPr>
          <w:lang w:val="en-US"/>
        </w:rPr>
        <w:br w:type="page"/>
      </w:r>
    </w:p>
    <w:p w:rsidR="000834F6" w:rsidRPr="0095252E" w:rsidRDefault="000834F6" w:rsidP="00C1649A">
      <w:pPr>
        <w:pStyle w:val="Textoindependiente2"/>
        <w:spacing w:after="0" w:afterAutospacing="0"/>
        <w:rPr>
          <w:color w:val="auto"/>
          <w:lang w:val="en-US"/>
        </w:rPr>
      </w:pPr>
    </w:p>
    <w:p w:rsidR="009E1186" w:rsidRPr="0095252E" w:rsidRDefault="009E1186" w:rsidP="0080368D">
      <w:pPr>
        <w:pStyle w:val="Textoindependiente2"/>
        <w:spacing w:after="0" w:afterAutospacing="0"/>
        <w:rPr>
          <w:color w:val="auto"/>
          <w:lang w:val="en-US"/>
        </w:rPr>
      </w:pPr>
      <w:r w:rsidRPr="0095252E">
        <w:rPr>
          <w:color w:val="auto"/>
          <w:lang w:val="en-US"/>
        </w:rPr>
        <w:t xml:space="preserve">This second plan collected 17 of the 18 commitments and left for evaluation the normative proposal for the creation of the National Authority for Transparency and Access to Public Information, which caused that the representatives of the civil society </w:t>
      </w:r>
      <w:r w:rsidR="00507ADD" w:rsidRPr="0095252E">
        <w:rPr>
          <w:color w:val="auto"/>
          <w:lang w:val="en-US"/>
        </w:rPr>
        <w:t xml:space="preserve">set as a </w:t>
      </w:r>
      <w:r w:rsidRPr="0095252E">
        <w:rPr>
          <w:color w:val="auto"/>
          <w:lang w:val="en-US"/>
        </w:rPr>
        <w:t>condition</w:t>
      </w:r>
      <w:r w:rsidR="00507ADD" w:rsidRPr="0095252E">
        <w:rPr>
          <w:color w:val="auto"/>
          <w:lang w:val="en-US"/>
        </w:rPr>
        <w:t xml:space="preserve"> the inclusion of the commitment to create the transparency authority to</w:t>
      </w:r>
      <w:r w:rsidRPr="0095252E">
        <w:rPr>
          <w:color w:val="auto"/>
          <w:lang w:val="en-US"/>
        </w:rPr>
        <w:t xml:space="preserve"> their reincorporation to the </w:t>
      </w:r>
      <w:r w:rsidR="00507ADD" w:rsidRPr="0095252E">
        <w:rPr>
          <w:color w:val="auto"/>
          <w:lang w:val="en-US"/>
        </w:rPr>
        <w:t>Commission</w:t>
      </w:r>
      <w:r w:rsidRPr="0095252E">
        <w:rPr>
          <w:color w:val="auto"/>
          <w:lang w:val="en-US"/>
        </w:rPr>
        <w:t>. Notwithstanding this, and through repeated communications, the</w:t>
      </w:r>
      <w:r w:rsidR="00507ADD" w:rsidRPr="0095252E">
        <w:rPr>
          <w:color w:val="auto"/>
          <w:lang w:val="en-US"/>
        </w:rPr>
        <w:t xml:space="preserve"> Government</w:t>
      </w:r>
      <w:r w:rsidRPr="0095252E">
        <w:rPr>
          <w:color w:val="auto"/>
          <w:lang w:val="en-US"/>
        </w:rPr>
        <w:t xml:space="preserve"> requested </w:t>
      </w:r>
      <w:r w:rsidR="00A76A85" w:rsidRPr="0095252E">
        <w:rPr>
          <w:color w:val="auto"/>
          <w:lang w:val="en-US"/>
        </w:rPr>
        <w:t xml:space="preserve">to the </w:t>
      </w:r>
      <w:r w:rsidRPr="0095252E">
        <w:rPr>
          <w:color w:val="auto"/>
          <w:lang w:val="en-US"/>
        </w:rPr>
        <w:t>civil society to reconsider coordinating and communicating, as well as being invited to all activities developed for the implementation of the commitments on transparency and access to Public information and open data. In addition, the creation of the Autonomous Authority was addressed in the High Level Anti-Corruption Commission, a space where civil society also participates</w:t>
      </w:r>
      <w:r w:rsidR="00A76A85" w:rsidRPr="0095252E">
        <w:rPr>
          <w:color w:val="auto"/>
          <w:lang w:val="en-US"/>
        </w:rPr>
        <w:t>.</w:t>
      </w:r>
    </w:p>
    <w:p w:rsidR="00A76A85" w:rsidRPr="0095252E" w:rsidRDefault="00A76A85" w:rsidP="0080368D">
      <w:pPr>
        <w:pStyle w:val="Textoindependiente2"/>
        <w:spacing w:after="0" w:afterAutospacing="0"/>
        <w:rPr>
          <w:color w:val="auto"/>
          <w:lang w:val="en-US"/>
        </w:rPr>
      </w:pPr>
    </w:p>
    <w:p w:rsidR="00453003" w:rsidRPr="0095252E" w:rsidRDefault="00363FBD" w:rsidP="003A3ABE">
      <w:pPr>
        <w:numPr>
          <w:ilvl w:val="0"/>
          <w:numId w:val="5"/>
        </w:numPr>
        <w:autoSpaceDE w:val="0"/>
        <w:autoSpaceDN w:val="0"/>
        <w:adjustRightInd w:val="0"/>
        <w:spacing w:after="0" w:line="240" w:lineRule="auto"/>
        <w:ind w:left="284"/>
        <w:rPr>
          <w:b/>
          <w:i/>
          <w:sz w:val="28"/>
          <w:szCs w:val="28"/>
          <w:lang w:val="en-US"/>
        </w:rPr>
      </w:pPr>
      <w:bookmarkStart w:id="19" w:name="_Toc428787071"/>
      <w:bookmarkStart w:id="20" w:name="_Toc428794291"/>
      <w:bookmarkStart w:id="21" w:name="_Toc428796078"/>
      <w:bookmarkStart w:id="22" w:name="_Toc428800185"/>
      <w:bookmarkStart w:id="23" w:name="_Toc428800414"/>
      <w:bookmarkStart w:id="24" w:name="_Toc428803016"/>
      <w:bookmarkStart w:id="25" w:name="_Toc431283342"/>
      <w:bookmarkStart w:id="26" w:name="_Toc431286913"/>
      <w:bookmarkStart w:id="27" w:name="_Toc431288970"/>
      <w:r w:rsidRPr="0095252E">
        <w:rPr>
          <w:rFonts w:ascii="Gotham Bold" w:hAnsi="Gotham Bold" w:cs="Gotham Bold"/>
          <w:b/>
          <w:i/>
          <w:color w:val="000000"/>
          <w:sz w:val="28"/>
          <w:szCs w:val="28"/>
          <w:lang w:val="en-US"/>
        </w:rPr>
        <w:t>Recommendations</w:t>
      </w:r>
      <w:r w:rsidR="00A76A85" w:rsidRPr="0095252E">
        <w:rPr>
          <w:rFonts w:ascii="Gotham Bold" w:hAnsi="Gotham Bold" w:cs="Gotham Bold"/>
          <w:b/>
          <w:i/>
          <w:color w:val="000000"/>
          <w:sz w:val="28"/>
          <w:szCs w:val="28"/>
          <w:lang w:val="en-US"/>
        </w:rPr>
        <w:t xml:space="preserve"> of the independent</w:t>
      </w:r>
      <w:r w:rsidR="00CC31D5" w:rsidRPr="0095252E">
        <w:rPr>
          <w:rFonts w:ascii="Gotham Bold" w:hAnsi="Gotham Bold" w:cs="Gotham Bold"/>
          <w:b/>
          <w:i/>
          <w:color w:val="000000"/>
          <w:sz w:val="28"/>
          <w:szCs w:val="28"/>
          <w:lang w:val="en-US"/>
        </w:rPr>
        <w:t xml:space="preserve"> review mechanism</w:t>
      </w:r>
      <w:r w:rsidR="00F27589" w:rsidRPr="0095252E">
        <w:rPr>
          <w:b/>
          <w:i/>
          <w:sz w:val="28"/>
          <w:szCs w:val="28"/>
          <w:lang w:val="en-US"/>
        </w:rPr>
        <w:t xml:space="preserve"> </w:t>
      </w:r>
      <w:bookmarkEnd w:id="19"/>
      <w:bookmarkEnd w:id="20"/>
      <w:bookmarkEnd w:id="21"/>
      <w:bookmarkEnd w:id="22"/>
      <w:bookmarkEnd w:id="23"/>
      <w:bookmarkEnd w:id="24"/>
      <w:bookmarkEnd w:id="25"/>
      <w:bookmarkEnd w:id="26"/>
      <w:bookmarkEnd w:id="27"/>
    </w:p>
    <w:p w:rsidR="0056200A" w:rsidRPr="0095252E" w:rsidRDefault="0056200A" w:rsidP="00A56D20">
      <w:pPr>
        <w:spacing w:after="0" w:line="240" w:lineRule="auto"/>
        <w:jc w:val="both"/>
        <w:rPr>
          <w:b/>
          <w:lang w:val="en-US"/>
        </w:rPr>
      </w:pPr>
    </w:p>
    <w:p w:rsidR="00CC31D5" w:rsidRPr="0095252E" w:rsidRDefault="00CC31D5" w:rsidP="00A56D20">
      <w:pPr>
        <w:spacing w:after="0" w:line="240" w:lineRule="auto"/>
        <w:jc w:val="both"/>
        <w:rPr>
          <w:lang w:val="en-US"/>
        </w:rPr>
      </w:pPr>
      <w:r w:rsidRPr="0095252E">
        <w:rPr>
          <w:lang w:val="en-US"/>
        </w:rPr>
        <w:t>Considering the recommendations of the evaluation report corresponding to the first plan, a series of improvements were identified for the formulation of the second plan.</w:t>
      </w:r>
    </w:p>
    <w:p w:rsidR="00FB45DB" w:rsidRPr="0095252E" w:rsidRDefault="00FB45DB" w:rsidP="00A56D20">
      <w:pPr>
        <w:spacing w:after="0" w:line="240" w:lineRule="auto"/>
        <w:jc w:val="both"/>
        <w:rPr>
          <w:lang w:val="en-US"/>
        </w:rPr>
      </w:pPr>
    </w:p>
    <w:p w:rsidR="0062249D" w:rsidRPr="0095252E" w:rsidRDefault="00CC31D5" w:rsidP="00A56D20">
      <w:pPr>
        <w:spacing w:after="0" w:line="240" w:lineRule="auto"/>
        <w:jc w:val="both"/>
        <w:rPr>
          <w:b/>
          <w:i/>
          <w:u w:val="single"/>
          <w:lang w:val="en-US"/>
        </w:rPr>
      </w:pPr>
      <w:r w:rsidRPr="0095252E">
        <w:rPr>
          <w:b/>
          <w:i/>
          <w:u w:val="single"/>
          <w:lang w:val="en-US"/>
        </w:rPr>
        <w:t>General Recommendations</w:t>
      </w:r>
    </w:p>
    <w:p w:rsidR="00FF3EFC" w:rsidRPr="0095252E" w:rsidRDefault="00FF3EFC" w:rsidP="00FF3EFC">
      <w:pPr>
        <w:pStyle w:val="Prrafodelista"/>
        <w:numPr>
          <w:ilvl w:val="0"/>
          <w:numId w:val="37"/>
        </w:numPr>
        <w:spacing w:after="0" w:line="240" w:lineRule="auto"/>
        <w:jc w:val="both"/>
        <w:rPr>
          <w:b/>
          <w:i/>
          <w:lang w:val="en-US"/>
        </w:rPr>
      </w:pPr>
      <w:r w:rsidRPr="0095252E">
        <w:rPr>
          <w:b/>
          <w:i/>
          <w:lang w:val="en-US"/>
        </w:rPr>
        <w:t>To connect access to public information with the process of citizen participation when making a decision</w:t>
      </w:r>
    </w:p>
    <w:p w:rsidR="00FF3EFC" w:rsidRPr="0095252E" w:rsidRDefault="00FF3EFC" w:rsidP="00A56D20">
      <w:pPr>
        <w:spacing w:after="0" w:line="240" w:lineRule="auto"/>
        <w:jc w:val="both"/>
        <w:rPr>
          <w:lang w:val="en-US"/>
        </w:rPr>
      </w:pPr>
      <w:r w:rsidRPr="0095252E">
        <w:rPr>
          <w:lang w:val="en-US"/>
        </w:rPr>
        <w:t xml:space="preserve">The second action plan incorporated commitments to strengthen the management of citizen participation in public entities. It also considered the strengthening of civil servants' </w:t>
      </w:r>
      <w:r w:rsidR="0041534B" w:rsidRPr="0095252E">
        <w:rPr>
          <w:lang w:val="en-US"/>
        </w:rPr>
        <w:t>skills in matters of</w:t>
      </w:r>
      <w:r w:rsidRPr="0095252E">
        <w:rPr>
          <w:lang w:val="en-US"/>
        </w:rPr>
        <w:t xml:space="preserve"> transparency and access to public information, which is in line with the recommendation made.</w:t>
      </w:r>
    </w:p>
    <w:p w:rsidR="0062249D" w:rsidRPr="0095252E" w:rsidRDefault="0062249D" w:rsidP="00A56D20">
      <w:pPr>
        <w:spacing w:after="0" w:line="240" w:lineRule="auto"/>
        <w:jc w:val="both"/>
        <w:rPr>
          <w:lang w:val="en-US"/>
        </w:rPr>
      </w:pPr>
    </w:p>
    <w:p w:rsidR="0062249D" w:rsidRPr="0095252E" w:rsidRDefault="00363FBD" w:rsidP="00D115B9">
      <w:pPr>
        <w:pStyle w:val="Prrafodelista"/>
        <w:numPr>
          <w:ilvl w:val="0"/>
          <w:numId w:val="37"/>
        </w:numPr>
        <w:spacing w:after="0" w:line="240" w:lineRule="auto"/>
        <w:jc w:val="both"/>
        <w:rPr>
          <w:b/>
          <w:i/>
          <w:lang w:val="en-US"/>
        </w:rPr>
      </w:pPr>
      <w:r w:rsidRPr="0095252E">
        <w:rPr>
          <w:b/>
          <w:i/>
          <w:lang w:val="en-US"/>
        </w:rPr>
        <w:t>Annual Assessment of the attended and non-attended request</w:t>
      </w:r>
      <w:r w:rsidR="00693F9E" w:rsidRPr="0095252E">
        <w:rPr>
          <w:b/>
          <w:i/>
          <w:lang w:val="en-US"/>
        </w:rPr>
        <w:t>s</w:t>
      </w:r>
      <w:r w:rsidRPr="0095252E">
        <w:rPr>
          <w:b/>
          <w:i/>
          <w:lang w:val="en-US"/>
        </w:rPr>
        <w:t xml:space="preserve"> for information </w:t>
      </w:r>
    </w:p>
    <w:p w:rsidR="00363FBD" w:rsidRPr="0095252E" w:rsidRDefault="00363FBD" w:rsidP="00A56D20">
      <w:pPr>
        <w:spacing w:after="0" w:line="240" w:lineRule="auto"/>
        <w:jc w:val="both"/>
        <w:rPr>
          <w:lang w:val="en-US"/>
        </w:rPr>
      </w:pPr>
      <w:r w:rsidRPr="0095252E">
        <w:rPr>
          <w:lang w:val="en-US"/>
        </w:rPr>
        <w:t xml:space="preserve">The PCM, through the Secretariat of Coordination, prepares an annual report based on the reports of attention to </w:t>
      </w:r>
      <w:r w:rsidR="00693F9E" w:rsidRPr="0095252E">
        <w:rPr>
          <w:lang w:val="en-US"/>
        </w:rPr>
        <w:t xml:space="preserve">the information </w:t>
      </w:r>
      <w:r w:rsidRPr="0095252E">
        <w:rPr>
          <w:lang w:val="en-US"/>
        </w:rPr>
        <w:t xml:space="preserve">requests from public entities, which </w:t>
      </w:r>
      <w:r w:rsidR="00693F9E" w:rsidRPr="0095252E">
        <w:rPr>
          <w:lang w:val="en-US"/>
        </w:rPr>
        <w:t>is also submitted</w:t>
      </w:r>
      <w:r w:rsidRPr="0095252E">
        <w:rPr>
          <w:lang w:val="en-US"/>
        </w:rPr>
        <w:t xml:space="preserve"> to the Congress of the Republic</w:t>
      </w:r>
      <w:r w:rsidR="00693F9E" w:rsidRPr="0095252E">
        <w:rPr>
          <w:lang w:val="en-US"/>
        </w:rPr>
        <w:t>.</w:t>
      </w:r>
    </w:p>
    <w:p w:rsidR="00EE593E" w:rsidRPr="0095252E" w:rsidRDefault="00EE593E" w:rsidP="00A56D20">
      <w:pPr>
        <w:spacing w:after="0" w:line="240" w:lineRule="auto"/>
        <w:jc w:val="both"/>
        <w:rPr>
          <w:lang w:val="en-US"/>
        </w:rPr>
      </w:pPr>
    </w:p>
    <w:p w:rsidR="00693F9E" w:rsidRPr="0095252E" w:rsidRDefault="00693F9E" w:rsidP="00693F9E">
      <w:pPr>
        <w:spacing w:after="0" w:line="240" w:lineRule="auto"/>
        <w:jc w:val="both"/>
        <w:rPr>
          <w:lang w:val="en-US"/>
        </w:rPr>
      </w:pPr>
      <w:r w:rsidRPr="0095252E">
        <w:rPr>
          <w:lang w:val="en-US"/>
        </w:rPr>
        <w:t xml:space="preserve">However, although the recommendation was not considered within the commitments, the </w:t>
      </w:r>
      <w:r w:rsidR="00650841" w:rsidRPr="0095252E">
        <w:rPr>
          <w:lang w:val="en-US"/>
        </w:rPr>
        <w:t>Secretariat</w:t>
      </w:r>
      <w:r w:rsidRPr="0095252E">
        <w:rPr>
          <w:lang w:val="en-US"/>
        </w:rPr>
        <w:t xml:space="preserve"> of Public Management has been working on an initiative to have a computer system to register requests for access to public information, which will allow to evaluate the incorporation of the </w:t>
      </w:r>
      <w:r w:rsidR="00650841" w:rsidRPr="0095252E">
        <w:rPr>
          <w:lang w:val="en-US"/>
        </w:rPr>
        <w:t xml:space="preserve">multicultural </w:t>
      </w:r>
      <w:r w:rsidRPr="0095252E">
        <w:rPr>
          <w:lang w:val="en-US"/>
        </w:rPr>
        <w:t xml:space="preserve">factor and other factors that may arise </w:t>
      </w:r>
      <w:r w:rsidR="00D92CB3" w:rsidRPr="0095252E">
        <w:rPr>
          <w:lang w:val="en-US"/>
        </w:rPr>
        <w:t xml:space="preserve">while handling </w:t>
      </w:r>
      <w:r w:rsidRPr="0095252E">
        <w:rPr>
          <w:lang w:val="en-US"/>
        </w:rPr>
        <w:t>requests for access to public information.</w:t>
      </w:r>
    </w:p>
    <w:p w:rsidR="0056200A" w:rsidRPr="0095252E" w:rsidRDefault="0056200A" w:rsidP="00A56D20">
      <w:pPr>
        <w:spacing w:after="0" w:line="240" w:lineRule="auto"/>
        <w:jc w:val="both"/>
        <w:rPr>
          <w:lang w:val="en-US"/>
        </w:rPr>
      </w:pPr>
    </w:p>
    <w:p w:rsidR="00D92CB3" w:rsidRPr="0095252E" w:rsidRDefault="00D92CB3" w:rsidP="00D92CB3">
      <w:pPr>
        <w:pStyle w:val="Prrafodelista"/>
        <w:numPr>
          <w:ilvl w:val="0"/>
          <w:numId w:val="37"/>
        </w:numPr>
        <w:spacing w:after="0" w:line="240" w:lineRule="auto"/>
        <w:jc w:val="both"/>
        <w:rPr>
          <w:b/>
          <w:i/>
          <w:lang w:val="en-US"/>
        </w:rPr>
      </w:pPr>
      <w:r w:rsidRPr="0095252E">
        <w:rPr>
          <w:b/>
          <w:i/>
          <w:lang w:val="en-US"/>
        </w:rPr>
        <w:t xml:space="preserve">To measure the institutional strengthening and quality of </w:t>
      </w:r>
      <w:r w:rsidR="00DA0C25" w:rsidRPr="0095252E">
        <w:rPr>
          <w:b/>
          <w:i/>
          <w:lang w:val="en-US"/>
        </w:rPr>
        <w:t xml:space="preserve">the </w:t>
      </w:r>
      <w:r w:rsidRPr="0095252E">
        <w:rPr>
          <w:b/>
          <w:i/>
          <w:lang w:val="en-US"/>
        </w:rPr>
        <w:t>transparency instruments</w:t>
      </w:r>
    </w:p>
    <w:p w:rsidR="00DA0C25" w:rsidRPr="0095252E" w:rsidRDefault="00DA0C25" w:rsidP="00DA0C25">
      <w:pPr>
        <w:spacing w:after="0" w:line="240" w:lineRule="auto"/>
        <w:jc w:val="both"/>
        <w:rPr>
          <w:lang w:val="en-US"/>
        </w:rPr>
      </w:pPr>
      <w:r w:rsidRPr="0095252E">
        <w:rPr>
          <w:lang w:val="en-US"/>
        </w:rPr>
        <w:t>The second action plan includes a commitment that takes up the recommendation re</w:t>
      </w:r>
      <w:r w:rsidR="00880A2F" w:rsidRPr="0095252E">
        <w:rPr>
          <w:lang w:val="en-US"/>
        </w:rPr>
        <w:t>lated</w:t>
      </w:r>
      <w:r w:rsidRPr="0095252E">
        <w:rPr>
          <w:lang w:val="en-US"/>
        </w:rPr>
        <w:t xml:space="preserve"> to the quality of the transparency instruments, considering the improvement of the accessibility and interoperability of the Standard Transparency Portals, encouraging the reuse of the data.</w:t>
      </w:r>
    </w:p>
    <w:p w:rsidR="00CE637F" w:rsidRPr="0095252E" w:rsidRDefault="00CE637F" w:rsidP="00A56D20">
      <w:pPr>
        <w:spacing w:after="0" w:line="240" w:lineRule="auto"/>
        <w:jc w:val="both"/>
        <w:rPr>
          <w:b/>
          <w:i/>
          <w:u w:val="single"/>
          <w:lang w:val="en-US"/>
        </w:rPr>
      </w:pPr>
    </w:p>
    <w:p w:rsidR="00790122" w:rsidRPr="0095252E" w:rsidRDefault="00053596" w:rsidP="00A56D20">
      <w:pPr>
        <w:spacing w:after="0" w:line="240" w:lineRule="auto"/>
        <w:jc w:val="both"/>
        <w:rPr>
          <w:b/>
          <w:i/>
          <w:u w:val="single"/>
          <w:lang w:val="en-US"/>
        </w:rPr>
      </w:pPr>
      <w:r w:rsidRPr="0095252E">
        <w:rPr>
          <w:b/>
          <w:i/>
          <w:u w:val="single"/>
          <w:lang w:val="en-US"/>
        </w:rPr>
        <w:t>Preparation of the Action Plan</w:t>
      </w:r>
    </w:p>
    <w:p w:rsidR="00053596" w:rsidRPr="0095252E" w:rsidRDefault="00053596" w:rsidP="0056200A">
      <w:pPr>
        <w:spacing w:after="0" w:line="240" w:lineRule="auto"/>
        <w:jc w:val="both"/>
        <w:rPr>
          <w:lang w:val="en-US"/>
        </w:rPr>
      </w:pPr>
      <w:r w:rsidRPr="0095252E">
        <w:rPr>
          <w:lang w:val="en-US"/>
        </w:rPr>
        <w:t xml:space="preserve">Adjustments were made to the first Action Plan, in order to </w:t>
      </w:r>
      <w:r w:rsidR="00A71EBF" w:rsidRPr="0095252E">
        <w:rPr>
          <w:lang w:val="en-US"/>
        </w:rPr>
        <w:t xml:space="preserve">make it go under </w:t>
      </w:r>
      <w:r w:rsidRPr="0095252E">
        <w:rPr>
          <w:lang w:val="en-US"/>
        </w:rPr>
        <w:t xml:space="preserve">a rationalization and ordering process, leaving 12 commitments for evaluation. This led to </w:t>
      </w:r>
      <w:r w:rsidR="00476B1E" w:rsidRPr="0095252E">
        <w:rPr>
          <w:lang w:val="en-US"/>
        </w:rPr>
        <w:t xml:space="preserve">consider the </w:t>
      </w:r>
      <w:r w:rsidRPr="0095252E">
        <w:rPr>
          <w:lang w:val="en-US"/>
        </w:rPr>
        <w:t xml:space="preserve">SMART methodology </w:t>
      </w:r>
      <w:r w:rsidR="00476B1E" w:rsidRPr="0095252E">
        <w:rPr>
          <w:lang w:val="en-US"/>
        </w:rPr>
        <w:t xml:space="preserve">in the second plan </w:t>
      </w:r>
      <w:r w:rsidRPr="0095252E">
        <w:rPr>
          <w:lang w:val="en-US"/>
        </w:rPr>
        <w:t xml:space="preserve">to reduce the number of commitments, prioritizing, in detail, the formulation and drafting of the commitment, as well as the identification of activities that can be evaluated </w:t>
      </w:r>
      <w:r w:rsidR="00476B1E" w:rsidRPr="0095252E">
        <w:rPr>
          <w:lang w:val="en-US"/>
        </w:rPr>
        <w:t>to comply with the</w:t>
      </w:r>
      <w:r w:rsidRPr="0095252E">
        <w:rPr>
          <w:lang w:val="en-US"/>
        </w:rPr>
        <w:t xml:space="preserve"> commitments.</w:t>
      </w:r>
    </w:p>
    <w:p w:rsidR="00A819C8" w:rsidRPr="0095252E" w:rsidRDefault="00A819C8" w:rsidP="0056200A">
      <w:pPr>
        <w:spacing w:after="0" w:line="240" w:lineRule="auto"/>
        <w:jc w:val="both"/>
        <w:rPr>
          <w:lang w:val="en-US"/>
        </w:rPr>
      </w:pPr>
    </w:p>
    <w:p w:rsidR="00133B92" w:rsidRPr="0095252E" w:rsidRDefault="00A819C8" w:rsidP="00A56D20">
      <w:pPr>
        <w:spacing w:after="0" w:line="240" w:lineRule="auto"/>
        <w:jc w:val="both"/>
        <w:rPr>
          <w:b/>
          <w:i/>
          <w:u w:val="single"/>
          <w:lang w:val="en-US"/>
        </w:rPr>
      </w:pPr>
      <w:r w:rsidRPr="0095252E">
        <w:rPr>
          <w:b/>
          <w:i/>
          <w:u w:val="single"/>
          <w:lang w:val="en-US"/>
        </w:rPr>
        <w:t>Monitor</w:t>
      </w:r>
      <w:r w:rsidR="00476B1E" w:rsidRPr="0095252E">
        <w:rPr>
          <w:b/>
          <w:i/>
          <w:u w:val="single"/>
          <w:lang w:val="en-US"/>
        </w:rPr>
        <w:t>ing of implementation</w:t>
      </w:r>
    </w:p>
    <w:p w:rsidR="00476B1E" w:rsidRPr="0095252E" w:rsidRDefault="00476B1E" w:rsidP="00A56D20">
      <w:pPr>
        <w:spacing w:after="0" w:line="240" w:lineRule="auto"/>
        <w:jc w:val="both"/>
        <w:rPr>
          <w:i/>
          <w:lang w:val="en-US"/>
        </w:rPr>
      </w:pPr>
      <w:r w:rsidRPr="0095252E">
        <w:rPr>
          <w:i/>
          <w:lang w:val="en-US"/>
        </w:rPr>
        <w:lastRenderedPageBreak/>
        <w:t xml:space="preserve">Control of the implementation of the </w:t>
      </w:r>
      <w:r w:rsidR="00437A19" w:rsidRPr="0095252E">
        <w:rPr>
          <w:i/>
          <w:lang w:val="en-US"/>
        </w:rPr>
        <w:t xml:space="preserve">Action </w:t>
      </w:r>
      <w:r w:rsidRPr="0095252E">
        <w:rPr>
          <w:i/>
          <w:lang w:val="en-US"/>
        </w:rPr>
        <w:t xml:space="preserve">Plan should not </w:t>
      </w:r>
      <w:r w:rsidR="00437A19" w:rsidRPr="0095252E">
        <w:rPr>
          <w:i/>
          <w:lang w:val="en-US"/>
        </w:rPr>
        <w:t>stop</w:t>
      </w:r>
      <w:r w:rsidRPr="0095252E">
        <w:rPr>
          <w:i/>
          <w:lang w:val="en-US"/>
        </w:rPr>
        <w:t xml:space="preserve"> </w:t>
      </w:r>
      <w:r w:rsidR="00437A19" w:rsidRPr="0095252E">
        <w:rPr>
          <w:i/>
          <w:lang w:val="en-US"/>
        </w:rPr>
        <w:t xml:space="preserve">with </w:t>
      </w:r>
      <w:r w:rsidRPr="0095252E">
        <w:rPr>
          <w:i/>
          <w:lang w:val="en-US"/>
        </w:rPr>
        <w:t>the Permanent Multi</w:t>
      </w:r>
      <w:r w:rsidR="00437A19" w:rsidRPr="0095252E">
        <w:rPr>
          <w:i/>
          <w:lang w:val="en-US"/>
        </w:rPr>
        <w:t>-</w:t>
      </w:r>
      <w:r w:rsidRPr="0095252E">
        <w:rPr>
          <w:i/>
          <w:lang w:val="en-US"/>
        </w:rPr>
        <w:t>sector Commission to follow up on the implementation of the Open Government Action Plan, since its existence is a good sign that generates confidence about the process of implementation.</w:t>
      </w:r>
    </w:p>
    <w:p w:rsidR="00577FBE" w:rsidRPr="0095252E" w:rsidRDefault="00577FBE" w:rsidP="00437A19">
      <w:pPr>
        <w:spacing w:after="0" w:line="240" w:lineRule="auto"/>
        <w:jc w:val="both"/>
        <w:rPr>
          <w:lang w:val="en-US"/>
        </w:rPr>
      </w:pPr>
    </w:p>
    <w:p w:rsidR="00437A19" w:rsidRPr="0095252E" w:rsidRDefault="00437A19" w:rsidP="00437A19">
      <w:pPr>
        <w:spacing w:after="0" w:line="240" w:lineRule="auto"/>
        <w:jc w:val="both"/>
        <w:rPr>
          <w:lang w:val="en-US"/>
        </w:rPr>
      </w:pPr>
      <w:r w:rsidRPr="0095252E">
        <w:rPr>
          <w:lang w:val="en-US"/>
        </w:rPr>
        <w:t xml:space="preserve">In this regard, there are other </w:t>
      </w:r>
      <w:r w:rsidR="00577FBE" w:rsidRPr="0095252E">
        <w:rPr>
          <w:lang w:val="en-US"/>
        </w:rPr>
        <w:t>area</w:t>
      </w:r>
      <w:r w:rsidRPr="0095252E">
        <w:rPr>
          <w:lang w:val="en-US"/>
        </w:rPr>
        <w:t xml:space="preserve"> </w:t>
      </w:r>
      <w:r w:rsidR="006C6276" w:rsidRPr="0095252E">
        <w:rPr>
          <w:lang w:val="en-US"/>
        </w:rPr>
        <w:t xml:space="preserve">that has been </w:t>
      </w:r>
      <w:r w:rsidRPr="0095252E">
        <w:rPr>
          <w:lang w:val="en-US"/>
        </w:rPr>
        <w:t xml:space="preserve">already institutionalized that </w:t>
      </w:r>
      <w:r w:rsidR="006C6276" w:rsidRPr="0095252E">
        <w:rPr>
          <w:lang w:val="en-US"/>
        </w:rPr>
        <w:t>the recommendation could include</w:t>
      </w:r>
      <w:r w:rsidRPr="0095252E">
        <w:rPr>
          <w:lang w:val="en-US"/>
        </w:rPr>
        <w:t xml:space="preserve">, such as the National Agreement, which is a tripartite space for dialogue and consensus building, </w:t>
      </w:r>
      <w:r w:rsidR="00D74C8D" w:rsidRPr="0095252E">
        <w:rPr>
          <w:lang w:val="en-US"/>
        </w:rPr>
        <w:t xml:space="preserve">composed by </w:t>
      </w:r>
      <w:r w:rsidRPr="0095252E">
        <w:rPr>
          <w:lang w:val="en-US"/>
        </w:rPr>
        <w:t>the Government in its three levels and main political and social institutions of the co</w:t>
      </w:r>
      <w:r w:rsidR="00577FBE" w:rsidRPr="0095252E">
        <w:rPr>
          <w:lang w:val="en-US"/>
        </w:rPr>
        <w:t>untry. For more</w:t>
      </w:r>
      <w:r w:rsidRPr="0095252E">
        <w:rPr>
          <w:lang w:val="en-US"/>
        </w:rPr>
        <w:t xml:space="preserve"> information</w:t>
      </w:r>
      <w:r w:rsidR="00577FBE" w:rsidRPr="0095252E">
        <w:rPr>
          <w:lang w:val="en-US"/>
        </w:rPr>
        <w:t xml:space="preserve">, please visit </w:t>
      </w:r>
      <w:r w:rsidRPr="0095252E">
        <w:rPr>
          <w:lang w:val="en-US"/>
        </w:rPr>
        <w:t>http://acuerdonacional.pe/.</w:t>
      </w:r>
    </w:p>
    <w:p w:rsidR="00EE593E" w:rsidRPr="0095252E" w:rsidRDefault="00EE593E" w:rsidP="00A56D20">
      <w:pPr>
        <w:spacing w:after="0" w:line="240" w:lineRule="auto"/>
        <w:jc w:val="both"/>
        <w:rPr>
          <w:lang w:val="en-US"/>
        </w:rPr>
      </w:pPr>
    </w:p>
    <w:p w:rsidR="00577FBE" w:rsidRPr="0095252E" w:rsidRDefault="00577FBE" w:rsidP="00A56D20">
      <w:pPr>
        <w:spacing w:after="0" w:line="240" w:lineRule="auto"/>
        <w:jc w:val="both"/>
        <w:rPr>
          <w:lang w:val="en-US"/>
        </w:rPr>
      </w:pPr>
      <w:r w:rsidRPr="0095252E">
        <w:rPr>
          <w:lang w:val="en-US"/>
        </w:rPr>
        <w:t>Another area is the National Dialogue and Sustainability Office, which is responsible for directing</w:t>
      </w:r>
      <w:r w:rsidR="002C3498" w:rsidRPr="0095252E">
        <w:rPr>
          <w:lang w:val="en-US"/>
        </w:rPr>
        <w:t>, in matter of competence,</w:t>
      </w:r>
      <w:r w:rsidRPr="0095252E">
        <w:rPr>
          <w:lang w:val="en-US"/>
        </w:rPr>
        <w:t xml:space="preserve"> the dialogue process with the various social actors, representatives of private institutions and public officers, in order to prevent disputes, differences </w:t>
      </w:r>
      <w:r w:rsidR="002C3498" w:rsidRPr="0095252E">
        <w:rPr>
          <w:lang w:val="en-US"/>
        </w:rPr>
        <w:t>a</w:t>
      </w:r>
      <w:r w:rsidRPr="0095252E">
        <w:rPr>
          <w:lang w:val="en-US"/>
        </w:rPr>
        <w:t>nd social conflicts. The Office also facilitates the mediation and / or negotiation to solve them</w:t>
      </w:r>
      <w:r w:rsidR="002C3498" w:rsidRPr="0095252E">
        <w:rPr>
          <w:lang w:val="en-US"/>
        </w:rPr>
        <w:t xml:space="preserve">. For </w:t>
      </w:r>
      <w:r w:rsidRPr="0095252E">
        <w:rPr>
          <w:lang w:val="en-US"/>
        </w:rPr>
        <w:t>more information</w:t>
      </w:r>
      <w:r w:rsidR="002C3498" w:rsidRPr="0095252E">
        <w:rPr>
          <w:lang w:val="en-US"/>
        </w:rPr>
        <w:t xml:space="preserve">, please visit </w:t>
      </w:r>
      <w:hyperlink r:id="rId15" w:history="1">
        <w:r w:rsidR="002C3498" w:rsidRPr="0095252E">
          <w:rPr>
            <w:rStyle w:val="Hipervnculo"/>
            <w:lang w:val="en-US"/>
          </w:rPr>
          <w:t>http://onds.pcm.gob.pe/objetivos-y-funciones/</w:t>
        </w:r>
      </w:hyperlink>
    </w:p>
    <w:p w:rsidR="00EE593E" w:rsidRPr="0095252E" w:rsidRDefault="00EE593E" w:rsidP="00A56D20">
      <w:pPr>
        <w:spacing w:after="0" w:line="240" w:lineRule="auto"/>
        <w:jc w:val="both"/>
        <w:rPr>
          <w:lang w:val="en-US"/>
        </w:rPr>
      </w:pPr>
    </w:p>
    <w:p w:rsidR="00950913" w:rsidRPr="0095252E" w:rsidRDefault="00950913" w:rsidP="00A56D20">
      <w:pPr>
        <w:spacing w:after="0" w:line="240" w:lineRule="auto"/>
        <w:jc w:val="both"/>
        <w:rPr>
          <w:lang w:val="en-US"/>
        </w:rPr>
      </w:pPr>
      <w:r w:rsidRPr="0095252E">
        <w:rPr>
          <w:lang w:val="en-US"/>
        </w:rPr>
        <w:t>Another area that calls for the participation of other actors is the Commission for the Development of the Information Society (CODESI) where issues related to the improvement of services, innovation, open data, among others, can be addressed.</w:t>
      </w:r>
    </w:p>
    <w:p w:rsidR="00EE593E" w:rsidRPr="0095252E" w:rsidRDefault="00EE593E" w:rsidP="00A56D20">
      <w:pPr>
        <w:spacing w:after="0" w:line="240" w:lineRule="auto"/>
        <w:jc w:val="both"/>
        <w:rPr>
          <w:lang w:val="en-US"/>
        </w:rPr>
      </w:pPr>
    </w:p>
    <w:p w:rsidR="008E646B" w:rsidRPr="0095252E" w:rsidRDefault="009F7BE1" w:rsidP="009F7BE1">
      <w:pPr>
        <w:spacing w:after="0" w:line="240" w:lineRule="auto"/>
        <w:jc w:val="both"/>
        <w:rPr>
          <w:lang w:val="en-US"/>
        </w:rPr>
      </w:pPr>
      <w:r w:rsidRPr="0095252E">
        <w:rPr>
          <w:lang w:val="en-US"/>
        </w:rPr>
        <w:t xml:space="preserve">Finally, </w:t>
      </w:r>
      <w:r w:rsidR="00EE42C5" w:rsidRPr="0095252E">
        <w:rPr>
          <w:lang w:val="en-US"/>
        </w:rPr>
        <w:t>we are evaluati</w:t>
      </w:r>
      <w:r w:rsidR="00FD258C" w:rsidRPr="0095252E">
        <w:rPr>
          <w:lang w:val="en-US"/>
        </w:rPr>
        <w:t xml:space="preserve">ng whether or not to implement a </w:t>
      </w:r>
      <w:r w:rsidRPr="0095252E">
        <w:rPr>
          <w:lang w:val="en-US"/>
        </w:rPr>
        <w:t xml:space="preserve">Commission </w:t>
      </w:r>
      <w:r w:rsidR="00FD258C" w:rsidRPr="0095252E">
        <w:rPr>
          <w:lang w:val="en-US"/>
        </w:rPr>
        <w:t>to follow up the</w:t>
      </w:r>
      <w:r w:rsidRPr="0095252E">
        <w:rPr>
          <w:lang w:val="en-US"/>
        </w:rPr>
        <w:t xml:space="preserve"> implementation of the </w:t>
      </w:r>
      <w:r w:rsidR="00FD258C" w:rsidRPr="0095252E">
        <w:rPr>
          <w:lang w:val="en-US"/>
        </w:rPr>
        <w:t xml:space="preserve">Action </w:t>
      </w:r>
      <w:r w:rsidRPr="0095252E">
        <w:rPr>
          <w:lang w:val="en-US"/>
        </w:rPr>
        <w:t>Plan with both spaces so that they can contribute to the implementation of the recommendation</w:t>
      </w:r>
    </w:p>
    <w:p w:rsidR="009F7BE1" w:rsidRPr="0095252E" w:rsidRDefault="009F7BE1" w:rsidP="00A56D20">
      <w:pPr>
        <w:spacing w:after="0" w:line="240" w:lineRule="auto"/>
        <w:jc w:val="both"/>
        <w:rPr>
          <w:lang w:val="en-US"/>
        </w:rPr>
      </w:pPr>
    </w:p>
    <w:p w:rsidR="008E646B" w:rsidRPr="0095252E" w:rsidRDefault="0071359E" w:rsidP="00A56D20">
      <w:pPr>
        <w:spacing w:after="0" w:line="240" w:lineRule="auto"/>
        <w:jc w:val="both"/>
        <w:rPr>
          <w:b/>
          <w:i/>
          <w:u w:val="single"/>
          <w:lang w:val="en-US"/>
        </w:rPr>
      </w:pPr>
      <w:r w:rsidRPr="0095252E">
        <w:rPr>
          <w:b/>
          <w:i/>
          <w:u w:val="single"/>
          <w:lang w:val="en-US"/>
        </w:rPr>
        <w:t>Autonomous Government Entity</w:t>
      </w:r>
    </w:p>
    <w:p w:rsidR="008E646B" w:rsidRPr="0095252E" w:rsidRDefault="0071359E" w:rsidP="00A56D20">
      <w:pPr>
        <w:spacing w:after="0" w:line="240" w:lineRule="auto"/>
        <w:jc w:val="both"/>
        <w:rPr>
          <w:b/>
          <w:i/>
          <w:lang w:val="en-US"/>
        </w:rPr>
      </w:pPr>
      <w:r w:rsidRPr="0095252E">
        <w:rPr>
          <w:b/>
          <w:i/>
          <w:lang w:val="en-US"/>
        </w:rPr>
        <w:t xml:space="preserve">The need for an autonomous authority that ensures transparency. </w:t>
      </w:r>
    </w:p>
    <w:p w:rsidR="0071359E" w:rsidRPr="0095252E" w:rsidRDefault="0071359E" w:rsidP="00A56D20">
      <w:pPr>
        <w:spacing w:after="0" w:line="240" w:lineRule="auto"/>
        <w:jc w:val="both"/>
        <w:rPr>
          <w:lang w:val="en-US"/>
        </w:rPr>
      </w:pPr>
      <w:r w:rsidRPr="0095252E">
        <w:rPr>
          <w:lang w:val="en-US"/>
        </w:rPr>
        <w:t>Although this recommendation was considered as a com</w:t>
      </w:r>
      <w:r w:rsidR="009F43BD" w:rsidRPr="0095252E">
        <w:rPr>
          <w:lang w:val="en-US"/>
        </w:rPr>
        <w:t>mitment</w:t>
      </w:r>
      <w:r w:rsidRPr="0095252E">
        <w:rPr>
          <w:lang w:val="en-US"/>
        </w:rPr>
        <w:t xml:space="preserve"> in the process of preparing the second plan, it was not considered in the content of the approved document. However, to date, and </w:t>
      </w:r>
      <w:r w:rsidR="001518A9" w:rsidRPr="0095252E">
        <w:rPr>
          <w:lang w:val="en-US"/>
        </w:rPr>
        <w:t>by means of</w:t>
      </w:r>
      <w:r w:rsidRPr="0095252E">
        <w:rPr>
          <w:lang w:val="en-US"/>
        </w:rPr>
        <w:t xml:space="preserve"> Ministerial Resolution No. 0268-2016-JUS, published on September 13, 2016, the Working Group is set up to prepare a technical report containing the normative proposal for the creation of a National Authority </w:t>
      </w:r>
      <w:r w:rsidR="001518A9" w:rsidRPr="0095252E">
        <w:rPr>
          <w:lang w:val="en-US"/>
        </w:rPr>
        <w:t xml:space="preserve">of </w:t>
      </w:r>
      <w:r w:rsidRPr="0095252E">
        <w:rPr>
          <w:lang w:val="en-US"/>
        </w:rPr>
        <w:t xml:space="preserve">Transparency, access to information and protection of personal data, </w:t>
      </w:r>
      <w:r w:rsidR="009F43BD" w:rsidRPr="0095252E">
        <w:rPr>
          <w:lang w:val="en-US"/>
        </w:rPr>
        <w:t xml:space="preserve">and the </w:t>
      </w:r>
      <w:r w:rsidRPr="0095252E">
        <w:rPr>
          <w:lang w:val="en-US"/>
        </w:rPr>
        <w:t>creat</w:t>
      </w:r>
      <w:r w:rsidR="009F43BD" w:rsidRPr="0095252E">
        <w:rPr>
          <w:lang w:val="en-US"/>
        </w:rPr>
        <w:t>ion of</w:t>
      </w:r>
      <w:r w:rsidRPr="0095252E">
        <w:rPr>
          <w:lang w:val="en-US"/>
        </w:rPr>
        <w:t xml:space="preserve"> a </w:t>
      </w:r>
      <w:r w:rsidR="009F43BD" w:rsidRPr="0095252E">
        <w:rPr>
          <w:lang w:val="en-US"/>
        </w:rPr>
        <w:t xml:space="preserve">penalty system </w:t>
      </w:r>
      <w:r w:rsidRPr="0095252E">
        <w:rPr>
          <w:lang w:val="en-US"/>
        </w:rPr>
        <w:t>and other functions.</w:t>
      </w:r>
    </w:p>
    <w:p w:rsidR="00A56D20" w:rsidRPr="0095252E" w:rsidRDefault="00A56D20" w:rsidP="00A56D20">
      <w:pPr>
        <w:spacing w:line="240" w:lineRule="auto"/>
        <w:jc w:val="both"/>
        <w:rPr>
          <w:lang w:val="en-US"/>
        </w:rPr>
      </w:pPr>
    </w:p>
    <w:p w:rsidR="00A56D20" w:rsidRPr="0095252E" w:rsidRDefault="00A56D20" w:rsidP="00272BDF">
      <w:pPr>
        <w:numPr>
          <w:ilvl w:val="0"/>
          <w:numId w:val="5"/>
        </w:numPr>
        <w:autoSpaceDE w:val="0"/>
        <w:autoSpaceDN w:val="0"/>
        <w:adjustRightInd w:val="0"/>
        <w:spacing w:after="0" w:line="240" w:lineRule="auto"/>
        <w:ind w:left="284"/>
        <w:jc w:val="both"/>
        <w:rPr>
          <w:i/>
          <w:sz w:val="28"/>
          <w:szCs w:val="28"/>
          <w:lang w:val="en-US"/>
        </w:rPr>
      </w:pPr>
      <w:r w:rsidRPr="0095252E">
        <w:rPr>
          <w:rFonts w:ascii="Gotham Bold" w:hAnsi="Gotham Bold"/>
          <w:b/>
          <w:bCs/>
          <w:i/>
          <w:sz w:val="28"/>
          <w:szCs w:val="28"/>
          <w:lang w:val="en-US"/>
        </w:rPr>
        <w:t>Implement</w:t>
      </w:r>
      <w:r w:rsidR="009F43BD" w:rsidRPr="0095252E">
        <w:rPr>
          <w:rFonts w:ascii="Gotham Bold" w:hAnsi="Gotham Bold"/>
          <w:b/>
          <w:bCs/>
          <w:i/>
          <w:sz w:val="28"/>
          <w:szCs w:val="28"/>
          <w:lang w:val="en-US"/>
        </w:rPr>
        <w:t xml:space="preserve">ation </w:t>
      </w:r>
      <w:r w:rsidR="001518A9" w:rsidRPr="0095252E">
        <w:rPr>
          <w:rFonts w:ascii="Gotham Bold" w:hAnsi="Gotham Bold"/>
          <w:b/>
          <w:bCs/>
          <w:i/>
          <w:sz w:val="28"/>
          <w:szCs w:val="28"/>
          <w:lang w:val="en-US"/>
        </w:rPr>
        <w:t>of the National Action Plan</w:t>
      </w:r>
      <w:r w:rsidR="009F43BD" w:rsidRPr="0095252E">
        <w:rPr>
          <w:rFonts w:ascii="Gotham Bold" w:hAnsi="Gotham Bold"/>
          <w:b/>
          <w:bCs/>
          <w:i/>
          <w:sz w:val="28"/>
          <w:szCs w:val="28"/>
          <w:lang w:val="en-US"/>
        </w:rPr>
        <w:t xml:space="preserve"> commitments</w:t>
      </w:r>
    </w:p>
    <w:p w:rsidR="00D115B9" w:rsidRPr="0095252E" w:rsidRDefault="00D115B9" w:rsidP="00A56D20">
      <w:pPr>
        <w:spacing w:after="0" w:line="240" w:lineRule="auto"/>
        <w:jc w:val="both"/>
        <w:rPr>
          <w:color w:val="FF0000"/>
          <w:lang w:val="en-US"/>
        </w:rPr>
      </w:pPr>
    </w:p>
    <w:p w:rsidR="004F01B9" w:rsidRPr="00E975F8" w:rsidRDefault="004F01B9" w:rsidP="004F01B9">
      <w:pPr>
        <w:spacing w:after="0" w:line="240" w:lineRule="auto"/>
        <w:jc w:val="both"/>
        <w:rPr>
          <w:lang w:val="es-PE"/>
        </w:rPr>
      </w:pPr>
      <w:r w:rsidRPr="00E975F8">
        <w:rPr>
          <w:lang w:val="es-PE"/>
        </w:rPr>
        <w:t>Se presenta a continuación el nivel de avance de cumplimiento de los compromisos asumidos por el Perú</w:t>
      </w:r>
      <w:r w:rsidR="001C574F" w:rsidRPr="00E975F8">
        <w:rPr>
          <w:lang w:val="es-PE"/>
        </w:rPr>
        <w:t>,</w:t>
      </w:r>
      <w:r w:rsidRPr="00E975F8">
        <w:rPr>
          <w:lang w:val="es-PE"/>
        </w:rPr>
        <w:t xml:space="preserve"> en el marco del Plan de Acción Nacional 2015-2016, considerando el formato de ficha de cumplimiento sugerido por la OGP. </w:t>
      </w:r>
      <w:r w:rsidR="001C574F" w:rsidRPr="00E975F8">
        <w:rPr>
          <w:lang w:val="es-PE"/>
        </w:rPr>
        <w:t>Cabe precisar que l</w:t>
      </w:r>
      <w:r w:rsidRPr="00E975F8">
        <w:rPr>
          <w:lang w:val="es-PE"/>
        </w:rPr>
        <w:t>a implementación de los compromisos es responsabilidad de las entidades señaladas como Responsables en cada ficha.</w:t>
      </w:r>
    </w:p>
    <w:p w:rsidR="000F7255" w:rsidRPr="00E975F8" w:rsidRDefault="000F7255" w:rsidP="004F01B9">
      <w:pPr>
        <w:spacing w:after="0" w:line="240" w:lineRule="auto"/>
        <w:jc w:val="both"/>
        <w:rPr>
          <w:lang w:val="es-PE"/>
        </w:rPr>
      </w:pPr>
    </w:p>
    <w:p w:rsidR="000F7255" w:rsidRPr="0095252E" w:rsidRDefault="00747136" w:rsidP="004F01B9">
      <w:pPr>
        <w:spacing w:after="0" w:line="240" w:lineRule="auto"/>
        <w:jc w:val="both"/>
        <w:rPr>
          <w:lang w:val="en-US"/>
        </w:rPr>
      </w:pPr>
      <w:r w:rsidRPr="0095252E">
        <w:rPr>
          <w:lang w:val="en-US"/>
        </w:rPr>
        <w:t xml:space="preserve">The </w:t>
      </w:r>
      <w:r w:rsidR="000F7255" w:rsidRPr="0095252E">
        <w:rPr>
          <w:lang w:val="en-US"/>
        </w:rPr>
        <w:t xml:space="preserve">level of progress towards </w:t>
      </w:r>
      <w:r w:rsidRPr="0095252E">
        <w:rPr>
          <w:lang w:val="en-US"/>
        </w:rPr>
        <w:t xml:space="preserve">the </w:t>
      </w:r>
      <w:r w:rsidR="000F7255" w:rsidRPr="0095252E">
        <w:rPr>
          <w:lang w:val="en-US"/>
        </w:rPr>
        <w:t>compliance with the commitments assumed by Peru, within the 2015-2016 National Action Plan framework, considering the compliance form format suggested by the OGP</w:t>
      </w:r>
      <w:r w:rsidRPr="0095252E">
        <w:rPr>
          <w:lang w:val="en-US"/>
        </w:rPr>
        <w:t>, is shown below</w:t>
      </w:r>
      <w:r w:rsidR="000F7255" w:rsidRPr="0095252E">
        <w:rPr>
          <w:lang w:val="en-US"/>
        </w:rPr>
        <w:t xml:space="preserve">. It should be noted that the implementation of the commitments is the responsibility of the entities designated as Responsible in each </w:t>
      </w:r>
      <w:r w:rsidRPr="0095252E">
        <w:rPr>
          <w:lang w:val="en-US"/>
        </w:rPr>
        <w:t>card</w:t>
      </w:r>
      <w:r w:rsidR="000F7255" w:rsidRPr="0095252E">
        <w:rPr>
          <w:lang w:val="en-US"/>
        </w:rPr>
        <w:t>.</w:t>
      </w:r>
    </w:p>
    <w:p w:rsidR="00942DA5" w:rsidRPr="0095252E" w:rsidRDefault="00942DA5">
      <w:pPr>
        <w:rPr>
          <w:lang w:val="en-US"/>
        </w:rPr>
      </w:pPr>
    </w:p>
    <w:tbl>
      <w:tblPr>
        <w:tblStyle w:val="Tablaconcuadrcula"/>
        <w:tblW w:w="9039" w:type="dxa"/>
        <w:tblLayout w:type="fixed"/>
        <w:tblLook w:val="04A0" w:firstRow="1" w:lastRow="0" w:firstColumn="1" w:lastColumn="0" w:noHBand="0" w:noVBand="1"/>
      </w:tblPr>
      <w:tblGrid>
        <w:gridCol w:w="2109"/>
        <w:gridCol w:w="409"/>
        <w:gridCol w:w="1701"/>
        <w:gridCol w:w="1729"/>
        <w:gridCol w:w="1644"/>
        <w:gridCol w:w="1447"/>
      </w:tblGrid>
      <w:tr w:rsidR="00EB66E2" w:rsidRPr="00003DBC" w:rsidTr="0054781D">
        <w:tc>
          <w:tcPr>
            <w:tcW w:w="9039" w:type="dxa"/>
            <w:gridSpan w:val="6"/>
            <w:shd w:val="clear" w:color="auto" w:fill="548DD4" w:themeFill="text2" w:themeFillTint="99"/>
          </w:tcPr>
          <w:p w:rsidR="00EB66E2" w:rsidRPr="0095252E" w:rsidRDefault="00747136" w:rsidP="00747136">
            <w:pPr>
              <w:ind w:left="720"/>
              <w:jc w:val="center"/>
              <w:rPr>
                <w:b/>
                <w:lang w:val="en-US"/>
              </w:rPr>
            </w:pPr>
            <w:r w:rsidRPr="0095252E">
              <w:rPr>
                <w:b/>
                <w:lang w:val="en-US"/>
              </w:rPr>
              <w:t>Component</w:t>
            </w:r>
            <w:r w:rsidR="00F8353E" w:rsidRPr="0095252E">
              <w:rPr>
                <w:b/>
                <w:lang w:val="en-US"/>
              </w:rPr>
              <w:t xml:space="preserve">: </w:t>
            </w:r>
            <w:r w:rsidRPr="0095252E">
              <w:rPr>
                <w:b/>
                <w:lang w:val="en-US"/>
              </w:rPr>
              <w:t>Transparency</w:t>
            </w:r>
            <w:r w:rsidR="00F8353E" w:rsidRPr="0095252E">
              <w:rPr>
                <w:b/>
                <w:lang w:val="en-US"/>
              </w:rPr>
              <w:t xml:space="preserve"> </w:t>
            </w:r>
            <w:r w:rsidRPr="0095252E">
              <w:rPr>
                <w:b/>
                <w:lang w:val="en-US"/>
              </w:rPr>
              <w:t>and access to public information</w:t>
            </w:r>
          </w:p>
        </w:tc>
      </w:tr>
      <w:tr w:rsidR="00F8353E" w:rsidRPr="00003DBC" w:rsidTr="0054781D">
        <w:tc>
          <w:tcPr>
            <w:tcW w:w="9039" w:type="dxa"/>
            <w:gridSpan w:val="6"/>
            <w:shd w:val="clear" w:color="auto" w:fill="548DD4" w:themeFill="text2" w:themeFillTint="99"/>
          </w:tcPr>
          <w:p w:rsidR="00F8353E" w:rsidRPr="0095252E" w:rsidRDefault="005E32C3" w:rsidP="001A502B">
            <w:pPr>
              <w:ind w:left="360"/>
              <w:jc w:val="center"/>
              <w:rPr>
                <w:b/>
                <w:lang w:val="en-US"/>
              </w:rPr>
            </w:pPr>
            <w:r w:rsidRPr="0095252E">
              <w:rPr>
                <w:b/>
                <w:lang w:val="en-US"/>
              </w:rPr>
              <w:t>Com</w:t>
            </w:r>
            <w:r w:rsidR="00747136" w:rsidRPr="0095252E">
              <w:rPr>
                <w:b/>
                <w:lang w:val="en-US"/>
              </w:rPr>
              <w:t>mitment</w:t>
            </w:r>
            <w:r w:rsidRPr="0095252E">
              <w:rPr>
                <w:b/>
                <w:lang w:val="en-US"/>
              </w:rPr>
              <w:t xml:space="preserve"> 1. </w:t>
            </w:r>
            <w:r w:rsidR="00682653" w:rsidRPr="0095252E">
              <w:rPr>
                <w:b/>
                <w:lang w:val="en-US"/>
              </w:rPr>
              <w:t xml:space="preserve">Amendment of the Law of Transparency and Access to </w:t>
            </w:r>
            <w:r w:rsidR="001A502B" w:rsidRPr="0095252E">
              <w:rPr>
                <w:b/>
                <w:lang w:val="en-US"/>
              </w:rPr>
              <w:t>Public Information</w:t>
            </w:r>
          </w:p>
        </w:tc>
      </w:tr>
      <w:tr w:rsidR="00EB66E2" w:rsidRPr="00003DBC" w:rsidTr="0054781D">
        <w:tc>
          <w:tcPr>
            <w:tcW w:w="4219" w:type="dxa"/>
            <w:gridSpan w:val="3"/>
            <w:shd w:val="clear" w:color="auto" w:fill="C6D9F1" w:themeFill="text2" w:themeFillTint="33"/>
            <w:vAlign w:val="center"/>
          </w:tcPr>
          <w:p w:rsidR="00EB66E2" w:rsidRPr="0095252E" w:rsidRDefault="001A502B" w:rsidP="00DB6B27">
            <w:pPr>
              <w:autoSpaceDE w:val="0"/>
              <w:autoSpaceDN w:val="0"/>
              <w:adjustRightInd w:val="0"/>
              <w:rPr>
                <w:rFonts w:cs="Gotham-Book"/>
                <w:b/>
                <w:color w:val="000000" w:themeColor="text1"/>
                <w:lang w:val="en-US"/>
              </w:rPr>
            </w:pPr>
            <w:r w:rsidRPr="0095252E">
              <w:rPr>
                <w:rFonts w:cs="Gotham-Book"/>
                <w:b/>
                <w:color w:val="000000" w:themeColor="text1"/>
                <w:lang w:val="en-US"/>
              </w:rPr>
              <w:lastRenderedPageBreak/>
              <w:t>Secretariat</w:t>
            </w:r>
            <w:r w:rsidR="00EB66E2" w:rsidRPr="0095252E">
              <w:rPr>
                <w:rFonts w:cs="Gotham-Book"/>
                <w:b/>
                <w:color w:val="000000" w:themeColor="text1"/>
                <w:lang w:val="en-US"/>
              </w:rPr>
              <w:t>/</w:t>
            </w:r>
            <w:r w:rsidRPr="0095252E">
              <w:rPr>
                <w:rFonts w:cs="Gotham-Book"/>
                <w:b/>
                <w:color w:val="000000" w:themeColor="text1"/>
                <w:lang w:val="en-US"/>
              </w:rPr>
              <w:t>Ministry</w:t>
            </w:r>
            <w:r w:rsidR="00DB6B27" w:rsidRPr="0095252E">
              <w:rPr>
                <w:rFonts w:cs="Gotham-Book"/>
                <w:b/>
                <w:color w:val="000000" w:themeColor="text1"/>
                <w:lang w:val="en-US"/>
              </w:rPr>
              <w:t xml:space="preserve"> i</w:t>
            </w:r>
            <w:r w:rsidRPr="0095252E">
              <w:rPr>
                <w:rFonts w:cs="Gotham-Book"/>
                <w:b/>
                <w:color w:val="000000" w:themeColor="text1"/>
                <w:lang w:val="en-US"/>
              </w:rPr>
              <w:t>n charge</w:t>
            </w:r>
          </w:p>
        </w:tc>
        <w:tc>
          <w:tcPr>
            <w:tcW w:w="4820" w:type="dxa"/>
            <w:gridSpan w:val="3"/>
          </w:tcPr>
          <w:p w:rsidR="00EB66E2" w:rsidRPr="0095252E" w:rsidRDefault="001A502B" w:rsidP="001A502B">
            <w:pPr>
              <w:jc w:val="both"/>
              <w:rPr>
                <w:color w:val="000000" w:themeColor="text1"/>
                <w:lang w:val="en-US"/>
              </w:rPr>
            </w:pPr>
            <w:r w:rsidRPr="0095252E">
              <w:rPr>
                <w:color w:val="000000" w:themeColor="text1"/>
                <w:lang w:val="en-US"/>
              </w:rPr>
              <w:t xml:space="preserve">President of the </w:t>
            </w:r>
            <w:r w:rsidR="00EE0E86" w:rsidRPr="0095252E">
              <w:rPr>
                <w:color w:val="000000" w:themeColor="text1"/>
                <w:lang w:val="en-US"/>
              </w:rPr>
              <w:t>Cabinet</w:t>
            </w:r>
            <w:r w:rsidRPr="0095252E">
              <w:rPr>
                <w:color w:val="000000" w:themeColor="text1"/>
                <w:lang w:val="en-US"/>
              </w:rPr>
              <w:t xml:space="preserve"> through the Public Management Secretariat</w:t>
            </w:r>
          </w:p>
        </w:tc>
      </w:tr>
      <w:tr w:rsidR="00EB66E2" w:rsidRPr="0095252E" w:rsidTr="0054781D">
        <w:tc>
          <w:tcPr>
            <w:tcW w:w="4219" w:type="dxa"/>
            <w:gridSpan w:val="3"/>
            <w:shd w:val="clear" w:color="auto" w:fill="C6D9F1" w:themeFill="text2" w:themeFillTint="33"/>
            <w:vAlign w:val="center"/>
          </w:tcPr>
          <w:p w:rsidR="00EB66E2" w:rsidRPr="0095252E" w:rsidRDefault="001A502B" w:rsidP="001A502B">
            <w:pPr>
              <w:autoSpaceDE w:val="0"/>
              <w:autoSpaceDN w:val="0"/>
              <w:adjustRightInd w:val="0"/>
              <w:rPr>
                <w:rFonts w:cs="Gotham-Book"/>
                <w:b/>
                <w:color w:val="000000" w:themeColor="text1"/>
                <w:lang w:val="en-US"/>
              </w:rPr>
            </w:pPr>
            <w:r w:rsidRPr="0095252E">
              <w:rPr>
                <w:rFonts w:cs="Gotham-Book"/>
                <w:b/>
                <w:color w:val="000000" w:themeColor="text1"/>
                <w:lang w:val="en-US"/>
              </w:rPr>
              <w:t>Name of the person in charge</w:t>
            </w:r>
          </w:p>
        </w:tc>
        <w:tc>
          <w:tcPr>
            <w:tcW w:w="4820" w:type="dxa"/>
            <w:gridSpan w:val="3"/>
          </w:tcPr>
          <w:p w:rsidR="00EB66E2" w:rsidRPr="0095252E" w:rsidRDefault="00F8353E" w:rsidP="00EB66E2">
            <w:pPr>
              <w:jc w:val="both"/>
              <w:rPr>
                <w:color w:val="000000" w:themeColor="text1"/>
                <w:lang w:val="en-US"/>
              </w:rPr>
            </w:pPr>
            <w:r w:rsidRPr="0095252E">
              <w:rPr>
                <w:color w:val="000000" w:themeColor="text1"/>
                <w:lang w:val="en-US"/>
              </w:rPr>
              <w:t>Fernando Zavala Lombardi</w:t>
            </w:r>
          </w:p>
        </w:tc>
      </w:tr>
      <w:tr w:rsidR="00EB66E2" w:rsidRPr="0095252E" w:rsidTr="0054781D">
        <w:tc>
          <w:tcPr>
            <w:tcW w:w="4219" w:type="dxa"/>
            <w:gridSpan w:val="3"/>
            <w:shd w:val="clear" w:color="auto" w:fill="C6D9F1" w:themeFill="text2" w:themeFillTint="33"/>
            <w:vAlign w:val="center"/>
          </w:tcPr>
          <w:p w:rsidR="00EB66E2" w:rsidRPr="0095252E" w:rsidRDefault="00EB66E2" w:rsidP="001A502B">
            <w:pPr>
              <w:rPr>
                <w:b/>
                <w:color w:val="000000" w:themeColor="text1"/>
                <w:lang w:val="en-US"/>
              </w:rPr>
            </w:pPr>
            <w:r w:rsidRPr="0095252E">
              <w:rPr>
                <w:rFonts w:cs="Gotham-Book"/>
                <w:b/>
                <w:color w:val="000000" w:themeColor="text1"/>
                <w:lang w:val="en-US"/>
              </w:rPr>
              <w:t>P</w:t>
            </w:r>
            <w:r w:rsidR="001A502B" w:rsidRPr="0095252E">
              <w:rPr>
                <w:rFonts w:cs="Gotham-Book"/>
                <w:b/>
                <w:color w:val="000000" w:themeColor="text1"/>
                <w:lang w:val="en-US"/>
              </w:rPr>
              <w:t>osition</w:t>
            </w:r>
          </w:p>
        </w:tc>
        <w:tc>
          <w:tcPr>
            <w:tcW w:w="4820" w:type="dxa"/>
            <w:gridSpan w:val="3"/>
          </w:tcPr>
          <w:p w:rsidR="00EB66E2" w:rsidRPr="0095252E" w:rsidRDefault="00B9724B" w:rsidP="00EB66E2">
            <w:pPr>
              <w:jc w:val="both"/>
              <w:rPr>
                <w:color w:val="000000" w:themeColor="text1"/>
                <w:lang w:val="en-US"/>
              </w:rPr>
            </w:pPr>
            <w:r w:rsidRPr="0095252E">
              <w:rPr>
                <w:color w:val="000000" w:themeColor="text1"/>
                <w:lang w:val="en-US"/>
              </w:rPr>
              <w:t xml:space="preserve">President of the </w:t>
            </w:r>
            <w:r w:rsidR="00EE0E86" w:rsidRPr="0095252E">
              <w:rPr>
                <w:color w:val="000000" w:themeColor="text1"/>
                <w:lang w:val="en-US"/>
              </w:rPr>
              <w:t>Cabinet</w:t>
            </w:r>
          </w:p>
        </w:tc>
      </w:tr>
      <w:tr w:rsidR="00EB66E2" w:rsidRPr="0095252E" w:rsidTr="0054781D">
        <w:tc>
          <w:tcPr>
            <w:tcW w:w="4219" w:type="dxa"/>
            <w:gridSpan w:val="3"/>
            <w:shd w:val="clear" w:color="auto" w:fill="C6D9F1" w:themeFill="text2" w:themeFillTint="33"/>
            <w:vAlign w:val="center"/>
          </w:tcPr>
          <w:p w:rsidR="00EB66E2" w:rsidRPr="0095252E" w:rsidRDefault="001A502B" w:rsidP="00EB66E2">
            <w:pPr>
              <w:autoSpaceDE w:val="0"/>
              <w:autoSpaceDN w:val="0"/>
              <w:adjustRightInd w:val="0"/>
              <w:rPr>
                <w:rFonts w:cs="Gotham-Book"/>
                <w:b/>
                <w:color w:val="000000" w:themeColor="text1"/>
                <w:lang w:val="en-US"/>
              </w:rPr>
            </w:pPr>
            <w:r w:rsidRPr="0095252E">
              <w:rPr>
                <w:rFonts w:cs="Gotham-Book"/>
                <w:b/>
                <w:color w:val="000000" w:themeColor="text1"/>
                <w:lang w:val="en-US"/>
              </w:rPr>
              <w:t>E-mail</w:t>
            </w:r>
          </w:p>
        </w:tc>
        <w:tc>
          <w:tcPr>
            <w:tcW w:w="4820" w:type="dxa"/>
            <w:gridSpan w:val="3"/>
          </w:tcPr>
          <w:p w:rsidR="00EB66E2" w:rsidRPr="0095252E" w:rsidRDefault="002C33FD" w:rsidP="00EB66E2">
            <w:pPr>
              <w:jc w:val="both"/>
              <w:rPr>
                <w:rFonts w:cs="Arial"/>
                <w:color w:val="0000FF"/>
                <w:u w:val="single"/>
                <w:lang w:val="en-US"/>
              </w:rPr>
            </w:pPr>
            <w:hyperlink r:id="rId16" w:history="1">
              <w:r w:rsidR="00F8353E" w:rsidRPr="0095252E">
                <w:rPr>
                  <w:rStyle w:val="Hipervnculo"/>
                  <w:rFonts w:cs="Arial"/>
                  <w:lang w:val="en-US"/>
                </w:rPr>
                <w:t>fzavala@pcm.gob.pe</w:t>
              </w:r>
            </w:hyperlink>
          </w:p>
        </w:tc>
      </w:tr>
      <w:tr w:rsidR="00EB66E2" w:rsidRPr="0095252E" w:rsidTr="0054781D">
        <w:tc>
          <w:tcPr>
            <w:tcW w:w="4219" w:type="dxa"/>
            <w:gridSpan w:val="3"/>
            <w:shd w:val="clear" w:color="auto" w:fill="C6D9F1" w:themeFill="text2" w:themeFillTint="33"/>
            <w:vAlign w:val="center"/>
          </w:tcPr>
          <w:p w:rsidR="00EB66E2" w:rsidRPr="0095252E" w:rsidRDefault="001A502B" w:rsidP="00EB66E2">
            <w:pPr>
              <w:rPr>
                <w:b/>
                <w:color w:val="000000" w:themeColor="text1"/>
                <w:lang w:val="en-US"/>
              </w:rPr>
            </w:pPr>
            <w:r w:rsidRPr="0095252E">
              <w:rPr>
                <w:rFonts w:cs="Gotham-Book"/>
                <w:b/>
                <w:color w:val="000000" w:themeColor="text1"/>
                <w:lang w:val="en-US"/>
              </w:rPr>
              <w:t>Telephone</w:t>
            </w:r>
          </w:p>
        </w:tc>
        <w:tc>
          <w:tcPr>
            <w:tcW w:w="4820" w:type="dxa"/>
            <w:gridSpan w:val="3"/>
          </w:tcPr>
          <w:p w:rsidR="00EB66E2" w:rsidRPr="0095252E" w:rsidRDefault="00F8353E" w:rsidP="00EB66E2">
            <w:pPr>
              <w:jc w:val="both"/>
              <w:rPr>
                <w:color w:val="000000" w:themeColor="text1"/>
                <w:lang w:val="en-US"/>
              </w:rPr>
            </w:pPr>
            <w:r w:rsidRPr="0095252E">
              <w:rPr>
                <w:color w:val="000000" w:themeColor="text1"/>
                <w:lang w:val="en-US"/>
              </w:rPr>
              <w:t>51-1-2197000</w:t>
            </w:r>
          </w:p>
        </w:tc>
      </w:tr>
      <w:tr w:rsidR="00EB66E2" w:rsidRPr="00003DBC" w:rsidTr="0054781D">
        <w:tc>
          <w:tcPr>
            <w:tcW w:w="2109" w:type="dxa"/>
            <w:vMerge w:val="restart"/>
            <w:shd w:val="clear" w:color="auto" w:fill="C6D9F1" w:themeFill="text2" w:themeFillTint="33"/>
            <w:vAlign w:val="center"/>
          </w:tcPr>
          <w:p w:rsidR="00EB66E2" w:rsidRPr="0095252E" w:rsidRDefault="00596BF3" w:rsidP="00EB66E2">
            <w:pPr>
              <w:rPr>
                <w:rFonts w:cs="Gotham-Book"/>
                <w:b/>
                <w:color w:val="000000" w:themeColor="text1"/>
                <w:lang w:val="en-US"/>
              </w:rPr>
            </w:pPr>
            <w:r>
              <w:rPr>
                <w:rFonts w:cs="Gotham-Book"/>
                <w:b/>
                <w:color w:val="000000" w:themeColor="text1"/>
                <w:lang w:val="en-US"/>
              </w:rPr>
              <w:t>Other parties involved</w:t>
            </w:r>
          </w:p>
        </w:tc>
        <w:tc>
          <w:tcPr>
            <w:tcW w:w="2110" w:type="dxa"/>
            <w:gridSpan w:val="2"/>
            <w:shd w:val="clear" w:color="auto" w:fill="C6D9F1" w:themeFill="text2" w:themeFillTint="33"/>
            <w:vAlign w:val="center"/>
          </w:tcPr>
          <w:p w:rsidR="00EB66E2" w:rsidRPr="0095252E" w:rsidRDefault="00EB66E2" w:rsidP="001A502B">
            <w:pPr>
              <w:rPr>
                <w:rFonts w:cs="Gotham-Book"/>
                <w:b/>
                <w:color w:val="000000" w:themeColor="text1"/>
                <w:lang w:val="en-US"/>
              </w:rPr>
            </w:pPr>
            <w:r w:rsidRPr="0095252E">
              <w:rPr>
                <w:rFonts w:cs="Gotham-Book"/>
                <w:b/>
                <w:color w:val="000000" w:themeColor="text1"/>
                <w:lang w:val="en-US"/>
              </w:rPr>
              <w:t>Go</w:t>
            </w:r>
            <w:r w:rsidR="001A502B" w:rsidRPr="0095252E">
              <w:rPr>
                <w:rFonts w:cs="Gotham-Book"/>
                <w:b/>
                <w:color w:val="000000" w:themeColor="text1"/>
                <w:lang w:val="en-US"/>
              </w:rPr>
              <w:t>vernment</w:t>
            </w:r>
          </w:p>
        </w:tc>
        <w:tc>
          <w:tcPr>
            <w:tcW w:w="4820" w:type="dxa"/>
            <w:gridSpan w:val="3"/>
          </w:tcPr>
          <w:p w:rsidR="00EB66E2" w:rsidRPr="0095252E" w:rsidRDefault="001A502B" w:rsidP="009733F1">
            <w:pPr>
              <w:jc w:val="both"/>
              <w:rPr>
                <w:color w:val="000000" w:themeColor="text1"/>
                <w:lang w:val="en-US"/>
              </w:rPr>
            </w:pPr>
            <w:r w:rsidRPr="0095252E">
              <w:rPr>
                <w:color w:val="000000" w:themeColor="text1"/>
                <w:lang w:val="en-US"/>
              </w:rPr>
              <w:t>Ministry of Justice, Controller General of t</w:t>
            </w:r>
            <w:r w:rsidR="003C3A07" w:rsidRPr="0095252E">
              <w:rPr>
                <w:color w:val="000000" w:themeColor="text1"/>
                <w:lang w:val="en-US"/>
              </w:rPr>
              <w:t>he</w:t>
            </w:r>
            <w:r w:rsidRPr="0095252E">
              <w:rPr>
                <w:color w:val="000000" w:themeColor="text1"/>
                <w:lang w:val="en-US"/>
              </w:rPr>
              <w:t xml:space="preserve"> Republic and </w:t>
            </w:r>
            <w:r w:rsidR="003C3A07" w:rsidRPr="0095252E">
              <w:rPr>
                <w:color w:val="000000" w:themeColor="text1"/>
                <w:lang w:val="en-US"/>
              </w:rPr>
              <w:t xml:space="preserve">High-level counter </w:t>
            </w:r>
            <w:r w:rsidR="009733F1" w:rsidRPr="0095252E">
              <w:rPr>
                <w:color w:val="000000" w:themeColor="text1"/>
                <w:lang w:val="en-US"/>
              </w:rPr>
              <w:t>heroism</w:t>
            </w:r>
            <w:r w:rsidR="003C3A07" w:rsidRPr="0095252E">
              <w:rPr>
                <w:color w:val="000000" w:themeColor="text1"/>
                <w:lang w:val="en-US"/>
              </w:rPr>
              <w:t xml:space="preserve"> commission</w:t>
            </w:r>
            <w:r w:rsidR="00727C09" w:rsidRPr="0095252E">
              <w:rPr>
                <w:color w:val="000000" w:themeColor="text1"/>
                <w:lang w:val="en-US"/>
              </w:rPr>
              <w:t>.</w:t>
            </w:r>
          </w:p>
        </w:tc>
      </w:tr>
      <w:tr w:rsidR="00EB66E2" w:rsidRPr="00003DBC" w:rsidTr="0054781D">
        <w:tc>
          <w:tcPr>
            <w:tcW w:w="2109" w:type="dxa"/>
            <w:vMerge/>
            <w:shd w:val="clear" w:color="auto" w:fill="C6D9F1" w:themeFill="text2" w:themeFillTint="33"/>
            <w:vAlign w:val="center"/>
          </w:tcPr>
          <w:p w:rsidR="00EB66E2" w:rsidRPr="0095252E" w:rsidRDefault="00EB66E2" w:rsidP="00EB66E2">
            <w:pPr>
              <w:rPr>
                <w:rFonts w:cs="Gotham-Book"/>
                <w:b/>
                <w:color w:val="000000" w:themeColor="text1"/>
                <w:lang w:val="en-US"/>
              </w:rPr>
            </w:pPr>
          </w:p>
        </w:tc>
        <w:tc>
          <w:tcPr>
            <w:tcW w:w="2110" w:type="dxa"/>
            <w:gridSpan w:val="2"/>
            <w:shd w:val="clear" w:color="auto" w:fill="C6D9F1" w:themeFill="text2" w:themeFillTint="33"/>
            <w:vAlign w:val="center"/>
          </w:tcPr>
          <w:p w:rsidR="00EB66E2" w:rsidRPr="0095252E" w:rsidRDefault="001A502B" w:rsidP="001A502B">
            <w:pPr>
              <w:rPr>
                <w:rFonts w:cs="Gotham-Book"/>
                <w:b/>
                <w:color w:val="000000" w:themeColor="text1"/>
                <w:lang w:val="en-US"/>
              </w:rPr>
            </w:pPr>
            <w:r w:rsidRPr="0095252E">
              <w:rPr>
                <w:rFonts w:cs="Gotham-Book"/>
                <w:b/>
                <w:color w:val="000000" w:themeColor="text1"/>
                <w:lang w:val="en-US"/>
              </w:rPr>
              <w:t xml:space="preserve">Civil society, </w:t>
            </w:r>
            <w:r w:rsidR="009733F1" w:rsidRPr="0095252E">
              <w:rPr>
                <w:rFonts w:cs="Gotham-Book"/>
                <w:b/>
                <w:color w:val="000000" w:themeColor="text1"/>
                <w:lang w:val="en-US"/>
              </w:rPr>
              <w:t>private</w:t>
            </w:r>
            <w:r w:rsidRPr="0095252E">
              <w:rPr>
                <w:rFonts w:cs="Gotham-Book"/>
                <w:b/>
                <w:color w:val="000000" w:themeColor="text1"/>
                <w:lang w:val="en-US"/>
              </w:rPr>
              <w:t xml:space="preserve"> initiative, multilateral or work groups</w:t>
            </w:r>
          </w:p>
        </w:tc>
        <w:tc>
          <w:tcPr>
            <w:tcW w:w="4820" w:type="dxa"/>
            <w:gridSpan w:val="3"/>
          </w:tcPr>
          <w:p w:rsidR="00EB66E2" w:rsidRPr="0095252E" w:rsidRDefault="0054576D" w:rsidP="009733F1">
            <w:pPr>
              <w:jc w:val="both"/>
              <w:rPr>
                <w:color w:val="000000" w:themeColor="text1"/>
                <w:lang w:val="en-US"/>
              </w:rPr>
            </w:pPr>
            <w:r>
              <w:rPr>
                <w:color w:val="000000" w:themeColor="text1"/>
                <w:lang w:val="en-US"/>
              </w:rPr>
              <w:t>Pro-ethics</w:t>
            </w:r>
            <w:r w:rsidR="00727C09" w:rsidRPr="0095252E">
              <w:rPr>
                <w:color w:val="000000" w:themeColor="text1"/>
                <w:lang w:val="en-US"/>
              </w:rPr>
              <w:t xml:space="preserve">, </w:t>
            </w:r>
            <w:r w:rsidR="009733F1" w:rsidRPr="0095252E">
              <w:rPr>
                <w:color w:val="000000" w:themeColor="text1"/>
                <w:lang w:val="en-US"/>
              </w:rPr>
              <w:t>Citizens of the Day, Peruvian Press Council</w:t>
            </w:r>
            <w:r w:rsidR="00727C09" w:rsidRPr="0095252E">
              <w:rPr>
                <w:color w:val="000000" w:themeColor="text1"/>
                <w:lang w:val="en-US"/>
              </w:rPr>
              <w:t xml:space="preserve">. </w:t>
            </w:r>
          </w:p>
        </w:tc>
      </w:tr>
      <w:tr w:rsidR="00EB66E2" w:rsidRPr="00003DBC" w:rsidTr="0054781D">
        <w:tc>
          <w:tcPr>
            <w:tcW w:w="4219" w:type="dxa"/>
            <w:gridSpan w:val="3"/>
            <w:shd w:val="clear" w:color="auto" w:fill="C6D9F1" w:themeFill="text2" w:themeFillTint="33"/>
            <w:vAlign w:val="center"/>
          </w:tcPr>
          <w:p w:rsidR="00EB66E2" w:rsidRPr="0095252E" w:rsidRDefault="00EB66E2" w:rsidP="009733F1">
            <w:pPr>
              <w:rPr>
                <w:rFonts w:cs="Gotham-Book"/>
                <w:b/>
                <w:color w:val="000000" w:themeColor="text1"/>
                <w:lang w:val="en-US"/>
              </w:rPr>
            </w:pPr>
            <w:r w:rsidRPr="0095252E">
              <w:rPr>
                <w:rFonts w:cs="Gotham-Book"/>
                <w:b/>
                <w:color w:val="000000" w:themeColor="text1"/>
                <w:lang w:val="en-US"/>
              </w:rPr>
              <w:t xml:space="preserve">Status quo </w:t>
            </w:r>
            <w:r w:rsidR="009733F1" w:rsidRPr="0095252E">
              <w:rPr>
                <w:rFonts w:cs="Gotham-Book"/>
                <w:b/>
                <w:color w:val="000000" w:themeColor="text1"/>
                <w:lang w:val="en-US"/>
              </w:rPr>
              <w:t xml:space="preserve">or problem </w:t>
            </w:r>
            <w:r w:rsidRPr="0095252E">
              <w:rPr>
                <w:rFonts w:cs="Gotham-Book"/>
                <w:b/>
                <w:color w:val="000000" w:themeColor="text1"/>
                <w:lang w:val="en-US"/>
              </w:rPr>
              <w:t>/</w:t>
            </w:r>
            <w:r w:rsidRPr="0095252E">
              <w:rPr>
                <w:rFonts w:cs="Gotham-Book"/>
                <w:b/>
                <w:color w:val="000000" w:themeColor="text1"/>
                <w:lang w:val="en-US"/>
              </w:rPr>
              <w:br/>
            </w:r>
            <w:r w:rsidR="009733F1" w:rsidRPr="0095252E">
              <w:rPr>
                <w:rFonts w:cs="Gotham-Book"/>
                <w:b/>
                <w:color w:val="000000" w:themeColor="text1"/>
                <w:lang w:val="en-US"/>
              </w:rPr>
              <w:t>challenge to be attended</w:t>
            </w:r>
          </w:p>
        </w:tc>
        <w:tc>
          <w:tcPr>
            <w:tcW w:w="4820" w:type="dxa"/>
            <w:gridSpan w:val="3"/>
          </w:tcPr>
          <w:p w:rsidR="007F57C0" w:rsidRPr="0095252E" w:rsidRDefault="00751285" w:rsidP="004A6FB0">
            <w:pPr>
              <w:jc w:val="both"/>
              <w:rPr>
                <w:color w:val="000000" w:themeColor="text1"/>
                <w:lang w:val="en-US"/>
              </w:rPr>
            </w:pPr>
            <w:r w:rsidRPr="0095252E">
              <w:rPr>
                <w:color w:val="000000" w:themeColor="text1"/>
                <w:lang w:val="en-US"/>
              </w:rPr>
              <w:t>The following gaps in the Law of</w:t>
            </w:r>
            <w:r w:rsidR="007F57C0" w:rsidRPr="0095252E">
              <w:rPr>
                <w:color w:val="000000" w:themeColor="text1"/>
                <w:lang w:val="en-US"/>
              </w:rPr>
              <w:t xml:space="preserve"> Transparency and Access to Public Information</w:t>
            </w:r>
            <w:r w:rsidR="0057286D" w:rsidRPr="0095252E">
              <w:rPr>
                <w:color w:val="000000" w:themeColor="text1"/>
                <w:lang w:val="en-US"/>
              </w:rPr>
              <w:t>-LTAIP that have an effect on its application have been identified</w:t>
            </w:r>
            <w:r w:rsidR="007F57C0" w:rsidRPr="0095252E">
              <w:rPr>
                <w:color w:val="000000" w:themeColor="text1"/>
                <w:lang w:val="en-US"/>
              </w:rPr>
              <w:t>:</w:t>
            </w:r>
          </w:p>
          <w:p w:rsidR="0045087F" w:rsidRPr="0095252E" w:rsidRDefault="0045087F" w:rsidP="0045087F">
            <w:pPr>
              <w:jc w:val="both"/>
              <w:rPr>
                <w:color w:val="000000" w:themeColor="text1"/>
                <w:lang w:val="en-US"/>
              </w:rPr>
            </w:pPr>
          </w:p>
          <w:p w:rsidR="007F57C0" w:rsidRPr="0095252E" w:rsidRDefault="0045087F" w:rsidP="0045087F">
            <w:pPr>
              <w:jc w:val="both"/>
              <w:rPr>
                <w:color w:val="000000" w:themeColor="text1"/>
                <w:lang w:val="en-US"/>
              </w:rPr>
            </w:pPr>
            <w:r w:rsidRPr="0095252E">
              <w:rPr>
                <w:color w:val="000000" w:themeColor="text1"/>
                <w:lang w:val="en-US"/>
              </w:rPr>
              <w:t>In this regard, it does not have a glossary of terms to guide public offic</w:t>
            </w:r>
            <w:r w:rsidR="00751285" w:rsidRPr="0095252E">
              <w:rPr>
                <w:color w:val="000000" w:themeColor="text1"/>
                <w:lang w:val="en-US"/>
              </w:rPr>
              <w:t>ers</w:t>
            </w:r>
            <w:r w:rsidRPr="0095252E">
              <w:rPr>
                <w:color w:val="000000" w:themeColor="text1"/>
                <w:lang w:val="en-US"/>
              </w:rPr>
              <w:t xml:space="preserve"> in the interpretation of said law. It does not contain provisions to regulate the consequences of misappropriation and undue destruction of information held by public entities. Public ent</w:t>
            </w:r>
            <w:r w:rsidR="00B4434D" w:rsidRPr="0095252E">
              <w:rPr>
                <w:color w:val="000000" w:themeColor="text1"/>
                <w:lang w:val="en-US"/>
              </w:rPr>
              <w:t>ities have difficulty applying penalties</w:t>
            </w:r>
            <w:r w:rsidRPr="0095252E">
              <w:rPr>
                <w:color w:val="000000" w:themeColor="text1"/>
                <w:lang w:val="en-US"/>
              </w:rPr>
              <w:t xml:space="preserve"> to civil servants and </w:t>
            </w:r>
            <w:r w:rsidR="00B4434D" w:rsidRPr="0095252E">
              <w:rPr>
                <w:color w:val="000000" w:themeColor="text1"/>
                <w:lang w:val="en-US"/>
              </w:rPr>
              <w:t>public officers</w:t>
            </w:r>
            <w:r w:rsidRPr="0095252E">
              <w:rPr>
                <w:color w:val="000000" w:themeColor="text1"/>
                <w:lang w:val="en-US"/>
              </w:rPr>
              <w:t xml:space="preserve"> who fail to comply with the </w:t>
            </w:r>
            <w:r w:rsidR="00256659" w:rsidRPr="0095252E">
              <w:rPr>
                <w:color w:val="000000" w:themeColor="text1"/>
                <w:lang w:val="en-US"/>
              </w:rPr>
              <w:t>Law of Transparency and Access to Public Information (</w:t>
            </w:r>
            <w:r w:rsidRPr="0095252E">
              <w:rPr>
                <w:color w:val="000000" w:themeColor="text1"/>
                <w:lang w:val="en-US"/>
              </w:rPr>
              <w:t>LTAIP</w:t>
            </w:r>
            <w:r w:rsidR="00256659" w:rsidRPr="0095252E">
              <w:rPr>
                <w:color w:val="000000" w:themeColor="text1"/>
                <w:lang w:val="en-US"/>
              </w:rPr>
              <w:t>)</w:t>
            </w:r>
            <w:r w:rsidRPr="0095252E">
              <w:rPr>
                <w:color w:val="000000" w:themeColor="text1"/>
                <w:lang w:val="en-US"/>
              </w:rPr>
              <w:t xml:space="preserve">, since it establishes in a general way that failure to comply with its provisions leads to </w:t>
            </w:r>
            <w:r w:rsidR="00256659" w:rsidRPr="0095252E">
              <w:rPr>
                <w:color w:val="000000" w:themeColor="text1"/>
                <w:lang w:val="en-US"/>
              </w:rPr>
              <w:t xml:space="preserve">a penalty due to </w:t>
            </w:r>
            <w:r w:rsidRPr="0095252E">
              <w:rPr>
                <w:color w:val="000000" w:themeColor="text1"/>
                <w:lang w:val="en-US"/>
              </w:rPr>
              <w:t xml:space="preserve">serious misconduct, without establishing a catalog of infractions with its corresponding </w:t>
            </w:r>
            <w:r w:rsidR="00256659" w:rsidRPr="0095252E">
              <w:rPr>
                <w:color w:val="000000" w:themeColor="text1"/>
                <w:lang w:val="en-US"/>
              </w:rPr>
              <w:t>penalty</w:t>
            </w:r>
            <w:r w:rsidRPr="0095252E">
              <w:rPr>
                <w:color w:val="000000" w:themeColor="text1"/>
                <w:lang w:val="en-US"/>
              </w:rPr>
              <w:t>.</w:t>
            </w:r>
          </w:p>
          <w:p w:rsidR="00EB66E2" w:rsidRPr="0095252E" w:rsidRDefault="00EB66E2" w:rsidP="004A6FB0">
            <w:pPr>
              <w:jc w:val="both"/>
              <w:rPr>
                <w:color w:val="000000" w:themeColor="text1"/>
                <w:lang w:val="en-US"/>
              </w:rPr>
            </w:pPr>
          </w:p>
        </w:tc>
      </w:tr>
      <w:tr w:rsidR="00EB66E2" w:rsidRPr="00003DBC" w:rsidTr="0054781D">
        <w:tc>
          <w:tcPr>
            <w:tcW w:w="4219" w:type="dxa"/>
            <w:gridSpan w:val="3"/>
            <w:shd w:val="clear" w:color="auto" w:fill="C6D9F1" w:themeFill="text2" w:themeFillTint="33"/>
            <w:vAlign w:val="center"/>
          </w:tcPr>
          <w:p w:rsidR="00EB66E2" w:rsidRPr="0095252E" w:rsidRDefault="00256659" w:rsidP="00EB66E2">
            <w:pPr>
              <w:rPr>
                <w:b/>
                <w:color w:val="000000" w:themeColor="text1"/>
                <w:lang w:val="en-US"/>
              </w:rPr>
            </w:pPr>
            <w:r w:rsidRPr="0095252E">
              <w:rPr>
                <w:rFonts w:cs="Gotham-Book"/>
                <w:b/>
                <w:color w:val="000000" w:themeColor="text1"/>
                <w:lang w:val="en-US"/>
              </w:rPr>
              <w:t>Main Objective</w:t>
            </w:r>
          </w:p>
        </w:tc>
        <w:tc>
          <w:tcPr>
            <w:tcW w:w="4820" w:type="dxa"/>
            <w:gridSpan w:val="3"/>
          </w:tcPr>
          <w:p w:rsidR="00BC2C91" w:rsidRPr="0095252E" w:rsidRDefault="00BC2C91" w:rsidP="00775C4E">
            <w:pPr>
              <w:jc w:val="both"/>
              <w:rPr>
                <w:bCs/>
                <w:lang w:val="en-US"/>
              </w:rPr>
            </w:pPr>
            <w:r w:rsidRPr="0095252E">
              <w:rPr>
                <w:bCs/>
                <w:lang w:val="en-US"/>
              </w:rPr>
              <w:t>To guide public offic</w:t>
            </w:r>
            <w:r w:rsidR="00775C4E" w:rsidRPr="0095252E">
              <w:rPr>
                <w:bCs/>
                <w:lang w:val="en-US"/>
              </w:rPr>
              <w:t>ers</w:t>
            </w:r>
            <w:r w:rsidRPr="0095252E">
              <w:rPr>
                <w:bCs/>
                <w:lang w:val="en-US"/>
              </w:rPr>
              <w:t xml:space="preserve"> in the interpretation of provisions of the LTAIP, as well as to establish </w:t>
            </w:r>
            <w:r w:rsidR="00775C4E" w:rsidRPr="0095252E">
              <w:rPr>
                <w:bCs/>
                <w:lang w:val="en-US"/>
              </w:rPr>
              <w:t>a proper</w:t>
            </w:r>
            <w:r w:rsidRPr="0095252E">
              <w:rPr>
                <w:bCs/>
                <w:lang w:val="en-US"/>
              </w:rPr>
              <w:t xml:space="preserve"> regulation of infractions and </w:t>
            </w:r>
            <w:r w:rsidR="00775C4E" w:rsidRPr="0095252E">
              <w:rPr>
                <w:bCs/>
                <w:lang w:val="en-US"/>
              </w:rPr>
              <w:t>penalties</w:t>
            </w:r>
            <w:r w:rsidRPr="0095252E">
              <w:rPr>
                <w:bCs/>
                <w:lang w:val="en-US"/>
              </w:rPr>
              <w:t xml:space="preserve"> in case of breach of said law.</w:t>
            </w:r>
          </w:p>
        </w:tc>
      </w:tr>
      <w:tr w:rsidR="00EB66E2" w:rsidRPr="00003DBC" w:rsidTr="0054781D">
        <w:tc>
          <w:tcPr>
            <w:tcW w:w="4219" w:type="dxa"/>
            <w:gridSpan w:val="3"/>
            <w:shd w:val="clear" w:color="auto" w:fill="C6D9F1" w:themeFill="text2" w:themeFillTint="33"/>
            <w:vAlign w:val="center"/>
          </w:tcPr>
          <w:p w:rsidR="00256659" w:rsidRPr="0095252E" w:rsidRDefault="00256659" w:rsidP="00256659">
            <w:pPr>
              <w:autoSpaceDE w:val="0"/>
              <w:autoSpaceDN w:val="0"/>
              <w:adjustRightInd w:val="0"/>
              <w:rPr>
                <w:rFonts w:cs="Gotham-Book"/>
                <w:b/>
                <w:color w:val="000000" w:themeColor="text1"/>
                <w:lang w:val="en-US"/>
              </w:rPr>
            </w:pPr>
            <w:r w:rsidRPr="0095252E">
              <w:rPr>
                <w:rFonts w:cs="Gotham-Book"/>
                <w:b/>
                <w:color w:val="000000" w:themeColor="text1"/>
                <w:lang w:val="en-US"/>
              </w:rPr>
              <w:t>Brief Description of commitment</w:t>
            </w:r>
          </w:p>
          <w:p w:rsidR="00EB66E2" w:rsidRPr="0095252E" w:rsidRDefault="00EB66E2" w:rsidP="00EB66E2">
            <w:pPr>
              <w:autoSpaceDE w:val="0"/>
              <w:autoSpaceDN w:val="0"/>
              <w:adjustRightInd w:val="0"/>
              <w:rPr>
                <w:rFonts w:cs="Gotham-Book"/>
                <w:b/>
                <w:color w:val="000000" w:themeColor="text1"/>
                <w:lang w:val="en-US"/>
              </w:rPr>
            </w:pPr>
          </w:p>
        </w:tc>
        <w:tc>
          <w:tcPr>
            <w:tcW w:w="4820" w:type="dxa"/>
            <w:gridSpan w:val="3"/>
          </w:tcPr>
          <w:p w:rsidR="00BC0084" w:rsidRPr="0095252E" w:rsidRDefault="00BC0084" w:rsidP="00BC0084">
            <w:pPr>
              <w:jc w:val="both"/>
              <w:rPr>
                <w:color w:val="FF0000"/>
                <w:szCs w:val="20"/>
                <w:lang w:val="en-US"/>
              </w:rPr>
            </w:pPr>
            <w:r w:rsidRPr="0095252E">
              <w:rPr>
                <w:szCs w:val="20"/>
                <w:lang w:val="en-US"/>
              </w:rPr>
              <w:t>To formulate a normative proposal for the amendment of the Law on Transparency and Access to public information, in order to include a glossary of terms, regulate matters concerning the destruction and loss of information and incorporate a chapter of infractions and penalties.</w:t>
            </w:r>
          </w:p>
        </w:tc>
      </w:tr>
      <w:tr w:rsidR="00EB66E2" w:rsidRPr="00003DBC" w:rsidTr="0054781D">
        <w:tc>
          <w:tcPr>
            <w:tcW w:w="4219" w:type="dxa"/>
            <w:gridSpan w:val="3"/>
            <w:shd w:val="clear" w:color="auto" w:fill="C6D9F1" w:themeFill="text2" w:themeFillTint="33"/>
            <w:vAlign w:val="center"/>
          </w:tcPr>
          <w:p w:rsidR="00EB66E2" w:rsidRPr="0095252E" w:rsidRDefault="00256659" w:rsidP="00EB66E2">
            <w:pPr>
              <w:autoSpaceDE w:val="0"/>
              <w:autoSpaceDN w:val="0"/>
              <w:adjustRightInd w:val="0"/>
              <w:rPr>
                <w:rFonts w:cs="Gotham-Book"/>
                <w:b/>
                <w:color w:val="000000" w:themeColor="text1"/>
                <w:lang w:val="en-US"/>
              </w:rPr>
            </w:pPr>
            <w:r w:rsidRPr="0095252E">
              <w:rPr>
                <w:rFonts w:cs="Gotham-Book"/>
                <w:b/>
                <w:color w:val="000000" w:themeColor="text1"/>
                <w:lang w:val="en-US"/>
              </w:rPr>
              <w:t>Relevance</w:t>
            </w:r>
          </w:p>
          <w:p w:rsidR="00EB66E2" w:rsidRPr="0095252E" w:rsidRDefault="00EB66E2" w:rsidP="00EB66E2">
            <w:pPr>
              <w:autoSpaceDE w:val="0"/>
              <w:autoSpaceDN w:val="0"/>
              <w:adjustRightInd w:val="0"/>
              <w:rPr>
                <w:b/>
                <w:color w:val="000000" w:themeColor="text1"/>
                <w:lang w:val="en-US"/>
              </w:rPr>
            </w:pPr>
          </w:p>
        </w:tc>
        <w:tc>
          <w:tcPr>
            <w:tcW w:w="4820" w:type="dxa"/>
            <w:gridSpan w:val="3"/>
          </w:tcPr>
          <w:p w:rsidR="00BC0084" w:rsidRPr="0095252E" w:rsidRDefault="00BC0084" w:rsidP="00CB7D22">
            <w:pPr>
              <w:jc w:val="both"/>
              <w:rPr>
                <w:color w:val="FF0000"/>
                <w:szCs w:val="20"/>
                <w:lang w:val="en-US"/>
              </w:rPr>
            </w:pPr>
            <w:r w:rsidRPr="0095252E">
              <w:rPr>
                <w:szCs w:val="20"/>
                <w:lang w:val="en-US"/>
              </w:rPr>
              <w:t>To formulate the project to amend the Law on Transparency and Access to P</w:t>
            </w:r>
            <w:r w:rsidR="00BE1AF1" w:rsidRPr="0095252E">
              <w:rPr>
                <w:szCs w:val="20"/>
                <w:lang w:val="en-US"/>
              </w:rPr>
              <w:t>ublic Information will allow</w:t>
            </w:r>
            <w:r w:rsidRPr="0095252E">
              <w:rPr>
                <w:szCs w:val="20"/>
                <w:lang w:val="en-US"/>
              </w:rPr>
              <w:t xml:space="preserve"> t</w:t>
            </w:r>
            <w:r w:rsidR="00BE1AF1" w:rsidRPr="0095252E">
              <w:rPr>
                <w:szCs w:val="20"/>
                <w:lang w:val="en-US"/>
              </w:rPr>
              <w:t>o</w:t>
            </w:r>
            <w:r w:rsidRPr="0095252E">
              <w:rPr>
                <w:szCs w:val="20"/>
                <w:lang w:val="en-US"/>
              </w:rPr>
              <w:t xml:space="preserve"> updat</w:t>
            </w:r>
            <w:r w:rsidR="00BE1AF1" w:rsidRPr="0095252E">
              <w:rPr>
                <w:szCs w:val="20"/>
                <w:lang w:val="en-US"/>
              </w:rPr>
              <w:t>e</w:t>
            </w:r>
            <w:r w:rsidRPr="0095252E">
              <w:rPr>
                <w:szCs w:val="20"/>
                <w:lang w:val="en-US"/>
              </w:rPr>
              <w:t xml:space="preserve"> a rule that dates back to 2002 and will make it possible to enforce compliance by establishing a chapter of infractions and sanctions, which</w:t>
            </w:r>
            <w:r w:rsidR="00CB7D22" w:rsidRPr="0095252E">
              <w:rPr>
                <w:szCs w:val="20"/>
                <w:lang w:val="en-US"/>
              </w:rPr>
              <w:t xml:space="preserve"> contributes to strengthening t</w:t>
            </w:r>
            <w:r w:rsidRPr="0095252E">
              <w:rPr>
                <w:szCs w:val="20"/>
                <w:lang w:val="en-US"/>
              </w:rPr>
              <w:t xml:space="preserve">he values ​​that </w:t>
            </w:r>
            <w:r w:rsidRPr="0095252E">
              <w:rPr>
                <w:szCs w:val="20"/>
                <w:lang w:val="en-US"/>
              </w:rPr>
              <w:lastRenderedPageBreak/>
              <w:t xml:space="preserve">OGP promotes in </w:t>
            </w:r>
            <w:r w:rsidR="00CB7D22" w:rsidRPr="0095252E">
              <w:rPr>
                <w:szCs w:val="20"/>
                <w:lang w:val="en-US"/>
              </w:rPr>
              <w:t>matters</w:t>
            </w:r>
            <w:r w:rsidRPr="0095252E">
              <w:rPr>
                <w:szCs w:val="20"/>
                <w:lang w:val="en-US"/>
              </w:rPr>
              <w:t xml:space="preserve"> of ​​transparency and access to public information.</w:t>
            </w:r>
          </w:p>
        </w:tc>
      </w:tr>
      <w:tr w:rsidR="00EB66E2" w:rsidRPr="00003DBC" w:rsidTr="0054781D">
        <w:tc>
          <w:tcPr>
            <w:tcW w:w="4219" w:type="dxa"/>
            <w:gridSpan w:val="3"/>
            <w:shd w:val="clear" w:color="auto" w:fill="C6D9F1" w:themeFill="text2" w:themeFillTint="33"/>
            <w:vAlign w:val="center"/>
          </w:tcPr>
          <w:p w:rsidR="00EB66E2" w:rsidRPr="0095252E" w:rsidRDefault="00256659" w:rsidP="00EB66E2">
            <w:pPr>
              <w:autoSpaceDE w:val="0"/>
              <w:autoSpaceDN w:val="0"/>
              <w:adjustRightInd w:val="0"/>
              <w:rPr>
                <w:rFonts w:cs="Gotham-Book"/>
                <w:b/>
                <w:color w:val="000000" w:themeColor="text1"/>
                <w:lang w:val="en-US"/>
              </w:rPr>
            </w:pPr>
            <w:r w:rsidRPr="0095252E">
              <w:rPr>
                <w:rFonts w:cs="Gotham-Book"/>
                <w:b/>
                <w:color w:val="000000" w:themeColor="text1"/>
                <w:lang w:val="en-US"/>
              </w:rPr>
              <w:lastRenderedPageBreak/>
              <w:t xml:space="preserve">Ambition </w:t>
            </w:r>
          </w:p>
          <w:p w:rsidR="00EB66E2" w:rsidRPr="0095252E" w:rsidRDefault="00EB66E2" w:rsidP="00EB66E2">
            <w:pPr>
              <w:autoSpaceDE w:val="0"/>
              <w:autoSpaceDN w:val="0"/>
              <w:adjustRightInd w:val="0"/>
              <w:rPr>
                <w:rFonts w:cs="Gotham-BookItalic"/>
                <w:b/>
                <w:iCs/>
                <w:color w:val="000000" w:themeColor="text1"/>
                <w:lang w:val="en-US"/>
              </w:rPr>
            </w:pPr>
          </w:p>
        </w:tc>
        <w:tc>
          <w:tcPr>
            <w:tcW w:w="4820" w:type="dxa"/>
            <w:gridSpan w:val="3"/>
          </w:tcPr>
          <w:p w:rsidR="00CB7D22" w:rsidRPr="0095252E" w:rsidRDefault="00CB7D22" w:rsidP="00776621">
            <w:pPr>
              <w:jc w:val="both"/>
              <w:rPr>
                <w:color w:val="FF0000"/>
                <w:szCs w:val="20"/>
                <w:lang w:val="en-US"/>
              </w:rPr>
            </w:pPr>
            <w:r w:rsidRPr="0095252E">
              <w:rPr>
                <w:szCs w:val="20"/>
                <w:lang w:val="en-US"/>
              </w:rPr>
              <w:t xml:space="preserve">It is necessary to strengthen the transparency of public management and guarantee the right of citizens to access public information, </w:t>
            </w:r>
            <w:r w:rsidR="00776621" w:rsidRPr="0095252E">
              <w:rPr>
                <w:szCs w:val="20"/>
                <w:lang w:val="en-US"/>
              </w:rPr>
              <w:t xml:space="preserve">related </w:t>
            </w:r>
            <w:r w:rsidRPr="0095252E">
              <w:rPr>
                <w:szCs w:val="20"/>
                <w:lang w:val="en-US"/>
              </w:rPr>
              <w:t>to decision-making and management of public resources. This generates confidence in citizenship, as it strengthens social control and improves management openness.</w:t>
            </w:r>
          </w:p>
        </w:tc>
      </w:tr>
      <w:tr w:rsidR="00EB66E2" w:rsidRPr="0095252E" w:rsidTr="0054781D">
        <w:tc>
          <w:tcPr>
            <w:tcW w:w="2518" w:type="dxa"/>
            <w:gridSpan w:val="2"/>
            <w:vMerge w:val="restart"/>
            <w:shd w:val="clear" w:color="auto" w:fill="C6D9F1" w:themeFill="text2" w:themeFillTint="33"/>
            <w:vAlign w:val="center"/>
          </w:tcPr>
          <w:p w:rsidR="00EB66E2" w:rsidRPr="0095252E" w:rsidRDefault="00256659" w:rsidP="00256659">
            <w:pPr>
              <w:rPr>
                <w:b/>
                <w:color w:val="000000" w:themeColor="text1"/>
                <w:lang w:val="en-US"/>
              </w:rPr>
            </w:pPr>
            <w:r w:rsidRPr="0095252E">
              <w:rPr>
                <w:rFonts w:cs="Gotham-Book"/>
                <w:b/>
                <w:color w:val="000000" w:themeColor="text1"/>
                <w:lang w:val="en-US"/>
              </w:rPr>
              <w:t>Compliance</w:t>
            </w:r>
          </w:p>
        </w:tc>
        <w:tc>
          <w:tcPr>
            <w:tcW w:w="1701" w:type="dxa"/>
            <w:shd w:val="clear" w:color="auto" w:fill="C6D9F1" w:themeFill="text2" w:themeFillTint="33"/>
          </w:tcPr>
          <w:p w:rsidR="00EB66E2" w:rsidRPr="0095252E" w:rsidRDefault="00596BF3" w:rsidP="00EB66E2">
            <w:pPr>
              <w:jc w:val="center"/>
              <w:rPr>
                <w:b/>
                <w:color w:val="000000" w:themeColor="text1"/>
                <w:lang w:val="en-US"/>
              </w:rPr>
            </w:pPr>
            <w:r>
              <w:rPr>
                <w:rFonts w:cs="Gotham-Book"/>
                <w:b/>
                <w:color w:val="000000" w:themeColor="text1"/>
                <w:lang w:val="en-US"/>
              </w:rPr>
              <w:t>Uninitiated</w:t>
            </w:r>
          </w:p>
        </w:tc>
        <w:tc>
          <w:tcPr>
            <w:tcW w:w="1729" w:type="dxa"/>
            <w:shd w:val="clear" w:color="auto" w:fill="C6D9F1" w:themeFill="text2" w:themeFillTint="33"/>
          </w:tcPr>
          <w:p w:rsidR="00EB66E2" w:rsidRPr="0095252E" w:rsidRDefault="00776621" w:rsidP="00EB66E2">
            <w:pPr>
              <w:jc w:val="center"/>
              <w:rPr>
                <w:b/>
                <w:color w:val="000000" w:themeColor="text1"/>
                <w:lang w:val="en-US"/>
              </w:rPr>
            </w:pPr>
            <w:r w:rsidRPr="0095252E">
              <w:rPr>
                <w:rFonts w:cs="Gotham-Book"/>
                <w:b/>
                <w:color w:val="000000" w:themeColor="text1"/>
                <w:lang w:val="en-US"/>
              </w:rPr>
              <w:t>Limited</w:t>
            </w:r>
          </w:p>
        </w:tc>
        <w:tc>
          <w:tcPr>
            <w:tcW w:w="1644" w:type="dxa"/>
            <w:shd w:val="clear" w:color="auto" w:fill="C6D9F1" w:themeFill="text2" w:themeFillTint="33"/>
          </w:tcPr>
          <w:p w:rsidR="00EB66E2" w:rsidRPr="0095252E" w:rsidRDefault="00776621" w:rsidP="00EB66E2">
            <w:pPr>
              <w:jc w:val="center"/>
              <w:rPr>
                <w:b/>
                <w:color w:val="000000" w:themeColor="text1"/>
                <w:lang w:val="en-US"/>
              </w:rPr>
            </w:pPr>
            <w:r w:rsidRPr="0095252E">
              <w:rPr>
                <w:rFonts w:cs="Gotham-Book"/>
                <w:b/>
                <w:color w:val="000000" w:themeColor="text1"/>
                <w:lang w:val="en-US"/>
              </w:rPr>
              <w:t xml:space="preserve">Substantial </w:t>
            </w:r>
          </w:p>
        </w:tc>
        <w:tc>
          <w:tcPr>
            <w:tcW w:w="1447" w:type="dxa"/>
            <w:shd w:val="clear" w:color="auto" w:fill="C6D9F1" w:themeFill="text2" w:themeFillTint="33"/>
          </w:tcPr>
          <w:p w:rsidR="00EB66E2" w:rsidRPr="0095252E" w:rsidRDefault="00776621" w:rsidP="00EB66E2">
            <w:pPr>
              <w:jc w:val="center"/>
              <w:rPr>
                <w:b/>
                <w:color w:val="000000" w:themeColor="text1"/>
                <w:lang w:val="en-US"/>
              </w:rPr>
            </w:pPr>
            <w:r w:rsidRPr="0095252E">
              <w:rPr>
                <w:rFonts w:cs="Gotham-Book"/>
                <w:b/>
                <w:color w:val="000000" w:themeColor="text1"/>
                <w:lang w:val="en-US"/>
              </w:rPr>
              <w:t>Complete</w:t>
            </w:r>
          </w:p>
        </w:tc>
      </w:tr>
      <w:tr w:rsidR="00EB66E2" w:rsidRPr="0095252E" w:rsidTr="0054781D">
        <w:tc>
          <w:tcPr>
            <w:tcW w:w="2518" w:type="dxa"/>
            <w:gridSpan w:val="2"/>
            <w:vMerge/>
            <w:shd w:val="clear" w:color="auto" w:fill="C6D9F1" w:themeFill="text2" w:themeFillTint="33"/>
            <w:vAlign w:val="center"/>
          </w:tcPr>
          <w:p w:rsidR="00EB66E2" w:rsidRPr="0095252E" w:rsidRDefault="00EB66E2" w:rsidP="00EB66E2">
            <w:pPr>
              <w:rPr>
                <w:b/>
                <w:color w:val="000000" w:themeColor="text1"/>
                <w:lang w:val="en-US"/>
              </w:rPr>
            </w:pPr>
          </w:p>
        </w:tc>
        <w:tc>
          <w:tcPr>
            <w:tcW w:w="1701" w:type="dxa"/>
          </w:tcPr>
          <w:p w:rsidR="00EB66E2" w:rsidRPr="0095252E" w:rsidRDefault="000207D7" w:rsidP="00EB66E2">
            <w:pPr>
              <w:jc w:val="center"/>
              <w:rPr>
                <w:b/>
                <w:color w:val="000000" w:themeColor="text1"/>
                <w:lang w:val="en-US"/>
              </w:rPr>
            </w:pPr>
            <w:r w:rsidRPr="0095252E">
              <w:rPr>
                <w:b/>
                <w:color w:val="000000" w:themeColor="text1"/>
                <w:lang w:val="en-US"/>
              </w:rPr>
              <w:t>X</w:t>
            </w:r>
          </w:p>
        </w:tc>
        <w:tc>
          <w:tcPr>
            <w:tcW w:w="1729" w:type="dxa"/>
          </w:tcPr>
          <w:p w:rsidR="00EB66E2" w:rsidRPr="0095252E" w:rsidRDefault="00EB66E2" w:rsidP="00EB66E2">
            <w:pPr>
              <w:jc w:val="center"/>
              <w:rPr>
                <w:b/>
                <w:color w:val="000000" w:themeColor="text1"/>
                <w:lang w:val="en-US"/>
              </w:rPr>
            </w:pPr>
          </w:p>
        </w:tc>
        <w:tc>
          <w:tcPr>
            <w:tcW w:w="1644" w:type="dxa"/>
          </w:tcPr>
          <w:p w:rsidR="00EB66E2" w:rsidRPr="0095252E" w:rsidRDefault="00EB66E2" w:rsidP="00EB66E2">
            <w:pPr>
              <w:jc w:val="center"/>
              <w:rPr>
                <w:b/>
                <w:color w:val="000000" w:themeColor="text1"/>
                <w:lang w:val="en-US"/>
              </w:rPr>
            </w:pPr>
          </w:p>
        </w:tc>
        <w:tc>
          <w:tcPr>
            <w:tcW w:w="1447" w:type="dxa"/>
            <w:shd w:val="clear" w:color="auto" w:fill="FFFFFF" w:themeFill="background1"/>
          </w:tcPr>
          <w:p w:rsidR="00EB66E2" w:rsidRPr="0095252E" w:rsidRDefault="00EB66E2" w:rsidP="00EB66E2">
            <w:pPr>
              <w:jc w:val="center"/>
              <w:rPr>
                <w:b/>
                <w:color w:val="000000" w:themeColor="text1"/>
                <w:lang w:val="en-US"/>
              </w:rPr>
            </w:pPr>
          </w:p>
        </w:tc>
      </w:tr>
      <w:tr w:rsidR="00EB66E2" w:rsidRPr="00003DBC" w:rsidTr="0054781D">
        <w:tc>
          <w:tcPr>
            <w:tcW w:w="2518" w:type="dxa"/>
            <w:gridSpan w:val="2"/>
            <w:shd w:val="clear" w:color="auto" w:fill="C6D9F1" w:themeFill="text2" w:themeFillTint="33"/>
            <w:vAlign w:val="center"/>
          </w:tcPr>
          <w:p w:rsidR="00EB66E2" w:rsidRPr="0095252E" w:rsidRDefault="00DA118E" w:rsidP="00EB66E2">
            <w:pPr>
              <w:autoSpaceDE w:val="0"/>
              <w:autoSpaceDN w:val="0"/>
              <w:adjustRightInd w:val="0"/>
              <w:rPr>
                <w:rFonts w:cs="Gotham-Book"/>
                <w:b/>
                <w:color w:val="000000" w:themeColor="text1"/>
                <w:lang w:val="en-US"/>
              </w:rPr>
            </w:pPr>
            <w:r>
              <w:rPr>
                <w:rFonts w:cs="Gotham-Book"/>
                <w:b/>
                <w:color w:val="000000" w:themeColor="text1"/>
                <w:lang w:val="en-US"/>
              </w:rPr>
              <w:t>Result description</w:t>
            </w:r>
          </w:p>
          <w:p w:rsidR="00EB66E2" w:rsidRPr="0095252E" w:rsidRDefault="00EB66E2" w:rsidP="00EB66E2">
            <w:pPr>
              <w:autoSpaceDE w:val="0"/>
              <w:autoSpaceDN w:val="0"/>
              <w:adjustRightInd w:val="0"/>
              <w:rPr>
                <w:rFonts w:cs="Gotham-BookItalic"/>
                <w:b/>
                <w:iCs/>
                <w:color w:val="000000" w:themeColor="text1"/>
                <w:lang w:val="en-US"/>
              </w:rPr>
            </w:pPr>
          </w:p>
        </w:tc>
        <w:tc>
          <w:tcPr>
            <w:tcW w:w="6521" w:type="dxa"/>
            <w:gridSpan w:val="4"/>
          </w:tcPr>
          <w:p w:rsidR="00A227EF" w:rsidRPr="0095252E" w:rsidRDefault="00776621" w:rsidP="00EB66E2">
            <w:pPr>
              <w:jc w:val="both"/>
              <w:rPr>
                <w:szCs w:val="20"/>
                <w:lang w:val="en-US"/>
              </w:rPr>
            </w:pPr>
            <w:r w:rsidRPr="0095252E">
              <w:rPr>
                <w:szCs w:val="20"/>
                <w:lang w:val="en-US"/>
              </w:rPr>
              <w:t>The following activities have been considered</w:t>
            </w:r>
            <w:r w:rsidR="00891F42" w:rsidRPr="0095252E">
              <w:rPr>
                <w:szCs w:val="20"/>
                <w:lang w:val="en-US"/>
              </w:rPr>
              <w:t>:</w:t>
            </w:r>
          </w:p>
          <w:p w:rsidR="00891F42" w:rsidRPr="0095252E" w:rsidRDefault="00776621" w:rsidP="003A3ABE">
            <w:pPr>
              <w:pStyle w:val="Prrafodelista"/>
              <w:numPr>
                <w:ilvl w:val="0"/>
                <w:numId w:val="7"/>
              </w:numPr>
              <w:jc w:val="both"/>
              <w:rPr>
                <w:b/>
                <w:i/>
                <w:szCs w:val="20"/>
                <w:lang w:val="en-US"/>
              </w:rPr>
            </w:pPr>
            <w:r w:rsidRPr="0095252E">
              <w:rPr>
                <w:b/>
                <w:i/>
                <w:szCs w:val="20"/>
                <w:lang w:val="en-US"/>
              </w:rPr>
              <w:t>Bill completed</w:t>
            </w:r>
          </w:p>
          <w:p w:rsidR="00891F42" w:rsidRPr="0095252E" w:rsidRDefault="00517891" w:rsidP="00517891">
            <w:pPr>
              <w:pStyle w:val="Prrafodelista"/>
              <w:numPr>
                <w:ilvl w:val="0"/>
                <w:numId w:val="7"/>
              </w:numPr>
              <w:jc w:val="both"/>
              <w:rPr>
                <w:b/>
                <w:i/>
                <w:szCs w:val="20"/>
                <w:lang w:val="en-US"/>
              </w:rPr>
            </w:pPr>
            <w:r w:rsidRPr="0095252E">
              <w:rPr>
                <w:b/>
                <w:i/>
                <w:szCs w:val="20"/>
                <w:lang w:val="en-US"/>
              </w:rPr>
              <w:t>Working meetings with public entities and civil society organizations to share the project and receive comments</w:t>
            </w:r>
            <w:r w:rsidR="00891F42" w:rsidRPr="0095252E">
              <w:rPr>
                <w:b/>
                <w:i/>
                <w:szCs w:val="20"/>
                <w:lang w:val="en-US"/>
              </w:rPr>
              <w:t>.</w:t>
            </w:r>
          </w:p>
          <w:p w:rsidR="00891F42" w:rsidRPr="0095252E" w:rsidRDefault="00891F42" w:rsidP="003A3ABE">
            <w:pPr>
              <w:pStyle w:val="Prrafodelista"/>
              <w:numPr>
                <w:ilvl w:val="0"/>
                <w:numId w:val="7"/>
              </w:numPr>
              <w:jc w:val="both"/>
              <w:rPr>
                <w:b/>
                <w:i/>
                <w:szCs w:val="20"/>
                <w:lang w:val="en-US"/>
              </w:rPr>
            </w:pPr>
            <w:r w:rsidRPr="0095252E">
              <w:rPr>
                <w:b/>
                <w:i/>
                <w:szCs w:val="20"/>
                <w:lang w:val="en-US"/>
              </w:rPr>
              <w:t>A</w:t>
            </w:r>
            <w:r w:rsidR="00517891" w:rsidRPr="0095252E">
              <w:rPr>
                <w:b/>
                <w:i/>
                <w:szCs w:val="20"/>
                <w:lang w:val="en-US"/>
              </w:rPr>
              <w:t xml:space="preserve">pproval of the bill by the Senior Management of the President of the </w:t>
            </w:r>
            <w:r w:rsidR="00EE0E86" w:rsidRPr="0095252E">
              <w:rPr>
                <w:b/>
                <w:i/>
                <w:szCs w:val="20"/>
                <w:lang w:val="en-US"/>
              </w:rPr>
              <w:t>Cabinet</w:t>
            </w:r>
            <w:r w:rsidRPr="0095252E">
              <w:rPr>
                <w:b/>
                <w:i/>
                <w:szCs w:val="20"/>
                <w:lang w:val="en-US"/>
              </w:rPr>
              <w:t>.</w:t>
            </w:r>
          </w:p>
          <w:p w:rsidR="00891F42" w:rsidRPr="0095252E" w:rsidRDefault="00517891" w:rsidP="003A3ABE">
            <w:pPr>
              <w:pStyle w:val="Prrafodelista"/>
              <w:numPr>
                <w:ilvl w:val="0"/>
                <w:numId w:val="7"/>
              </w:numPr>
              <w:jc w:val="both"/>
              <w:rPr>
                <w:b/>
                <w:i/>
                <w:szCs w:val="20"/>
                <w:lang w:val="en-US"/>
              </w:rPr>
            </w:pPr>
            <w:r w:rsidRPr="0095252E">
              <w:rPr>
                <w:b/>
                <w:i/>
                <w:szCs w:val="20"/>
                <w:lang w:val="en-US"/>
              </w:rPr>
              <w:t>Submit of the bill to the Congress of the Republic</w:t>
            </w:r>
            <w:r w:rsidR="000207D7" w:rsidRPr="0095252E">
              <w:rPr>
                <w:b/>
                <w:i/>
                <w:szCs w:val="20"/>
                <w:lang w:val="en-US"/>
              </w:rPr>
              <w:t>.</w:t>
            </w:r>
          </w:p>
          <w:p w:rsidR="00EB66E2" w:rsidRPr="0095252E" w:rsidRDefault="005F1ACA" w:rsidP="00EB66E2">
            <w:pPr>
              <w:jc w:val="both"/>
              <w:rPr>
                <w:szCs w:val="20"/>
                <w:lang w:val="en-US"/>
              </w:rPr>
            </w:pPr>
            <w:r w:rsidRPr="0095252E">
              <w:rPr>
                <w:szCs w:val="20"/>
                <w:lang w:val="en-US"/>
              </w:rPr>
              <w:t>The commitment has been rescheduled for the first half of 2017</w:t>
            </w:r>
          </w:p>
          <w:p w:rsidR="00EB66E2" w:rsidRPr="0095252E" w:rsidRDefault="00EB66E2" w:rsidP="00EB66E2">
            <w:pPr>
              <w:jc w:val="both"/>
              <w:rPr>
                <w:color w:val="000000" w:themeColor="text1"/>
                <w:lang w:val="en-US"/>
              </w:rPr>
            </w:pPr>
          </w:p>
        </w:tc>
      </w:tr>
      <w:tr w:rsidR="00EB66E2" w:rsidRPr="0095252E" w:rsidTr="0054781D">
        <w:tc>
          <w:tcPr>
            <w:tcW w:w="2518" w:type="dxa"/>
            <w:gridSpan w:val="2"/>
            <w:shd w:val="clear" w:color="auto" w:fill="C6D9F1" w:themeFill="text2" w:themeFillTint="33"/>
            <w:vAlign w:val="center"/>
          </w:tcPr>
          <w:p w:rsidR="00EB66E2" w:rsidRPr="0095252E" w:rsidRDefault="00A8706E" w:rsidP="00EB66E2">
            <w:pPr>
              <w:rPr>
                <w:b/>
                <w:color w:val="000000" w:themeColor="text1"/>
                <w:lang w:val="en-US"/>
              </w:rPr>
            </w:pPr>
            <w:r w:rsidRPr="0095252E">
              <w:rPr>
                <w:rFonts w:cs="Gotham-Book"/>
                <w:b/>
                <w:color w:val="000000" w:themeColor="text1"/>
                <w:lang w:val="en-US"/>
              </w:rPr>
              <w:t>End date</w:t>
            </w:r>
          </w:p>
        </w:tc>
        <w:tc>
          <w:tcPr>
            <w:tcW w:w="6521" w:type="dxa"/>
            <w:gridSpan w:val="4"/>
          </w:tcPr>
          <w:p w:rsidR="00EB66E2" w:rsidRPr="0095252E" w:rsidRDefault="005F1ACA" w:rsidP="00EB66E2">
            <w:pPr>
              <w:jc w:val="both"/>
              <w:rPr>
                <w:color w:val="000000" w:themeColor="text1"/>
                <w:lang w:val="en-US"/>
              </w:rPr>
            </w:pPr>
            <w:r w:rsidRPr="0095252E">
              <w:rPr>
                <w:color w:val="000000" w:themeColor="text1"/>
                <w:lang w:val="en-US"/>
              </w:rPr>
              <w:t>June</w:t>
            </w:r>
            <w:r w:rsidR="00A227EF" w:rsidRPr="0095252E">
              <w:rPr>
                <w:color w:val="000000" w:themeColor="text1"/>
                <w:lang w:val="en-US"/>
              </w:rPr>
              <w:t xml:space="preserve"> 2017</w:t>
            </w:r>
          </w:p>
        </w:tc>
      </w:tr>
      <w:tr w:rsidR="00EB66E2" w:rsidRPr="00003DBC" w:rsidTr="0054781D">
        <w:tc>
          <w:tcPr>
            <w:tcW w:w="2518" w:type="dxa"/>
            <w:gridSpan w:val="2"/>
            <w:shd w:val="clear" w:color="auto" w:fill="C6D9F1" w:themeFill="text2" w:themeFillTint="33"/>
            <w:vAlign w:val="center"/>
          </w:tcPr>
          <w:p w:rsidR="00EB66E2" w:rsidRPr="0095252E" w:rsidRDefault="00A8706E" w:rsidP="00EB66E2">
            <w:pPr>
              <w:rPr>
                <w:b/>
                <w:color w:val="000000" w:themeColor="text1"/>
                <w:lang w:val="en-US"/>
              </w:rPr>
            </w:pPr>
            <w:r w:rsidRPr="0095252E">
              <w:rPr>
                <w:rFonts w:cs="Gotham-Book"/>
                <w:b/>
                <w:color w:val="000000" w:themeColor="text1"/>
                <w:lang w:val="en-US"/>
              </w:rPr>
              <w:t>Next steps</w:t>
            </w:r>
          </w:p>
        </w:tc>
        <w:tc>
          <w:tcPr>
            <w:tcW w:w="6521" w:type="dxa"/>
            <w:gridSpan w:val="4"/>
          </w:tcPr>
          <w:p w:rsidR="005F1ACA" w:rsidRPr="0095252E" w:rsidRDefault="00E56170" w:rsidP="00E56170">
            <w:pPr>
              <w:jc w:val="both"/>
              <w:rPr>
                <w:color w:val="000000" w:themeColor="text1"/>
                <w:lang w:val="en-US"/>
              </w:rPr>
            </w:pPr>
            <w:r w:rsidRPr="0095252E">
              <w:rPr>
                <w:color w:val="000000" w:themeColor="text1"/>
                <w:lang w:val="en-US"/>
              </w:rPr>
              <w:t>We expect</w:t>
            </w:r>
            <w:r w:rsidR="005F1ACA" w:rsidRPr="0095252E">
              <w:rPr>
                <w:color w:val="000000" w:themeColor="text1"/>
                <w:lang w:val="en-US"/>
              </w:rPr>
              <w:t xml:space="preserve"> to develop actions that contribute to establish </w:t>
            </w:r>
            <w:r w:rsidRPr="0095252E">
              <w:rPr>
                <w:color w:val="000000" w:themeColor="text1"/>
                <w:lang w:val="en-US"/>
              </w:rPr>
              <w:t>a proper</w:t>
            </w:r>
            <w:r w:rsidR="005F1ACA" w:rsidRPr="0095252E">
              <w:rPr>
                <w:color w:val="000000" w:themeColor="text1"/>
                <w:lang w:val="en-US"/>
              </w:rPr>
              <w:t xml:space="preserve"> regulation related to the infractions and </w:t>
            </w:r>
            <w:r w:rsidRPr="0095252E">
              <w:rPr>
                <w:color w:val="000000" w:themeColor="text1"/>
                <w:lang w:val="en-US"/>
              </w:rPr>
              <w:t>penalties</w:t>
            </w:r>
            <w:r w:rsidR="005F1ACA" w:rsidRPr="0095252E">
              <w:rPr>
                <w:color w:val="000000" w:themeColor="text1"/>
                <w:lang w:val="en-US"/>
              </w:rPr>
              <w:t xml:space="preserve"> in case of breach of the Law.</w:t>
            </w:r>
          </w:p>
        </w:tc>
      </w:tr>
      <w:tr w:rsidR="00EB66E2" w:rsidRPr="0095252E" w:rsidTr="0054781D">
        <w:tc>
          <w:tcPr>
            <w:tcW w:w="9039" w:type="dxa"/>
            <w:gridSpan w:val="6"/>
            <w:tcBorders>
              <w:bottom w:val="single" w:sz="4" w:space="0" w:color="auto"/>
            </w:tcBorders>
          </w:tcPr>
          <w:p w:rsidR="00EB66E2" w:rsidRPr="0095252E" w:rsidRDefault="00EB66E2" w:rsidP="00EB66E2">
            <w:pPr>
              <w:jc w:val="both"/>
              <w:rPr>
                <w:rFonts w:cs="Gotham-Book"/>
                <w:b/>
                <w:color w:val="000000" w:themeColor="text1"/>
                <w:lang w:val="en-US"/>
              </w:rPr>
            </w:pPr>
          </w:p>
          <w:p w:rsidR="00EB66E2" w:rsidRPr="0095252E" w:rsidRDefault="00E56170" w:rsidP="00EB66E2">
            <w:pPr>
              <w:jc w:val="both"/>
              <w:rPr>
                <w:color w:val="000000" w:themeColor="text1"/>
                <w:lang w:val="en-US"/>
              </w:rPr>
            </w:pPr>
            <w:r w:rsidRPr="0095252E">
              <w:rPr>
                <w:rFonts w:cs="Gotham-Book"/>
                <w:b/>
                <w:color w:val="000000" w:themeColor="text1"/>
                <w:lang w:val="en-US"/>
              </w:rPr>
              <w:t>Additional Information</w:t>
            </w:r>
          </w:p>
        </w:tc>
      </w:tr>
      <w:tr w:rsidR="00EB66E2" w:rsidRPr="00003DBC" w:rsidTr="0054781D">
        <w:tc>
          <w:tcPr>
            <w:tcW w:w="9039" w:type="dxa"/>
            <w:gridSpan w:val="6"/>
            <w:tcBorders>
              <w:bottom w:val="single" w:sz="4" w:space="0" w:color="auto"/>
            </w:tcBorders>
          </w:tcPr>
          <w:p w:rsidR="00E56170" w:rsidRPr="0095252E" w:rsidRDefault="00E56170" w:rsidP="00F4752D">
            <w:pPr>
              <w:jc w:val="both"/>
              <w:rPr>
                <w:rFonts w:cs="Gotham-Book"/>
                <w:color w:val="000000" w:themeColor="text1"/>
                <w:lang w:val="en-US"/>
              </w:rPr>
            </w:pPr>
            <w:r w:rsidRPr="0095252E">
              <w:rPr>
                <w:rFonts w:cs="Gotham-Book"/>
                <w:color w:val="000000" w:themeColor="text1"/>
                <w:lang w:val="en-US"/>
              </w:rPr>
              <w:t>We expect to consolidate communication channels with the actors of the government ecosystem open for t</w:t>
            </w:r>
            <w:r w:rsidR="00F4752D" w:rsidRPr="0095252E">
              <w:rPr>
                <w:rFonts w:cs="Gotham-Book"/>
                <w:color w:val="000000" w:themeColor="text1"/>
                <w:lang w:val="en-US"/>
              </w:rPr>
              <w:t>rust</w:t>
            </w:r>
            <w:r w:rsidRPr="0095252E">
              <w:rPr>
                <w:rFonts w:cs="Gotham-Book"/>
                <w:color w:val="000000" w:themeColor="text1"/>
                <w:lang w:val="en-US"/>
              </w:rPr>
              <w:t xml:space="preserve"> generation, based on openness, collaboration and innovation to make effective the normative framework that guarantees the right of citizens to access public information.</w:t>
            </w:r>
          </w:p>
        </w:tc>
      </w:tr>
    </w:tbl>
    <w:p w:rsidR="0054781D" w:rsidRPr="0095252E" w:rsidRDefault="0054781D">
      <w:pPr>
        <w:rPr>
          <w:lang w:val="en-US"/>
        </w:rPr>
      </w:pPr>
      <w:r w:rsidRPr="0095252E">
        <w:rPr>
          <w:lang w:val="en-US"/>
        </w:rPr>
        <w:br w:type="page"/>
      </w:r>
    </w:p>
    <w:tbl>
      <w:tblPr>
        <w:tblStyle w:val="Tablaconcuadrcula"/>
        <w:tblW w:w="9039" w:type="dxa"/>
        <w:tblLayout w:type="fixed"/>
        <w:tblLook w:val="04A0" w:firstRow="1" w:lastRow="0" w:firstColumn="1" w:lastColumn="0" w:noHBand="0" w:noVBand="1"/>
      </w:tblPr>
      <w:tblGrid>
        <w:gridCol w:w="2109"/>
        <w:gridCol w:w="2110"/>
        <w:gridCol w:w="4820"/>
      </w:tblGrid>
      <w:tr w:rsidR="0054781D" w:rsidRPr="00003DBC" w:rsidTr="0054781D">
        <w:tc>
          <w:tcPr>
            <w:tcW w:w="9039" w:type="dxa"/>
            <w:gridSpan w:val="3"/>
            <w:tcBorders>
              <w:top w:val="single" w:sz="4" w:space="0" w:color="auto"/>
            </w:tcBorders>
            <w:shd w:val="clear" w:color="auto" w:fill="548DD4" w:themeFill="text2" w:themeFillTint="99"/>
          </w:tcPr>
          <w:p w:rsidR="0054781D" w:rsidRPr="0095252E" w:rsidRDefault="0054781D" w:rsidP="00F4752D">
            <w:pPr>
              <w:ind w:left="720"/>
              <w:jc w:val="center"/>
              <w:rPr>
                <w:b/>
                <w:lang w:val="en-US"/>
              </w:rPr>
            </w:pPr>
            <w:r w:rsidRPr="0095252E">
              <w:rPr>
                <w:b/>
                <w:lang w:val="en-US"/>
              </w:rPr>
              <w:lastRenderedPageBreak/>
              <w:t>Component: Transparency and Access to Public Information</w:t>
            </w:r>
          </w:p>
        </w:tc>
      </w:tr>
      <w:tr w:rsidR="0054781D" w:rsidRPr="00003DBC" w:rsidTr="0054781D">
        <w:tc>
          <w:tcPr>
            <w:tcW w:w="9039" w:type="dxa"/>
            <w:gridSpan w:val="3"/>
            <w:shd w:val="clear" w:color="auto" w:fill="548DD4" w:themeFill="text2" w:themeFillTint="99"/>
          </w:tcPr>
          <w:p w:rsidR="0054781D" w:rsidRPr="0095252E" w:rsidRDefault="0054781D" w:rsidP="00D03B8D">
            <w:pPr>
              <w:ind w:left="360"/>
              <w:jc w:val="center"/>
              <w:rPr>
                <w:b/>
                <w:lang w:val="en-US"/>
              </w:rPr>
            </w:pPr>
            <w:r w:rsidRPr="0095252E">
              <w:rPr>
                <w:b/>
                <w:u w:val="single"/>
                <w:lang w:val="en-US"/>
              </w:rPr>
              <w:t>Commitment 2.</w:t>
            </w:r>
            <w:r w:rsidRPr="0095252E">
              <w:rPr>
                <w:b/>
                <w:lang w:val="en-US"/>
              </w:rPr>
              <w:t xml:space="preserve"> Improvement of the Standard Transparency Portal</w:t>
            </w:r>
          </w:p>
        </w:tc>
      </w:tr>
      <w:tr w:rsidR="0054781D" w:rsidRPr="00003DBC" w:rsidTr="0054781D">
        <w:tc>
          <w:tcPr>
            <w:tcW w:w="4219" w:type="dxa"/>
            <w:gridSpan w:val="2"/>
            <w:shd w:val="clear" w:color="auto" w:fill="C6D9F1" w:themeFill="text2" w:themeFillTint="33"/>
            <w:vAlign w:val="center"/>
          </w:tcPr>
          <w:p w:rsidR="0054781D" w:rsidRPr="0095252E" w:rsidRDefault="0054781D" w:rsidP="00D52AB4">
            <w:pPr>
              <w:autoSpaceDE w:val="0"/>
              <w:autoSpaceDN w:val="0"/>
              <w:adjustRightInd w:val="0"/>
              <w:rPr>
                <w:rFonts w:cs="Gotham-Book"/>
                <w:b/>
                <w:color w:val="000000" w:themeColor="text1"/>
                <w:lang w:val="en-US"/>
              </w:rPr>
            </w:pPr>
            <w:r w:rsidRPr="0095252E">
              <w:rPr>
                <w:rFonts w:cs="Gotham-Book"/>
                <w:b/>
                <w:color w:val="000000" w:themeColor="text1"/>
                <w:lang w:val="en-US"/>
              </w:rPr>
              <w:t>Secretariat/Ministry</w:t>
            </w:r>
          </w:p>
          <w:p w:rsidR="0054781D" w:rsidRPr="0095252E" w:rsidRDefault="0054781D" w:rsidP="00D52AB4">
            <w:pPr>
              <w:rPr>
                <w:b/>
                <w:color w:val="000000" w:themeColor="text1"/>
                <w:lang w:val="en-US"/>
              </w:rPr>
            </w:pPr>
            <w:r w:rsidRPr="0095252E">
              <w:rPr>
                <w:rFonts w:cs="Gotham-Book"/>
                <w:b/>
                <w:color w:val="000000" w:themeColor="text1"/>
                <w:lang w:val="en-US"/>
              </w:rPr>
              <w:t>In charge</w:t>
            </w:r>
          </w:p>
        </w:tc>
        <w:tc>
          <w:tcPr>
            <w:tcW w:w="4820" w:type="dxa"/>
          </w:tcPr>
          <w:p w:rsidR="0054781D" w:rsidRPr="0095252E" w:rsidRDefault="0054781D" w:rsidP="00B9724B">
            <w:pPr>
              <w:jc w:val="both"/>
              <w:rPr>
                <w:color w:val="000000" w:themeColor="text1"/>
                <w:lang w:val="en-US"/>
              </w:rPr>
            </w:pPr>
            <w:r w:rsidRPr="0095252E">
              <w:rPr>
                <w:color w:val="000000" w:themeColor="text1"/>
                <w:lang w:val="en-US"/>
              </w:rPr>
              <w:t>President of the Cabinet through the Public Management Secretariat and the General Office of Statistics and Informatics -ONGEI</w:t>
            </w:r>
          </w:p>
        </w:tc>
      </w:tr>
      <w:tr w:rsidR="0054781D" w:rsidRPr="0095252E" w:rsidTr="0054781D">
        <w:tc>
          <w:tcPr>
            <w:tcW w:w="4219" w:type="dxa"/>
            <w:gridSpan w:val="2"/>
            <w:shd w:val="clear" w:color="auto" w:fill="C6D9F1" w:themeFill="text2" w:themeFillTint="33"/>
            <w:vAlign w:val="center"/>
          </w:tcPr>
          <w:p w:rsidR="0054781D" w:rsidRPr="0095252E" w:rsidRDefault="0054781D" w:rsidP="00D52AB4">
            <w:pPr>
              <w:autoSpaceDE w:val="0"/>
              <w:autoSpaceDN w:val="0"/>
              <w:adjustRightInd w:val="0"/>
              <w:rPr>
                <w:rFonts w:cs="Gotham-Book"/>
                <w:b/>
                <w:color w:val="000000" w:themeColor="text1"/>
                <w:lang w:val="en-US"/>
              </w:rPr>
            </w:pPr>
            <w:r w:rsidRPr="0095252E">
              <w:rPr>
                <w:rFonts w:cs="Gotham-Book"/>
                <w:b/>
                <w:color w:val="000000" w:themeColor="text1"/>
                <w:lang w:val="en-US"/>
              </w:rPr>
              <w:t>Name of the person in charge</w:t>
            </w:r>
          </w:p>
        </w:tc>
        <w:tc>
          <w:tcPr>
            <w:tcW w:w="4820" w:type="dxa"/>
          </w:tcPr>
          <w:p w:rsidR="0054781D" w:rsidRPr="0095252E" w:rsidRDefault="0054781D" w:rsidP="00D52AB4">
            <w:pPr>
              <w:jc w:val="both"/>
              <w:rPr>
                <w:color w:val="000000" w:themeColor="text1"/>
                <w:lang w:val="en-US"/>
              </w:rPr>
            </w:pPr>
            <w:r w:rsidRPr="0095252E">
              <w:rPr>
                <w:color w:val="000000" w:themeColor="text1"/>
                <w:lang w:val="en-US"/>
              </w:rPr>
              <w:t>Fernando Zavala Lombardi</w:t>
            </w:r>
          </w:p>
        </w:tc>
      </w:tr>
      <w:tr w:rsidR="0054781D" w:rsidRPr="0095252E" w:rsidTr="0054781D">
        <w:tc>
          <w:tcPr>
            <w:tcW w:w="4219" w:type="dxa"/>
            <w:gridSpan w:val="2"/>
            <w:shd w:val="clear" w:color="auto" w:fill="C6D9F1" w:themeFill="text2" w:themeFillTint="33"/>
            <w:vAlign w:val="center"/>
          </w:tcPr>
          <w:p w:rsidR="0054781D" w:rsidRPr="0095252E" w:rsidRDefault="0054781D" w:rsidP="00D52AB4">
            <w:pPr>
              <w:rPr>
                <w:b/>
                <w:color w:val="000000" w:themeColor="text1"/>
                <w:lang w:val="en-US"/>
              </w:rPr>
            </w:pPr>
            <w:r w:rsidRPr="0095252E">
              <w:rPr>
                <w:rFonts w:cs="Gotham-Book"/>
                <w:b/>
                <w:color w:val="000000" w:themeColor="text1"/>
                <w:lang w:val="en-US"/>
              </w:rPr>
              <w:t>Position</w:t>
            </w:r>
          </w:p>
        </w:tc>
        <w:tc>
          <w:tcPr>
            <w:tcW w:w="4820" w:type="dxa"/>
          </w:tcPr>
          <w:p w:rsidR="0054781D" w:rsidRPr="0095252E" w:rsidRDefault="0054781D" w:rsidP="00D52AB4">
            <w:pPr>
              <w:jc w:val="both"/>
              <w:rPr>
                <w:color w:val="000000" w:themeColor="text1"/>
                <w:lang w:val="en-US"/>
              </w:rPr>
            </w:pPr>
            <w:r w:rsidRPr="0095252E">
              <w:rPr>
                <w:color w:val="000000" w:themeColor="text1"/>
                <w:lang w:val="en-US"/>
              </w:rPr>
              <w:t>President of the Cabinet</w:t>
            </w:r>
          </w:p>
        </w:tc>
      </w:tr>
      <w:tr w:rsidR="0054781D" w:rsidRPr="0095252E" w:rsidTr="0054781D">
        <w:tc>
          <w:tcPr>
            <w:tcW w:w="4219" w:type="dxa"/>
            <w:gridSpan w:val="2"/>
            <w:shd w:val="clear" w:color="auto" w:fill="C6D9F1" w:themeFill="text2" w:themeFillTint="33"/>
            <w:vAlign w:val="center"/>
          </w:tcPr>
          <w:p w:rsidR="0054781D" w:rsidRPr="0095252E" w:rsidRDefault="0054781D" w:rsidP="00D52AB4">
            <w:pPr>
              <w:autoSpaceDE w:val="0"/>
              <w:autoSpaceDN w:val="0"/>
              <w:adjustRightInd w:val="0"/>
              <w:rPr>
                <w:rFonts w:cs="Gotham-Book"/>
                <w:b/>
                <w:color w:val="000000" w:themeColor="text1"/>
                <w:lang w:val="en-US"/>
              </w:rPr>
            </w:pPr>
            <w:r w:rsidRPr="0095252E">
              <w:rPr>
                <w:rFonts w:cs="Gotham-Book"/>
                <w:b/>
                <w:color w:val="000000" w:themeColor="text1"/>
                <w:lang w:val="en-US"/>
              </w:rPr>
              <w:t>E-mail</w:t>
            </w:r>
          </w:p>
        </w:tc>
        <w:tc>
          <w:tcPr>
            <w:tcW w:w="4820" w:type="dxa"/>
          </w:tcPr>
          <w:p w:rsidR="0054781D" w:rsidRPr="0095252E" w:rsidRDefault="002C33FD" w:rsidP="00D52AB4">
            <w:pPr>
              <w:jc w:val="both"/>
              <w:rPr>
                <w:rFonts w:cs="Arial"/>
                <w:color w:val="0000FF"/>
                <w:u w:val="single"/>
                <w:lang w:val="en-US"/>
              </w:rPr>
            </w:pPr>
            <w:hyperlink r:id="rId17" w:history="1">
              <w:r w:rsidR="0054781D" w:rsidRPr="0095252E">
                <w:rPr>
                  <w:rStyle w:val="Hipervnculo"/>
                  <w:rFonts w:cs="Arial"/>
                  <w:lang w:val="en-US"/>
                </w:rPr>
                <w:t>fzavala@pcm.gob.pe</w:t>
              </w:r>
            </w:hyperlink>
          </w:p>
        </w:tc>
      </w:tr>
      <w:tr w:rsidR="0054781D" w:rsidRPr="0095252E" w:rsidTr="0054781D">
        <w:tc>
          <w:tcPr>
            <w:tcW w:w="4219" w:type="dxa"/>
            <w:gridSpan w:val="2"/>
            <w:shd w:val="clear" w:color="auto" w:fill="C6D9F1" w:themeFill="text2" w:themeFillTint="33"/>
            <w:vAlign w:val="center"/>
          </w:tcPr>
          <w:p w:rsidR="0054781D" w:rsidRPr="0095252E" w:rsidRDefault="0054781D" w:rsidP="00D52AB4">
            <w:pPr>
              <w:rPr>
                <w:b/>
                <w:color w:val="000000" w:themeColor="text1"/>
                <w:lang w:val="en-US"/>
              </w:rPr>
            </w:pPr>
            <w:r w:rsidRPr="0095252E">
              <w:rPr>
                <w:rFonts w:cs="Gotham-Book"/>
                <w:b/>
                <w:color w:val="000000" w:themeColor="text1"/>
                <w:lang w:val="en-US"/>
              </w:rPr>
              <w:t>Telephone</w:t>
            </w:r>
          </w:p>
        </w:tc>
        <w:tc>
          <w:tcPr>
            <w:tcW w:w="4820" w:type="dxa"/>
          </w:tcPr>
          <w:p w:rsidR="0054781D" w:rsidRPr="0095252E" w:rsidRDefault="0054781D" w:rsidP="00D52AB4">
            <w:pPr>
              <w:jc w:val="both"/>
              <w:rPr>
                <w:color w:val="000000" w:themeColor="text1"/>
                <w:lang w:val="en-US"/>
              </w:rPr>
            </w:pPr>
            <w:r w:rsidRPr="0095252E">
              <w:rPr>
                <w:color w:val="000000" w:themeColor="text1"/>
                <w:lang w:val="en-US"/>
              </w:rPr>
              <w:t>51-1-2197000</w:t>
            </w:r>
          </w:p>
        </w:tc>
      </w:tr>
      <w:tr w:rsidR="0054781D" w:rsidRPr="0095252E" w:rsidTr="0054781D">
        <w:tc>
          <w:tcPr>
            <w:tcW w:w="2109" w:type="dxa"/>
            <w:vMerge w:val="restart"/>
            <w:shd w:val="clear" w:color="auto" w:fill="C6D9F1" w:themeFill="text2" w:themeFillTint="33"/>
            <w:vAlign w:val="center"/>
          </w:tcPr>
          <w:p w:rsidR="0054781D" w:rsidRPr="0095252E" w:rsidRDefault="00596BF3" w:rsidP="00D52AB4">
            <w:pPr>
              <w:rPr>
                <w:rFonts w:cs="Gotham-Book"/>
                <w:b/>
                <w:color w:val="000000" w:themeColor="text1"/>
                <w:lang w:val="en-US"/>
              </w:rPr>
            </w:pPr>
            <w:r>
              <w:rPr>
                <w:rFonts w:cs="Gotham-Book"/>
                <w:b/>
                <w:color w:val="000000" w:themeColor="text1"/>
                <w:lang w:val="en-US"/>
              </w:rPr>
              <w:t>Other parties involved</w:t>
            </w:r>
          </w:p>
        </w:tc>
        <w:tc>
          <w:tcPr>
            <w:tcW w:w="2110" w:type="dxa"/>
            <w:shd w:val="clear" w:color="auto" w:fill="C6D9F1" w:themeFill="text2" w:themeFillTint="33"/>
            <w:vAlign w:val="center"/>
          </w:tcPr>
          <w:p w:rsidR="0054781D" w:rsidRPr="0095252E" w:rsidRDefault="0054781D" w:rsidP="00D52AB4">
            <w:pPr>
              <w:rPr>
                <w:rFonts w:cs="Gotham-Book"/>
                <w:b/>
                <w:color w:val="000000" w:themeColor="text1"/>
                <w:lang w:val="en-US"/>
              </w:rPr>
            </w:pPr>
            <w:r w:rsidRPr="0095252E">
              <w:rPr>
                <w:rFonts w:cs="Gotham-Book"/>
                <w:b/>
                <w:color w:val="000000" w:themeColor="text1"/>
                <w:lang w:val="en-US"/>
              </w:rPr>
              <w:t>Government</w:t>
            </w:r>
          </w:p>
        </w:tc>
        <w:tc>
          <w:tcPr>
            <w:tcW w:w="4820" w:type="dxa"/>
          </w:tcPr>
          <w:p w:rsidR="0054781D" w:rsidRPr="0095252E" w:rsidRDefault="0054781D" w:rsidP="00D52AB4">
            <w:pPr>
              <w:jc w:val="both"/>
              <w:rPr>
                <w:color w:val="000000" w:themeColor="text1"/>
                <w:lang w:val="en-US"/>
              </w:rPr>
            </w:pPr>
            <w:r w:rsidRPr="0095252E">
              <w:rPr>
                <w:color w:val="000000" w:themeColor="text1"/>
                <w:lang w:val="en-US"/>
              </w:rPr>
              <w:t>Not applicable</w:t>
            </w:r>
          </w:p>
        </w:tc>
      </w:tr>
      <w:tr w:rsidR="0054781D" w:rsidRPr="00003DBC" w:rsidTr="0054781D">
        <w:tc>
          <w:tcPr>
            <w:tcW w:w="2109" w:type="dxa"/>
            <w:vMerge/>
            <w:shd w:val="clear" w:color="auto" w:fill="C6D9F1" w:themeFill="text2" w:themeFillTint="33"/>
            <w:vAlign w:val="center"/>
          </w:tcPr>
          <w:p w:rsidR="0054781D" w:rsidRPr="0095252E" w:rsidRDefault="0054781D" w:rsidP="00B9724B">
            <w:pPr>
              <w:rPr>
                <w:rFonts w:cs="Gotham-Book"/>
                <w:b/>
                <w:color w:val="000000" w:themeColor="text1"/>
                <w:lang w:val="en-US"/>
              </w:rPr>
            </w:pPr>
          </w:p>
        </w:tc>
        <w:tc>
          <w:tcPr>
            <w:tcW w:w="2110" w:type="dxa"/>
            <w:shd w:val="clear" w:color="auto" w:fill="C6D9F1" w:themeFill="text2" w:themeFillTint="33"/>
            <w:vAlign w:val="center"/>
          </w:tcPr>
          <w:p w:rsidR="0054781D" w:rsidRPr="0095252E" w:rsidRDefault="0054781D" w:rsidP="00B9724B">
            <w:pPr>
              <w:rPr>
                <w:rFonts w:cs="Gotham-Book"/>
                <w:b/>
                <w:color w:val="000000" w:themeColor="text1"/>
                <w:lang w:val="en-US"/>
              </w:rPr>
            </w:pPr>
            <w:r w:rsidRPr="0095252E">
              <w:rPr>
                <w:rFonts w:cs="Gotham-Book"/>
                <w:b/>
                <w:color w:val="000000" w:themeColor="text1"/>
                <w:lang w:val="en-US"/>
              </w:rPr>
              <w:t>Civil society, private initiative, multilateral or work groups</w:t>
            </w:r>
          </w:p>
        </w:tc>
        <w:tc>
          <w:tcPr>
            <w:tcW w:w="4820" w:type="dxa"/>
          </w:tcPr>
          <w:p w:rsidR="0054781D" w:rsidRPr="0095252E" w:rsidRDefault="0054781D" w:rsidP="00B9724B">
            <w:pPr>
              <w:jc w:val="both"/>
              <w:rPr>
                <w:color w:val="000000" w:themeColor="text1"/>
                <w:lang w:val="en-US"/>
              </w:rPr>
            </w:pPr>
          </w:p>
        </w:tc>
      </w:tr>
      <w:tr w:rsidR="0054781D" w:rsidRPr="00003DBC" w:rsidTr="0054781D">
        <w:tc>
          <w:tcPr>
            <w:tcW w:w="4219" w:type="dxa"/>
            <w:gridSpan w:val="2"/>
            <w:shd w:val="clear" w:color="auto" w:fill="C6D9F1" w:themeFill="text2" w:themeFillTint="33"/>
            <w:vAlign w:val="center"/>
          </w:tcPr>
          <w:p w:rsidR="0054781D" w:rsidRPr="0095252E" w:rsidRDefault="0054781D" w:rsidP="00B9724B">
            <w:pPr>
              <w:rPr>
                <w:rFonts w:cs="Gotham-Book"/>
                <w:b/>
                <w:color w:val="000000" w:themeColor="text1"/>
                <w:lang w:val="en-US"/>
              </w:rPr>
            </w:pPr>
            <w:r w:rsidRPr="0095252E">
              <w:rPr>
                <w:rFonts w:cs="Gotham-Book"/>
                <w:b/>
                <w:color w:val="000000" w:themeColor="text1"/>
                <w:lang w:val="en-US"/>
              </w:rPr>
              <w:t>Status quo or problem /</w:t>
            </w:r>
            <w:r w:rsidRPr="0095252E">
              <w:rPr>
                <w:rFonts w:cs="Gotham-Book"/>
                <w:b/>
                <w:color w:val="000000" w:themeColor="text1"/>
                <w:lang w:val="en-US"/>
              </w:rPr>
              <w:br/>
              <w:t>challenge to be attended</w:t>
            </w:r>
          </w:p>
        </w:tc>
        <w:tc>
          <w:tcPr>
            <w:tcW w:w="4820" w:type="dxa"/>
          </w:tcPr>
          <w:p w:rsidR="0054781D" w:rsidRPr="0095252E" w:rsidRDefault="0054781D" w:rsidP="00B9724B">
            <w:pPr>
              <w:jc w:val="both"/>
              <w:rPr>
                <w:color w:val="000000" w:themeColor="text1"/>
                <w:lang w:val="en-US"/>
              </w:rPr>
            </w:pPr>
            <w:r w:rsidRPr="0095252E">
              <w:rPr>
                <w:color w:val="000000" w:themeColor="text1"/>
                <w:lang w:val="en-US"/>
              </w:rPr>
              <w:t xml:space="preserve">According to a study carried out by </w:t>
            </w:r>
            <w:r w:rsidR="0054576D">
              <w:rPr>
                <w:color w:val="000000" w:themeColor="text1"/>
                <w:lang w:val="en-US"/>
              </w:rPr>
              <w:t>Pro-ethics</w:t>
            </w:r>
            <w:r w:rsidRPr="0095252E">
              <w:rPr>
                <w:color w:val="000000" w:themeColor="text1"/>
                <w:lang w:val="en-US"/>
              </w:rPr>
              <w:t>, as a request of the Public Management Secretariat, linked to the public perception about the PTE, it was determined that:</w:t>
            </w:r>
          </w:p>
          <w:p w:rsidR="0054781D" w:rsidRPr="0095252E" w:rsidRDefault="0054781D" w:rsidP="00A24BA6">
            <w:pPr>
              <w:pStyle w:val="Prrafodelista"/>
              <w:numPr>
                <w:ilvl w:val="0"/>
                <w:numId w:val="8"/>
              </w:numPr>
              <w:jc w:val="both"/>
              <w:rPr>
                <w:color w:val="000000" w:themeColor="text1"/>
                <w:lang w:val="en-US"/>
              </w:rPr>
            </w:pPr>
            <w:r w:rsidRPr="0095252E">
              <w:rPr>
                <w:color w:val="000000" w:themeColor="text1"/>
                <w:lang w:val="en-US"/>
              </w:rPr>
              <w:t>In some sections of the PTE the information is published in PDF format with an image that is not readable. It was also identified that this information is published in formats that cannot be downloaded and used by citizens</w:t>
            </w:r>
          </w:p>
          <w:p w:rsidR="0054781D" w:rsidRPr="0095252E" w:rsidRDefault="0054781D" w:rsidP="00A24BA6">
            <w:pPr>
              <w:pStyle w:val="Prrafodelista"/>
              <w:numPr>
                <w:ilvl w:val="0"/>
                <w:numId w:val="8"/>
              </w:numPr>
              <w:jc w:val="both"/>
              <w:rPr>
                <w:color w:val="000000" w:themeColor="text1"/>
                <w:lang w:val="en-US"/>
              </w:rPr>
            </w:pPr>
            <w:r w:rsidRPr="0095252E">
              <w:rPr>
                <w:color w:val="000000" w:themeColor="text1"/>
                <w:lang w:val="en-US"/>
              </w:rPr>
              <w:t>A great part of participants in the workshops and focus group indicated their disconformity with the results of the information search. For some of them, it was not easy to find the information they were looking for and others stated that they did not find complete or updated information.</w:t>
            </w:r>
          </w:p>
          <w:p w:rsidR="0054781D" w:rsidRPr="0095252E" w:rsidRDefault="0054781D" w:rsidP="00D25A90">
            <w:pPr>
              <w:pStyle w:val="Prrafodelista"/>
              <w:numPr>
                <w:ilvl w:val="0"/>
                <w:numId w:val="8"/>
              </w:numPr>
              <w:jc w:val="both"/>
              <w:rPr>
                <w:color w:val="000000" w:themeColor="text1"/>
                <w:lang w:val="en-US"/>
              </w:rPr>
            </w:pPr>
            <w:r w:rsidRPr="0095252E">
              <w:rPr>
                <w:color w:val="000000" w:themeColor="text1"/>
                <w:lang w:val="en-US"/>
              </w:rPr>
              <w:t>The citizens stated that they have never used the PTE or were not aware of its existence</w:t>
            </w:r>
          </w:p>
          <w:p w:rsidR="0054781D" w:rsidRPr="0095252E" w:rsidRDefault="0054781D" w:rsidP="00D25A90">
            <w:pPr>
              <w:pStyle w:val="Prrafodelista"/>
              <w:numPr>
                <w:ilvl w:val="0"/>
                <w:numId w:val="8"/>
              </w:numPr>
              <w:jc w:val="both"/>
              <w:rPr>
                <w:color w:val="000000" w:themeColor="text1"/>
                <w:lang w:val="en-US"/>
              </w:rPr>
            </w:pPr>
            <w:r w:rsidRPr="0095252E">
              <w:rPr>
                <w:color w:val="000000" w:themeColor="text1"/>
                <w:lang w:val="en-US"/>
              </w:rPr>
              <w:t>Most of participants had difficulties finding the PTE in the web pages of the entities and, once they are on the web site, they consider that the tool design is unfriendly.</w:t>
            </w:r>
          </w:p>
        </w:tc>
      </w:tr>
    </w:tbl>
    <w:p w:rsidR="000834F6" w:rsidRPr="0095252E" w:rsidRDefault="00272BDF" w:rsidP="00EF33B6">
      <w:pPr>
        <w:jc w:val="both"/>
        <w:rPr>
          <w:lang w:val="en-US"/>
        </w:rPr>
      </w:pPr>
      <w:r w:rsidRPr="0095252E">
        <w:rPr>
          <w:lang w:val="en-US"/>
        </w:rPr>
        <w:t xml:space="preserve"> </w:t>
      </w:r>
    </w:p>
    <w:p w:rsidR="00661842" w:rsidRPr="0095252E" w:rsidRDefault="00661842">
      <w:pPr>
        <w:rPr>
          <w:lang w:val="en-US"/>
        </w:rPr>
      </w:pPr>
      <w:r w:rsidRPr="0095252E">
        <w:rPr>
          <w:lang w:val="en-US"/>
        </w:rPr>
        <w:br w:type="page"/>
      </w:r>
    </w:p>
    <w:tbl>
      <w:tblPr>
        <w:tblStyle w:val="Tablaconcuadrcula7"/>
        <w:tblW w:w="9039" w:type="dxa"/>
        <w:tblLayout w:type="fixed"/>
        <w:tblLook w:val="04A0" w:firstRow="1" w:lastRow="0" w:firstColumn="1" w:lastColumn="0" w:noHBand="0" w:noVBand="1"/>
      </w:tblPr>
      <w:tblGrid>
        <w:gridCol w:w="2518"/>
        <w:gridCol w:w="1701"/>
        <w:gridCol w:w="1729"/>
        <w:gridCol w:w="1644"/>
        <w:gridCol w:w="1447"/>
      </w:tblGrid>
      <w:tr w:rsidR="00661842" w:rsidRPr="00003DBC" w:rsidTr="003118C0">
        <w:tc>
          <w:tcPr>
            <w:tcW w:w="4219" w:type="dxa"/>
            <w:gridSpan w:val="2"/>
            <w:shd w:val="clear" w:color="auto" w:fill="C6D9F1" w:themeFill="text2" w:themeFillTint="33"/>
            <w:vAlign w:val="center"/>
          </w:tcPr>
          <w:p w:rsidR="00661842" w:rsidRPr="00661842" w:rsidRDefault="00ED30E7" w:rsidP="00661842">
            <w:pPr>
              <w:rPr>
                <w:b/>
                <w:color w:val="000000" w:themeColor="text1"/>
                <w:lang w:val="en-US"/>
              </w:rPr>
            </w:pPr>
            <w:r w:rsidRPr="0095252E">
              <w:rPr>
                <w:rFonts w:cs="Gotham-Book"/>
                <w:b/>
                <w:color w:val="000000" w:themeColor="text1"/>
                <w:lang w:val="en-US"/>
              </w:rPr>
              <w:lastRenderedPageBreak/>
              <w:t>Main Objective</w:t>
            </w:r>
          </w:p>
        </w:tc>
        <w:tc>
          <w:tcPr>
            <w:tcW w:w="4820" w:type="dxa"/>
            <w:gridSpan w:val="3"/>
          </w:tcPr>
          <w:p w:rsidR="00661842" w:rsidRPr="00661842" w:rsidRDefault="0080510B" w:rsidP="00661842">
            <w:pPr>
              <w:jc w:val="both"/>
              <w:rPr>
                <w:bCs/>
                <w:lang w:val="en-US"/>
              </w:rPr>
            </w:pPr>
            <w:r w:rsidRPr="0095252E">
              <w:rPr>
                <w:bCs/>
                <w:lang w:val="en-US"/>
              </w:rPr>
              <w:t>Having a PTE that diffuses timely updated information, in order to be used or reused by citizens, as well as allow easy navigability for users. This will allow to communicate its benefits to the citizens, in order to promote their use.</w:t>
            </w:r>
          </w:p>
        </w:tc>
      </w:tr>
      <w:tr w:rsidR="00661842" w:rsidRPr="00003DBC" w:rsidTr="003118C0">
        <w:tc>
          <w:tcPr>
            <w:tcW w:w="4219" w:type="dxa"/>
            <w:gridSpan w:val="2"/>
            <w:shd w:val="clear" w:color="auto" w:fill="C6D9F1" w:themeFill="text2" w:themeFillTint="33"/>
            <w:vAlign w:val="center"/>
          </w:tcPr>
          <w:p w:rsidR="00661842" w:rsidRPr="00661842" w:rsidRDefault="00ED30E7" w:rsidP="00661842">
            <w:pPr>
              <w:autoSpaceDE w:val="0"/>
              <w:autoSpaceDN w:val="0"/>
              <w:adjustRightInd w:val="0"/>
              <w:rPr>
                <w:rFonts w:cs="Gotham-Book"/>
                <w:b/>
                <w:color w:val="000000" w:themeColor="text1"/>
                <w:lang w:val="en-US"/>
              </w:rPr>
            </w:pPr>
            <w:r w:rsidRPr="0095252E">
              <w:rPr>
                <w:rFonts w:cs="Gotham-Book"/>
                <w:b/>
                <w:color w:val="000000" w:themeColor="text1"/>
                <w:lang w:val="en-US"/>
              </w:rPr>
              <w:t>Brief Description of the Commitment</w:t>
            </w:r>
          </w:p>
        </w:tc>
        <w:tc>
          <w:tcPr>
            <w:tcW w:w="4820" w:type="dxa"/>
            <w:gridSpan w:val="3"/>
          </w:tcPr>
          <w:p w:rsidR="00661842" w:rsidRPr="00661842" w:rsidRDefault="0080510B" w:rsidP="00661842">
            <w:pPr>
              <w:jc w:val="both"/>
              <w:rPr>
                <w:color w:val="FF0000"/>
                <w:szCs w:val="20"/>
                <w:lang w:val="en-US"/>
              </w:rPr>
            </w:pPr>
            <w:r w:rsidRPr="0095252E">
              <w:rPr>
                <w:szCs w:val="20"/>
                <w:lang w:val="en-US"/>
              </w:rPr>
              <w:t>Improving the accessibility and interoperability of the Standard-PTE Transparency Portals and encourage the re-use of the data contained in those portals.</w:t>
            </w:r>
          </w:p>
        </w:tc>
      </w:tr>
      <w:tr w:rsidR="00661842" w:rsidRPr="00003DBC" w:rsidTr="003118C0">
        <w:tc>
          <w:tcPr>
            <w:tcW w:w="4219" w:type="dxa"/>
            <w:gridSpan w:val="2"/>
            <w:shd w:val="clear" w:color="auto" w:fill="C6D9F1" w:themeFill="text2" w:themeFillTint="33"/>
            <w:vAlign w:val="center"/>
          </w:tcPr>
          <w:p w:rsidR="00661842" w:rsidRPr="00661842" w:rsidRDefault="00774B23" w:rsidP="00661842">
            <w:pPr>
              <w:autoSpaceDE w:val="0"/>
              <w:autoSpaceDN w:val="0"/>
              <w:adjustRightInd w:val="0"/>
              <w:rPr>
                <w:rFonts w:cs="Gotham-Book"/>
                <w:b/>
                <w:color w:val="000000" w:themeColor="text1"/>
                <w:lang w:val="en-US"/>
              </w:rPr>
            </w:pPr>
            <w:r w:rsidRPr="0095252E">
              <w:rPr>
                <w:rFonts w:cs="Gotham-Book"/>
                <w:b/>
                <w:color w:val="000000" w:themeColor="text1"/>
                <w:lang w:val="en-US"/>
              </w:rPr>
              <w:t>Relevance</w:t>
            </w:r>
          </w:p>
          <w:p w:rsidR="00661842" w:rsidRPr="00661842" w:rsidRDefault="00661842" w:rsidP="00661842">
            <w:pPr>
              <w:autoSpaceDE w:val="0"/>
              <w:autoSpaceDN w:val="0"/>
              <w:adjustRightInd w:val="0"/>
              <w:rPr>
                <w:b/>
                <w:color w:val="000000" w:themeColor="text1"/>
                <w:lang w:val="en-US"/>
              </w:rPr>
            </w:pPr>
          </w:p>
        </w:tc>
        <w:tc>
          <w:tcPr>
            <w:tcW w:w="4820" w:type="dxa"/>
            <w:gridSpan w:val="3"/>
          </w:tcPr>
          <w:p w:rsidR="00661842" w:rsidRPr="00661842" w:rsidRDefault="0080510B" w:rsidP="0080510B">
            <w:pPr>
              <w:jc w:val="both"/>
              <w:rPr>
                <w:color w:val="FF0000"/>
                <w:szCs w:val="20"/>
                <w:lang w:val="en-US"/>
              </w:rPr>
            </w:pPr>
            <w:r w:rsidRPr="0095252E">
              <w:rPr>
                <w:szCs w:val="20"/>
                <w:lang w:val="en-US"/>
              </w:rPr>
              <w:t>The new version of the Standard Transparency Portal contains the citizen-friendly approach and improves information content to facilitate the accessibility and re-use of information, incorporating the data-opening approach, thus contributing to the principles Of open government to increase the levels of transparency and access to information as it integrates a very important tool to guarantee the transparency of the traceability of requests for attention to access to public information, which allows having an registration system of access to information of national scope.</w:t>
            </w:r>
          </w:p>
        </w:tc>
      </w:tr>
      <w:tr w:rsidR="00661842" w:rsidRPr="00003DBC" w:rsidTr="003118C0">
        <w:tc>
          <w:tcPr>
            <w:tcW w:w="4219" w:type="dxa"/>
            <w:gridSpan w:val="2"/>
            <w:shd w:val="clear" w:color="auto" w:fill="C6D9F1" w:themeFill="text2" w:themeFillTint="33"/>
            <w:vAlign w:val="center"/>
          </w:tcPr>
          <w:p w:rsidR="00661842" w:rsidRPr="00661842" w:rsidRDefault="00661842" w:rsidP="00661842">
            <w:pPr>
              <w:autoSpaceDE w:val="0"/>
              <w:autoSpaceDN w:val="0"/>
              <w:adjustRightInd w:val="0"/>
              <w:rPr>
                <w:rFonts w:cs="Gotham-Book"/>
                <w:b/>
                <w:color w:val="000000" w:themeColor="text1"/>
                <w:lang w:val="en-US"/>
              </w:rPr>
            </w:pPr>
            <w:r w:rsidRPr="00661842">
              <w:rPr>
                <w:rFonts w:cs="Gotham-Book"/>
                <w:b/>
                <w:color w:val="000000" w:themeColor="text1"/>
                <w:lang w:val="en-US"/>
              </w:rPr>
              <w:t>Ambi</w:t>
            </w:r>
            <w:r w:rsidR="00774B23" w:rsidRPr="0095252E">
              <w:rPr>
                <w:rFonts w:cs="Gotham-Book"/>
                <w:b/>
                <w:color w:val="000000" w:themeColor="text1"/>
                <w:lang w:val="en-US"/>
              </w:rPr>
              <w:t>tion</w:t>
            </w:r>
          </w:p>
          <w:p w:rsidR="00661842" w:rsidRPr="00661842" w:rsidRDefault="00661842" w:rsidP="00661842">
            <w:pPr>
              <w:autoSpaceDE w:val="0"/>
              <w:autoSpaceDN w:val="0"/>
              <w:adjustRightInd w:val="0"/>
              <w:rPr>
                <w:rFonts w:cs="Gotham-BookItalic"/>
                <w:b/>
                <w:iCs/>
                <w:color w:val="000000" w:themeColor="text1"/>
                <w:lang w:val="en-US"/>
              </w:rPr>
            </w:pPr>
          </w:p>
        </w:tc>
        <w:tc>
          <w:tcPr>
            <w:tcW w:w="4820" w:type="dxa"/>
            <w:gridSpan w:val="3"/>
          </w:tcPr>
          <w:p w:rsidR="00661842" w:rsidRPr="00661842" w:rsidRDefault="0080510B" w:rsidP="00661842">
            <w:pPr>
              <w:jc w:val="both"/>
              <w:rPr>
                <w:color w:val="FF0000"/>
                <w:szCs w:val="20"/>
                <w:lang w:val="en-US"/>
              </w:rPr>
            </w:pPr>
            <w:r w:rsidRPr="0095252E">
              <w:rPr>
                <w:szCs w:val="20"/>
                <w:lang w:val="en-US"/>
              </w:rPr>
              <w:t>It is expected to approve the standard that allows the implementation of the new version of the Portal of Transparency Standard-PTE</w:t>
            </w:r>
          </w:p>
        </w:tc>
      </w:tr>
      <w:tr w:rsidR="00661842" w:rsidRPr="00661842" w:rsidTr="003118C0">
        <w:tc>
          <w:tcPr>
            <w:tcW w:w="2518" w:type="dxa"/>
            <w:vMerge w:val="restart"/>
            <w:shd w:val="clear" w:color="auto" w:fill="C6D9F1" w:themeFill="text2" w:themeFillTint="33"/>
            <w:vAlign w:val="center"/>
          </w:tcPr>
          <w:p w:rsidR="00661842" w:rsidRPr="00661842" w:rsidRDefault="00661842" w:rsidP="00774B23">
            <w:pPr>
              <w:rPr>
                <w:b/>
                <w:color w:val="000000" w:themeColor="text1"/>
                <w:lang w:val="en-US"/>
              </w:rPr>
            </w:pPr>
            <w:r w:rsidRPr="00661842">
              <w:rPr>
                <w:rFonts w:cs="Gotham-Book"/>
                <w:b/>
                <w:color w:val="000000" w:themeColor="text1"/>
                <w:lang w:val="en-US"/>
              </w:rPr>
              <w:t>C</w:t>
            </w:r>
            <w:r w:rsidR="00774B23" w:rsidRPr="0095252E">
              <w:rPr>
                <w:rFonts w:cs="Gotham-Book"/>
                <w:b/>
                <w:color w:val="000000" w:themeColor="text1"/>
                <w:lang w:val="en-US"/>
              </w:rPr>
              <w:t>ompliance</w:t>
            </w:r>
          </w:p>
        </w:tc>
        <w:tc>
          <w:tcPr>
            <w:tcW w:w="1701" w:type="dxa"/>
            <w:shd w:val="clear" w:color="auto" w:fill="C6D9F1" w:themeFill="text2" w:themeFillTint="33"/>
          </w:tcPr>
          <w:p w:rsidR="00661842" w:rsidRPr="00661842" w:rsidRDefault="00596BF3" w:rsidP="00774B23">
            <w:pPr>
              <w:jc w:val="center"/>
              <w:rPr>
                <w:b/>
                <w:color w:val="000000" w:themeColor="text1"/>
                <w:lang w:val="en-US"/>
              </w:rPr>
            </w:pPr>
            <w:r>
              <w:rPr>
                <w:rFonts w:cs="Gotham-Book"/>
                <w:b/>
                <w:color w:val="000000" w:themeColor="text1"/>
                <w:lang w:val="en-US"/>
              </w:rPr>
              <w:t>Uninitiated</w:t>
            </w:r>
          </w:p>
        </w:tc>
        <w:tc>
          <w:tcPr>
            <w:tcW w:w="1729" w:type="dxa"/>
            <w:shd w:val="clear" w:color="auto" w:fill="C6D9F1" w:themeFill="text2" w:themeFillTint="33"/>
          </w:tcPr>
          <w:p w:rsidR="00661842" w:rsidRPr="00661842" w:rsidRDefault="00774B23" w:rsidP="00661842">
            <w:pPr>
              <w:jc w:val="center"/>
              <w:rPr>
                <w:b/>
                <w:color w:val="000000" w:themeColor="text1"/>
                <w:lang w:val="en-US"/>
              </w:rPr>
            </w:pPr>
            <w:r w:rsidRPr="0095252E">
              <w:rPr>
                <w:rFonts w:cs="Gotham-Book"/>
                <w:b/>
                <w:color w:val="000000" w:themeColor="text1"/>
                <w:lang w:val="en-US"/>
              </w:rPr>
              <w:t>Limited</w:t>
            </w:r>
          </w:p>
        </w:tc>
        <w:tc>
          <w:tcPr>
            <w:tcW w:w="1644" w:type="dxa"/>
            <w:shd w:val="clear" w:color="auto" w:fill="C6D9F1" w:themeFill="text2" w:themeFillTint="33"/>
          </w:tcPr>
          <w:p w:rsidR="00661842" w:rsidRPr="00661842" w:rsidRDefault="00661842" w:rsidP="00774B23">
            <w:pPr>
              <w:jc w:val="center"/>
              <w:rPr>
                <w:b/>
                <w:color w:val="000000" w:themeColor="text1"/>
                <w:lang w:val="en-US"/>
              </w:rPr>
            </w:pPr>
            <w:r w:rsidRPr="00661842">
              <w:rPr>
                <w:rFonts w:cs="Gotham-Book"/>
                <w:b/>
                <w:color w:val="000000" w:themeColor="text1"/>
                <w:lang w:val="en-US"/>
              </w:rPr>
              <w:t>S</w:t>
            </w:r>
            <w:r w:rsidR="00774B23" w:rsidRPr="0095252E">
              <w:rPr>
                <w:rFonts w:cs="Gotham-Book"/>
                <w:b/>
                <w:color w:val="000000" w:themeColor="text1"/>
                <w:lang w:val="en-US"/>
              </w:rPr>
              <w:t>ubstantial</w:t>
            </w:r>
          </w:p>
        </w:tc>
        <w:tc>
          <w:tcPr>
            <w:tcW w:w="1447" w:type="dxa"/>
            <w:shd w:val="clear" w:color="auto" w:fill="C6D9F1" w:themeFill="text2" w:themeFillTint="33"/>
          </w:tcPr>
          <w:p w:rsidR="00661842" w:rsidRPr="00661842" w:rsidRDefault="00661842" w:rsidP="00661842">
            <w:pPr>
              <w:jc w:val="center"/>
              <w:rPr>
                <w:b/>
                <w:color w:val="000000" w:themeColor="text1"/>
                <w:lang w:val="en-US"/>
              </w:rPr>
            </w:pPr>
            <w:r w:rsidRPr="00661842">
              <w:rPr>
                <w:rFonts w:cs="Gotham-Book"/>
                <w:b/>
                <w:color w:val="000000" w:themeColor="text1"/>
                <w:lang w:val="en-US"/>
              </w:rPr>
              <w:t>Complet</w:t>
            </w:r>
            <w:r w:rsidR="00774B23" w:rsidRPr="0095252E">
              <w:rPr>
                <w:rFonts w:cs="Gotham-Book"/>
                <w:b/>
                <w:color w:val="000000" w:themeColor="text1"/>
                <w:lang w:val="en-US"/>
              </w:rPr>
              <w:t>e</w:t>
            </w:r>
          </w:p>
        </w:tc>
      </w:tr>
      <w:tr w:rsidR="00661842" w:rsidRPr="00661842" w:rsidTr="003118C0">
        <w:tc>
          <w:tcPr>
            <w:tcW w:w="2518" w:type="dxa"/>
            <w:vMerge/>
            <w:shd w:val="clear" w:color="auto" w:fill="C6D9F1" w:themeFill="text2" w:themeFillTint="33"/>
            <w:vAlign w:val="center"/>
          </w:tcPr>
          <w:p w:rsidR="00661842" w:rsidRPr="00661842" w:rsidRDefault="00661842" w:rsidP="00661842">
            <w:pPr>
              <w:rPr>
                <w:b/>
                <w:color w:val="000000" w:themeColor="text1"/>
                <w:lang w:val="en-US"/>
              </w:rPr>
            </w:pPr>
          </w:p>
        </w:tc>
        <w:tc>
          <w:tcPr>
            <w:tcW w:w="1701" w:type="dxa"/>
          </w:tcPr>
          <w:p w:rsidR="00661842" w:rsidRPr="00661842" w:rsidRDefault="00661842" w:rsidP="00661842">
            <w:pPr>
              <w:jc w:val="center"/>
              <w:rPr>
                <w:b/>
                <w:color w:val="000000" w:themeColor="text1"/>
                <w:lang w:val="en-US"/>
              </w:rPr>
            </w:pPr>
          </w:p>
        </w:tc>
        <w:tc>
          <w:tcPr>
            <w:tcW w:w="1729" w:type="dxa"/>
          </w:tcPr>
          <w:p w:rsidR="00661842" w:rsidRPr="00661842" w:rsidRDefault="00661842" w:rsidP="00661842">
            <w:pPr>
              <w:jc w:val="center"/>
              <w:rPr>
                <w:b/>
                <w:color w:val="000000" w:themeColor="text1"/>
                <w:lang w:val="en-US"/>
              </w:rPr>
            </w:pPr>
          </w:p>
        </w:tc>
        <w:tc>
          <w:tcPr>
            <w:tcW w:w="1644" w:type="dxa"/>
          </w:tcPr>
          <w:p w:rsidR="00661842" w:rsidRPr="00661842" w:rsidRDefault="00661842" w:rsidP="00661842">
            <w:pPr>
              <w:jc w:val="center"/>
              <w:rPr>
                <w:b/>
                <w:color w:val="000000" w:themeColor="text1"/>
                <w:lang w:val="en-US"/>
              </w:rPr>
            </w:pPr>
            <w:r w:rsidRPr="00661842">
              <w:rPr>
                <w:b/>
                <w:color w:val="000000" w:themeColor="text1"/>
                <w:lang w:val="en-US"/>
              </w:rPr>
              <w:t>X</w:t>
            </w:r>
          </w:p>
        </w:tc>
        <w:tc>
          <w:tcPr>
            <w:tcW w:w="1447" w:type="dxa"/>
            <w:shd w:val="clear" w:color="auto" w:fill="FFFFFF" w:themeFill="background1"/>
          </w:tcPr>
          <w:p w:rsidR="00661842" w:rsidRPr="00661842" w:rsidRDefault="00661842" w:rsidP="00661842">
            <w:pPr>
              <w:jc w:val="center"/>
              <w:rPr>
                <w:b/>
                <w:color w:val="000000" w:themeColor="text1"/>
                <w:lang w:val="en-US"/>
              </w:rPr>
            </w:pPr>
          </w:p>
        </w:tc>
      </w:tr>
      <w:tr w:rsidR="00661842" w:rsidRPr="00003DBC" w:rsidTr="003118C0">
        <w:tc>
          <w:tcPr>
            <w:tcW w:w="2518" w:type="dxa"/>
            <w:shd w:val="clear" w:color="auto" w:fill="C6D9F1" w:themeFill="text2" w:themeFillTint="33"/>
            <w:vAlign w:val="center"/>
          </w:tcPr>
          <w:p w:rsidR="00661842" w:rsidRPr="00661842" w:rsidRDefault="00DA118E" w:rsidP="00661842">
            <w:pPr>
              <w:autoSpaceDE w:val="0"/>
              <w:autoSpaceDN w:val="0"/>
              <w:adjustRightInd w:val="0"/>
              <w:rPr>
                <w:rFonts w:cs="Gotham-Book"/>
                <w:b/>
                <w:color w:val="000000" w:themeColor="text1"/>
                <w:lang w:val="en-US"/>
              </w:rPr>
            </w:pPr>
            <w:r>
              <w:rPr>
                <w:rFonts w:cs="Gotham-Book"/>
                <w:b/>
                <w:color w:val="000000" w:themeColor="text1"/>
                <w:lang w:val="en-US"/>
              </w:rPr>
              <w:t>Result description</w:t>
            </w:r>
          </w:p>
          <w:p w:rsidR="00661842" w:rsidRPr="00661842" w:rsidRDefault="00661842" w:rsidP="00661842">
            <w:pPr>
              <w:autoSpaceDE w:val="0"/>
              <w:autoSpaceDN w:val="0"/>
              <w:adjustRightInd w:val="0"/>
              <w:rPr>
                <w:rFonts w:cs="Gotham-BookItalic"/>
                <w:b/>
                <w:iCs/>
                <w:color w:val="000000" w:themeColor="text1"/>
                <w:lang w:val="en-US"/>
              </w:rPr>
            </w:pPr>
          </w:p>
        </w:tc>
        <w:tc>
          <w:tcPr>
            <w:tcW w:w="6521" w:type="dxa"/>
            <w:gridSpan w:val="4"/>
          </w:tcPr>
          <w:p w:rsidR="00661842" w:rsidRPr="00661842" w:rsidRDefault="0080510B" w:rsidP="00661842">
            <w:pPr>
              <w:jc w:val="both"/>
              <w:rPr>
                <w:szCs w:val="20"/>
                <w:lang w:val="en-US"/>
              </w:rPr>
            </w:pPr>
            <w:r w:rsidRPr="0095252E">
              <w:rPr>
                <w:szCs w:val="20"/>
                <w:lang w:val="en-US"/>
              </w:rPr>
              <w:t>The following activities have been considered:</w:t>
            </w:r>
          </w:p>
          <w:p w:rsidR="00661842" w:rsidRPr="00661842" w:rsidRDefault="0080510B" w:rsidP="0080510B">
            <w:pPr>
              <w:numPr>
                <w:ilvl w:val="0"/>
                <w:numId w:val="9"/>
              </w:numPr>
              <w:contextualSpacing/>
              <w:jc w:val="both"/>
              <w:rPr>
                <w:b/>
                <w:i/>
                <w:szCs w:val="20"/>
                <w:lang w:val="en-US"/>
              </w:rPr>
            </w:pPr>
            <w:r w:rsidRPr="0095252E">
              <w:rPr>
                <w:b/>
                <w:i/>
                <w:szCs w:val="20"/>
                <w:lang w:val="en-US"/>
              </w:rPr>
              <w:t>Standard Transparency Portal-PTE- redesigned of the view shown in the web pages of the public entities.</w:t>
            </w:r>
          </w:p>
          <w:p w:rsidR="00661842" w:rsidRPr="00661842" w:rsidRDefault="0080510B" w:rsidP="00661842">
            <w:pPr>
              <w:ind w:left="743"/>
              <w:jc w:val="both"/>
              <w:rPr>
                <w:rFonts w:cs="Arial"/>
                <w:lang w:val="en-US"/>
              </w:rPr>
            </w:pPr>
            <w:r w:rsidRPr="0095252E">
              <w:rPr>
                <w:rFonts w:cs="Arial"/>
                <w:lang w:val="en-US"/>
              </w:rPr>
              <w:t>The new version is in the test stage, while ONGEI must have the necessary resources (storage, processing and internet access - bandwidth) to be put into operation. In this regard, you can view the new version at the following link http://peru.gob.pe/Portal_Transparencia_Estandar/(S(j43otqcab31n3ahylscsmxu3))/pte_transparencia_inicio.aspx</w:t>
            </w:r>
          </w:p>
          <w:p w:rsidR="00661842" w:rsidRPr="00661842" w:rsidRDefault="00661842" w:rsidP="0080510B">
            <w:pPr>
              <w:numPr>
                <w:ilvl w:val="0"/>
                <w:numId w:val="9"/>
              </w:numPr>
              <w:contextualSpacing/>
              <w:jc w:val="both"/>
              <w:rPr>
                <w:b/>
                <w:i/>
                <w:szCs w:val="20"/>
                <w:lang w:val="en-US"/>
              </w:rPr>
            </w:pPr>
            <w:r w:rsidRPr="00661842">
              <w:rPr>
                <w:b/>
                <w:i/>
                <w:szCs w:val="20"/>
                <w:lang w:val="en-US"/>
              </w:rPr>
              <w:t xml:space="preserve"> </w:t>
            </w:r>
            <w:r w:rsidR="0080510B" w:rsidRPr="0095252E">
              <w:rPr>
                <w:b/>
                <w:i/>
                <w:szCs w:val="20"/>
                <w:lang w:val="en-US"/>
              </w:rPr>
              <w:t>Elaboration and approval of the dissemination and communication strategy on the benefits of the PT</w:t>
            </w:r>
            <w:r w:rsidR="00774B23" w:rsidRPr="0095252E">
              <w:rPr>
                <w:b/>
                <w:i/>
                <w:szCs w:val="20"/>
                <w:lang w:val="en-US"/>
              </w:rPr>
              <w:t>E</w:t>
            </w:r>
            <w:r w:rsidR="0080510B" w:rsidRPr="0095252E">
              <w:rPr>
                <w:b/>
                <w:i/>
                <w:szCs w:val="20"/>
                <w:lang w:val="en-US"/>
              </w:rPr>
              <w:t>.</w:t>
            </w:r>
          </w:p>
          <w:p w:rsidR="00661842" w:rsidRPr="00661842" w:rsidRDefault="0080510B" w:rsidP="00661842">
            <w:pPr>
              <w:ind w:left="720"/>
              <w:contextualSpacing/>
              <w:jc w:val="both"/>
              <w:rPr>
                <w:szCs w:val="20"/>
                <w:lang w:val="en-US"/>
              </w:rPr>
            </w:pPr>
            <w:r w:rsidRPr="0095252E">
              <w:rPr>
                <w:szCs w:val="20"/>
                <w:lang w:val="en-US"/>
              </w:rPr>
              <w:t>The dissemination strategy is being developed, which will be implemented as soon as the standard implemented by the new version of the Standard Transparency Portal is approved.</w:t>
            </w:r>
          </w:p>
          <w:p w:rsidR="00774B23" w:rsidRPr="0095252E" w:rsidRDefault="00774B23" w:rsidP="00774B23">
            <w:pPr>
              <w:pStyle w:val="Prrafodelista"/>
              <w:numPr>
                <w:ilvl w:val="0"/>
                <w:numId w:val="9"/>
              </w:numPr>
              <w:jc w:val="both"/>
              <w:rPr>
                <w:szCs w:val="20"/>
                <w:lang w:val="en-US"/>
              </w:rPr>
            </w:pPr>
            <w:r w:rsidRPr="0095252E">
              <w:rPr>
                <w:b/>
                <w:i/>
                <w:szCs w:val="20"/>
                <w:lang w:val="en-US"/>
              </w:rPr>
              <w:t>Public presentation of the improvements made to the ETP.</w:t>
            </w:r>
          </w:p>
          <w:p w:rsidR="00661842" w:rsidRPr="0095252E" w:rsidRDefault="00774B23" w:rsidP="00774B23">
            <w:pPr>
              <w:pStyle w:val="Prrafodelista"/>
              <w:jc w:val="both"/>
              <w:rPr>
                <w:szCs w:val="20"/>
                <w:lang w:val="en-US"/>
              </w:rPr>
            </w:pPr>
            <w:r w:rsidRPr="0095252E">
              <w:rPr>
                <w:szCs w:val="20"/>
                <w:lang w:val="en-US"/>
              </w:rPr>
              <w:t>The presentation is subject to the approval of the standard that implements the new version of the PTE.</w:t>
            </w:r>
          </w:p>
          <w:p w:rsidR="00661842" w:rsidRPr="00661842" w:rsidRDefault="00774B23" w:rsidP="00661842">
            <w:pPr>
              <w:jc w:val="both"/>
              <w:rPr>
                <w:color w:val="000000" w:themeColor="text1"/>
                <w:lang w:val="en-US"/>
              </w:rPr>
            </w:pPr>
            <w:r w:rsidRPr="0095252E">
              <w:rPr>
                <w:szCs w:val="20"/>
                <w:lang w:val="en-US"/>
              </w:rPr>
              <w:t>The fulfillment of the commitment has been rescheduled for December 2016.</w:t>
            </w:r>
          </w:p>
        </w:tc>
      </w:tr>
      <w:tr w:rsidR="00661842" w:rsidRPr="00661842" w:rsidTr="003118C0">
        <w:tc>
          <w:tcPr>
            <w:tcW w:w="2518" w:type="dxa"/>
            <w:shd w:val="clear" w:color="auto" w:fill="C6D9F1" w:themeFill="text2" w:themeFillTint="33"/>
            <w:vAlign w:val="center"/>
          </w:tcPr>
          <w:p w:rsidR="00661842" w:rsidRPr="00661842" w:rsidRDefault="006C1ECD" w:rsidP="00661842">
            <w:pPr>
              <w:rPr>
                <w:b/>
                <w:color w:val="000000" w:themeColor="text1"/>
                <w:lang w:val="en-US"/>
              </w:rPr>
            </w:pPr>
            <w:r w:rsidRPr="0095252E">
              <w:rPr>
                <w:rFonts w:cs="Gotham-Book"/>
                <w:b/>
                <w:color w:val="000000" w:themeColor="text1"/>
                <w:lang w:val="en-US"/>
              </w:rPr>
              <w:t>Conclusion</w:t>
            </w:r>
          </w:p>
        </w:tc>
        <w:tc>
          <w:tcPr>
            <w:tcW w:w="6521" w:type="dxa"/>
            <w:gridSpan w:val="4"/>
          </w:tcPr>
          <w:p w:rsidR="00661842" w:rsidRPr="00661842" w:rsidRDefault="00661842" w:rsidP="00774B23">
            <w:pPr>
              <w:jc w:val="both"/>
              <w:rPr>
                <w:color w:val="000000" w:themeColor="text1"/>
                <w:lang w:val="en-US"/>
              </w:rPr>
            </w:pPr>
            <w:r w:rsidRPr="00661842">
              <w:rPr>
                <w:color w:val="000000" w:themeColor="text1"/>
                <w:lang w:val="en-US"/>
              </w:rPr>
              <w:t>D</w:t>
            </w:r>
            <w:r w:rsidR="00774B23" w:rsidRPr="0095252E">
              <w:rPr>
                <w:color w:val="000000" w:themeColor="text1"/>
                <w:lang w:val="en-US"/>
              </w:rPr>
              <w:t xml:space="preserve">ecember </w:t>
            </w:r>
            <w:r w:rsidRPr="00661842">
              <w:rPr>
                <w:color w:val="000000" w:themeColor="text1"/>
                <w:lang w:val="en-US"/>
              </w:rPr>
              <w:t>2016</w:t>
            </w:r>
          </w:p>
        </w:tc>
      </w:tr>
      <w:tr w:rsidR="00661842" w:rsidRPr="00003DBC" w:rsidTr="003118C0">
        <w:tc>
          <w:tcPr>
            <w:tcW w:w="2518" w:type="dxa"/>
            <w:shd w:val="clear" w:color="auto" w:fill="C6D9F1" w:themeFill="text2" w:themeFillTint="33"/>
            <w:vAlign w:val="center"/>
          </w:tcPr>
          <w:p w:rsidR="00661842" w:rsidRPr="00661842" w:rsidRDefault="001A2EE9" w:rsidP="00661842">
            <w:pPr>
              <w:rPr>
                <w:b/>
                <w:color w:val="000000" w:themeColor="text1"/>
                <w:lang w:val="en-US"/>
              </w:rPr>
            </w:pPr>
            <w:r w:rsidRPr="0095252E">
              <w:rPr>
                <w:rFonts w:cs="Gotham-Book"/>
                <w:b/>
                <w:color w:val="000000" w:themeColor="text1"/>
                <w:lang w:val="en-US"/>
              </w:rPr>
              <w:lastRenderedPageBreak/>
              <w:t>Next steps</w:t>
            </w:r>
          </w:p>
        </w:tc>
        <w:tc>
          <w:tcPr>
            <w:tcW w:w="6521" w:type="dxa"/>
            <w:gridSpan w:val="4"/>
          </w:tcPr>
          <w:p w:rsidR="00661842" w:rsidRPr="00661842" w:rsidRDefault="001A2EE9" w:rsidP="001A2EE9">
            <w:pPr>
              <w:jc w:val="both"/>
              <w:rPr>
                <w:color w:val="000000" w:themeColor="text1"/>
                <w:lang w:val="en-US"/>
              </w:rPr>
            </w:pPr>
            <w:r w:rsidRPr="0095252E">
              <w:rPr>
                <w:color w:val="000000" w:themeColor="text1"/>
                <w:lang w:val="en-US"/>
              </w:rPr>
              <w:t>It is expected to develop actions that contribute to establish an adequate regulation related to the infractions and sanctions in case of breach of the Law.</w:t>
            </w:r>
          </w:p>
        </w:tc>
      </w:tr>
      <w:tr w:rsidR="00661842" w:rsidRPr="00661842" w:rsidTr="003118C0">
        <w:tc>
          <w:tcPr>
            <w:tcW w:w="9039" w:type="dxa"/>
            <w:gridSpan w:val="5"/>
          </w:tcPr>
          <w:p w:rsidR="00661842" w:rsidRPr="00661842" w:rsidRDefault="001A2EE9" w:rsidP="00661842">
            <w:pPr>
              <w:jc w:val="both"/>
              <w:rPr>
                <w:color w:val="000000" w:themeColor="text1"/>
                <w:lang w:val="en-US"/>
              </w:rPr>
            </w:pPr>
            <w:r w:rsidRPr="0095252E">
              <w:rPr>
                <w:rFonts w:cs="Gotham-Book"/>
                <w:b/>
                <w:color w:val="000000" w:themeColor="text1"/>
                <w:lang w:val="en-US"/>
              </w:rPr>
              <w:t>Additional information</w:t>
            </w:r>
          </w:p>
        </w:tc>
      </w:tr>
      <w:tr w:rsidR="00661842" w:rsidRPr="00003DBC" w:rsidTr="003118C0">
        <w:tc>
          <w:tcPr>
            <w:tcW w:w="9039" w:type="dxa"/>
            <w:gridSpan w:val="5"/>
          </w:tcPr>
          <w:p w:rsidR="00661842" w:rsidRPr="00661842" w:rsidRDefault="001A2EE9" w:rsidP="004F0321">
            <w:pPr>
              <w:jc w:val="both"/>
              <w:rPr>
                <w:rFonts w:cs="Gotham-Book"/>
                <w:b/>
                <w:color w:val="000000" w:themeColor="text1"/>
                <w:lang w:val="en-US"/>
              </w:rPr>
            </w:pPr>
            <w:r w:rsidRPr="0095252E">
              <w:rPr>
                <w:szCs w:val="20"/>
                <w:lang w:val="en-US"/>
              </w:rPr>
              <w:t>The integration of information systems of governing bodies in the Standard Transparency Portal has been significant, since there is information provided by the Ministry of Economy and Finance on budgetary information of the Integrated System of Financial Administration - SIAF, as well as System of Projects of Public Investment-SNIP, or the information of Contracts whose information comes from the Electronic System of Contracts of the State-SEACE through web services, makes that the PTE that is of national scope has official information and updated daily. Soon, information will be available from the Sworn Declarations System of the Comptroller General of the Republic. It is also being given added value, as another computer tool is being integrated called the public information request registration system, which will allow the registration of requests for access to public information and the status of the traceability of their attention, allowing the generation of information The collection of the reports that must generate the entities giving an account of the orders received and not taken care of to prepare the annual report that must be sent to the Congress of the Republic, that is to say, information technology is being applied to a coming work Doing so manually, this will allow to systematize all the information and improve the process of attention of the requests.</w:t>
            </w:r>
          </w:p>
        </w:tc>
      </w:tr>
    </w:tbl>
    <w:p w:rsidR="000834F6" w:rsidRPr="0095252E" w:rsidRDefault="000834F6">
      <w:pPr>
        <w:rPr>
          <w:lang w:val="en-US"/>
        </w:rPr>
      </w:pPr>
    </w:p>
    <w:p w:rsidR="00661842" w:rsidRPr="0095252E" w:rsidRDefault="00661842">
      <w:pPr>
        <w:rPr>
          <w:lang w:val="en-US"/>
        </w:rPr>
      </w:pPr>
    </w:p>
    <w:p w:rsidR="000834F6" w:rsidRPr="0095252E" w:rsidRDefault="000834F6" w:rsidP="000834F6">
      <w:pPr>
        <w:rPr>
          <w:lang w:val="en-US"/>
        </w:rPr>
      </w:pPr>
    </w:p>
    <w:p w:rsidR="00661842" w:rsidRPr="0095252E" w:rsidRDefault="000834F6" w:rsidP="000834F6">
      <w:pPr>
        <w:rPr>
          <w:lang w:val="en-US"/>
        </w:rPr>
      </w:pPr>
      <w:r w:rsidRPr="0095252E">
        <w:rPr>
          <w:lang w:val="en-US"/>
        </w:rPr>
        <w:br w:type="column"/>
      </w:r>
    </w:p>
    <w:tbl>
      <w:tblPr>
        <w:tblStyle w:val="Tablaconcuadrcula"/>
        <w:tblW w:w="9039" w:type="dxa"/>
        <w:tblLayout w:type="fixed"/>
        <w:tblLook w:val="04A0" w:firstRow="1" w:lastRow="0" w:firstColumn="1" w:lastColumn="0" w:noHBand="0" w:noVBand="1"/>
      </w:tblPr>
      <w:tblGrid>
        <w:gridCol w:w="2109"/>
        <w:gridCol w:w="409"/>
        <w:gridCol w:w="1701"/>
        <w:gridCol w:w="1729"/>
        <w:gridCol w:w="1644"/>
        <w:gridCol w:w="1447"/>
      </w:tblGrid>
      <w:tr w:rsidR="00661842" w:rsidRPr="00003DBC" w:rsidTr="0080510B">
        <w:tc>
          <w:tcPr>
            <w:tcW w:w="9039" w:type="dxa"/>
            <w:gridSpan w:val="6"/>
            <w:shd w:val="clear" w:color="auto" w:fill="548DD4" w:themeFill="text2" w:themeFillTint="99"/>
          </w:tcPr>
          <w:p w:rsidR="00661842" w:rsidRPr="0095252E" w:rsidRDefault="00661842" w:rsidP="00ED30E7">
            <w:pPr>
              <w:ind w:left="720"/>
              <w:jc w:val="center"/>
              <w:rPr>
                <w:b/>
                <w:lang w:val="en-US"/>
              </w:rPr>
            </w:pPr>
            <w:r w:rsidRPr="0095252E">
              <w:rPr>
                <w:b/>
                <w:lang w:val="en-US"/>
              </w:rPr>
              <w:t xml:space="preserve">Component: </w:t>
            </w:r>
            <w:r w:rsidR="00ED30E7" w:rsidRPr="0095252E">
              <w:rPr>
                <w:b/>
                <w:lang w:val="en-US"/>
              </w:rPr>
              <w:t>Transparency and Access to Public Information</w:t>
            </w:r>
          </w:p>
        </w:tc>
      </w:tr>
      <w:tr w:rsidR="00661842" w:rsidRPr="00003DBC" w:rsidTr="0080510B">
        <w:tc>
          <w:tcPr>
            <w:tcW w:w="9039" w:type="dxa"/>
            <w:gridSpan w:val="6"/>
            <w:shd w:val="clear" w:color="auto" w:fill="548DD4" w:themeFill="text2" w:themeFillTint="99"/>
          </w:tcPr>
          <w:p w:rsidR="00661842" w:rsidRPr="0095252E" w:rsidRDefault="00661842" w:rsidP="00ED30E7">
            <w:pPr>
              <w:ind w:left="720"/>
              <w:jc w:val="center"/>
              <w:rPr>
                <w:b/>
                <w:lang w:val="en-US"/>
              </w:rPr>
            </w:pPr>
            <w:r w:rsidRPr="0095252E">
              <w:rPr>
                <w:b/>
                <w:u w:val="single"/>
                <w:lang w:val="en-US"/>
              </w:rPr>
              <w:t>Co</w:t>
            </w:r>
            <w:r w:rsidR="00ED30E7" w:rsidRPr="0095252E">
              <w:rPr>
                <w:b/>
                <w:u w:val="single"/>
                <w:lang w:val="en-US"/>
              </w:rPr>
              <w:t>mmitment</w:t>
            </w:r>
            <w:r w:rsidRPr="0095252E">
              <w:rPr>
                <w:b/>
                <w:u w:val="single"/>
                <w:lang w:val="en-US"/>
              </w:rPr>
              <w:t xml:space="preserve"> 3</w:t>
            </w:r>
            <w:r w:rsidRPr="0095252E">
              <w:rPr>
                <w:b/>
                <w:lang w:val="en-US"/>
              </w:rPr>
              <w:t xml:space="preserve">. </w:t>
            </w:r>
            <w:r w:rsidR="00ED30E7" w:rsidRPr="0095252E">
              <w:rPr>
                <w:b/>
                <w:lang w:val="en-US"/>
              </w:rPr>
              <w:t>Improving knowledge of public officials and civil servants in transparency and access to public information</w:t>
            </w:r>
          </w:p>
        </w:tc>
      </w:tr>
      <w:tr w:rsidR="00ED30E7" w:rsidRPr="00003DBC" w:rsidTr="0080510B">
        <w:tc>
          <w:tcPr>
            <w:tcW w:w="4219" w:type="dxa"/>
            <w:gridSpan w:val="3"/>
            <w:shd w:val="clear" w:color="auto" w:fill="C6D9F1" w:themeFill="text2" w:themeFillTint="33"/>
            <w:vAlign w:val="center"/>
          </w:tcPr>
          <w:p w:rsidR="00ED30E7" w:rsidRPr="0095252E" w:rsidRDefault="00ED30E7" w:rsidP="00ED30E7">
            <w:pPr>
              <w:autoSpaceDE w:val="0"/>
              <w:autoSpaceDN w:val="0"/>
              <w:adjustRightInd w:val="0"/>
              <w:rPr>
                <w:rFonts w:cs="Gotham-Book"/>
                <w:b/>
                <w:color w:val="000000" w:themeColor="text1"/>
                <w:lang w:val="en-US"/>
              </w:rPr>
            </w:pPr>
            <w:r w:rsidRPr="0095252E">
              <w:rPr>
                <w:rFonts w:cs="Gotham-Book"/>
                <w:b/>
                <w:color w:val="000000" w:themeColor="text1"/>
                <w:lang w:val="en-US"/>
              </w:rPr>
              <w:t>Secretariat/Ministry</w:t>
            </w:r>
          </w:p>
          <w:p w:rsidR="00ED30E7" w:rsidRPr="0095252E" w:rsidRDefault="00ED30E7" w:rsidP="00ED30E7">
            <w:pPr>
              <w:rPr>
                <w:b/>
                <w:color w:val="000000" w:themeColor="text1"/>
                <w:lang w:val="en-US"/>
              </w:rPr>
            </w:pPr>
            <w:r w:rsidRPr="0095252E">
              <w:rPr>
                <w:rFonts w:cs="Gotham-Book"/>
                <w:b/>
                <w:color w:val="000000" w:themeColor="text1"/>
                <w:lang w:val="en-US"/>
              </w:rPr>
              <w:t>In charge</w:t>
            </w:r>
          </w:p>
        </w:tc>
        <w:tc>
          <w:tcPr>
            <w:tcW w:w="4820" w:type="dxa"/>
            <w:gridSpan w:val="3"/>
          </w:tcPr>
          <w:p w:rsidR="00ED30E7" w:rsidRPr="0095252E" w:rsidRDefault="005D75C7" w:rsidP="00ED30E7">
            <w:pPr>
              <w:jc w:val="both"/>
              <w:rPr>
                <w:color w:val="000000" w:themeColor="text1"/>
                <w:lang w:val="en-US"/>
              </w:rPr>
            </w:pPr>
            <w:r w:rsidRPr="0095252E">
              <w:rPr>
                <w:color w:val="000000" w:themeColor="text1"/>
                <w:lang w:val="en-US"/>
              </w:rPr>
              <w:t>Presidency of the Cabinet</w:t>
            </w:r>
            <w:r w:rsidR="00ED30E7" w:rsidRPr="0095252E">
              <w:rPr>
                <w:color w:val="000000" w:themeColor="text1"/>
                <w:lang w:val="en-US"/>
              </w:rPr>
              <w:t xml:space="preserve">, </w:t>
            </w:r>
            <w:r w:rsidRPr="0095252E">
              <w:rPr>
                <w:color w:val="000000" w:themeColor="text1"/>
                <w:lang w:val="en-US"/>
              </w:rPr>
              <w:t>through the Secretariat of Public Management</w:t>
            </w:r>
          </w:p>
        </w:tc>
      </w:tr>
      <w:tr w:rsidR="00ED30E7" w:rsidRPr="0095252E" w:rsidTr="0080510B">
        <w:tc>
          <w:tcPr>
            <w:tcW w:w="4219" w:type="dxa"/>
            <w:gridSpan w:val="3"/>
            <w:shd w:val="clear" w:color="auto" w:fill="C6D9F1" w:themeFill="text2" w:themeFillTint="33"/>
            <w:vAlign w:val="center"/>
          </w:tcPr>
          <w:p w:rsidR="00ED30E7" w:rsidRPr="0095252E" w:rsidRDefault="00ED30E7" w:rsidP="00ED30E7">
            <w:pPr>
              <w:autoSpaceDE w:val="0"/>
              <w:autoSpaceDN w:val="0"/>
              <w:adjustRightInd w:val="0"/>
              <w:rPr>
                <w:rFonts w:cs="Gotham-Book"/>
                <w:b/>
                <w:color w:val="000000" w:themeColor="text1"/>
                <w:lang w:val="en-US"/>
              </w:rPr>
            </w:pPr>
            <w:r w:rsidRPr="0095252E">
              <w:rPr>
                <w:rFonts w:cs="Gotham-Book"/>
                <w:b/>
                <w:color w:val="000000" w:themeColor="text1"/>
                <w:lang w:val="en-US"/>
              </w:rPr>
              <w:t>Name of the person in charge</w:t>
            </w:r>
          </w:p>
        </w:tc>
        <w:tc>
          <w:tcPr>
            <w:tcW w:w="4820" w:type="dxa"/>
            <w:gridSpan w:val="3"/>
          </w:tcPr>
          <w:p w:rsidR="00ED30E7" w:rsidRPr="0095252E" w:rsidRDefault="00ED30E7" w:rsidP="00ED30E7">
            <w:pPr>
              <w:jc w:val="both"/>
              <w:rPr>
                <w:color w:val="000000" w:themeColor="text1"/>
                <w:lang w:val="en-US"/>
              </w:rPr>
            </w:pPr>
            <w:r w:rsidRPr="0095252E">
              <w:rPr>
                <w:color w:val="000000" w:themeColor="text1"/>
                <w:lang w:val="en-US"/>
              </w:rPr>
              <w:t>Fernando Zavala Lombardi</w:t>
            </w:r>
          </w:p>
        </w:tc>
      </w:tr>
      <w:tr w:rsidR="00ED30E7" w:rsidRPr="0095252E" w:rsidTr="0080510B">
        <w:tc>
          <w:tcPr>
            <w:tcW w:w="4219" w:type="dxa"/>
            <w:gridSpan w:val="3"/>
            <w:shd w:val="clear" w:color="auto" w:fill="C6D9F1" w:themeFill="text2" w:themeFillTint="33"/>
            <w:vAlign w:val="center"/>
          </w:tcPr>
          <w:p w:rsidR="00ED30E7" w:rsidRPr="0095252E" w:rsidRDefault="00ED30E7" w:rsidP="00ED30E7">
            <w:pPr>
              <w:rPr>
                <w:b/>
                <w:color w:val="000000" w:themeColor="text1"/>
                <w:lang w:val="en-US"/>
              </w:rPr>
            </w:pPr>
            <w:r w:rsidRPr="0095252E">
              <w:rPr>
                <w:rFonts w:cs="Gotham-Book"/>
                <w:b/>
                <w:color w:val="000000" w:themeColor="text1"/>
                <w:lang w:val="en-US"/>
              </w:rPr>
              <w:t>Position</w:t>
            </w:r>
          </w:p>
        </w:tc>
        <w:tc>
          <w:tcPr>
            <w:tcW w:w="4820" w:type="dxa"/>
            <w:gridSpan w:val="3"/>
          </w:tcPr>
          <w:p w:rsidR="00ED30E7" w:rsidRPr="0095252E" w:rsidRDefault="005D75C7" w:rsidP="00ED30E7">
            <w:pPr>
              <w:jc w:val="both"/>
              <w:rPr>
                <w:color w:val="000000" w:themeColor="text1"/>
                <w:lang w:val="en-US"/>
              </w:rPr>
            </w:pPr>
            <w:r w:rsidRPr="0095252E">
              <w:rPr>
                <w:color w:val="000000" w:themeColor="text1"/>
                <w:lang w:val="en-US"/>
              </w:rPr>
              <w:t>President of the Cabinet</w:t>
            </w:r>
          </w:p>
        </w:tc>
      </w:tr>
      <w:tr w:rsidR="00ED30E7" w:rsidRPr="0095252E" w:rsidTr="0080510B">
        <w:tc>
          <w:tcPr>
            <w:tcW w:w="4219" w:type="dxa"/>
            <w:gridSpan w:val="3"/>
            <w:shd w:val="clear" w:color="auto" w:fill="C6D9F1" w:themeFill="text2" w:themeFillTint="33"/>
            <w:vAlign w:val="center"/>
          </w:tcPr>
          <w:p w:rsidR="00ED30E7" w:rsidRPr="0095252E" w:rsidRDefault="00ED30E7" w:rsidP="00ED30E7">
            <w:pPr>
              <w:autoSpaceDE w:val="0"/>
              <w:autoSpaceDN w:val="0"/>
              <w:adjustRightInd w:val="0"/>
              <w:rPr>
                <w:rFonts w:cs="Gotham-Book"/>
                <w:b/>
                <w:color w:val="000000" w:themeColor="text1"/>
                <w:lang w:val="en-US"/>
              </w:rPr>
            </w:pPr>
            <w:r w:rsidRPr="0095252E">
              <w:rPr>
                <w:rFonts w:cs="Gotham-Book"/>
                <w:b/>
                <w:color w:val="000000" w:themeColor="text1"/>
                <w:lang w:val="en-US"/>
              </w:rPr>
              <w:t>E-mail</w:t>
            </w:r>
          </w:p>
        </w:tc>
        <w:tc>
          <w:tcPr>
            <w:tcW w:w="4820" w:type="dxa"/>
            <w:gridSpan w:val="3"/>
          </w:tcPr>
          <w:p w:rsidR="00ED30E7" w:rsidRPr="0095252E" w:rsidRDefault="002C33FD" w:rsidP="00ED30E7">
            <w:pPr>
              <w:jc w:val="both"/>
              <w:rPr>
                <w:rFonts w:cs="Arial"/>
                <w:color w:val="0000FF"/>
                <w:u w:val="single"/>
                <w:lang w:val="en-US"/>
              </w:rPr>
            </w:pPr>
            <w:hyperlink r:id="rId18" w:history="1">
              <w:r w:rsidR="00ED30E7" w:rsidRPr="0095252E">
                <w:rPr>
                  <w:rStyle w:val="Hipervnculo"/>
                  <w:rFonts w:cs="Arial"/>
                  <w:lang w:val="en-US"/>
                </w:rPr>
                <w:t>fzavala@pcm.gob.pe</w:t>
              </w:r>
            </w:hyperlink>
          </w:p>
        </w:tc>
      </w:tr>
      <w:tr w:rsidR="00ED30E7" w:rsidRPr="0095252E" w:rsidTr="0080510B">
        <w:tc>
          <w:tcPr>
            <w:tcW w:w="4219" w:type="dxa"/>
            <w:gridSpan w:val="3"/>
            <w:shd w:val="clear" w:color="auto" w:fill="C6D9F1" w:themeFill="text2" w:themeFillTint="33"/>
            <w:vAlign w:val="center"/>
          </w:tcPr>
          <w:p w:rsidR="00ED30E7" w:rsidRPr="0095252E" w:rsidRDefault="00ED30E7" w:rsidP="00ED30E7">
            <w:pPr>
              <w:rPr>
                <w:b/>
                <w:color w:val="000000" w:themeColor="text1"/>
                <w:lang w:val="en-US"/>
              </w:rPr>
            </w:pPr>
            <w:r w:rsidRPr="0095252E">
              <w:rPr>
                <w:rFonts w:cs="Gotham-Book"/>
                <w:b/>
                <w:color w:val="000000" w:themeColor="text1"/>
                <w:lang w:val="en-US"/>
              </w:rPr>
              <w:t>Telephone</w:t>
            </w:r>
          </w:p>
        </w:tc>
        <w:tc>
          <w:tcPr>
            <w:tcW w:w="4820" w:type="dxa"/>
            <w:gridSpan w:val="3"/>
          </w:tcPr>
          <w:p w:rsidR="00ED30E7" w:rsidRPr="0095252E" w:rsidRDefault="00ED30E7" w:rsidP="00ED30E7">
            <w:pPr>
              <w:jc w:val="both"/>
              <w:rPr>
                <w:color w:val="000000" w:themeColor="text1"/>
                <w:lang w:val="en-US"/>
              </w:rPr>
            </w:pPr>
            <w:r w:rsidRPr="0095252E">
              <w:rPr>
                <w:color w:val="000000" w:themeColor="text1"/>
                <w:lang w:val="en-US"/>
              </w:rPr>
              <w:t>51-1-2197000</w:t>
            </w:r>
          </w:p>
        </w:tc>
      </w:tr>
      <w:tr w:rsidR="00ED30E7" w:rsidRPr="0095252E" w:rsidTr="0080510B">
        <w:tc>
          <w:tcPr>
            <w:tcW w:w="2109" w:type="dxa"/>
            <w:vMerge w:val="restart"/>
            <w:shd w:val="clear" w:color="auto" w:fill="C6D9F1" w:themeFill="text2" w:themeFillTint="33"/>
            <w:vAlign w:val="center"/>
          </w:tcPr>
          <w:p w:rsidR="00ED30E7" w:rsidRPr="0095252E" w:rsidRDefault="00596BF3" w:rsidP="00ED30E7">
            <w:pPr>
              <w:rPr>
                <w:rFonts w:cs="Gotham-Book"/>
                <w:b/>
                <w:color w:val="000000" w:themeColor="text1"/>
                <w:lang w:val="en-US"/>
              </w:rPr>
            </w:pPr>
            <w:r>
              <w:rPr>
                <w:rFonts w:cs="Gotham-Book"/>
                <w:b/>
                <w:color w:val="000000" w:themeColor="text1"/>
                <w:lang w:val="en-US"/>
              </w:rPr>
              <w:t>Other parties involved</w:t>
            </w:r>
          </w:p>
        </w:tc>
        <w:tc>
          <w:tcPr>
            <w:tcW w:w="2110" w:type="dxa"/>
            <w:gridSpan w:val="2"/>
            <w:shd w:val="clear" w:color="auto" w:fill="C6D9F1" w:themeFill="text2" w:themeFillTint="33"/>
            <w:vAlign w:val="center"/>
          </w:tcPr>
          <w:p w:rsidR="00ED30E7" w:rsidRPr="0095252E" w:rsidRDefault="00ED30E7" w:rsidP="00ED30E7">
            <w:pPr>
              <w:rPr>
                <w:rFonts w:cs="Gotham-Book"/>
                <w:b/>
                <w:color w:val="000000" w:themeColor="text1"/>
                <w:lang w:val="en-US"/>
              </w:rPr>
            </w:pPr>
            <w:r w:rsidRPr="0095252E">
              <w:rPr>
                <w:rFonts w:cs="Gotham-Book"/>
                <w:b/>
                <w:color w:val="000000" w:themeColor="text1"/>
                <w:lang w:val="en-US"/>
              </w:rPr>
              <w:t>Government</w:t>
            </w:r>
          </w:p>
        </w:tc>
        <w:tc>
          <w:tcPr>
            <w:tcW w:w="4820" w:type="dxa"/>
            <w:gridSpan w:val="3"/>
          </w:tcPr>
          <w:p w:rsidR="00ED30E7" w:rsidRPr="0095252E" w:rsidRDefault="00ED30E7" w:rsidP="005D75C7">
            <w:pPr>
              <w:jc w:val="both"/>
              <w:rPr>
                <w:color w:val="000000" w:themeColor="text1"/>
                <w:lang w:val="en-US"/>
              </w:rPr>
            </w:pPr>
            <w:r w:rsidRPr="0095252E">
              <w:rPr>
                <w:color w:val="000000" w:themeColor="text1"/>
                <w:lang w:val="en-US"/>
              </w:rPr>
              <w:t>N</w:t>
            </w:r>
            <w:r w:rsidR="005D75C7" w:rsidRPr="0095252E">
              <w:rPr>
                <w:color w:val="000000" w:themeColor="text1"/>
                <w:lang w:val="en-US"/>
              </w:rPr>
              <w:t>ot applicable</w:t>
            </w:r>
          </w:p>
        </w:tc>
      </w:tr>
      <w:tr w:rsidR="00ED30E7" w:rsidRPr="00003DBC" w:rsidTr="0080510B">
        <w:tc>
          <w:tcPr>
            <w:tcW w:w="2109" w:type="dxa"/>
            <w:vMerge/>
            <w:shd w:val="clear" w:color="auto" w:fill="C6D9F1" w:themeFill="text2" w:themeFillTint="33"/>
            <w:vAlign w:val="center"/>
          </w:tcPr>
          <w:p w:rsidR="00ED30E7" w:rsidRPr="0095252E" w:rsidRDefault="00ED30E7" w:rsidP="00ED30E7">
            <w:pPr>
              <w:rPr>
                <w:rFonts w:cs="Gotham-Book"/>
                <w:b/>
                <w:color w:val="000000" w:themeColor="text1"/>
                <w:lang w:val="en-US"/>
              </w:rPr>
            </w:pPr>
          </w:p>
        </w:tc>
        <w:tc>
          <w:tcPr>
            <w:tcW w:w="2110" w:type="dxa"/>
            <w:gridSpan w:val="2"/>
            <w:shd w:val="clear" w:color="auto" w:fill="C6D9F1" w:themeFill="text2" w:themeFillTint="33"/>
            <w:vAlign w:val="center"/>
          </w:tcPr>
          <w:p w:rsidR="00ED30E7" w:rsidRPr="0095252E" w:rsidRDefault="00ED30E7" w:rsidP="00ED30E7">
            <w:pPr>
              <w:rPr>
                <w:rFonts w:cs="Gotham-Book"/>
                <w:b/>
                <w:color w:val="000000" w:themeColor="text1"/>
                <w:lang w:val="en-US"/>
              </w:rPr>
            </w:pPr>
            <w:r w:rsidRPr="0095252E">
              <w:rPr>
                <w:rFonts w:cs="Gotham-Book"/>
                <w:b/>
                <w:color w:val="000000" w:themeColor="text1"/>
                <w:lang w:val="en-US"/>
              </w:rPr>
              <w:t>Civil society, private initiative, multilateral or work groups</w:t>
            </w:r>
          </w:p>
        </w:tc>
        <w:tc>
          <w:tcPr>
            <w:tcW w:w="4820" w:type="dxa"/>
            <w:gridSpan w:val="3"/>
          </w:tcPr>
          <w:p w:rsidR="00ED30E7" w:rsidRPr="0095252E" w:rsidRDefault="00ED30E7" w:rsidP="00ED30E7">
            <w:pPr>
              <w:jc w:val="both"/>
              <w:rPr>
                <w:color w:val="000000" w:themeColor="text1"/>
                <w:lang w:val="en-US"/>
              </w:rPr>
            </w:pPr>
          </w:p>
        </w:tc>
      </w:tr>
      <w:tr w:rsidR="00661842" w:rsidRPr="00003DBC" w:rsidTr="0080510B">
        <w:tc>
          <w:tcPr>
            <w:tcW w:w="4219" w:type="dxa"/>
            <w:gridSpan w:val="3"/>
            <w:shd w:val="clear" w:color="auto" w:fill="C6D9F1" w:themeFill="text2" w:themeFillTint="33"/>
            <w:vAlign w:val="center"/>
          </w:tcPr>
          <w:p w:rsidR="00661842" w:rsidRPr="0095252E" w:rsidRDefault="00ED30E7" w:rsidP="003118C0">
            <w:pPr>
              <w:rPr>
                <w:rFonts w:cs="Gotham-Book"/>
                <w:b/>
                <w:color w:val="000000" w:themeColor="text1"/>
                <w:lang w:val="en-US"/>
              </w:rPr>
            </w:pPr>
            <w:r w:rsidRPr="0095252E">
              <w:rPr>
                <w:rFonts w:cs="Gotham-Book"/>
                <w:b/>
                <w:color w:val="000000" w:themeColor="text1"/>
                <w:lang w:val="en-US"/>
              </w:rPr>
              <w:t>Status quo or problem /</w:t>
            </w:r>
            <w:r w:rsidRPr="0095252E">
              <w:rPr>
                <w:rFonts w:cs="Gotham-Book"/>
                <w:b/>
                <w:color w:val="000000" w:themeColor="text1"/>
                <w:lang w:val="en-US"/>
              </w:rPr>
              <w:br/>
              <w:t>challenge to be attended</w:t>
            </w:r>
          </w:p>
        </w:tc>
        <w:tc>
          <w:tcPr>
            <w:tcW w:w="4820" w:type="dxa"/>
            <w:gridSpan w:val="3"/>
          </w:tcPr>
          <w:p w:rsidR="00661842" w:rsidRPr="0095252E" w:rsidRDefault="00661842" w:rsidP="003118C0">
            <w:pPr>
              <w:jc w:val="both"/>
              <w:rPr>
                <w:color w:val="000000" w:themeColor="text1"/>
                <w:lang w:val="en-US"/>
              </w:rPr>
            </w:pPr>
            <w:r w:rsidRPr="0095252E">
              <w:rPr>
                <w:color w:val="000000" w:themeColor="text1"/>
                <w:lang w:val="en-US"/>
              </w:rPr>
              <w:t>Difficulties have been identified in the access to information or lack of updating of the transparency portals.</w:t>
            </w:r>
          </w:p>
        </w:tc>
      </w:tr>
      <w:tr w:rsidR="00661842" w:rsidRPr="00003DBC" w:rsidTr="0080510B">
        <w:tc>
          <w:tcPr>
            <w:tcW w:w="4219" w:type="dxa"/>
            <w:gridSpan w:val="3"/>
            <w:shd w:val="clear" w:color="auto" w:fill="C6D9F1" w:themeFill="text2" w:themeFillTint="33"/>
            <w:vAlign w:val="center"/>
          </w:tcPr>
          <w:p w:rsidR="00661842" w:rsidRPr="0095252E" w:rsidRDefault="00ED30E7" w:rsidP="00ED30E7">
            <w:pPr>
              <w:rPr>
                <w:b/>
                <w:color w:val="000000" w:themeColor="text1"/>
                <w:lang w:val="en-US"/>
              </w:rPr>
            </w:pPr>
            <w:r w:rsidRPr="0095252E">
              <w:rPr>
                <w:rFonts w:cs="Gotham-Book"/>
                <w:b/>
                <w:color w:val="000000" w:themeColor="text1"/>
                <w:lang w:val="en-US"/>
              </w:rPr>
              <w:t>Main objective</w:t>
            </w:r>
          </w:p>
        </w:tc>
        <w:tc>
          <w:tcPr>
            <w:tcW w:w="4820" w:type="dxa"/>
            <w:gridSpan w:val="3"/>
          </w:tcPr>
          <w:p w:rsidR="00661842" w:rsidRPr="0095252E" w:rsidRDefault="00661842" w:rsidP="003118C0">
            <w:pPr>
              <w:jc w:val="both"/>
              <w:rPr>
                <w:bCs/>
                <w:lang w:val="en-US"/>
              </w:rPr>
            </w:pPr>
            <w:r w:rsidRPr="0095252E">
              <w:rPr>
                <w:bCs/>
                <w:lang w:val="en-US"/>
              </w:rPr>
              <w:t>Strengthening the capacities of the officials responsible for responding to requests for information and those responsible for the PTE on the scope of the regulations on TAIP, to promote a better exercise of their functions, generating public value for citizens.</w:t>
            </w:r>
          </w:p>
        </w:tc>
      </w:tr>
      <w:tr w:rsidR="00661842" w:rsidRPr="00003DBC" w:rsidTr="0080510B">
        <w:tc>
          <w:tcPr>
            <w:tcW w:w="4219" w:type="dxa"/>
            <w:gridSpan w:val="3"/>
            <w:shd w:val="clear" w:color="auto" w:fill="C6D9F1" w:themeFill="text2" w:themeFillTint="33"/>
            <w:vAlign w:val="center"/>
          </w:tcPr>
          <w:p w:rsidR="00661842" w:rsidRPr="0095252E" w:rsidRDefault="00ED30E7" w:rsidP="00ED30E7">
            <w:pPr>
              <w:autoSpaceDE w:val="0"/>
              <w:autoSpaceDN w:val="0"/>
              <w:adjustRightInd w:val="0"/>
              <w:rPr>
                <w:rFonts w:cs="Gotham-Book"/>
                <w:b/>
                <w:color w:val="000000" w:themeColor="text1"/>
                <w:lang w:val="en-US"/>
              </w:rPr>
            </w:pPr>
            <w:r w:rsidRPr="0095252E">
              <w:rPr>
                <w:rFonts w:cs="Gotham-Book"/>
                <w:b/>
                <w:color w:val="000000" w:themeColor="text1"/>
                <w:lang w:val="en-US"/>
              </w:rPr>
              <w:t>Brief Description of the Commitment</w:t>
            </w:r>
          </w:p>
        </w:tc>
        <w:tc>
          <w:tcPr>
            <w:tcW w:w="4820" w:type="dxa"/>
            <w:gridSpan w:val="3"/>
          </w:tcPr>
          <w:p w:rsidR="00661842" w:rsidRPr="0095252E" w:rsidRDefault="00661842" w:rsidP="00661842">
            <w:pPr>
              <w:jc w:val="both"/>
              <w:rPr>
                <w:color w:val="FF0000"/>
                <w:szCs w:val="20"/>
                <w:lang w:val="en-US"/>
              </w:rPr>
            </w:pPr>
            <w:r w:rsidRPr="0095252E">
              <w:rPr>
                <w:szCs w:val="20"/>
                <w:lang w:val="en-US"/>
              </w:rPr>
              <w:t>Improving the knowledge and skills of civil servants and civil servants for the adequate implementation of the transparency and access to public information regulations, progressively increasing the coverage of training.</w:t>
            </w:r>
          </w:p>
        </w:tc>
      </w:tr>
      <w:tr w:rsidR="00661842" w:rsidRPr="00003DBC" w:rsidTr="0080510B">
        <w:tc>
          <w:tcPr>
            <w:tcW w:w="4219" w:type="dxa"/>
            <w:gridSpan w:val="3"/>
            <w:shd w:val="clear" w:color="auto" w:fill="C6D9F1" w:themeFill="text2" w:themeFillTint="33"/>
            <w:vAlign w:val="center"/>
          </w:tcPr>
          <w:p w:rsidR="00661842" w:rsidRPr="0095252E" w:rsidRDefault="005D75C7" w:rsidP="003118C0">
            <w:pPr>
              <w:autoSpaceDE w:val="0"/>
              <w:autoSpaceDN w:val="0"/>
              <w:adjustRightInd w:val="0"/>
              <w:rPr>
                <w:rFonts w:cs="Gotham-Book"/>
                <w:b/>
                <w:color w:val="000000" w:themeColor="text1"/>
                <w:lang w:val="en-US"/>
              </w:rPr>
            </w:pPr>
            <w:r w:rsidRPr="0095252E">
              <w:rPr>
                <w:rFonts w:cs="Gotham-Book"/>
                <w:b/>
                <w:color w:val="000000" w:themeColor="text1"/>
                <w:lang w:val="en-US"/>
              </w:rPr>
              <w:t>Relevance</w:t>
            </w:r>
          </w:p>
          <w:p w:rsidR="00661842" w:rsidRPr="0095252E" w:rsidRDefault="00661842" w:rsidP="003118C0">
            <w:pPr>
              <w:autoSpaceDE w:val="0"/>
              <w:autoSpaceDN w:val="0"/>
              <w:adjustRightInd w:val="0"/>
              <w:rPr>
                <w:b/>
                <w:color w:val="000000" w:themeColor="text1"/>
                <w:lang w:val="en-US"/>
              </w:rPr>
            </w:pPr>
          </w:p>
        </w:tc>
        <w:tc>
          <w:tcPr>
            <w:tcW w:w="4820" w:type="dxa"/>
            <w:gridSpan w:val="3"/>
          </w:tcPr>
          <w:p w:rsidR="00661842" w:rsidRPr="0095252E" w:rsidRDefault="00661842" w:rsidP="003118C0">
            <w:pPr>
              <w:jc w:val="both"/>
              <w:rPr>
                <w:color w:val="FF0000"/>
                <w:szCs w:val="20"/>
                <w:lang w:val="en-US"/>
              </w:rPr>
            </w:pPr>
            <w:r w:rsidRPr="0095252E">
              <w:rPr>
                <w:szCs w:val="20"/>
                <w:lang w:val="en-US"/>
              </w:rPr>
              <w:t>The strengthening of the capacities of public administration personnel is relevant, since it will promote greater awareness and awareness of the application of the principles of open government for a better exercise of their functions.</w:t>
            </w:r>
          </w:p>
        </w:tc>
      </w:tr>
      <w:tr w:rsidR="00661842" w:rsidRPr="00003DBC" w:rsidTr="0080510B">
        <w:tc>
          <w:tcPr>
            <w:tcW w:w="4219" w:type="dxa"/>
            <w:gridSpan w:val="3"/>
            <w:shd w:val="clear" w:color="auto" w:fill="C6D9F1" w:themeFill="text2" w:themeFillTint="33"/>
            <w:vAlign w:val="center"/>
          </w:tcPr>
          <w:p w:rsidR="00661842" w:rsidRPr="0095252E" w:rsidRDefault="005D75C7" w:rsidP="003118C0">
            <w:pPr>
              <w:autoSpaceDE w:val="0"/>
              <w:autoSpaceDN w:val="0"/>
              <w:adjustRightInd w:val="0"/>
              <w:rPr>
                <w:rFonts w:cs="Gotham-Book"/>
                <w:b/>
                <w:color w:val="000000" w:themeColor="text1"/>
                <w:lang w:val="en-US"/>
              </w:rPr>
            </w:pPr>
            <w:r w:rsidRPr="0095252E">
              <w:rPr>
                <w:rFonts w:cs="Gotham-Book"/>
                <w:b/>
                <w:color w:val="000000" w:themeColor="text1"/>
                <w:lang w:val="en-US"/>
              </w:rPr>
              <w:t>Ambition</w:t>
            </w:r>
          </w:p>
          <w:p w:rsidR="00661842" w:rsidRPr="0095252E" w:rsidRDefault="00661842" w:rsidP="003118C0">
            <w:pPr>
              <w:autoSpaceDE w:val="0"/>
              <w:autoSpaceDN w:val="0"/>
              <w:adjustRightInd w:val="0"/>
              <w:rPr>
                <w:rFonts w:cs="Gotham-BookItalic"/>
                <w:b/>
                <w:iCs/>
                <w:color w:val="000000" w:themeColor="text1"/>
                <w:lang w:val="en-US"/>
              </w:rPr>
            </w:pPr>
          </w:p>
        </w:tc>
        <w:tc>
          <w:tcPr>
            <w:tcW w:w="4820" w:type="dxa"/>
            <w:gridSpan w:val="3"/>
          </w:tcPr>
          <w:p w:rsidR="00661842" w:rsidRPr="0095252E" w:rsidRDefault="00661842" w:rsidP="00661842">
            <w:pPr>
              <w:jc w:val="both"/>
              <w:rPr>
                <w:color w:val="FF0000"/>
                <w:szCs w:val="20"/>
                <w:lang w:val="en-US"/>
              </w:rPr>
            </w:pPr>
            <w:r w:rsidRPr="0095252E">
              <w:rPr>
                <w:szCs w:val="20"/>
                <w:lang w:val="en-US"/>
              </w:rPr>
              <w:t>It is expected to increase the knowledge of public officials and civil servants on the concepts and approach of open government and to be applied in the formulation and design of public policies, reinforcing the opening of a State towards the citizen.</w:t>
            </w:r>
          </w:p>
        </w:tc>
      </w:tr>
      <w:tr w:rsidR="00661842" w:rsidRPr="0095252E" w:rsidTr="0080510B">
        <w:tc>
          <w:tcPr>
            <w:tcW w:w="2518" w:type="dxa"/>
            <w:gridSpan w:val="2"/>
            <w:vMerge w:val="restart"/>
            <w:shd w:val="clear" w:color="auto" w:fill="C6D9F1" w:themeFill="text2" w:themeFillTint="33"/>
            <w:vAlign w:val="center"/>
          </w:tcPr>
          <w:p w:rsidR="00661842" w:rsidRPr="0095252E" w:rsidRDefault="00661842" w:rsidP="005D75C7">
            <w:pPr>
              <w:rPr>
                <w:b/>
                <w:color w:val="000000" w:themeColor="text1"/>
                <w:lang w:val="en-US"/>
              </w:rPr>
            </w:pPr>
            <w:r w:rsidRPr="0095252E">
              <w:rPr>
                <w:rFonts w:cs="Gotham-Book"/>
                <w:b/>
                <w:color w:val="000000" w:themeColor="text1"/>
                <w:lang w:val="en-US"/>
              </w:rPr>
              <w:t>C</w:t>
            </w:r>
            <w:r w:rsidR="005D75C7" w:rsidRPr="0095252E">
              <w:rPr>
                <w:rFonts w:cs="Gotham-Book"/>
                <w:b/>
                <w:color w:val="000000" w:themeColor="text1"/>
                <w:lang w:val="en-US"/>
              </w:rPr>
              <w:t>ompliance</w:t>
            </w:r>
          </w:p>
        </w:tc>
        <w:tc>
          <w:tcPr>
            <w:tcW w:w="1701" w:type="dxa"/>
            <w:shd w:val="clear" w:color="auto" w:fill="C6D9F1" w:themeFill="text2" w:themeFillTint="33"/>
          </w:tcPr>
          <w:p w:rsidR="00661842" w:rsidRPr="0095252E" w:rsidRDefault="00596BF3" w:rsidP="003118C0">
            <w:pPr>
              <w:jc w:val="center"/>
              <w:rPr>
                <w:b/>
                <w:color w:val="000000" w:themeColor="text1"/>
                <w:lang w:val="en-US"/>
              </w:rPr>
            </w:pPr>
            <w:r>
              <w:rPr>
                <w:rFonts w:cs="Gotham-Book"/>
                <w:b/>
                <w:color w:val="000000" w:themeColor="text1"/>
                <w:lang w:val="en-US"/>
              </w:rPr>
              <w:t>Uninitiated</w:t>
            </w:r>
          </w:p>
        </w:tc>
        <w:tc>
          <w:tcPr>
            <w:tcW w:w="1729" w:type="dxa"/>
            <w:shd w:val="clear" w:color="auto" w:fill="C6D9F1" w:themeFill="text2" w:themeFillTint="33"/>
          </w:tcPr>
          <w:p w:rsidR="00661842" w:rsidRPr="0095252E" w:rsidRDefault="005D75C7" w:rsidP="003118C0">
            <w:pPr>
              <w:jc w:val="center"/>
              <w:rPr>
                <w:b/>
                <w:color w:val="000000" w:themeColor="text1"/>
                <w:lang w:val="en-US"/>
              </w:rPr>
            </w:pPr>
            <w:r w:rsidRPr="0095252E">
              <w:rPr>
                <w:rFonts w:cs="Gotham-Book"/>
                <w:b/>
                <w:color w:val="000000" w:themeColor="text1"/>
                <w:lang w:val="en-US"/>
              </w:rPr>
              <w:t>Limited</w:t>
            </w:r>
          </w:p>
        </w:tc>
        <w:tc>
          <w:tcPr>
            <w:tcW w:w="1644" w:type="dxa"/>
            <w:shd w:val="clear" w:color="auto" w:fill="C6D9F1" w:themeFill="text2" w:themeFillTint="33"/>
          </w:tcPr>
          <w:p w:rsidR="00661842" w:rsidRPr="0095252E" w:rsidRDefault="005D75C7" w:rsidP="003118C0">
            <w:pPr>
              <w:jc w:val="center"/>
              <w:rPr>
                <w:b/>
                <w:color w:val="000000" w:themeColor="text1"/>
                <w:lang w:val="en-US"/>
              </w:rPr>
            </w:pPr>
            <w:r w:rsidRPr="0095252E">
              <w:rPr>
                <w:rFonts w:cs="Gotham-Book"/>
                <w:b/>
                <w:color w:val="000000" w:themeColor="text1"/>
                <w:lang w:val="en-US"/>
              </w:rPr>
              <w:t>Substantial</w:t>
            </w:r>
          </w:p>
        </w:tc>
        <w:tc>
          <w:tcPr>
            <w:tcW w:w="1447" w:type="dxa"/>
            <w:shd w:val="clear" w:color="auto" w:fill="C6D9F1" w:themeFill="text2" w:themeFillTint="33"/>
          </w:tcPr>
          <w:p w:rsidR="00661842" w:rsidRPr="0095252E" w:rsidRDefault="00661842" w:rsidP="003118C0">
            <w:pPr>
              <w:jc w:val="center"/>
              <w:rPr>
                <w:b/>
                <w:color w:val="000000" w:themeColor="text1"/>
                <w:lang w:val="en-US"/>
              </w:rPr>
            </w:pPr>
            <w:r w:rsidRPr="0095252E">
              <w:rPr>
                <w:rFonts w:cs="Gotham-Book"/>
                <w:b/>
                <w:color w:val="000000" w:themeColor="text1"/>
                <w:lang w:val="en-US"/>
              </w:rPr>
              <w:t>Complet</w:t>
            </w:r>
            <w:r w:rsidR="005D75C7" w:rsidRPr="0095252E">
              <w:rPr>
                <w:rFonts w:cs="Gotham-Book"/>
                <w:b/>
                <w:color w:val="000000" w:themeColor="text1"/>
                <w:lang w:val="en-US"/>
              </w:rPr>
              <w:t>e</w:t>
            </w:r>
          </w:p>
        </w:tc>
      </w:tr>
      <w:tr w:rsidR="00661842" w:rsidRPr="0095252E" w:rsidTr="0080510B">
        <w:tc>
          <w:tcPr>
            <w:tcW w:w="2518" w:type="dxa"/>
            <w:gridSpan w:val="2"/>
            <w:vMerge/>
            <w:shd w:val="clear" w:color="auto" w:fill="C6D9F1" w:themeFill="text2" w:themeFillTint="33"/>
            <w:vAlign w:val="center"/>
          </w:tcPr>
          <w:p w:rsidR="00661842" w:rsidRPr="0095252E" w:rsidRDefault="00661842" w:rsidP="003118C0">
            <w:pPr>
              <w:rPr>
                <w:b/>
                <w:color w:val="000000" w:themeColor="text1"/>
                <w:lang w:val="en-US"/>
              </w:rPr>
            </w:pPr>
          </w:p>
        </w:tc>
        <w:tc>
          <w:tcPr>
            <w:tcW w:w="1701" w:type="dxa"/>
          </w:tcPr>
          <w:p w:rsidR="00661842" w:rsidRPr="0095252E" w:rsidRDefault="00661842" w:rsidP="003118C0">
            <w:pPr>
              <w:jc w:val="center"/>
              <w:rPr>
                <w:b/>
                <w:color w:val="000000" w:themeColor="text1"/>
                <w:lang w:val="en-US"/>
              </w:rPr>
            </w:pPr>
          </w:p>
        </w:tc>
        <w:tc>
          <w:tcPr>
            <w:tcW w:w="1729" w:type="dxa"/>
          </w:tcPr>
          <w:p w:rsidR="00661842" w:rsidRPr="0095252E" w:rsidRDefault="00661842" w:rsidP="003118C0">
            <w:pPr>
              <w:jc w:val="center"/>
              <w:rPr>
                <w:b/>
                <w:color w:val="000000" w:themeColor="text1"/>
                <w:lang w:val="en-US"/>
              </w:rPr>
            </w:pPr>
          </w:p>
        </w:tc>
        <w:tc>
          <w:tcPr>
            <w:tcW w:w="1644" w:type="dxa"/>
          </w:tcPr>
          <w:p w:rsidR="00661842" w:rsidRPr="0095252E" w:rsidRDefault="00661842" w:rsidP="003118C0">
            <w:pPr>
              <w:jc w:val="center"/>
              <w:rPr>
                <w:b/>
                <w:color w:val="000000" w:themeColor="text1"/>
                <w:lang w:val="en-US"/>
              </w:rPr>
            </w:pPr>
            <w:r w:rsidRPr="0095252E">
              <w:rPr>
                <w:b/>
                <w:color w:val="000000" w:themeColor="text1"/>
                <w:lang w:val="en-US"/>
              </w:rPr>
              <w:t>X</w:t>
            </w:r>
          </w:p>
        </w:tc>
        <w:tc>
          <w:tcPr>
            <w:tcW w:w="1447" w:type="dxa"/>
            <w:shd w:val="clear" w:color="auto" w:fill="FFFFFF" w:themeFill="background1"/>
          </w:tcPr>
          <w:p w:rsidR="00661842" w:rsidRPr="0095252E" w:rsidRDefault="00661842" w:rsidP="003118C0">
            <w:pPr>
              <w:jc w:val="center"/>
              <w:rPr>
                <w:b/>
                <w:color w:val="000000" w:themeColor="text1"/>
                <w:lang w:val="en-US"/>
              </w:rPr>
            </w:pPr>
          </w:p>
        </w:tc>
      </w:tr>
      <w:tr w:rsidR="0080510B" w:rsidRPr="00003DBC" w:rsidTr="0080510B">
        <w:tc>
          <w:tcPr>
            <w:tcW w:w="2518" w:type="dxa"/>
            <w:gridSpan w:val="2"/>
            <w:shd w:val="clear" w:color="auto" w:fill="C6D9F1" w:themeFill="text2" w:themeFillTint="33"/>
            <w:vAlign w:val="center"/>
          </w:tcPr>
          <w:p w:rsidR="0080510B" w:rsidRPr="0095252E" w:rsidRDefault="00DA118E" w:rsidP="003118C0">
            <w:pPr>
              <w:autoSpaceDE w:val="0"/>
              <w:autoSpaceDN w:val="0"/>
              <w:adjustRightInd w:val="0"/>
              <w:rPr>
                <w:rFonts w:cs="Gotham-Book"/>
                <w:b/>
                <w:color w:val="000000" w:themeColor="text1"/>
                <w:lang w:val="en-US"/>
              </w:rPr>
            </w:pPr>
            <w:r>
              <w:rPr>
                <w:rFonts w:cs="Gotham-Book"/>
                <w:b/>
                <w:color w:val="000000" w:themeColor="text1"/>
                <w:lang w:val="en-US"/>
              </w:rPr>
              <w:t>Result description</w:t>
            </w:r>
          </w:p>
          <w:p w:rsidR="0080510B" w:rsidRPr="0095252E" w:rsidRDefault="0080510B" w:rsidP="003118C0">
            <w:pPr>
              <w:autoSpaceDE w:val="0"/>
              <w:autoSpaceDN w:val="0"/>
              <w:adjustRightInd w:val="0"/>
              <w:rPr>
                <w:rFonts w:cs="Gotham-BookItalic"/>
                <w:b/>
                <w:iCs/>
                <w:color w:val="000000" w:themeColor="text1"/>
                <w:lang w:val="en-US"/>
              </w:rPr>
            </w:pPr>
          </w:p>
        </w:tc>
        <w:tc>
          <w:tcPr>
            <w:tcW w:w="6521" w:type="dxa"/>
            <w:gridSpan w:val="4"/>
          </w:tcPr>
          <w:p w:rsidR="0080510B" w:rsidRPr="0095252E" w:rsidRDefault="0080510B" w:rsidP="003118C0">
            <w:pPr>
              <w:ind w:left="360"/>
              <w:jc w:val="both"/>
              <w:rPr>
                <w:szCs w:val="20"/>
                <w:lang w:val="en-US"/>
              </w:rPr>
            </w:pPr>
            <w:r w:rsidRPr="0095252E">
              <w:rPr>
                <w:szCs w:val="20"/>
                <w:lang w:val="en-US"/>
              </w:rPr>
              <w:t xml:space="preserve">With the support of USAID </w:t>
            </w:r>
            <w:proofErr w:type="spellStart"/>
            <w:r w:rsidRPr="0095252E">
              <w:rPr>
                <w:szCs w:val="20"/>
                <w:lang w:val="en-US"/>
              </w:rPr>
              <w:t>Prodecentralization</w:t>
            </w:r>
            <w:proofErr w:type="spellEnd"/>
            <w:r w:rsidRPr="0095252E">
              <w:rPr>
                <w:szCs w:val="20"/>
                <w:lang w:val="en-US"/>
              </w:rPr>
              <w:t xml:space="preserve">, the Capacity Strengthening Program for Open Government was developed and implemented during 2015-2016 for regional and local governments. This program provides tools to manage training in entities, under approaches and criteria of the governing body, but </w:t>
            </w:r>
            <w:r w:rsidRPr="0095252E">
              <w:rPr>
                <w:szCs w:val="20"/>
                <w:lang w:val="en-US"/>
              </w:rPr>
              <w:lastRenderedPageBreak/>
              <w:t>appropriate to their culture and territory. In this way, the program contains 01 Methodological Guide that allows the training of trainers. It also contains 04 parts:</w:t>
            </w:r>
          </w:p>
          <w:p w:rsidR="0080510B" w:rsidRPr="0095252E" w:rsidRDefault="0080510B" w:rsidP="003118C0">
            <w:pPr>
              <w:ind w:left="360"/>
              <w:jc w:val="both"/>
              <w:rPr>
                <w:szCs w:val="20"/>
                <w:lang w:val="en-US"/>
              </w:rPr>
            </w:pPr>
            <w:r w:rsidRPr="0095252E">
              <w:rPr>
                <w:szCs w:val="20"/>
                <w:lang w:val="en-US"/>
              </w:rPr>
              <w:t>Part 1- Transparency</w:t>
            </w:r>
          </w:p>
          <w:p w:rsidR="0080510B" w:rsidRPr="0095252E" w:rsidRDefault="0080510B" w:rsidP="003118C0">
            <w:pPr>
              <w:ind w:left="360"/>
              <w:jc w:val="both"/>
              <w:rPr>
                <w:szCs w:val="20"/>
                <w:lang w:val="en-US"/>
              </w:rPr>
            </w:pPr>
            <w:r w:rsidRPr="0095252E">
              <w:rPr>
                <w:szCs w:val="20"/>
                <w:lang w:val="en-US"/>
              </w:rPr>
              <w:t>Part 2. Access to Public Information</w:t>
            </w:r>
          </w:p>
          <w:p w:rsidR="0080510B" w:rsidRPr="0095252E" w:rsidRDefault="0080510B" w:rsidP="003118C0">
            <w:pPr>
              <w:ind w:left="360"/>
              <w:jc w:val="both"/>
              <w:rPr>
                <w:szCs w:val="20"/>
                <w:lang w:val="en-US"/>
              </w:rPr>
            </w:pPr>
            <w:r w:rsidRPr="0095252E">
              <w:rPr>
                <w:szCs w:val="20"/>
                <w:lang w:val="en-US"/>
              </w:rPr>
              <w:t>Part 3- Citizen Participation and Accountability</w:t>
            </w:r>
          </w:p>
          <w:p w:rsidR="0080510B" w:rsidRPr="0095252E" w:rsidRDefault="0080510B" w:rsidP="003118C0">
            <w:pPr>
              <w:ind w:left="360"/>
              <w:jc w:val="both"/>
              <w:rPr>
                <w:szCs w:val="20"/>
                <w:lang w:val="en-US"/>
              </w:rPr>
            </w:pPr>
            <w:r w:rsidRPr="0095252E">
              <w:rPr>
                <w:szCs w:val="20"/>
                <w:lang w:val="en-US"/>
              </w:rPr>
              <w:t>Part 4- Open Government</w:t>
            </w:r>
          </w:p>
          <w:p w:rsidR="0080510B" w:rsidRPr="0095252E" w:rsidRDefault="0080510B" w:rsidP="003118C0">
            <w:pPr>
              <w:ind w:left="360"/>
              <w:jc w:val="both"/>
              <w:rPr>
                <w:szCs w:val="20"/>
                <w:lang w:val="en-US"/>
              </w:rPr>
            </w:pPr>
            <w:r w:rsidRPr="0095252E">
              <w:rPr>
                <w:szCs w:val="20"/>
                <w:lang w:val="en-US"/>
              </w:rPr>
              <w:t xml:space="preserve">The material can be found in the following link: </w:t>
            </w:r>
            <w:hyperlink r:id="rId19" w:history="1">
              <w:r w:rsidRPr="0095252E">
                <w:rPr>
                  <w:rStyle w:val="Hipervnculo"/>
                  <w:szCs w:val="20"/>
                  <w:lang w:val="en-US"/>
                </w:rPr>
                <w:t>http://sgp.pcm.gob.pe/transparencia-y-acceso-a-la-informacion-publica/</w:t>
              </w:r>
            </w:hyperlink>
          </w:p>
          <w:p w:rsidR="0080510B" w:rsidRPr="0095252E" w:rsidRDefault="0080510B" w:rsidP="003118C0">
            <w:pPr>
              <w:pStyle w:val="Prrafodelista"/>
              <w:numPr>
                <w:ilvl w:val="0"/>
                <w:numId w:val="11"/>
              </w:numPr>
              <w:ind w:left="720"/>
              <w:jc w:val="both"/>
              <w:rPr>
                <w:szCs w:val="20"/>
                <w:lang w:val="en-US"/>
              </w:rPr>
            </w:pPr>
            <w:r w:rsidRPr="0095252E">
              <w:rPr>
                <w:szCs w:val="20"/>
                <w:lang w:val="en-US"/>
              </w:rPr>
              <w:t>Target audience: 1st stage, staff of the public entities responsible for attending information requests and updating the PTE.</w:t>
            </w:r>
          </w:p>
          <w:p w:rsidR="0080510B" w:rsidRPr="0095252E" w:rsidRDefault="0080510B" w:rsidP="003118C0">
            <w:pPr>
              <w:pStyle w:val="Prrafodelista"/>
              <w:jc w:val="both"/>
              <w:rPr>
                <w:szCs w:val="20"/>
                <w:lang w:val="en-US"/>
              </w:rPr>
            </w:pPr>
            <w:r w:rsidRPr="0095252E">
              <w:rPr>
                <w:szCs w:val="20"/>
                <w:lang w:val="en-US"/>
              </w:rPr>
              <w:t>Training was provided to the 19 Ministries and 54 public agencies of the Executive Power, forming training teams that carried out replicas of the Open Government workshops in their entities.</w:t>
            </w:r>
          </w:p>
          <w:p w:rsidR="0080510B" w:rsidRPr="0095252E" w:rsidRDefault="0080510B" w:rsidP="003118C0">
            <w:pPr>
              <w:pStyle w:val="Prrafodelista"/>
              <w:jc w:val="both"/>
              <w:rPr>
                <w:szCs w:val="20"/>
                <w:lang w:val="en-US"/>
              </w:rPr>
            </w:pPr>
          </w:p>
          <w:p w:rsidR="0080510B" w:rsidRPr="0095252E" w:rsidRDefault="0080510B" w:rsidP="003118C0">
            <w:pPr>
              <w:pStyle w:val="Prrafodelista"/>
              <w:numPr>
                <w:ilvl w:val="0"/>
                <w:numId w:val="11"/>
              </w:numPr>
              <w:ind w:left="346" w:hanging="142"/>
              <w:jc w:val="both"/>
              <w:rPr>
                <w:szCs w:val="20"/>
                <w:lang w:val="en-US"/>
              </w:rPr>
            </w:pPr>
            <w:r w:rsidRPr="0095252E">
              <w:rPr>
                <w:szCs w:val="20"/>
                <w:lang w:val="en-US"/>
              </w:rPr>
              <w:t>Scope: three government levels</w:t>
            </w:r>
          </w:p>
          <w:p w:rsidR="0080510B" w:rsidRPr="0095252E" w:rsidRDefault="0080510B" w:rsidP="003118C0">
            <w:pPr>
              <w:pStyle w:val="Prrafodelista"/>
              <w:ind w:left="346" w:hanging="142"/>
              <w:jc w:val="both"/>
              <w:rPr>
                <w:szCs w:val="20"/>
                <w:lang w:val="en-US"/>
              </w:rPr>
            </w:pPr>
            <w:r w:rsidRPr="0095252E">
              <w:rPr>
                <w:szCs w:val="20"/>
                <w:lang w:val="en-US"/>
              </w:rPr>
              <w:t>In addition, training was considered to:</w:t>
            </w:r>
          </w:p>
          <w:p w:rsidR="0080510B" w:rsidRPr="0095252E" w:rsidRDefault="0080510B" w:rsidP="003118C0">
            <w:pPr>
              <w:pStyle w:val="Prrafodelista"/>
              <w:ind w:left="346" w:hanging="142"/>
              <w:jc w:val="both"/>
              <w:rPr>
                <w:szCs w:val="20"/>
                <w:lang w:val="en-US"/>
              </w:rPr>
            </w:pPr>
            <w:r w:rsidRPr="0095252E">
              <w:rPr>
                <w:szCs w:val="20"/>
                <w:lang w:val="en-US"/>
              </w:rPr>
              <w:t>- 5 regional governments: Amazonas, Loreto, Madre de Dios, San Martin and Ucayali.</w:t>
            </w:r>
          </w:p>
          <w:p w:rsidR="0080510B" w:rsidRPr="0095252E" w:rsidRDefault="0080510B" w:rsidP="003118C0">
            <w:pPr>
              <w:pStyle w:val="Prrafodelista"/>
              <w:ind w:left="346" w:hanging="142"/>
              <w:jc w:val="both"/>
              <w:rPr>
                <w:szCs w:val="20"/>
                <w:lang w:val="en-US"/>
              </w:rPr>
            </w:pPr>
            <w:r w:rsidRPr="0095252E">
              <w:rPr>
                <w:szCs w:val="20"/>
                <w:lang w:val="en-US"/>
              </w:rPr>
              <w:t xml:space="preserve">- 6 local provincial governments: </w:t>
            </w:r>
            <w:proofErr w:type="spellStart"/>
            <w:r w:rsidRPr="0095252E">
              <w:rPr>
                <w:szCs w:val="20"/>
                <w:lang w:val="en-US"/>
              </w:rPr>
              <w:t>Condorcanqui</w:t>
            </w:r>
            <w:proofErr w:type="spellEnd"/>
            <w:r w:rsidRPr="0095252E">
              <w:rPr>
                <w:szCs w:val="20"/>
                <w:lang w:val="en-US"/>
              </w:rPr>
              <w:t xml:space="preserve"> and </w:t>
            </w:r>
            <w:proofErr w:type="spellStart"/>
            <w:r w:rsidRPr="0095252E">
              <w:rPr>
                <w:szCs w:val="20"/>
                <w:lang w:val="en-US"/>
              </w:rPr>
              <w:t>Chachapoyas</w:t>
            </w:r>
            <w:proofErr w:type="spellEnd"/>
            <w:r w:rsidRPr="0095252E">
              <w:rPr>
                <w:szCs w:val="20"/>
                <w:lang w:val="en-US"/>
              </w:rPr>
              <w:t xml:space="preserve"> (Amazonas), </w:t>
            </w:r>
            <w:proofErr w:type="spellStart"/>
            <w:r w:rsidRPr="0095252E">
              <w:rPr>
                <w:szCs w:val="20"/>
                <w:lang w:val="en-US"/>
              </w:rPr>
              <w:t>Maynas</w:t>
            </w:r>
            <w:proofErr w:type="spellEnd"/>
            <w:r w:rsidRPr="0095252E">
              <w:rPr>
                <w:szCs w:val="20"/>
                <w:lang w:val="en-US"/>
              </w:rPr>
              <w:t xml:space="preserve"> (Loreto), Tambopata (Madre de Dios), Lamas (San Martin) and Coronel Portillo (Ucayali)</w:t>
            </w:r>
          </w:p>
          <w:p w:rsidR="0080510B" w:rsidRPr="00E975F8" w:rsidRDefault="0080510B" w:rsidP="003118C0">
            <w:pPr>
              <w:pStyle w:val="Prrafodelista"/>
              <w:ind w:left="346" w:hanging="142"/>
              <w:jc w:val="both"/>
              <w:rPr>
                <w:szCs w:val="20"/>
                <w:lang w:val="es-PE"/>
              </w:rPr>
            </w:pPr>
            <w:r w:rsidRPr="00E975F8">
              <w:rPr>
                <w:szCs w:val="20"/>
                <w:lang w:val="es-PE"/>
              </w:rPr>
              <w:t xml:space="preserve">- 16 local </w:t>
            </w:r>
            <w:proofErr w:type="spellStart"/>
            <w:r w:rsidRPr="00E975F8">
              <w:rPr>
                <w:szCs w:val="20"/>
                <w:lang w:val="es-PE"/>
              </w:rPr>
              <w:t>district</w:t>
            </w:r>
            <w:proofErr w:type="spellEnd"/>
            <w:r w:rsidRPr="00E975F8">
              <w:rPr>
                <w:szCs w:val="20"/>
                <w:lang w:val="es-PE"/>
              </w:rPr>
              <w:t xml:space="preserve"> </w:t>
            </w:r>
            <w:proofErr w:type="spellStart"/>
            <w:r w:rsidRPr="00E975F8">
              <w:rPr>
                <w:szCs w:val="20"/>
                <w:lang w:val="es-PE"/>
              </w:rPr>
              <w:t>governments</w:t>
            </w:r>
            <w:proofErr w:type="spellEnd"/>
            <w:r w:rsidRPr="00E975F8">
              <w:rPr>
                <w:szCs w:val="20"/>
                <w:lang w:val="es-PE"/>
              </w:rPr>
              <w:t xml:space="preserve">: Rio Santiago (Amazonas), Barranquita, </w:t>
            </w:r>
            <w:proofErr w:type="spellStart"/>
            <w:r w:rsidRPr="00E975F8">
              <w:rPr>
                <w:szCs w:val="20"/>
                <w:lang w:val="es-PE"/>
              </w:rPr>
              <w:t>Cuñumbuqui</w:t>
            </w:r>
            <w:proofErr w:type="spellEnd"/>
            <w:r w:rsidRPr="00E975F8">
              <w:rPr>
                <w:szCs w:val="20"/>
                <w:lang w:val="es-PE"/>
              </w:rPr>
              <w:t xml:space="preserve">, Zapatero and </w:t>
            </w:r>
            <w:proofErr w:type="spellStart"/>
            <w:r w:rsidRPr="00E975F8">
              <w:rPr>
                <w:szCs w:val="20"/>
                <w:lang w:val="es-PE"/>
              </w:rPr>
              <w:t>Tabalosos</w:t>
            </w:r>
            <w:proofErr w:type="spellEnd"/>
            <w:r w:rsidRPr="00E975F8">
              <w:rPr>
                <w:szCs w:val="20"/>
                <w:lang w:val="es-PE"/>
              </w:rPr>
              <w:t xml:space="preserve"> (San Martin), </w:t>
            </w:r>
            <w:proofErr w:type="spellStart"/>
            <w:r w:rsidRPr="00E975F8">
              <w:rPr>
                <w:szCs w:val="20"/>
                <w:lang w:val="es-PE"/>
              </w:rPr>
              <w:t>Belen</w:t>
            </w:r>
            <w:proofErr w:type="spellEnd"/>
            <w:r w:rsidRPr="00E975F8">
              <w:rPr>
                <w:szCs w:val="20"/>
                <w:lang w:val="es-PE"/>
              </w:rPr>
              <w:t xml:space="preserve">, San Juan Bautista, </w:t>
            </w:r>
            <w:proofErr w:type="spellStart"/>
            <w:r w:rsidRPr="00E975F8">
              <w:rPr>
                <w:szCs w:val="20"/>
                <w:lang w:val="es-PE"/>
              </w:rPr>
              <w:t>Punchana</w:t>
            </w:r>
            <w:proofErr w:type="spellEnd"/>
            <w:r w:rsidRPr="00E975F8">
              <w:rPr>
                <w:szCs w:val="20"/>
                <w:lang w:val="es-PE"/>
              </w:rPr>
              <w:t xml:space="preserve">, Mazan, Indiana, </w:t>
            </w:r>
            <w:proofErr w:type="spellStart"/>
            <w:r w:rsidRPr="00E975F8">
              <w:rPr>
                <w:szCs w:val="20"/>
                <w:lang w:val="es-PE"/>
              </w:rPr>
              <w:t>Tnte</w:t>
            </w:r>
            <w:proofErr w:type="spellEnd"/>
            <w:r w:rsidRPr="00E975F8">
              <w:rPr>
                <w:szCs w:val="20"/>
                <w:lang w:val="es-PE"/>
              </w:rPr>
              <w:t xml:space="preserve">. Manual Clavero - Putumayo </w:t>
            </w:r>
            <w:proofErr w:type="spellStart"/>
            <w:r w:rsidRPr="00E975F8">
              <w:rPr>
                <w:szCs w:val="20"/>
                <w:lang w:val="es-PE"/>
              </w:rPr>
              <w:t>River</w:t>
            </w:r>
            <w:proofErr w:type="spellEnd"/>
            <w:r w:rsidRPr="00E975F8">
              <w:rPr>
                <w:szCs w:val="20"/>
                <w:lang w:val="es-PE"/>
              </w:rPr>
              <w:t xml:space="preserve"> (Loreto), </w:t>
            </w:r>
            <w:proofErr w:type="spellStart"/>
            <w:r w:rsidRPr="00E975F8">
              <w:rPr>
                <w:szCs w:val="20"/>
                <w:lang w:val="es-PE"/>
              </w:rPr>
              <w:t>Yarinacocha</w:t>
            </w:r>
            <w:proofErr w:type="spellEnd"/>
            <w:r w:rsidRPr="00E975F8">
              <w:rPr>
                <w:szCs w:val="20"/>
                <w:lang w:val="es-PE"/>
              </w:rPr>
              <w:t xml:space="preserve">, </w:t>
            </w:r>
            <w:proofErr w:type="spellStart"/>
            <w:r w:rsidRPr="00E975F8">
              <w:rPr>
                <w:szCs w:val="20"/>
                <w:lang w:val="es-PE"/>
              </w:rPr>
              <w:t>Manantay</w:t>
            </w:r>
            <w:proofErr w:type="spellEnd"/>
            <w:r w:rsidRPr="00E975F8">
              <w:rPr>
                <w:szCs w:val="20"/>
                <w:lang w:val="es-PE"/>
              </w:rPr>
              <w:t xml:space="preserve"> and Campo Verde (Ucayali), Tahuamanu and Las Piedras (Madre de Dios)</w:t>
            </w:r>
          </w:p>
          <w:p w:rsidR="0080510B" w:rsidRPr="0095252E" w:rsidRDefault="0080510B" w:rsidP="003118C0">
            <w:pPr>
              <w:pStyle w:val="Prrafodelista"/>
              <w:ind w:left="346" w:hanging="142"/>
              <w:jc w:val="both"/>
              <w:rPr>
                <w:szCs w:val="20"/>
                <w:lang w:val="en-US"/>
              </w:rPr>
            </w:pPr>
            <w:r w:rsidRPr="0095252E">
              <w:rPr>
                <w:szCs w:val="20"/>
                <w:lang w:val="en-US"/>
              </w:rPr>
              <w:t>- Other entities, such as National Identification Registry and Vital Statistics Office and the “</w:t>
            </w:r>
            <w:proofErr w:type="spellStart"/>
            <w:r w:rsidRPr="0095252E">
              <w:rPr>
                <w:szCs w:val="20"/>
                <w:lang w:val="en-US"/>
              </w:rPr>
              <w:t>Juntos</w:t>
            </w:r>
            <w:proofErr w:type="spellEnd"/>
            <w:r w:rsidRPr="0095252E">
              <w:rPr>
                <w:szCs w:val="20"/>
                <w:lang w:val="en-US"/>
              </w:rPr>
              <w:t>” (Together) Program, Peruvian Police Force.</w:t>
            </w:r>
          </w:p>
          <w:p w:rsidR="0080510B" w:rsidRPr="0095252E" w:rsidRDefault="0080510B" w:rsidP="003118C0">
            <w:pPr>
              <w:pStyle w:val="Prrafodelista"/>
              <w:ind w:left="346" w:hanging="142"/>
              <w:jc w:val="both"/>
              <w:rPr>
                <w:szCs w:val="20"/>
                <w:lang w:val="en-US"/>
              </w:rPr>
            </w:pPr>
            <w:r w:rsidRPr="0095252E">
              <w:rPr>
                <w:szCs w:val="20"/>
                <w:lang w:val="en-US"/>
              </w:rPr>
              <w:t xml:space="preserve">It should be noted that this good practice was ranked second in the category of Good Practices in curricular management in the Good Practices Competition in training management, carried out within the framework of decentralized public management, which was organized by the National Authority of Civil Service-SERVIR with the Project CADESAN of the German Cooperation GIZ: </w:t>
            </w:r>
            <w:hyperlink r:id="rId20" w:history="1">
              <w:r w:rsidRPr="0095252E">
                <w:rPr>
                  <w:rStyle w:val="Hipervnculo"/>
                  <w:szCs w:val="20"/>
                  <w:lang w:val="en-US"/>
                </w:rPr>
                <w:t>http://www.servir.gob.pe/servir-premia-a-ganadores-de-buenas-practicas-en-gestion-de-la-capacitacion/</w:t>
              </w:r>
            </w:hyperlink>
          </w:p>
          <w:p w:rsidR="0080510B" w:rsidRPr="0095252E" w:rsidRDefault="0080510B" w:rsidP="003118C0">
            <w:pPr>
              <w:pStyle w:val="Prrafodelista"/>
              <w:ind w:left="346" w:hanging="142"/>
              <w:jc w:val="both"/>
              <w:rPr>
                <w:szCs w:val="20"/>
                <w:lang w:val="en-US"/>
              </w:rPr>
            </w:pPr>
          </w:p>
          <w:p w:rsidR="0080510B" w:rsidRPr="0095252E" w:rsidRDefault="0080510B" w:rsidP="003118C0">
            <w:pPr>
              <w:pStyle w:val="Prrafodelista"/>
              <w:ind w:left="346" w:hanging="142"/>
              <w:jc w:val="both"/>
              <w:rPr>
                <w:szCs w:val="20"/>
                <w:lang w:val="en-US"/>
              </w:rPr>
            </w:pPr>
            <w:r w:rsidRPr="0095252E">
              <w:rPr>
                <w:szCs w:val="20"/>
                <w:lang w:val="en-US"/>
              </w:rPr>
              <w:t xml:space="preserve">In addition, the SGP developed </w:t>
            </w:r>
            <w:proofErr w:type="spellStart"/>
            <w:r w:rsidRPr="0095252E">
              <w:rPr>
                <w:szCs w:val="20"/>
                <w:lang w:val="en-US"/>
              </w:rPr>
              <w:t>Macroregional</w:t>
            </w:r>
            <w:proofErr w:type="spellEnd"/>
            <w:r w:rsidRPr="0095252E">
              <w:rPr>
                <w:szCs w:val="20"/>
                <w:lang w:val="en-US"/>
              </w:rPr>
              <w:t xml:space="preserve"> Workshops in 2015 and 2016, providing training in:</w:t>
            </w:r>
          </w:p>
          <w:tbl>
            <w:tblPr>
              <w:tblStyle w:val="Tablaconcuadrcula"/>
              <w:tblW w:w="6544" w:type="dxa"/>
              <w:tblLayout w:type="fixed"/>
              <w:tblLook w:val="04A0" w:firstRow="1" w:lastRow="0" w:firstColumn="1" w:lastColumn="0" w:noHBand="0" w:noVBand="1"/>
            </w:tblPr>
            <w:tblGrid>
              <w:gridCol w:w="3908"/>
              <w:gridCol w:w="834"/>
              <w:gridCol w:w="890"/>
              <w:gridCol w:w="912"/>
            </w:tblGrid>
            <w:tr w:rsidR="0080510B" w:rsidRPr="0095252E" w:rsidTr="003118C0">
              <w:trPr>
                <w:trHeight w:val="464"/>
              </w:trPr>
              <w:tc>
                <w:tcPr>
                  <w:tcW w:w="3908" w:type="dxa"/>
                  <w:shd w:val="clear" w:color="auto" w:fill="B8CCE4" w:themeFill="accent1" w:themeFillTint="66"/>
                </w:tcPr>
                <w:p w:rsidR="0080510B" w:rsidRPr="0095252E" w:rsidRDefault="0080510B" w:rsidP="003118C0">
                  <w:pPr>
                    <w:rPr>
                      <w:lang w:val="en-US"/>
                    </w:rPr>
                  </w:pPr>
                  <w:r w:rsidRPr="0095252E">
                    <w:rPr>
                      <w:lang w:val="en-US"/>
                    </w:rPr>
                    <w:t>Topic or subject to teach</w:t>
                  </w:r>
                </w:p>
              </w:tc>
              <w:tc>
                <w:tcPr>
                  <w:tcW w:w="834" w:type="dxa"/>
                  <w:shd w:val="clear" w:color="auto" w:fill="B8CCE4" w:themeFill="accent1" w:themeFillTint="66"/>
                </w:tcPr>
                <w:p w:rsidR="0080510B" w:rsidRPr="0095252E" w:rsidRDefault="0080510B" w:rsidP="003118C0">
                  <w:pPr>
                    <w:jc w:val="center"/>
                    <w:rPr>
                      <w:lang w:val="en-US"/>
                    </w:rPr>
                  </w:pPr>
                  <w:r w:rsidRPr="0095252E">
                    <w:rPr>
                      <w:lang w:val="en-US"/>
                    </w:rPr>
                    <w:t>2015</w:t>
                  </w:r>
                </w:p>
              </w:tc>
              <w:tc>
                <w:tcPr>
                  <w:tcW w:w="890" w:type="dxa"/>
                  <w:shd w:val="clear" w:color="auto" w:fill="B8CCE4" w:themeFill="accent1" w:themeFillTint="66"/>
                </w:tcPr>
                <w:p w:rsidR="0080510B" w:rsidRPr="0095252E" w:rsidRDefault="0080510B" w:rsidP="003118C0">
                  <w:pPr>
                    <w:jc w:val="center"/>
                    <w:rPr>
                      <w:lang w:val="en-US"/>
                    </w:rPr>
                  </w:pPr>
                  <w:r w:rsidRPr="0095252E">
                    <w:rPr>
                      <w:lang w:val="en-US"/>
                    </w:rPr>
                    <w:t>2016</w:t>
                  </w:r>
                </w:p>
              </w:tc>
              <w:tc>
                <w:tcPr>
                  <w:tcW w:w="912" w:type="dxa"/>
                  <w:shd w:val="clear" w:color="auto" w:fill="B8CCE4" w:themeFill="accent1" w:themeFillTint="66"/>
                </w:tcPr>
                <w:p w:rsidR="0080510B" w:rsidRPr="0095252E" w:rsidRDefault="0080510B" w:rsidP="003118C0">
                  <w:pPr>
                    <w:jc w:val="center"/>
                    <w:rPr>
                      <w:lang w:val="en-US"/>
                    </w:rPr>
                  </w:pPr>
                  <w:r w:rsidRPr="0095252E">
                    <w:rPr>
                      <w:lang w:val="en-US"/>
                    </w:rPr>
                    <w:t>Total</w:t>
                  </w:r>
                </w:p>
              </w:tc>
            </w:tr>
            <w:tr w:rsidR="0080510B" w:rsidRPr="0095252E" w:rsidTr="003118C0">
              <w:trPr>
                <w:trHeight w:val="439"/>
              </w:trPr>
              <w:tc>
                <w:tcPr>
                  <w:tcW w:w="3908" w:type="dxa"/>
                </w:tcPr>
                <w:p w:rsidR="0080510B" w:rsidRPr="0095252E" w:rsidRDefault="0080510B" w:rsidP="003118C0">
                  <w:pPr>
                    <w:jc w:val="both"/>
                    <w:rPr>
                      <w:lang w:val="en-US"/>
                    </w:rPr>
                  </w:pPr>
                  <w:r w:rsidRPr="0095252E">
                    <w:rPr>
                      <w:lang w:val="en-US"/>
                    </w:rPr>
                    <w:lastRenderedPageBreak/>
                    <w:t>Implementation of the Standard Transparency Portal</w:t>
                  </w:r>
                </w:p>
              </w:tc>
              <w:tc>
                <w:tcPr>
                  <w:tcW w:w="834" w:type="dxa"/>
                </w:tcPr>
                <w:p w:rsidR="0080510B" w:rsidRPr="0095252E" w:rsidRDefault="0080510B" w:rsidP="003118C0">
                  <w:pPr>
                    <w:jc w:val="center"/>
                    <w:rPr>
                      <w:lang w:val="en-US"/>
                    </w:rPr>
                  </w:pPr>
                  <w:r w:rsidRPr="0095252E">
                    <w:rPr>
                      <w:lang w:val="en-US"/>
                    </w:rPr>
                    <w:t>998</w:t>
                  </w:r>
                </w:p>
              </w:tc>
              <w:tc>
                <w:tcPr>
                  <w:tcW w:w="890" w:type="dxa"/>
                </w:tcPr>
                <w:p w:rsidR="0080510B" w:rsidRPr="0095252E" w:rsidRDefault="0080510B" w:rsidP="003118C0">
                  <w:pPr>
                    <w:jc w:val="center"/>
                    <w:rPr>
                      <w:lang w:val="en-US"/>
                    </w:rPr>
                  </w:pPr>
                  <w:r w:rsidRPr="0095252E">
                    <w:rPr>
                      <w:lang w:val="en-US"/>
                    </w:rPr>
                    <w:t>941</w:t>
                  </w:r>
                </w:p>
              </w:tc>
              <w:tc>
                <w:tcPr>
                  <w:tcW w:w="912" w:type="dxa"/>
                  <w:shd w:val="clear" w:color="auto" w:fill="B8CCE4" w:themeFill="accent1" w:themeFillTint="66"/>
                </w:tcPr>
                <w:p w:rsidR="0080510B" w:rsidRPr="0095252E" w:rsidRDefault="0080510B" w:rsidP="003118C0">
                  <w:pPr>
                    <w:jc w:val="center"/>
                    <w:rPr>
                      <w:lang w:val="en-US"/>
                    </w:rPr>
                  </w:pPr>
                  <w:r w:rsidRPr="0095252E">
                    <w:rPr>
                      <w:lang w:val="en-US"/>
                    </w:rPr>
                    <w:t>1939</w:t>
                  </w:r>
                </w:p>
              </w:tc>
            </w:tr>
            <w:tr w:rsidR="0080510B" w:rsidRPr="0095252E" w:rsidTr="003118C0">
              <w:trPr>
                <w:trHeight w:val="464"/>
              </w:trPr>
              <w:tc>
                <w:tcPr>
                  <w:tcW w:w="3908" w:type="dxa"/>
                </w:tcPr>
                <w:p w:rsidR="0080510B" w:rsidRPr="0095252E" w:rsidRDefault="0080510B" w:rsidP="003118C0">
                  <w:pPr>
                    <w:jc w:val="both"/>
                    <w:rPr>
                      <w:lang w:val="en-US"/>
                    </w:rPr>
                  </w:pPr>
                  <w:r w:rsidRPr="0095252E">
                    <w:rPr>
                      <w:lang w:val="en-US"/>
                    </w:rPr>
                    <w:t>Open Government: Portal of Transparency Standard, Access to public information, open data and promotion of public ethics</w:t>
                  </w:r>
                </w:p>
              </w:tc>
              <w:tc>
                <w:tcPr>
                  <w:tcW w:w="834" w:type="dxa"/>
                </w:tcPr>
                <w:p w:rsidR="0080510B" w:rsidRPr="0095252E" w:rsidRDefault="0080510B" w:rsidP="003118C0">
                  <w:pPr>
                    <w:jc w:val="center"/>
                    <w:rPr>
                      <w:lang w:val="en-US"/>
                    </w:rPr>
                  </w:pPr>
                  <w:r w:rsidRPr="0095252E">
                    <w:rPr>
                      <w:lang w:val="en-US"/>
                    </w:rPr>
                    <w:t>732</w:t>
                  </w:r>
                </w:p>
              </w:tc>
              <w:tc>
                <w:tcPr>
                  <w:tcW w:w="890" w:type="dxa"/>
                </w:tcPr>
                <w:p w:rsidR="0080510B" w:rsidRPr="0095252E" w:rsidRDefault="0080510B" w:rsidP="003118C0">
                  <w:pPr>
                    <w:jc w:val="center"/>
                    <w:rPr>
                      <w:lang w:val="en-US"/>
                    </w:rPr>
                  </w:pPr>
                  <w:r w:rsidRPr="0095252E">
                    <w:rPr>
                      <w:lang w:val="en-US"/>
                    </w:rPr>
                    <w:t>703</w:t>
                  </w:r>
                </w:p>
              </w:tc>
              <w:tc>
                <w:tcPr>
                  <w:tcW w:w="912" w:type="dxa"/>
                  <w:shd w:val="clear" w:color="auto" w:fill="B8CCE4" w:themeFill="accent1" w:themeFillTint="66"/>
                </w:tcPr>
                <w:p w:rsidR="0080510B" w:rsidRPr="0095252E" w:rsidRDefault="0080510B" w:rsidP="003118C0">
                  <w:pPr>
                    <w:jc w:val="center"/>
                    <w:rPr>
                      <w:lang w:val="en-US"/>
                    </w:rPr>
                  </w:pPr>
                  <w:r w:rsidRPr="0095252E">
                    <w:rPr>
                      <w:lang w:val="en-US"/>
                    </w:rPr>
                    <w:t>1435</w:t>
                  </w:r>
                </w:p>
              </w:tc>
            </w:tr>
            <w:tr w:rsidR="0080510B" w:rsidRPr="0095252E" w:rsidTr="003118C0">
              <w:trPr>
                <w:trHeight w:val="439"/>
              </w:trPr>
              <w:tc>
                <w:tcPr>
                  <w:tcW w:w="3908" w:type="dxa"/>
                </w:tcPr>
                <w:p w:rsidR="0080510B" w:rsidRPr="0095252E" w:rsidRDefault="0080510B" w:rsidP="003118C0">
                  <w:pPr>
                    <w:jc w:val="both"/>
                    <w:rPr>
                      <w:lang w:val="en-US"/>
                    </w:rPr>
                  </w:pPr>
                  <w:r w:rsidRPr="0095252E">
                    <w:rPr>
                      <w:lang w:val="en-US"/>
                    </w:rPr>
                    <w:t>Open Data</w:t>
                  </w:r>
                </w:p>
              </w:tc>
              <w:tc>
                <w:tcPr>
                  <w:tcW w:w="834" w:type="dxa"/>
                </w:tcPr>
                <w:p w:rsidR="0080510B" w:rsidRPr="0095252E" w:rsidRDefault="0080510B" w:rsidP="003118C0">
                  <w:pPr>
                    <w:jc w:val="center"/>
                    <w:rPr>
                      <w:lang w:val="en-US"/>
                    </w:rPr>
                  </w:pPr>
                  <w:r w:rsidRPr="0095252E">
                    <w:rPr>
                      <w:lang w:val="en-US"/>
                    </w:rPr>
                    <w:t>650</w:t>
                  </w:r>
                </w:p>
              </w:tc>
              <w:tc>
                <w:tcPr>
                  <w:tcW w:w="890" w:type="dxa"/>
                </w:tcPr>
                <w:p w:rsidR="0080510B" w:rsidRPr="0095252E" w:rsidRDefault="0080510B" w:rsidP="003118C0">
                  <w:pPr>
                    <w:jc w:val="center"/>
                    <w:rPr>
                      <w:lang w:val="en-US"/>
                    </w:rPr>
                  </w:pPr>
                  <w:r w:rsidRPr="0095252E">
                    <w:rPr>
                      <w:lang w:val="en-US"/>
                    </w:rPr>
                    <w:t>0</w:t>
                  </w:r>
                </w:p>
              </w:tc>
              <w:tc>
                <w:tcPr>
                  <w:tcW w:w="912" w:type="dxa"/>
                  <w:shd w:val="clear" w:color="auto" w:fill="B8CCE4" w:themeFill="accent1" w:themeFillTint="66"/>
                </w:tcPr>
                <w:p w:rsidR="0080510B" w:rsidRPr="0095252E" w:rsidRDefault="0080510B" w:rsidP="003118C0">
                  <w:pPr>
                    <w:jc w:val="center"/>
                    <w:rPr>
                      <w:lang w:val="en-US"/>
                    </w:rPr>
                  </w:pPr>
                  <w:r w:rsidRPr="0095252E">
                    <w:rPr>
                      <w:lang w:val="en-US"/>
                    </w:rPr>
                    <w:t>650</w:t>
                  </w:r>
                </w:p>
                <w:p w:rsidR="0080510B" w:rsidRPr="0095252E" w:rsidRDefault="0080510B" w:rsidP="003118C0">
                  <w:pPr>
                    <w:jc w:val="center"/>
                    <w:rPr>
                      <w:lang w:val="en-US"/>
                    </w:rPr>
                  </w:pPr>
                </w:p>
              </w:tc>
            </w:tr>
            <w:tr w:rsidR="0080510B" w:rsidRPr="0095252E" w:rsidTr="003118C0">
              <w:trPr>
                <w:trHeight w:val="464"/>
              </w:trPr>
              <w:tc>
                <w:tcPr>
                  <w:tcW w:w="3908" w:type="dxa"/>
                </w:tcPr>
                <w:p w:rsidR="0080510B" w:rsidRPr="0095252E" w:rsidRDefault="0080510B" w:rsidP="003118C0">
                  <w:pPr>
                    <w:jc w:val="both"/>
                    <w:rPr>
                      <w:lang w:val="en-US"/>
                    </w:rPr>
                  </w:pPr>
                  <w:r w:rsidRPr="0095252E">
                    <w:rPr>
                      <w:lang w:val="en-US"/>
                    </w:rPr>
                    <w:t>Promotion of Public Ethics</w:t>
                  </w:r>
                </w:p>
              </w:tc>
              <w:tc>
                <w:tcPr>
                  <w:tcW w:w="834" w:type="dxa"/>
                </w:tcPr>
                <w:p w:rsidR="0080510B" w:rsidRPr="0095252E" w:rsidRDefault="0080510B" w:rsidP="003118C0">
                  <w:pPr>
                    <w:jc w:val="center"/>
                    <w:rPr>
                      <w:lang w:val="en-US"/>
                    </w:rPr>
                  </w:pPr>
                  <w:r w:rsidRPr="0095252E">
                    <w:rPr>
                      <w:lang w:val="en-US"/>
                    </w:rPr>
                    <w:t>637</w:t>
                  </w:r>
                </w:p>
              </w:tc>
              <w:tc>
                <w:tcPr>
                  <w:tcW w:w="890" w:type="dxa"/>
                </w:tcPr>
                <w:p w:rsidR="0080510B" w:rsidRPr="0095252E" w:rsidRDefault="0080510B" w:rsidP="003118C0">
                  <w:pPr>
                    <w:jc w:val="center"/>
                    <w:rPr>
                      <w:lang w:val="en-US"/>
                    </w:rPr>
                  </w:pPr>
                  <w:r w:rsidRPr="0095252E">
                    <w:rPr>
                      <w:lang w:val="en-US"/>
                    </w:rPr>
                    <w:t>221</w:t>
                  </w:r>
                </w:p>
              </w:tc>
              <w:tc>
                <w:tcPr>
                  <w:tcW w:w="912" w:type="dxa"/>
                  <w:shd w:val="clear" w:color="auto" w:fill="B8CCE4" w:themeFill="accent1" w:themeFillTint="66"/>
                </w:tcPr>
                <w:p w:rsidR="0080510B" w:rsidRPr="0095252E" w:rsidRDefault="0080510B" w:rsidP="003118C0">
                  <w:pPr>
                    <w:jc w:val="center"/>
                    <w:rPr>
                      <w:lang w:val="en-US"/>
                    </w:rPr>
                  </w:pPr>
                  <w:r w:rsidRPr="0095252E">
                    <w:rPr>
                      <w:lang w:val="en-US"/>
                    </w:rPr>
                    <w:t>858</w:t>
                  </w:r>
                </w:p>
              </w:tc>
            </w:tr>
            <w:tr w:rsidR="0080510B" w:rsidRPr="00003DBC" w:rsidTr="003118C0">
              <w:trPr>
                <w:trHeight w:val="439"/>
              </w:trPr>
              <w:tc>
                <w:tcPr>
                  <w:tcW w:w="3908" w:type="dxa"/>
                </w:tcPr>
                <w:p w:rsidR="0080510B" w:rsidRPr="0095252E" w:rsidRDefault="0080510B" w:rsidP="003118C0">
                  <w:pPr>
                    <w:jc w:val="both"/>
                    <w:rPr>
                      <w:lang w:val="en-US"/>
                    </w:rPr>
                  </w:pPr>
                  <w:r w:rsidRPr="0095252E">
                    <w:rPr>
                      <w:lang w:val="en-US"/>
                    </w:rPr>
                    <w:t>Importance of Transparency and Access to Public Information</w:t>
                  </w:r>
                </w:p>
              </w:tc>
              <w:tc>
                <w:tcPr>
                  <w:tcW w:w="834" w:type="dxa"/>
                </w:tcPr>
                <w:p w:rsidR="0080510B" w:rsidRPr="0095252E" w:rsidRDefault="0080510B" w:rsidP="003118C0">
                  <w:pPr>
                    <w:jc w:val="center"/>
                    <w:rPr>
                      <w:lang w:val="en-US"/>
                    </w:rPr>
                  </w:pPr>
                  <w:r w:rsidRPr="0095252E">
                    <w:rPr>
                      <w:lang w:val="en-US"/>
                    </w:rPr>
                    <w:t>201</w:t>
                  </w:r>
                </w:p>
              </w:tc>
              <w:tc>
                <w:tcPr>
                  <w:tcW w:w="890" w:type="dxa"/>
                </w:tcPr>
                <w:p w:rsidR="0080510B" w:rsidRPr="0095252E" w:rsidRDefault="0080510B" w:rsidP="003118C0">
                  <w:pPr>
                    <w:jc w:val="center"/>
                    <w:rPr>
                      <w:lang w:val="en-US"/>
                    </w:rPr>
                  </w:pPr>
                  <w:r w:rsidRPr="0095252E">
                    <w:rPr>
                      <w:lang w:val="en-US"/>
                    </w:rPr>
                    <w:t>515</w:t>
                  </w:r>
                </w:p>
              </w:tc>
              <w:tc>
                <w:tcPr>
                  <w:tcW w:w="912" w:type="dxa"/>
                  <w:shd w:val="clear" w:color="auto" w:fill="B8CCE4" w:themeFill="accent1" w:themeFillTint="66"/>
                </w:tcPr>
                <w:p w:rsidR="0080510B" w:rsidRPr="0095252E" w:rsidRDefault="0080510B" w:rsidP="003118C0">
                  <w:pPr>
                    <w:jc w:val="center"/>
                    <w:rPr>
                      <w:lang w:val="en-US"/>
                    </w:rPr>
                  </w:pPr>
                  <w:r w:rsidRPr="0095252E">
                    <w:rPr>
                      <w:lang w:val="en-US"/>
                    </w:rPr>
                    <w:t>716</w:t>
                  </w:r>
                </w:p>
              </w:tc>
            </w:tr>
            <w:tr w:rsidR="0080510B" w:rsidRPr="00003DBC" w:rsidTr="003118C0">
              <w:trPr>
                <w:trHeight w:val="464"/>
              </w:trPr>
              <w:tc>
                <w:tcPr>
                  <w:tcW w:w="3908" w:type="dxa"/>
                  <w:shd w:val="clear" w:color="auto" w:fill="B8CCE4" w:themeFill="accent1" w:themeFillTint="66"/>
                </w:tcPr>
                <w:p w:rsidR="0080510B" w:rsidRPr="0095252E" w:rsidRDefault="0080510B" w:rsidP="003118C0">
                  <w:pPr>
                    <w:rPr>
                      <w:lang w:val="en-US"/>
                    </w:rPr>
                  </w:pPr>
                  <w:r w:rsidRPr="0095252E">
                    <w:rPr>
                      <w:lang w:val="en-US"/>
                    </w:rPr>
                    <w:t>Total</w:t>
                  </w:r>
                </w:p>
              </w:tc>
              <w:tc>
                <w:tcPr>
                  <w:tcW w:w="834" w:type="dxa"/>
                  <w:shd w:val="clear" w:color="auto" w:fill="B8CCE4" w:themeFill="accent1" w:themeFillTint="66"/>
                </w:tcPr>
                <w:p w:rsidR="0080510B" w:rsidRPr="0095252E" w:rsidRDefault="0080510B" w:rsidP="003118C0">
                  <w:pPr>
                    <w:jc w:val="center"/>
                    <w:rPr>
                      <w:lang w:val="en-US"/>
                    </w:rPr>
                  </w:pPr>
                  <w:r w:rsidRPr="0095252E">
                    <w:rPr>
                      <w:lang w:val="en-US"/>
                    </w:rPr>
                    <w:t>3218</w:t>
                  </w:r>
                </w:p>
              </w:tc>
              <w:tc>
                <w:tcPr>
                  <w:tcW w:w="890" w:type="dxa"/>
                  <w:shd w:val="clear" w:color="auto" w:fill="B8CCE4" w:themeFill="accent1" w:themeFillTint="66"/>
                </w:tcPr>
                <w:p w:rsidR="0080510B" w:rsidRPr="0095252E" w:rsidRDefault="0080510B" w:rsidP="003118C0">
                  <w:pPr>
                    <w:jc w:val="center"/>
                    <w:rPr>
                      <w:lang w:val="en-US"/>
                    </w:rPr>
                  </w:pPr>
                  <w:r w:rsidRPr="0095252E">
                    <w:rPr>
                      <w:lang w:val="en-US"/>
                    </w:rPr>
                    <w:t>2380</w:t>
                  </w:r>
                </w:p>
              </w:tc>
              <w:tc>
                <w:tcPr>
                  <w:tcW w:w="912" w:type="dxa"/>
                  <w:shd w:val="clear" w:color="auto" w:fill="B8CCE4" w:themeFill="accent1" w:themeFillTint="66"/>
                </w:tcPr>
                <w:p w:rsidR="0080510B" w:rsidRPr="0095252E" w:rsidRDefault="0080510B" w:rsidP="003118C0">
                  <w:pPr>
                    <w:jc w:val="center"/>
                    <w:rPr>
                      <w:lang w:val="en-US"/>
                    </w:rPr>
                  </w:pPr>
                  <w:r w:rsidRPr="0095252E">
                    <w:rPr>
                      <w:lang w:val="en-US"/>
                    </w:rPr>
                    <w:t>5598</w:t>
                  </w:r>
                </w:p>
              </w:tc>
            </w:tr>
          </w:tbl>
          <w:p w:rsidR="0080510B" w:rsidRPr="0095252E" w:rsidRDefault="0080510B" w:rsidP="003118C0">
            <w:pPr>
              <w:pStyle w:val="Prrafodelista"/>
              <w:ind w:left="1440"/>
              <w:jc w:val="both"/>
              <w:rPr>
                <w:szCs w:val="20"/>
                <w:highlight w:val="yellow"/>
                <w:lang w:val="en-US"/>
              </w:rPr>
            </w:pPr>
            <w:r w:rsidRPr="0095252E">
              <w:rPr>
                <w:szCs w:val="20"/>
                <w:lang w:val="en-US"/>
              </w:rPr>
              <w:t xml:space="preserve"> </w:t>
            </w:r>
          </w:p>
          <w:p w:rsidR="0080510B" w:rsidRPr="0095252E" w:rsidRDefault="0080510B" w:rsidP="003118C0">
            <w:pPr>
              <w:pStyle w:val="Prrafodelista"/>
              <w:jc w:val="both"/>
              <w:rPr>
                <w:b/>
                <w:i/>
                <w:szCs w:val="20"/>
                <w:lang w:val="en-US"/>
              </w:rPr>
            </w:pPr>
            <w:r w:rsidRPr="0095252E">
              <w:rPr>
                <w:b/>
                <w:i/>
                <w:szCs w:val="20"/>
                <w:lang w:val="en-US"/>
              </w:rPr>
              <w:t>2. Virtualization of the Capacity Strengthening Program on Open Government focused on transparency and access to public information.</w:t>
            </w:r>
          </w:p>
          <w:p w:rsidR="0080510B" w:rsidRPr="0095252E" w:rsidRDefault="0080510B" w:rsidP="003118C0">
            <w:pPr>
              <w:pStyle w:val="Prrafodelista"/>
              <w:jc w:val="both"/>
              <w:rPr>
                <w:color w:val="000000" w:themeColor="text1"/>
                <w:lang w:val="en-US"/>
              </w:rPr>
            </w:pPr>
            <w:r w:rsidRPr="0095252E">
              <w:rPr>
                <w:szCs w:val="20"/>
                <w:lang w:val="en-US"/>
              </w:rPr>
              <w:t>To date, the virtualization of the Capacity Strengthening Program is being evaluated. The fulfillment of the commitment has been reprogrammed to June 2017.</w:t>
            </w:r>
          </w:p>
        </w:tc>
      </w:tr>
      <w:tr w:rsidR="0080510B" w:rsidRPr="0095252E" w:rsidTr="0080510B">
        <w:tc>
          <w:tcPr>
            <w:tcW w:w="2518" w:type="dxa"/>
            <w:gridSpan w:val="2"/>
            <w:shd w:val="clear" w:color="auto" w:fill="C6D9F1" w:themeFill="text2" w:themeFillTint="33"/>
            <w:vAlign w:val="center"/>
          </w:tcPr>
          <w:p w:rsidR="0080510B" w:rsidRPr="0095252E" w:rsidRDefault="0080510B" w:rsidP="003118C0">
            <w:pPr>
              <w:rPr>
                <w:b/>
                <w:color w:val="000000" w:themeColor="text1"/>
                <w:lang w:val="en-US"/>
              </w:rPr>
            </w:pPr>
            <w:r w:rsidRPr="0095252E">
              <w:rPr>
                <w:rFonts w:cs="Gotham-Book"/>
                <w:b/>
                <w:color w:val="000000" w:themeColor="text1"/>
                <w:lang w:val="en-US"/>
              </w:rPr>
              <w:lastRenderedPageBreak/>
              <w:t>Conclusion date</w:t>
            </w:r>
          </w:p>
        </w:tc>
        <w:tc>
          <w:tcPr>
            <w:tcW w:w="6521" w:type="dxa"/>
            <w:gridSpan w:val="4"/>
          </w:tcPr>
          <w:p w:rsidR="0080510B" w:rsidRPr="0095252E" w:rsidRDefault="0080510B" w:rsidP="003118C0">
            <w:pPr>
              <w:jc w:val="both"/>
              <w:rPr>
                <w:color w:val="000000" w:themeColor="text1"/>
                <w:lang w:val="en-US"/>
              </w:rPr>
            </w:pPr>
            <w:r w:rsidRPr="0095252E">
              <w:rPr>
                <w:color w:val="000000" w:themeColor="text1"/>
                <w:lang w:val="en-US"/>
              </w:rPr>
              <w:t>June 2017</w:t>
            </w:r>
          </w:p>
        </w:tc>
      </w:tr>
      <w:tr w:rsidR="0080510B" w:rsidRPr="00003DBC" w:rsidTr="0080510B">
        <w:tc>
          <w:tcPr>
            <w:tcW w:w="2518" w:type="dxa"/>
            <w:gridSpan w:val="2"/>
            <w:shd w:val="clear" w:color="auto" w:fill="C6D9F1" w:themeFill="text2" w:themeFillTint="33"/>
            <w:vAlign w:val="center"/>
          </w:tcPr>
          <w:p w:rsidR="0080510B" w:rsidRPr="0095252E" w:rsidRDefault="0080510B" w:rsidP="003118C0">
            <w:pPr>
              <w:rPr>
                <w:b/>
                <w:color w:val="000000" w:themeColor="text1"/>
                <w:lang w:val="en-US"/>
              </w:rPr>
            </w:pPr>
            <w:r w:rsidRPr="0095252E">
              <w:rPr>
                <w:rFonts w:cs="Gotham-Book"/>
                <w:b/>
                <w:color w:val="000000" w:themeColor="text1"/>
                <w:lang w:val="en-US"/>
              </w:rPr>
              <w:t>Next steps</w:t>
            </w:r>
          </w:p>
        </w:tc>
        <w:tc>
          <w:tcPr>
            <w:tcW w:w="6521" w:type="dxa"/>
            <w:gridSpan w:val="4"/>
          </w:tcPr>
          <w:p w:rsidR="0080510B" w:rsidRPr="0095252E" w:rsidRDefault="0080510B" w:rsidP="003118C0">
            <w:pPr>
              <w:jc w:val="both"/>
              <w:rPr>
                <w:color w:val="000000" w:themeColor="text1"/>
                <w:lang w:val="en-US"/>
              </w:rPr>
            </w:pPr>
            <w:r w:rsidRPr="0095252E">
              <w:rPr>
                <w:color w:val="000000" w:themeColor="text1"/>
                <w:lang w:val="en-US"/>
              </w:rPr>
              <w:t xml:space="preserve">It is expected to have the Capacity </w:t>
            </w:r>
            <w:r w:rsidRPr="0095252E">
              <w:rPr>
                <w:szCs w:val="20"/>
                <w:lang w:val="en-US"/>
              </w:rPr>
              <w:t>Strengthening</w:t>
            </w:r>
            <w:r w:rsidRPr="0095252E">
              <w:rPr>
                <w:color w:val="000000" w:themeColor="text1"/>
                <w:lang w:val="en-US"/>
              </w:rPr>
              <w:t xml:space="preserve"> Program in virtual format and to coordinate with the National Authority of Civil Service, so that it incorporates the Open Government Program into its curriculum and be them who, within the framework of their competencies, strengthen the capacities of civil servants.</w:t>
            </w:r>
          </w:p>
        </w:tc>
      </w:tr>
      <w:tr w:rsidR="0080510B" w:rsidRPr="0095252E" w:rsidTr="0080510B">
        <w:tc>
          <w:tcPr>
            <w:tcW w:w="9039" w:type="dxa"/>
            <w:gridSpan w:val="6"/>
          </w:tcPr>
          <w:p w:rsidR="0080510B" w:rsidRPr="0095252E" w:rsidRDefault="0080510B" w:rsidP="003118C0">
            <w:pPr>
              <w:jc w:val="both"/>
              <w:rPr>
                <w:rFonts w:cs="Gotham-Book"/>
                <w:b/>
                <w:color w:val="000000" w:themeColor="text1"/>
                <w:lang w:val="en-US"/>
              </w:rPr>
            </w:pPr>
          </w:p>
          <w:p w:rsidR="0080510B" w:rsidRPr="0095252E" w:rsidRDefault="0080510B" w:rsidP="003118C0">
            <w:pPr>
              <w:jc w:val="both"/>
              <w:rPr>
                <w:color w:val="000000" w:themeColor="text1"/>
                <w:lang w:val="en-US"/>
              </w:rPr>
            </w:pPr>
            <w:r w:rsidRPr="0095252E">
              <w:rPr>
                <w:rFonts w:cs="Gotham-Book"/>
                <w:b/>
                <w:color w:val="000000" w:themeColor="text1"/>
                <w:lang w:val="en-US"/>
              </w:rPr>
              <w:t>Additional information</w:t>
            </w:r>
          </w:p>
        </w:tc>
      </w:tr>
      <w:tr w:rsidR="0080510B" w:rsidRPr="0095252E" w:rsidTr="0080510B">
        <w:tc>
          <w:tcPr>
            <w:tcW w:w="9039" w:type="dxa"/>
            <w:gridSpan w:val="6"/>
          </w:tcPr>
          <w:p w:rsidR="0080510B" w:rsidRPr="0095252E" w:rsidRDefault="0080510B" w:rsidP="003118C0">
            <w:pPr>
              <w:jc w:val="both"/>
              <w:rPr>
                <w:rFonts w:cs="Gotham-Book"/>
                <w:b/>
                <w:color w:val="000000" w:themeColor="text1"/>
                <w:lang w:val="en-US"/>
              </w:rPr>
            </w:pPr>
          </w:p>
        </w:tc>
      </w:tr>
    </w:tbl>
    <w:p w:rsidR="000834F6" w:rsidRPr="0095252E" w:rsidRDefault="000834F6" w:rsidP="000834F6">
      <w:pPr>
        <w:rPr>
          <w:lang w:val="en-US"/>
        </w:rPr>
      </w:pPr>
    </w:p>
    <w:p w:rsidR="00661842" w:rsidRPr="0095252E" w:rsidRDefault="00661842" w:rsidP="000834F6">
      <w:pPr>
        <w:rPr>
          <w:lang w:val="en-US"/>
        </w:rPr>
      </w:pPr>
    </w:p>
    <w:p w:rsidR="00661842" w:rsidRPr="0095252E" w:rsidRDefault="00661842" w:rsidP="000834F6">
      <w:pPr>
        <w:rPr>
          <w:lang w:val="en-US"/>
        </w:rPr>
      </w:pPr>
    </w:p>
    <w:p w:rsidR="0080510B" w:rsidRPr="0095252E" w:rsidRDefault="0080510B">
      <w:pPr>
        <w:rPr>
          <w:lang w:val="en-US"/>
        </w:rPr>
      </w:pPr>
      <w:r w:rsidRPr="0095252E">
        <w:rPr>
          <w:lang w:val="en-US"/>
        </w:rPr>
        <w:br w:type="page"/>
      </w:r>
    </w:p>
    <w:p w:rsidR="00661842" w:rsidRPr="0095252E" w:rsidRDefault="00661842" w:rsidP="000834F6">
      <w:pPr>
        <w:rPr>
          <w:lang w:val="en-US"/>
        </w:rPr>
      </w:pPr>
    </w:p>
    <w:tbl>
      <w:tblPr>
        <w:tblStyle w:val="Tablaconcuadrcula1"/>
        <w:tblW w:w="9039" w:type="dxa"/>
        <w:tblLayout w:type="fixed"/>
        <w:tblLook w:val="04A0" w:firstRow="1" w:lastRow="0" w:firstColumn="1" w:lastColumn="0" w:noHBand="0" w:noVBand="1"/>
      </w:tblPr>
      <w:tblGrid>
        <w:gridCol w:w="1526"/>
        <w:gridCol w:w="2126"/>
        <w:gridCol w:w="5387"/>
      </w:tblGrid>
      <w:tr w:rsidR="000834F6" w:rsidRPr="00003DBC" w:rsidTr="009E1946">
        <w:trPr>
          <w:trHeight w:val="331"/>
        </w:trPr>
        <w:tc>
          <w:tcPr>
            <w:tcW w:w="9039" w:type="dxa"/>
            <w:gridSpan w:val="3"/>
            <w:shd w:val="clear" w:color="auto" w:fill="548DD4"/>
          </w:tcPr>
          <w:p w:rsidR="000834F6" w:rsidRPr="0095252E" w:rsidRDefault="00661842" w:rsidP="009E1946">
            <w:pPr>
              <w:jc w:val="center"/>
              <w:rPr>
                <w:rFonts w:ascii="Calibri" w:eastAsia="Calibri" w:hAnsi="Calibri" w:cs="Times New Roman"/>
                <w:b/>
                <w:lang w:val="en-US"/>
              </w:rPr>
            </w:pPr>
            <w:r w:rsidRPr="0095252E">
              <w:rPr>
                <w:rFonts w:ascii="Calibri" w:eastAsia="Calibri" w:hAnsi="Calibri" w:cs="Times New Roman"/>
                <w:b/>
                <w:lang w:val="en-US"/>
              </w:rPr>
              <w:t>Component</w:t>
            </w:r>
            <w:r w:rsidR="000834F6" w:rsidRPr="0095252E">
              <w:rPr>
                <w:rFonts w:ascii="Calibri" w:eastAsia="Calibri" w:hAnsi="Calibri" w:cs="Times New Roman"/>
                <w:b/>
                <w:lang w:val="en-US"/>
              </w:rPr>
              <w:t>: Transparency and Access to Public Information</w:t>
            </w:r>
          </w:p>
        </w:tc>
      </w:tr>
      <w:tr w:rsidR="000834F6" w:rsidRPr="00003DBC" w:rsidTr="009E1946">
        <w:tc>
          <w:tcPr>
            <w:tcW w:w="9039" w:type="dxa"/>
            <w:gridSpan w:val="3"/>
            <w:shd w:val="clear" w:color="auto" w:fill="548DD4"/>
          </w:tcPr>
          <w:p w:rsidR="000834F6" w:rsidRPr="0095252E" w:rsidRDefault="000834F6" w:rsidP="009E1946">
            <w:pPr>
              <w:jc w:val="center"/>
              <w:rPr>
                <w:rFonts w:ascii="Calibri" w:eastAsia="Calibri" w:hAnsi="Calibri" w:cs="Times New Roman"/>
                <w:b/>
                <w:lang w:val="en-US"/>
              </w:rPr>
            </w:pPr>
            <w:r w:rsidRPr="0095252E">
              <w:rPr>
                <w:rFonts w:ascii="Calibri" w:eastAsia="Calibri" w:hAnsi="Calibri" w:cs="Times New Roman"/>
                <w:b/>
                <w:u w:val="single"/>
                <w:lang w:val="en-US"/>
              </w:rPr>
              <w:t>Commitment 4</w:t>
            </w:r>
            <w:r w:rsidRPr="0095252E">
              <w:rPr>
                <w:rFonts w:ascii="Calibri" w:eastAsia="Calibri" w:hAnsi="Calibri" w:cs="Times New Roman"/>
                <w:b/>
                <w:lang w:val="en-US"/>
              </w:rPr>
              <w:t>. Fostering more information about users and coverage of social programs</w:t>
            </w:r>
          </w:p>
        </w:tc>
      </w:tr>
      <w:tr w:rsidR="000834F6" w:rsidRPr="00003DBC" w:rsidTr="009E1946">
        <w:trPr>
          <w:trHeight w:val="517"/>
        </w:trPr>
        <w:tc>
          <w:tcPr>
            <w:tcW w:w="3652"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Secretariat/Ministry in charge</w:t>
            </w:r>
          </w:p>
        </w:tc>
        <w:tc>
          <w:tcPr>
            <w:tcW w:w="5387" w:type="dxa"/>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Ministry of Development and Social Inclusion</w:t>
            </w:r>
          </w:p>
        </w:tc>
      </w:tr>
      <w:tr w:rsidR="000834F6" w:rsidRPr="0095252E" w:rsidTr="009E1946">
        <w:trPr>
          <w:trHeight w:val="398"/>
        </w:trPr>
        <w:tc>
          <w:tcPr>
            <w:tcW w:w="3652"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Name of the person in charge</w:t>
            </w:r>
          </w:p>
        </w:tc>
        <w:tc>
          <w:tcPr>
            <w:tcW w:w="5387" w:type="dxa"/>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 xml:space="preserve">Lucia </w:t>
            </w:r>
            <w:proofErr w:type="spellStart"/>
            <w:r w:rsidRPr="0095252E">
              <w:rPr>
                <w:rFonts w:ascii="Calibri" w:eastAsia="Calibri" w:hAnsi="Calibri" w:cs="Times New Roman"/>
                <w:color w:val="000000"/>
                <w:lang w:val="en-US"/>
              </w:rPr>
              <w:t>Cayetana</w:t>
            </w:r>
            <w:proofErr w:type="spellEnd"/>
            <w:r w:rsidRPr="0095252E">
              <w:rPr>
                <w:rFonts w:ascii="Calibri" w:eastAsia="Calibri" w:hAnsi="Calibri" w:cs="Times New Roman"/>
                <w:color w:val="000000"/>
                <w:lang w:val="en-US"/>
              </w:rPr>
              <w:t xml:space="preserve"> </w:t>
            </w:r>
            <w:proofErr w:type="spellStart"/>
            <w:r w:rsidRPr="0095252E">
              <w:rPr>
                <w:rFonts w:ascii="Calibri" w:eastAsia="Calibri" w:hAnsi="Calibri" w:cs="Times New Roman"/>
                <w:color w:val="000000"/>
                <w:lang w:val="en-US"/>
              </w:rPr>
              <w:t>Aljovin</w:t>
            </w:r>
            <w:proofErr w:type="spellEnd"/>
            <w:r w:rsidRPr="0095252E">
              <w:rPr>
                <w:rFonts w:ascii="Calibri" w:eastAsia="Calibri" w:hAnsi="Calibri" w:cs="Times New Roman"/>
                <w:color w:val="000000"/>
                <w:lang w:val="en-US"/>
              </w:rPr>
              <w:t xml:space="preserve"> </w:t>
            </w:r>
            <w:proofErr w:type="spellStart"/>
            <w:r w:rsidRPr="0095252E">
              <w:rPr>
                <w:rFonts w:ascii="Calibri" w:eastAsia="Calibri" w:hAnsi="Calibri" w:cs="Times New Roman"/>
                <w:color w:val="000000"/>
                <w:lang w:val="en-US"/>
              </w:rPr>
              <w:t>Gazzani</w:t>
            </w:r>
            <w:proofErr w:type="spellEnd"/>
          </w:p>
        </w:tc>
      </w:tr>
      <w:tr w:rsidR="000834F6" w:rsidRPr="0095252E" w:rsidTr="009E1946">
        <w:tc>
          <w:tcPr>
            <w:tcW w:w="3652"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Position</w:t>
            </w:r>
          </w:p>
        </w:tc>
        <w:tc>
          <w:tcPr>
            <w:tcW w:w="5387" w:type="dxa"/>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Minister</w:t>
            </w:r>
          </w:p>
        </w:tc>
      </w:tr>
      <w:tr w:rsidR="000834F6" w:rsidRPr="0095252E" w:rsidTr="009E1946">
        <w:trPr>
          <w:trHeight w:val="342"/>
        </w:trPr>
        <w:tc>
          <w:tcPr>
            <w:tcW w:w="3652"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Email</w:t>
            </w:r>
          </w:p>
        </w:tc>
        <w:tc>
          <w:tcPr>
            <w:tcW w:w="5387" w:type="dxa"/>
          </w:tcPr>
          <w:p w:rsidR="000834F6" w:rsidRPr="0095252E" w:rsidRDefault="002C33FD" w:rsidP="009E1946">
            <w:pPr>
              <w:jc w:val="both"/>
              <w:rPr>
                <w:rFonts w:ascii="Calibri" w:eastAsia="Calibri" w:hAnsi="Calibri" w:cs="Arial"/>
                <w:color w:val="0000FF"/>
                <w:u w:val="single"/>
                <w:lang w:val="en-US"/>
              </w:rPr>
            </w:pPr>
            <w:hyperlink r:id="rId21" w:history="1">
              <w:r w:rsidR="000834F6" w:rsidRPr="0095252E">
                <w:rPr>
                  <w:rFonts w:ascii="Calibri" w:eastAsia="Calibri" w:hAnsi="Calibri" w:cs="Arial"/>
                  <w:color w:val="0000FF"/>
                  <w:u w:val="single"/>
                  <w:lang w:val="en-US"/>
                </w:rPr>
                <w:t>despachoministerial1@midis.gob.pe</w:t>
              </w:r>
            </w:hyperlink>
          </w:p>
        </w:tc>
      </w:tr>
      <w:tr w:rsidR="000834F6" w:rsidRPr="0095252E" w:rsidTr="009E1946">
        <w:tc>
          <w:tcPr>
            <w:tcW w:w="3652"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Telephone</w:t>
            </w:r>
          </w:p>
        </w:tc>
        <w:tc>
          <w:tcPr>
            <w:tcW w:w="5387" w:type="dxa"/>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51-1-6318000 Ax. 1561</w:t>
            </w:r>
          </w:p>
        </w:tc>
      </w:tr>
      <w:tr w:rsidR="000834F6" w:rsidRPr="0095252E" w:rsidTr="009E1946">
        <w:tc>
          <w:tcPr>
            <w:tcW w:w="1526" w:type="dxa"/>
            <w:vMerge w:val="restart"/>
            <w:shd w:val="clear" w:color="auto" w:fill="C6D9F1"/>
            <w:vAlign w:val="center"/>
          </w:tcPr>
          <w:p w:rsidR="000834F6" w:rsidRPr="0095252E" w:rsidRDefault="00596BF3" w:rsidP="009E1946">
            <w:pPr>
              <w:rPr>
                <w:rFonts w:ascii="Calibri" w:eastAsia="Calibri" w:hAnsi="Calibri" w:cs="Times New Roman"/>
                <w:b/>
                <w:lang w:val="en-US"/>
              </w:rPr>
            </w:pPr>
            <w:r>
              <w:rPr>
                <w:rFonts w:ascii="Calibri" w:eastAsia="Calibri" w:hAnsi="Calibri" w:cs="Times New Roman"/>
                <w:b/>
                <w:lang w:val="en-US"/>
              </w:rPr>
              <w:t>Other parties involved</w:t>
            </w:r>
          </w:p>
        </w:tc>
        <w:tc>
          <w:tcPr>
            <w:tcW w:w="2126" w:type="dxa"/>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Government</w:t>
            </w:r>
          </w:p>
        </w:tc>
        <w:tc>
          <w:tcPr>
            <w:tcW w:w="5387" w:type="dxa"/>
          </w:tcPr>
          <w:p w:rsidR="000834F6" w:rsidRPr="0095252E" w:rsidRDefault="000834F6" w:rsidP="009E1946">
            <w:pPr>
              <w:rPr>
                <w:rFonts w:ascii="Calibri" w:eastAsia="Calibri" w:hAnsi="Calibri" w:cs="Times New Roman"/>
                <w:lang w:val="en-US"/>
              </w:rPr>
            </w:pPr>
            <w:r w:rsidRPr="0095252E">
              <w:rPr>
                <w:rFonts w:ascii="Calibri" w:eastAsia="Calibri" w:hAnsi="Calibri" w:cs="Times New Roman"/>
                <w:lang w:val="en-US"/>
              </w:rPr>
              <w:t>Not applicable</w:t>
            </w:r>
          </w:p>
        </w:tc>
      </w:tr>
      <w:tr w:rsidR="000834F6" w:rsidRPr="00003DBC" w:rsidTr="009E1946">
        <w:trPr>
          <w:trHeight w:val="1170"/>
        </w:trPr>
        <w:tc>
          <w:tcPr>
            <w:tcW w:w="1526" w:type="dxa"/>
            <w:vMerge/>
            <w:shd w:val="clear" w:color="auto" w:fill="C6D9F1"/>
            <w:vAlign w:val="center"/>
          </w:tcPr>
          <w:p w:rsidR="000834F6" w:rsidRPr="0095252E" w:rsidRDefault="000834F6" w:rsidP="009E1946">
            <w:pPr>
              <w:rPr>
                <w:rFonts w:ascii="Calibri" w:eastAsia="Calibri" w:hAnsi="Calibri" w:cs="Times New Roman"/>
                <w:b/>
                <w:lang w:val="en-US"/>
              </w:rPr>
            </w:pPr>
          </w:p>
        </w:tc>
        <w:tc>
          <w:tcPr>
            <w:tcW w:w="2126" w:type="dxa"/>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Civil society, private initiative, multilateral or work groups</w:t>
            </w:r>
          </w:p>
        </w:tc>
        <w:tc>
          <w:tcPr>
            <w:tcW w:w="5387" w:type="dxa"/>
          </w:tcPr>
          <w:p w:rsidR="000834F6" w:rsidRPr="0095252E" w:rsidRDefault="000834F6" w:rsidP="009E1946">
            <w:pPr>
              <w:rPr>
                <w:rFonts w:ascii="Calibri" w:eastAsia="Calibri" w:hAnsi="Calibri" w:cs="Times New Roman"/>
                <w:lang w:val="en-US"/>
              </w:rPr>
            </w:pPr>
          </w:p>
        </w:tc>
      </w:tr>
      <w:tr w:rsidR="000834F6" w:rsidRPr="00003DBC" w:rsidTr="009E1946">
        <w:tc>
          <w:tcPr>
            <w:tcW w:w="3652"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Status quo or problem/</w:t>
            </w:r>
            <w:r w:rsidRPr="0095252E">
              <w:rPr>
                <w:rFonts w:ascii="Calibri" w:eastAsia="Calibri" w:hAnsi="Calibri" w:cs="Times New Roman"/>
                <w:b/>
                <w:lang w:val="en-US"/>
              </w:rPr>
              <w:br/>
              <w:t>challenge to be attended</w:t>
            </w:r>
          </w:p>
        </w:tc>
        <w:tc>
          <w:tcPr>
            <w:tcW w:w="5387" w:type="dxa"/>
          </w:tcPr>
          <w:p w:rsidR="000834F6" w:rsidRPr="0095252E" w:rsidRDefault="000834F6" w:rsidP="009E1946">
            <w:pPr>
              <w:jc w:val="both"/>
              <w:rPr>
                <w:rFonts w:ascii="Calibri" w:eastAsia="Calibri" w:hAnsi="Calibri" w:cs="Times New Roman"/>
                <w:lang w:val="en-US"/>
              </w:rPr>
            </w:pPr>
            <w:r w:rsidRPr="0095252E">
              <w:rPr>
                <w:rFonts w:ascii="Calibri" w:eastAsia="Calibri" w:hAnsi="Calibri" w:cs="Times New Roman"/>
                <w:lang w:val="en-US"/>
              </w:rPr>
              <w:t>Although the country has the Household Targeting System (SISFOH), which has the information of citizens with their respective socioeconomic classification (CSE), it is necessary to have a Registry of people who are affiliated to a Social Program and/or State subsidies (PPSS).</w:t>
            </w:r>
          </w:p>
        </w:tc>
      </w:tr>
      <w:tr w:rsidR="000834F6" w:rsidRPr="00003DBC" w:rsidTr="009E1946">
        <w:tc>
          <w:tcPr>
            <w:tcW w:w="3652"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Main objective</w:t>
            </w:r>
          </w:p>
        </w:tc>
        <w:tc>
          <w:tcPr>
            <w:tcW w:w="5387" w:type="dxa"/>
          </w:tcPr>
          <w:p w:rsidR="000834F6" w:rsidRPr="0095252E" w:rsidRDefault="000834F6" w:rsidP="009E1946">
            <w:pPr>
              <w:jc w:val="both"/>
              <w:rPr>
                <w:rFonts w:ascii="Calibri" w:eastAsia="Calibri" w:hAnsi="Calibri" w:cs="Times New Roman"/>
                <w:bCs/>
                <w:lang w:val="en-US"/>
              </w:rPr>
            </w:pPr>
            <w:r w:rsidRPr="0095252E">
              <w:rPr>
                <w:rFonts w:ascii="Calibri" w:eastAsia="Calibri" w:hAnsi="Calibri" w:cs="Times New Roman"/>
                <w:bCs/>
                <w:lang w:val="en-US"/>
              </w:rPr>
              <w:t>Improving transparency on users of Social Programs that the State is in charge of with updated information, in order to know in more detail the location of the population served. This will also promote citizen surveillance in the provision of services provided by these programs.</w:t>
            </w:r>
          </w:p>
        </w:tc>
      </w:tr>
      <w:tr w:rsidR="000834F6" w:rsidRPr="00003DBC" w:rsidTr="009E1946">
        <w:tc>
          <w:tcPr>
            <w:tcW w:w="3652"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Brief description of the commitment</w:t>
            </w:r>
          </w:p>
        </w:tc>
        <w:tc>
          <w:tcPr>
            <w:tcW w:w="5387" w:type="dxa"/>
          </w:tcPr>
          <w:p w:rsidR="000834F6" w:rsidRPr="0095252E" w:rsidRDefault="000834F6" w:rsidP="009E1946">
            <w:pPr>
              <w:jc w:val="both"/>
              <w:rPr>
                <w:rFonts w:ascii="Calibri" w:eastAsia="Calibri" w:hAnsi="Calibri" w:cs="Times New Roman"/>
                <w:lang w:val="en-US"/>
              </w:rPr>
            </w:pPr>
            <w:r w:rsidRPr="0095252E">
              <w:rPr>
                <w:rFonts w:ascii="Calibri" w:eastAsia="Calibri" w:hAnsi="Calibri" w:cs="Times New Roman"/>
                <w:lang w:val="en-US"/>
              </w:rPr>
              <w:t>Promoting more information about users and coverage of social programs, which will improve the targeting of the target audience and the promotion of citizen participation and surveillance.</w:t>
            </w:r>
          </w:p>
        </w:tc>
      </w:tr>
      <w:tr w:rsidR="000834F6" w:rsidRPr="00003DBC" w:rsidTr="009E1946">
        <w:tc>
          <w:tcPr>
            <w:tcW w:w="3652"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Relevance</w:t>
            </w:r>
          </w:p>
          <w:p w:rsidR="000834F6" w:rsidRPr="0095252E" w:rsidRDefault="000834F6" w:rsidP="009E1946">
            <w:pPr>
              <w:rPr>
                <w:rFonts w:ascii="Calibri" w:eastAsia="Calibri" w:hAnsi="Calibri" w:cs="Times New Roman"/>
                <w:b/>
                <w:lang w:val="en-US"/>
              </w:rPr>
            </w:pPr>
          </w:p>
        </w:tc>
        <w:tc>
          <w:tcPr>
            <w:tcW w:w="5387" w:type="dxa"/>
          </w:tcPr>
          <w:p w:rsidR="000834F6" w:rsidRPr="0095252E" w:rsidRDefault="000834F6" w:rsidP="009E1946">
            <w:pPr>
              <w:jc w:val="both"/>
              <w:rPr>
                <w:rFonts w:ascii="Calibri" w:eastAsia="Calibri" w:hAnsi="Calibri" w:cs="Times New Roman"/>
                <w:lang w:val="en-US"/>
              </w:rPr>
            </w:pPr>
            <w:r w:rsidRPr="0095252E">
              <w:rPr>
                <w:rFonts w:ascii="Calibri" w:eastAsia="Calibri" w:hAnsi="Calibri" w:cs="Times New Roman"/>
                <w:lang w:val="en-US"/>
              </w:rPr>
              <w:t>Have a registry that concentrates the database of information of all users affiliated to the Social Programs or subsidies of the State, through a web application that can be consulted by citizens, strengthens the transparency of the entity and promotes The right of citizens to access public information.</w:t>
            </w:r>
          </w:p>
        </w:tc>
      </w:tr>
      <w:tr w:rsidR="000834F6" w:rsidRPr="00003DBC" w:rsidTr="009E1946">
        <w:tc>
          <w:tcPr>
            <w:tcW w:w="3652"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Ambition</w:t>
            </w:r>
          </w:p>
          <w:p w:rsidR="000834F6" w:rsidRPr="0095252E" w:rsidRDefault="000834F6" w:rsidP="009E1946">
            <w:pPr>
              <w:rPr>
                <w:rFonts w:ascii="Calibri" w:eastAsia="Calibri" w:hAnsi="Calibri" w:cs="Times New Roman"/>
                <w:b/>
                <w:iCs/>
                <w:lang w:val="en-US"/>
              </w:rPr>
            </w:pPr>
          </w:p>
        </w:tc>
        <w:tc>
          <w:tcPr>
            <w:tcW w:w="5387" w:type="dxa"/>
          </w:tcPr>
          <w:p w:rsidR="000834F6" w:rsidRPr="0095252E" w:rsidRDefault="000834F6" w:rsidP="009E1946">
            <w:pPr>
              <w:jc w:val="both"/>
              <w:rPr>
                <w:rFonts w:ascii="Calibri" w:eastAsia="Calibri" w:hAnsi="Calibri" w:cs="Times New Roman"/>
                <w:lang w:val="en-US"/>
              </w:rPr>
            </w:pPr>
            <w:r w:rsidRPr="0095252E">
              <w:rPr>
                <w:rFonts w:ascii="Calibri" w:eastAsia="Calibri" w:hAnsi="Calibri" w:cs="Times New Roman"/>
                <w:lang w:val="en-US"/>
              </w:rPr>
              <w:t>It is expected to have an updated application according to its established regulations and processes that has the proper diffusion that allows, through its use, to improve the targeting of the recipients and to promote citizen participation and surveillance.</w:t>
            </w:r>
          </w:p>
        </w:tc>
      </w:tr>
    </w:tbl>
    <w:p w:rsidR="00CE637F" w:rsidRPr="0095252E" w:rsidRDefault="00CE637F">
      <w:pPr>
        <w:rPr>
          <w:lang w:val="en-US"/>
        </w:rPr>
      </w:pPr>
    </w:p>
    <w:p w:rsidR="00CE637F" w:rsidRPr="0095252E" w:rsidRDefault="00CE637F">
      <w:pPr>
        <w:rPr>
          <w:lang w:val="en-US"/>
        </w:rPr>
      </w:pPr>
    </w:p>
    <w:tbl>
      <w:tblPr>
        <w:tblStyle w:val="Tablaconcuadrcula1"/>
        <w:tblW w:w="9039" w:type="dxa"/>
        <w:tblLayout w:type="fixed"/>
        <w:tblLook w:val="04A0" w:firstRow="1" w:lastRow="0" w:firstColumn="1" w:lastColumn="0" w:noHBand="0" w:noVBand="1"/>
      </w:tblPr>
      <w:tblGrid>
        <w:gridCol w:w="1951"/>
        <w:gridCol w:w="1701"/>
        <w:gridCol w:w="1729"/>
        <w:gridCol w:w="1644"/>
        <w:gridCol w:w="2014"/>
      </w:tblGrid>
      <w:tr w:rsidR="000834F6" w:rsidRPr="0095252E" w:rsidTr="009E1946">
        <w:tc>
          <w:tcPr>
            <w:tcW w:w="1951" w:type="dxa"/>
            <w:vMerge w:val="restart"/>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Compliance</w:t>
            </w:r>
          </w:p>
        </w:tc>
        <w:tc>
          <w:tcPr>
            <w:tcW w:w="1701" w:type="dxa"/>
            <w:shd w:val="clear" w:color="auto" w:fill="C6D9F1"/>
          </w:tcPr>
          <w:p w:rsidR="000834F6" w:rsidRPr="0095252E" w:rsidRDefault="00596BF3" w:rsidP="009E1946">
            <w:pPr>
              <w:rPr>
                <w:rFonts w:ascii="Calibri" w:eastAsia="Calibri" w:hAnsi="Calibri" w:cs="Times New Roman"/>
                <w:b/>
                <w:lang w:val="en-US"/>
              </w:rPr>
            </w:pPr>
            <w:r>
              <w:rPr>
                <w:rFonts w:ascii="Calibri" w:eastAsia="Calibri" w:hAnsi="Calibri" w:cs="Times New Roman"/>
                <w:b/>
                <w:lang w:val="en-US"/>
              </w:rPr>
              <w:t>Uninitiated</w:t>
            </w:r>
          </w:p>
        </w:tc>
        <w:tc>
          <w:tcPr>
            <w:tcW w:w="1729" w:type="dxa"/>
            <w:shd w:val="clear" w:color="auto" w:fill="C6D9F1"/>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Limited</w:t>
            </w:r>
          </w:p>
        </w:tc>
        <w:tc>
          <w:tcPr>
            <w:tcW w:w="1644" w:type="dxa"/>
            <w:shd w:val="clear" w:color="auto" w:fill="C6D9F1"/>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Substantial</w:t>
            </w:r>
          </w:p>
        </w:tc>
        <w:tc>
          <w:tcPr>
            <w:tcW w:w="2014" w:type="dxa"/>
            <w:shd w:val="clear" w:color="auto" w:fill="C6D9F1"/>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Complete</w:t>
            </w:r>
          </w:p>
        </w:tc>
      </w:tr>
      <w:tr w:rsidR="000834F6" w:rsidRPr="0095252E" w:rsidTr="009E1946">
        <w:tc>
          <w:tcPr>
            <w:tcW w:w="1951" w:type="dxa"/>
            <w:vMerge/>
            <w:shd w:val="clear" w:color="auto" w:fill="C6D9F1"/>
            <w:vAlign w:val="center"/>
          </w:tcPr>
          <w:p w:rsidR="000834F6" w:rsidRPr="0095252E" w:rsidRDefault="000834F6" w:rsidP="009E1946">
            <w:pPr>
              <w:rPr>
                <w:rFonts w:ascii="Calibri" w:eastAsia="Calibri" w:hAnsi="Calibri" w:cs="Times New Roman"/>
                <w:b/>
                <w:lang w:val="en-US"/>
              </w:rPr>
            </w:pPr>
          </w:p>
        </w:tc>
        <w:tc>
          <w:tcPr>
            <w:tcW w:w="1701" w:type="dxa"/>
          </w:tcPr>
          <w:p w:rsidR="000834F6" w:rsidRPr="0095252E" w:rsidRDefault="000834F6" w:rsidP="009E1946">
            <w:pPr>
              <w:rPr>
                <w:rFonts w:ascii="Calibri" w:eastAsia="Calibri" w:hAnsi="Calibri" w:cs="Times New Roman"/>
                <w:b/>
                <w:lang w:val="en-US"/>
              </w:rPr>
            </w:pPr>
          </w:p>
        </w:tc>
        <w:tc>
          <w:tcPr>
            <w:tcW w:w="1729" w:type="dxa"/>
          </w:tcPr>
          <w:p w:rsidR="000834F6" w:rsidRPr="0095252E" w:rsidRDefault="000834F6" w:rsidP="009E1946">
            <w:pPr>
              <w:rPr>
                <w:rFonts w:ascii="Calibri" w:eastAsia="Calibri" w:hAnsi="Calibri" w:cs="Times New Roman"/>
                <w:b/>
                <w:lang w:val="en-US"/>
              </w:rPr>
            </w:pPr>
          </w:p>
        </w:tc>
        <w:tc>
          <w:tcPr>
            <w:tcW w:w="1644" w:type="dxa"/>
          </w:tcPr>
          <w:p w:rsidR="000834F6" w:rsidRPr="0095252E" w:rsidRDefault="000834F6" w:rsidP="009E1946">
            <w:pPr>
              <w:jc w:val="center"/>
              <w:rPr>
                <w:rFonts w:ascii="Calibri" w:eastAsia="Calibri" w:hAnsi="Calibri" w:cs="Times New Roman"/>
                <w:b/>
                <w:lang w:val="en-US"/>
              </w:rPr>
            </w:pPr>
            <w:r w:rsidRPr="0095252E">
              <w:rPr>
                <w:rFonts w:ascii="Calibri" w:eastAsia="Calibri" w:hAnsi="Calibri" w:cs="Times New Roman"/>
                <w:b/>
                <w:lang w:val="en-US"/>
              </w:rPr>
              <w:t>X</w:t>
            </w:r>
          </w:p>
        </w:tc>
        <w:tc>
          <w:tcPr>
            <w:tcW w:w="2014" w:type="dxa"/>
            <w:shd w:val="clear" w:color="auto" w:fill="FFFFFF"/>
          </w:tcPr>
          <w:p w:rsidR="000834F6" w:rsidRPr="0095252E" w:rsidRDefault="000834F6" w:rsidP="009E1946">
            <w:pPr>
              <w:rPr>
                <w:rFonts w:ascii="Calibri" w:eastAsia="Calibri" w:hAnsi="Calibri" w:cs="Times New Roman"/>
                <w:b/>
                <w:lang w:val="en-US"/>
              </w:rPr>
            </w:pPr>
          </w:p>
        </w:tc>
      </w:tr>
      <w:tr w:rsidR="000834F6" w:rsidRPr="00003DBC" w:rsidTr="009E1946">
        <w:trPr>
          <w:trHeight w:val="6616"/>
        </w:trPr>
        <w:tc>
          <w:tcPr>
            <w:tcW w:w="1951" w:type="dxa"/>
            <w:shd w:val="clear" w:color="auto" w:fill="C6D9F1"/>
            <w:vAlign w:val="center"/>
          </w:tcPr>
          <w:p w:rsidR="000834F6" w:rsidRPr="0095252E" w:rsidRDefault="00DA118E" w:rsidP="009E1946">
            <w:pPr>
              <w:rPr>
                <w:rFonts w:ascii="Calibri" w:eastAsia="Calibri" w:hAnsi="Calibri" w:cs="Times New Roman"/>
                <w:b/>
                <w:lang w:val="en-US"/>
              </w:rPr>
            </w:pPr>
            <w:r>
              <w:rPr>
                <w:rFonts w:ascii="Calibri" w:eastAsia="Calibri" w:hAnsi="Calibri" w:cs="Times New Roman"/>
                <w:b/>
                <w:lang w:val="en-US"/>
              </w:rPr>
              <w:lastRenderedPageBreak/>
              <w:t>Result description</w:t>
            </w:r>
          </w:p>
          <w:p w:rsidR="000834F6" w:rsidRPr="0095252E" w:rsidRDefault="000834F6" w:rsidP="009E1946">
            <w:pPr>
              <w:rPr>
                <w:rFonts w:ascii="Calibri" w:eastAsia="Calibri" w:hAnsi="Calibri" w:cs="Times New Roman"/>
                <w:b/>
                <w:iCs/>
                <w:lang w:val="en-US"/>
              </w:rPr>
            </w:pPr>
          </w:p>
        </w:tc>
        <w:tc>
          <w:tcPr>
            <w:tcW w:w="7088" w:type="dxa"/>
            <w:gridSpan w:val="4"/>
          </w:tcPr>
          <w:tbl>
            <w:tblPr>
              <w:tblW w:w="6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7"/>
              <w:gridCol w:w="865"/>
              <w:gridCol w:w="28"/>
              <w:gridCol w:w="737"/>
              <w:gridCol w:w="2782"/>
            </w:tblGrid>
            <w:tr w:rsidR="000834F6" w:rsidRPr="0095252E" w:rsidTr="009E1946">
              <w:trPr>
                <w:trHeight w:val="793"/>
              </w:trPr>
              <w:tc>
                <w:tcPr>
                  <w:tcW w:w="2467" w:type="dxa"/>
                  <w:vMerge w:val="restart"/>
                  <w:shd w:val="clear" w:color="000000" w:fill="DCE6F1"/>
                  <w:noWrap/>
                  <w:vAlign w:val="center"/>
                  <w:hideMark/>
                </w:tcPr>
                <w:p w:rsidR="000834F6" w:rsidRPr="0095252E" w:rsidRDefault="000834F6" w:rsidP="009E1946">
                  <w:pPr>
                    <w:spacing w:after="0" w:line="240" w:lineRule="auto"/>
                    <w:jc w:val="center"/>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ACTIVITY</w:t>
                  </w:r>
                </w:p>
              </w:tc>
              <w:tc>
                <w:tcPr>
                  <w:tcW w:w="865" w:type="dxa"/>
                  <w:vMerge w:val="restart"/>
                  <w:shd w:val="clear" w:color="000000" w:fill="DCE6F1"/>
                  <w:vAlign w:val="center"/>
                  <w:hideMark/>
                </w:tcPr>
                <w:p w:rsidR="000834F6" w:rsidRPr="0095252E" w:rsidRDefault="000834F6" w:rsidP="009E1946">
                  <w:pPr>
                    <w:spacing w:after="0" w:line="240" w:lineRule="auto"/>
                    <w:jc w:val="center"/>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PROGRESS</w:t>
                  </w:r>
                </w:p>
                <w:p w:rsidR="000834F6" w:rsidRPr="0095252E" w:rsidRDefault="000834F6" w:rsidP="009E1946">
                  <w:pPr>
                    <w:spacing w:after="0" w:line="240" w:lineRule="auto"/>
                    <w:jc w:val="center"/>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LEVEL</w:t>
                  </w:r>
                </w:p>
                <w:p w:rsidR="000834F6" w:rsidRPr="0095252E" w:rsidRDefault="000834F6" w:rsidP="009E1946">
                  <w:pPr>
                    <w:spacing w:after="0" w:line="240" w:lineRule="auto"/>
                    <w:jc w:val="center"/>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2016</w:t>
                  </w:r>
                </w:p>
              </w:tc>
              <w:tc>
                <w:tcPr>
                  <w:tcW w:w="765" w:type="dxa"/>
                  <w:gridSpan w:val="2"/>
                  <w:vMerge w:val="restart"/>
                  <w:shd w:val="clear" w:color="000000" w:fill="DCE6F1"/>
                  <w:vAlign w:val="center"/>
                  <w:hideMark/>
                </w:tcPr>
                <w:p w:rsidR="000834F6" w:rsidRPr="0095252E" w:rsidRDefault="000834F6" w:rsidP="009E1946">
                  <w:pPr>
                    <w:spacing w:after="0" w:line="240" w:lineRule="auto"/>
                    <w:jc w:val="center"/>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*END DATE</w:t>
                  </w:r>
                </w:p>
              </w:tc>
              <w:tc>
                <w:tcPr>
                  <w:tcW w:w="2782" w:type="dxa"/>
                  <w:vMerge w:val="restart"/>
                  <w:shd w:val="clear" w:color="000000" w:fill="DCE6F1"/>
                  <w:vAlign w:val="center"/>
                  <w:hideMark/>
                </w:tcPr>
                <w:p w:rsidR="000834F6" w:rsidRPr="0095252E" w:rsidRDefault="000834F6" w:rsidP="009E1946">
                  <w:pPr>
                    <w:spacing w:after="0" w:line="240" w:lineRule="auto"/>
                    <w:jc w:val="center"/>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RECORDED PROGRESS</w:t>
                  </w:r>
                </w:p>
              </w:tc>
            </w:tr>
            <w:tr w:rsidR="000834F6" w:rsidRPr="0095252E" w:rsidTr="009E1946">
              <w:trPr>
                <w:trHeight w:val="509"/>
              </w:trPr>
              <w:tc>
                <w:tcPr>
                  <w:tcW w:w="2467" w:type="dxa"/>
                  <w:vMerge/>
                  <w:vAlign w:val="center"/>
                  <w:hideMark/>
                </w:tcPr>
                <w:p w:rsidR="000834F6" w:rsidRPr="0095252E" w:rsidRDefault="000834F6" w:rsidP="009E1946">
                  <w:pPr>
                    <w:spacing w:after="0" w:line="240" w:lineRule="auto"/>
                    <w:rPr>
                      <w:rFonts w:ascii="Calibri" w:eastAsia="Times New Roman" w:hAnsi="Calibri" w:cs="Times New Roman"/>
                      <w:color w:val="000000"/>
                      <w:sz w:val="16"/>
                      <w:szCs w:val="16"/>
                      <w:lang w:val="en-US" w:eastAsia="es-PE"/>
                    </w:rPr>
                  </w:pPr>
                </w:p>
              </w:tc>
              <w:tc>
                <w:tcPr>
                  <w:tcW w:w="865" w:type="dxa"/>
                  <w:vMerge/>
                  <w:vAlign w:val="center"/>
                  <w:hideMark/>
                </w:tcPr>
                <w:p w:rsidR="000834F6" w:rsidRPr="0095252E" w:rsidRDefault="000834F6" w:rsidP="009E1946">
                  <w:pPr>
                    <w:spacing w:after="0" w:line="240" w:lineRule="auto"/>
                    <w:rPr>
                      <w:rFonts w:ascii="Calibri" w:eastAsia="Times New Roman" w:hAnsi="Calibri" w:cs="Times New Roman"/>
                      <w:color w:val="000000"/>
                      <w:sz w:val="16"/>
                      <w:szCs w:val="16"/>
                      <w:lang w:val="en-US" w:eastAsia="es-PE"/>
                    </w:rPr>
                  </w:pPr>
                </w:p>
              </w:tc>
              <w:tc>
                <w:tcPr>
                  <w:tcW w:w="765" w:type="dxa"/>
                  <w:gridSpan w:val="2"/>
                  <w:vMerge/>
                  <w:vAlign w:val="center"/>
                  <w:hideMark/>
                </w:tcPr>
                <w:p w:rsidR="000834F6" w:rsidRPr="0095252E" w:rsidRDefault="000834F6" w:rsidP="009E1946">
                  <w:pPr>
                    <w:spacing w:after="0" w:line="240" w:lineRule="auto"/>
                    <w:rPr>
                      <w:rFonts w:ascii="Calibri" w:eastAsia="Times New Roman" w:hAnsi="Calibri" w:cs="Times New Roman"/>
                      <w:color w:val="000000"/>
                      <w:sz w:val="16"/>
                      <w:szCs w:val="16"/>
                      <w:lang w:val="en-US" w:eastAsia="es-PE"/>
                    </w:rPr>
                  </w:pPr>
                </w:p>
              </w:tc>
              <w:tc>
                <w:tcPr>
                  <w:tcW w:w="2782" w:type="dxa"/>
                  <w:vMerge/>
                  <w:vAlign w:val="center"/>
                  <w:hideMark/>
                </w:tcPr>
                <w:p w:rsidR="000834F6" w:rsidRPr="0095252E" w:rsidRDefault="000834F6" w:rsidP="009E1946">
                  <w:pPr>
                    <w:spacing w:after="0" w:line="240" w:lineRule="auto"/>
                    <w:rPr>
                      <w:rFonts w:ascii="Calibri" w:eastAsia="Times New Roman" w:hAnsi="Calibri" w:cs="Times New Roman"/>
                      <w:color w:val="000000"/>
                      <w:sz w:val="16"/>
                      <w:szCs w:val="16"/>
                      <w:lang w:val="en-US" w:eastAsia="es-PE"/>
                    </w:rPr>
                  </w:pPr>
                </w:p>
              </w:tc>
            </w:tr>
            <w:tr w:rsidR="000834F6" w:rsidRPr="00003DBC" w:rsidTr="009E1946">
              <w:trPr>
                <w:trHeight w:val="359"/>
              </w:trPr>
              <w:tc>
                <w:tcPr>
                  <w:tcW w:w="6879" w:type="dxa"/>
                  <w:gridSpan w:val="5"/>
                  <w:shd w:val="clear" w:color="000000" w:fill="DCE6F1"/>
                  <w:vAlign w:val="center"/>
                  <w:hideMark/>
                </w:tcPr>
                <w:p w:rsidR="000834F6" w:rsidRPr="0095252E" w:rsidRDefault="000834F6" w:rsidP="009E1946">
                  <w:pPr>
                    <w:spacing w:after="0" w:line="240" w:lineRule="auto"/>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TRANSPARENCY AND ACCESS TO PUBLIC INFORMATION</w:t>
                  </w:r>
                </w:p>
              </w:tc>
            </w:tr>
            <w:tr w:rsidR="000834F6" w:rsidRPr="00003DBC" w:rsidTr="009E1946">
              <w:trPr>
                <w:trHeight w:val="2620"/>
              </w:trPr>
              <w:tc>
                <w:tcPr>
                  <w:tcW w:w="2467" w:type="dxa"/>
                  <w:shd w:val="clear" w:color="auto" w:fill="auto"/>
                  <w:vAlign w:val="center"/>
                  <w:hideMark/>
                </w:tcPr>
                <w:p w:rsidR="000834F6" w:rsidRPr="0095252E" w:rsidRDefault="000834F6" w:rsidP="009E1946">
                  <w:pPr>
                    <w:spacing w:after="0" w:line="240" w:lineRule="auto"/>
                    <w:jc w:val="both"/>
                    <w:rPr>
                      <w:rFonts w:ascii="Calibri" w:eastAsia="Times New Roman" w:hAnsi="Calibri" w:cs="Times New Roman"/>
                      <w:b/>
                      <w:i/>
                      <w:color w:val="000000"/>
                      <w:sz w:val="16"/>
                      <w:szCs w:val="16"/>
                      <w:lang w:val="en-US" w:eastAsia="es-PE"/>
                    </w:rPr>
                  </w:pPr>
                  <w:r w:rsidRPr="0095252E">
                    <w:rPr>
                      <w:rFonts w:ascii="Calibri" w:eastAsia="Times New Roman" w:hAnsi="Calibri" w:cs="Times New Roman"/>
                      <w:b/>
                      <w:i/>
                      <w:color w:val="000000"/>
                      <w:sz w:val="16"/>
                      <w:szCs w:val="16"/>
                      <w:lang w:val="en-US" w:eastAsia="es-PE"/>
                    </w:rPr>
                    <w:t>1. National Registry of Users (RNU) prepared that will concentrate the databases of the information from all the users affiliated to the Social Programs or State subsidies, which is provided by each responsible sector and institution. This registry can be consulted by citizens through a web application.</w:t>
                  </w:r>
                </w:p>
              </w:tc>
              <w:tc>
                <w:tcPr>
                  <w:tcW w:w="893" w:type="dxa"/>
                  <w:gridSpan w:val="2"/>
                  <w:shd w:val="clear" w:color="auto" w:fill="auto"/>
                  <w:noWrap/>
                  <w:vAlign w:val="center"/>
                  <w:hideMark/>
                </w:tcPr>
                <w:p w:rsidR="000834F6" w:rsidRPr="0095252E" w:rsidRDefault="000834F6" w:rsidP="009E1946">
                  <w:pPr>
                    <w:spacing w:after="0" w:line="240" w:lineRule="auto"/>
                    <w:jc w:val="center"/>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60%</w:t>
                  </w:r>
                </w:p>
              </w:tc>
              <w:tc>
                <w:tcPr>
                  <w:tcW w:w="737" w:type="dxa"/>
                  <w:shd w:val="clear" w:color="000000" w:fill="FFFFFF"/>
                  <w:noWrap/>
                  <w:vAlign w:val="center"/>
                  <w:hideMark/>
                </w:tcPr>
                <w:p w:rsidR="000834F6" w:rsidRPr="0095252E" w:rsidRDefault="000834F6" w:rsidP="009E1946">
                  <w:pPr>
                    <w:spacing w:after="0" w:line="240" w:lineRule="auto"/>
                    <w:jc w:val="center"/>
                    <w:rPr>
                      <w:rFonts w:ascii="Calibri" w:eastAsia="Times New Roman" w:hAnsi="Calibri" w:cs="Times New Roman"/>
                      <w:b/>
                      <w:bCs/>
                      <w:color w:val="000000"/>
                      <w:sz w:val="16"/>
                      <w:szCs w:val="16"/>
                      <w:lang w:val="en-US" w:eastAsia="es-PE"/>
                    </w:rPr>
                  </w:pPr>
                  <w:r w:rsidRPr="0095252E">
                    <w:rPr>
                      <w:rFonts w:ascii="Calibri" w:eastAsia="Times New Roman" w:hAnsi="Calibri" w:cs="Times New Roman"/>
                      <w:b/>
                      <w:bCs/>
                      <w:color w:val="000000"/>
                      <w:sz w:val="16"/>
                      <w:szCs w:val="16"/>
                      <w:lang w:val="en-US" w:eastAsia="es-PE"/>
                    </w:rPr>
                    <w:t>Dec. 2016</w:t>
                  </w:r>
                </w:p>
              </w:tc>
              <w:tc>
                <w:tcPr>
                  <w:tcW w:w="2782" w:type="dxa"/>
                  <w:shd w:val="clear" w:color="000000" w:fill="FFFFFF"/>
                  <w:vAlign w:val="center"/>
                  <w:hideMark/>
                </w:tcPr>
                <w:p w:rsidR="000834F6" w:rsidRPr="0095252E" w:rsidRDefault="000834F6" w:rsidP="009E1946">
                  <w:pPr>
                    <w:spacing w:after="0" w:line="240" w:lineRule="auto"/>
                    <w:jc w:val="both"/>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The General Directorate of User Management informs that Ministerial Resolution No. 159-2016-MIDIS, dated 07.26.2016, approved Directive No. 006-2016-MIDIS, "Provisions that regulate the operation of the National Registry of Users (RNU), which establishes the provisions and processes that allow the implementation and updating of the National Registry of Users (RNU).</w:t>
                  </w:r>
                </w:p>
              </w:tc>
            </w:tr>
            <w:tr w:rsidR="000834F6" w:rsidRPr="00003DBC" w:rsidTr="009E1946">
              <w:trPr>
                <w:trHeight w:val="555"/>
              </w:trPr>
              <w:tc>
                <w:tcPr>
                  <w:tcW w:w="2467" w:type="dxa"/>
                  <w:shd w:val="clear" w:color="auto" w:fill="auto"/>
                  <w:vAlign w:val="center"/>
                  <w:hideMark/>
                </w:tcPr>
                <w:p w:rsidR="000834F6" w:rsidRPr="0095252E" w:rsidRDefault="000834F6" w:rsidP="009E1946">
                  <w:pPr>
                    <w:spacing w:after="0" w:line="240" w:lineRule="auto"/>
                    <w:jc w:val="both"/>
                    <w:rPr>
                      <w:rFonts w:ascii="Calibri" w:eastAsia="Times New Roman" w:hAnsi="Calibri" w:cs="Times New Roman"/>
                      <w:b/>
                      <w:i/>
                      <w:color w:val="000000"/>
                      <w:sz w:val="16"/>
                      <w:szCs w:val="16"/>
                      <w:lang w:val="en-US" w:eastAsia="es-PE"/>
                    </w:rPr>
                  </w:pPr>
                  <w:r w:rsidRPr="0095252E">
                    <w:rPr>
                      <w:rFonts w:ascii="Calibri" w:eastAsia="Times New Roman" w:hAnsi="Calibri" w:cs="Times New Roman"/>
                      <w:b/>
                      <w:i/>
                      <w:color w:val="000000"/>
                      <w:sz w:val="16"/>
                      <w:szCs w:val="16"/>
                      <w:lang w:val="en-US" w:eastAsia="es-PE"/>
                    </w:rPr>
                    <w:t>2. Web application implemented and its dissemination on its use and benefits.</w:t>
                  </w:r>
                </w:p>
              </w:tc>
              <w:tc>
                <w:tcPr>
                  <w:tcW w:w="893" w:type="dxa"/>
                  <w:gridSpan w:val="2"/>
                  <w:shd w:val="clear" w:color="auto" w:fill="auto"/>
                  <w:noWrap/>
                  <w:vAlign w:val="center"/>
                  <w:hideMark/>
                </w:tcPr>
                <w:p w:rsidR="000834F6" w:rsidRPr="0095252E" w:rsidRDefault="000834F6" w:rsidP="009E1946">
                  <w:pPr>
                    <w:spacing w:after="0" w:line="240" w:lineRule="auto"/>
                    <w:jc w:val="center"/>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80%</w:t>
                  </w:r>
                </w:p>
              </w:tc>
              <w:tc>
                <w:tcPr>
                  <w:tcW w:w="737" w:type="dxa"/>
                  <w:shd w:val="clear" w:color="000000" w:fill="FFFFFF"/>
                  <w:noWrap/>
                  <w:vAlign w:val="center"/>
                  <w:hideMark/>
                </w:tcPr>
                <w:p w:rsidR="000834F6" w:rsidRPr="0095252E" w:rsidRDefault="000834F6" w:rsidP="009E1946">
                  <w:pPr>
                    <w:spacing w:after="0" w:line="240" w:lineRule="auto"/>
                    <w:jc w:val="center"/>
                    <w:rPr>
                      <w:rFonts w:ascii="Calibri" w:eastAsia="Times New Roman" w:hAnsi="Calibri" w:cs="Times New Roman"/>
                      <w:b/>
                      <w:bCs/>
                      <w:color w:val="000000"/>
                      <w:sz w:val="16"/>
                      <w:szCs w:val="16"/>
                      <w:lang w:val="en-US" w:eastAsia="es-PE"/>
                    </w:rPr>
                  </w:pPr>
                  <w:r w:rsidRPr="0095252E">
                    <w:rPr>
                      <w:rFonts w:ascii="Calibri" w:eastAsia="Times New Roman" w:hAnsi="Calibri" w:cs="Times New Roman"/>
                      <w:b/>
                      <w:bCs/>
                      <w:color w:val="000000"/>
                      <w:sz w:val="16"/>
                      <w:szCs w:val="16"/>
                      <w:lang w:val="en-US" w:eastAsia="es-PE"/>
                    </w:rPr>
                    <w:t>Jun. 2017</w:t>
                  </w:r>
                </w:p>
              </w:tc>
              <w:tc>
                <w:tcPr>
                  <w:tcW w:w="2782" w:type="dxa"/>
                  <w:shd w:val="clear" w:color="000000" w:fill="FFFFFF"/>
                  <w:vAlign w:val="center"/>
                  <w:hideMark/>
                </w:tcPr>
                <w:p w:rsidR="000834F6" w:rsidRPr="0095252E" w:rsidRDefault="000834F6" w:rsidP="009E1946">
                  <w:pPr>
                    <w:spacing w:after="0" w:line="240" w:lineRule="auto"/>
                    <w:jc w:val="both"/>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The Directorate General for User Management informs that, for the implementation and dissemination of the web application, it is necessary to adapt the applications that use the information of the RNU due to the modifications in the operation of the registry, established by the Directive, whose processes of adequacy are being carried out.</w:t>
                  </w:r>
                </w:p>
              </w:tc>
            </w:tr>
          </w:tbl>
          <w:p w:rsidR="000834F6" w:rsidRPr="0095252E" w:rsidRDefault="000834F6" w:rsidP="009E1946">
            <w:pPr>
              <w:rPr>
                <w:rFonts w:ascii="Calibri" w:eastAsia="Calibri" w:hAnsi="Calibri" w:cs="Times New Roman"/>
                <w:lang w:val="en-US"/>
              </w:rPr>
            </w:pPr>
            <w:r w:rsidRPr="0095252E">
              <w:rPr>
                <w:rFonts w:ascii="Calibri" w:eastAsia="Calibri" w:hAnsi="Calibri" w:cs="Times New Roman"/>
                <w:lang w:val="en-US"/>
              </w:rPr>
              <w:t>Source: Official letter No. 1218-2016-MIDIS/SG, del 09.16.16</w:t>
            </w:r>
          </w:p>
        </w:tc>
      </w:tr>
      <w:tr w:rsidR="000834F6" w:rsidRPr="0095252E" w:rsidTr="009E1946">
        <w:tc>
          <w:tcPr>
            <w:tcW w:w="1951" w:type="dxa"/>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Conclusion date</w:t>
            </w:r>
          </w:p>
        </w:tc>
        <w:tc>
          <w:tcPr>
            <w:tcW w:w="7088" w:type="dxa"/>
            <w:gridSpan w:val="4"/>
          </w:tcPr>
          <w:p w:rsidR="000834F6" w:rsidRPr="0095252E" w:rsidRDefault="000834F6" w:rsidP="009E1946">
            <w:pPr>
              <w:rPr>
                <w:rFonts w:ascii="Calibri" w:eastAsia="Calibri" w:hAnsi="Calibri" w:cs="Times New Roman"/>
                <w:lang w:val="en-US"/>
              </w:rPr>
            </w:pPr>
            <w:r w:rsidRPr="0095252E">
              <w:rPr>
                <w:rFonts w:ascii="Calibri" w:eastAsia="Calibri" w:hAnsi="Calibri" w:cs="Times New Roman"/>
                <w:lang w:val="en-US"/>
              </w:rPr>
              <w:t>June 2017</w:t>
            </w:r>
          </w:p>
        </w:tc>
      </w:tr>
      <w:tr w:rsidR="000834F6" w:rsidRPr="00003DBC" w:rsidTr="009E1946">
        <w:tc>
          <w:tcPr>
            <w:tcW w:w="1951" w:type="dxa"/>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Next step</w:t>
            </w:r>
          </w:p>
        </w:tc>
        <w:tc>
          <w:tcPr>
            <w:tcW w:w="7088" w:type="dxa"/>
            <w:gridSpan w:val="4"/>
          </w:tcPr>
          <w:p w:rsidR="000834F6" w:rsidRPr="0095252E" w:rsidRDefault="000834F6" w:rsidP="009E1946">
            <w:pPr>
              <w:jc w:val="both"/>
              <w:rPr>
                <w:rFonts w:ascii="Calibri" w:eastAsia="Calibri" w:hAnsi="Calibri" w:cs="Times New Roman"/>
                <w:lang w:val="en-US"/>
              </w:rPr>
            </w:pPr>
            <w:r w:rsidRPr="0095252E">
              <w:rPr>
                <w:rFonts w:ascii="Calibri" w:eastAsia="Calibri" w:hAnsi="Calibri" w:cs="Times New Roman"/>
                <w:lang w:val="en-US"/>
              </w:rPr>
              <w:t>The General Directorate of User Management requires the adaptation of the applications that use the information of the National Registry of Users, due to the modifications in the registry operation, established by the approved Directive.</w:t>
            </w:r>
          </w:p>
        </w:tc>
      </w:tr>
      <w:tr w:rsidR="000834F6" w:rsidRPr="0095252E" w:rsidTr="009E1946">
        <w:trPr>
          <w:trHeight w:val="410"/>
        </w:trPr>
        <w:tc>
          <w:tcPr>
            <w:tcW w:w="9039" w:type="dxa"/>
            <w:gridSpan w:val="5"/>
          </w:tcPr>
          <w:p w:rsidR="000834F6" w:rsidRPr="0095252E" w:rsidRDefault="000834F6" w:rsidP="009E1946">
            <w:pPr>
              <w:rPr>
                <w:rFonts w:ascii="Calibri" w:eastAsia="Calibri" w:hAnsi="Calibri" w:cs="Times New Roman"/>
                <w:lang w:val="en-US"/>
              </w:rPr>
            </w:pPr>
            <w:r w:rsidRPr="0095252E">
              <w:rPr>
                <w:rFonts w:ascii="Calibri" w:eastAsia="Calibri" w:hAnsi="Calibri" w:cs="Times New Roman"/>
                <w:b/>
                <w:lang w:val="en-US"/>
              </w:rPr>
              <w:t>Additional information</w:t>
            </w:r>
          </w:p>
        </w:tc>
      </w:tr>
    </w:tbl>
    <w:p w:rsidR="000834F6" w:rsidRPr="0095252E" w:rsidRDefault="000834F6" w:rsidP="000834F6">
      <w:pPr>
        <w:rPr>
          <w:lang w:val="en-US"/>
        </w:rPr>
      </w:pPr>
    </w:p>
    <w:p w:rsidR="000834F6" w:rsidRPr="0095252E" w:rsidRDefault="000834F6" w:rsidP="000834F6">
      <w:pPr>
        <w:spacing w:after="160" w:line="259" w:lineRule="auto"/>
        <w:rPr>
          <w:lang w:val="en-US"/>
        </w:rPr>
      </w:pPr>
      <w:r w:rsidRPr="0095252E">
        <w:rPr>
          <w:lang w:val="en-US"/>
        </w:rPr>
        <w:br w:type="page"/>
      </w:r>
    </w:p>
    <w:tbl>
      <w:tblPr>
        <w:tblStyle w:val="Tablaconcuadrcula2"/>
        <w:tblW w:w="9039" w:type="dxa"/>
        <w:tblLayout w:type="fixed"/>
        <w:tblLook w:val="04A0" w:firstRow="1" w:lastRow="0" w:firstColumn="1" w:lastColumn="0" w:noHBand="0" w:noVBand="1"/>
      </w:tblPr>
      <w:tblGrid>
        <w:gridCol w:w="2109"/>
        <w:gridCol w:w="2110"/>
        <w:gridCol w:w="4820"/>
      </w:tblGrid>
      <w:tr w:rsidR="000834F6" w:rsidRPr="00003DBC" w:rsidTr="009E1946">
        <w:tc>
          <w:tcPr>
            <w:tcW w:w="9039" w:type="dxa"/>
            <w:gridSpan w:val="3"/>
            <w:shd w:val="clear" w:color="auto" w:fill="548DD4"/>
          </w:tcPr>
          <w:p w:rsidR="000834F6" w:rsidRPr="0095252E" w:rsidRDefault="000834F6" w:rsidP="009E1946">
            <w:pPr>
              <w:ind w:left="720"/>
              <w:jc w:val="center"/>
              <w:rPr>
                <w:rFonts w:ascii="Calibri" w:eastAsia="Calibri" w:hAnsi="Calibri" w:cs="Times New Roman"/>
                <w:b/>
                <w:lang w:val="en-US"/>
              </w:rPr>
            </w:pPr>
            <w:r w:rsidRPr="0095252E">
              <w:rPr>
                <w:rFonts w:ascii="Calibri" w:eastAsia="Calibri" w:hAnsi="Calibri" w:cs="Times New Roman"/>
                <w:b/>
                <w:lang w:val="en-US"/>
              </w:rPr>
              <w:lastRenderedPageBreak/>
              <w:t xml:space="preserve">Component: Transparency and Access to Public Information </w:t>
            </w:r>
          </w:p>
        </w:tc>
      </w:tr>
      <w:tr w:rsidR="000834F6" w:rsidRPr="00003DBC" w:rsidTr="009E1946">
        <w:tc>
          <w:tcPr>
            <w:tcW w:w="9039" w:type="dxa"/>
            <w:gridSpan w:val="3"/>
            <w:shd w:val="clear" w:color="auto" w:fill="548DD4"/>
          </w:tcPr>
          <w:p w:rsidR="000834F6" w:rsidRPr="0095252E" w:rsidRDefault="000834F6" w:rsidP="009E1946">
            <w:pPr>
              <w:ind w:left="720"/>
              <w:contextualSpacing/>
              <w:rPr>
                <w:rFonts w:ascii="Calibri" w:eastAsia="Calibri" w:hAnsi="Calibri" w:cs="Times New Roman"/>
                <w:b/>
                <w:lang w:val="en-US"/>
              </w:rPr>
            </w:pPr>
            <w:r w:rsidRPr="0095252E">
              <w:rPr>
                <w:rFonts w:ascii="Calibri" w:eastAsia="Calibri" w:hAnsi="Calibri" w:cs="Times New Roman"/>
                <w:b/>
                <w:u w:val="single"/>
                <w:lang w:val="en-US"/>
              </w:rPr>
              <w:t>Commitment 5</w:t>
            </w:r>
            <w:r w:rsidRPr="0095252E">
              <w:rPr>
                <w:rFonts w:ascii="Calibri" w:eastAsia="Calibri" w:hAnsi="Calibri" w:cs="Times New Roman"/>
                <w:b/>
                <w:lang w:val="en-US"/>
              </w:rPr>
              <w:t xml:space="preserve">. Improving SEACE- Electronic System of State Procurement </w:t>
            </w:r>
          </w:p>
        </w:tc>
      </w:tr>
      <w:tr w:rsidR="000834F6" w:rsidRPr="00003DBC"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Secretariat/Ministry in charge</w:t>
            </w:r>
          </w:p>
        </w:tc>
        <w:tc>
          <w:tcPr>
            <w:tcW w:w="4820" w:type="dxa"/>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Supervisory Body for State Contracting - OSCE</w:t>
            </w:r>
          </w:p>
        </w:tc>
      </w:tr>
      <w:tr w:rsidR="000834F6" w:rsidRPr="0095252E"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Name of the person in charge</w:t>
            </w:r>
          </w:p>
        </w:tc>
        <w:tc>
          <w:tcPr>
            <w:tcW w:w="4820" w:type="dxa"/>
          </w:tcPr>
          <w:p w:rsidR="000834F6" w:rsidRPr="0095252E" w:rsidRDefault="000834F6" w:rsidP="009E1946">
            <w:pPr>
              <w:jc w:val="both"/>
              <w:rPr>
                <w:rFonts w:ascii="Calibri" w:eastAsia="Calibri" w:hAnsi="Calibri" w:cs="Times New Roman"/>
                <w:color w:val="000000"/>
                <w:lang w:val="en-US"/>
              </w:rPr>
            </w:pPr>
            <w:proofErr w:type="spellStart"/>
            <w:r w:rsidRPr="0095252E">
              <w:rPr>
                <w:rFonts w:ascii="Calibri" w:eastAsia="Calibri" w:hAnsi="Calibri" w:cs="Times New Roman"/>
                <w:color w:val="000000"/>
                <w:lang w:val="en-US"/>
              </w:rPr>
              <w:t>Milagritos</w:t>
            </w:r>
            <w:proofErr w:type="spellEnd"/>
            <w:r w:rsidRPr="0095252E">
              <w:rPr>
                <w:rFonts w:ascii="Calibri" w:eastAsia="Calibri" w:hAnsi="Calibri" w:cs="Times New Roman"/>
                <w:color w:val="000000"/>
                <w:lang w:val="en-US"/>
              </w:rPr>
              <w:t xml:space="preserve"> P. Pastor Paredes </w:t>
            </w:r>
          </w:p>
        </w:tc>
      </w:tr>
      <w:tr w:rsidR="000834F6" w:rsidRPr="0095252E"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Position</w:t>
            </w:r>
          </w:p>
        </w:tc>
        <w:tc>
          <w:tcPr>
            <w:tcW w:w="4820" w:type="dxa"/>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General Secretary</w:t>
            </w:r>
          </w:p>
        </w:tc>
      </w:tr>
      <w:tr w:rsidR="000834F6" w:rsidRPr="0095252E"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Email</w:t>
            </w:r>
          </w:p>
        </w:tc>
        <w:tc>
          <w:tcPr>
            <w:tcW w:w="4820" w:type="dxa"/>
          </w:tcPr>
          <w:p w:rsidR="000834F6" w:rsidRPr="0095252E" w:rsidRDefault="002C33FD" w:rsidP="009E1946">
            <w:pPr>
              <w:jc w:val="both"/>
              <w:rPr>
                <w:rFonts w:ascii="Arial" w:eastAsia="Calibri" w:hAnsi="Arial" w:cs="Arial"/>
                <w:color w:val="000000"/>
                <w:sz w:val="17"/>
                <w:szCs w:val="17"/>
                <w:u w:val="single"/>
                <w:bdr w:val="none" w:sz="0" w:space="0" w:color="auto" w:frame="1"/>
                <w:shd w:val="clear" w:color="auto" w:fill="FFFFFF"/>
                <w:lang w:val="en-US"/>
              </w:rPr>
            </w:pPr>
            <w:hyperlink r:id="rId22" w:history="1">
              <w:r w:rsidR="000834F6" w:rsidRPr="0095252E">
                <w:rPr>
                  <w:rFonts w:ascii="Arial" w:eastAsia="Calibri" w:hAnsi="Arial" w:cs="Arial"/>
                  <w:color w:val="000000"/>
                  <w:sz w:val="17"/>
                  <w:szCs w:val="17"/>
                  <w:u w:val="single"/>
                  <w:bdr w:val="none" w:sz="0" w:space="0" w:color="auto" w:frame="1"/>
                  <w:shd w:val="clear" w:color="auto" w:fill="FFFFFF"/>
                  <w:lang w:val="en-US"/>
                </w:rPr>
                <w:t>mpastor@osce.gob.pe</w:t>
              </w:r>
            </w:hyperlink>
          </w:p>
        </w:tc>
      </w:tr>
      <w:tr w:rsidR="000834F6" w:rsidRPr="0095252E"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Telephone</w:t>
            </w:r>
          </w:p>
        </w:tc>
        <w:tc>
          <w:tcPr>
            <w:tcW w:w="4820" w:type="dxa"/>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51-1-613-5555</w:t>
            </w:r>
          </w:p>
        </w:tc>
      </w:tr>
      <w:tr w:rsidR="000834F6" w:rsidRPr="0095252E" w:rsidTr="009E1946">
        <w:tc>
          <w:tcPr>
            <w:tcW w:w="2109" w:type="dxa"/>
            <w:vMerge w:val="restart"/>
            <w:shd w:val="clear" w:color="auto" w:fill="C6D9F1"/>
            <w:vAlign w:val="center"/>
          </w:tcPr>
          <w:p w:rsidR="000834F6" w:rsidRPr="0095252E" w:rsidRDefault="00596BF3" w:rsidP="009E1946">
            <w:pPr>
              <w:rPr>
                <w:rFonts w:ascii="Calibri" w:eastAsia="Calibri" w:hAnsi="Calibri" w:cs="Times New Roman"/>
                <w:b/>
                <w:lang w:val="en-US"/>
              </w:rPr>
            </w:pPr>
            <w:r>
              <w:rPr>
                <w:rFonts w:ascii="Calibri" w:eastAsia="Calibri" w:hAnsi="Calibri" w:cs="Times New Roman"/>
                <w:b/>
                <w:lang w:val="en-US"/>
              </w:rPr>
              <w:t>Other parties involved</w:t>
            </w:r>
          </w:p>
        </w:tc>
        <w:tc>
          <w:tcPr>
            <w:tcW w:w="2110" w:type="dxa"/>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Government</w:t>
            </w:r>
          </w:p>
        </w:tc>
        <w:tc>
          <w:tcPr>
            <w:tcW w:w="4820" w:type="dxa"/>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NOT APPLICABLE</w:t>
            </w:r>
          </w:p>
        </w:tc>
      </w:tr>
      <w:tr w:rsidR="000834F6" w:rsidRPr="00003DBC" w:rsidTr="009E1946">
        <w:tc>
          <w:tcPr>
            <w:tcW w:w="2109" w:type="dxa"/>
            <w:vMerge/>
            <w:shd w:val="clear" w:color="auto" w:fill="C6D9F1"/>
            <w:vAlign w:val="center"/>
          </w:tcPr>
          <w:p w:rsidR="000834F6" w:rsidRPr="0095252E" w:rsidRDefault="000834F6" w:rsidP="009E1946">
            <w:pPr>
              <w:rPr>
                <w:rFonts w:ascii="Calibri" w:eastAsia="Calibri" w:hAnsi="Calibri" w:cs="Gotham-Book"/>
                <w:b/>
                <w:color w:val="000000"/>
                <w:lang w:val="en-US"/>
              </w:rPr>
            </w:pPr>
          </w:p>
        </w:tc>
        <w:tc>
          <w:tcPr>
            <w:tcW w:w="2110" w:type="dxa"/>
            <w:shd w:val="clear" w:color="auto" w:fill="C6D9F1"/>
            <w:vAlign w:val="center"/>
          </w:tcPr>
          <w:p w:rsidR="000834F6" w:rsidRPr="0095252E" w:rsidRDefault="000834F6" w:rsidP="009E1946">
            <w:pPr>
              <w:rPr>
                <w:rFonts w:ascii="Calibri" w:eastAsia="Calibri" w:hAnsi="Calibri" w:cs="Gotham-Book"/>
                <w:b/>
                <w:color w:val="000000"/>
                <w:lang w:val="en-US"/>
              </w:rPr>
            </w:pPr>
            <w:r w:rsidRPr="0095252E">
              <w:rPr>
                <w:rFonts w:ascii="Calibri" w:eastAsia="Calibri" w:hAnsi="Calibri" w:cs="Times New Roman"/>
                <w:b/>
                <w:lang w:val="en-US"/>
              </w:rPr>
              <w:t>Civil society, private initiative, multilateral or work groups</w:t>
            </w:r>
          </w:p>
        </w:tc>
        <w:tc>
          <w:tcPr>
            <w:tcW w:w="4820" w:type="dxa"/>
          </w:tcPr>
          <w:p w:rsidR="000834F6" w:rsidRPr="0095252E" w:rsidRDefault="000834F6" w:rsidP="009E1946">
            <w:pPr>
              <w:jc w:val="both"/>
              <w:rPr>
                <w:rFonts w:ascii="Calibri" w:eastAsia="Calibri" w:hAnsi="Calibri" w:cs="Times New Roman"/>
                <w:color w:val="000000"/>
                <w:lang w:val="en-US"/>
              </w:rPr>
            </w:pPr>
          </w:p>
        </w:tc>
      </w:tr>
      <w:tr w:rsidR="000834F6" w:rsidRPr="00003DBC"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Status quo or problem/</w:t>
            </w:r>
            <w:r w:rsidRPr="0095252E">
              <w:rPr>
                <w:rFonts w:ascii="Calibri" w:eastAsia="Calibri" w:hAnsi="Calibri" w:cs="Times New Roman"/>
                <w:b/>
                <w:lang w:val="en-US"/>
              </w:rPr>
              <w:br/>
              <w:t>challenge to be attended</w:t>
            </w:r>
          </w:p>
        </w:tc>
        <w:tc>
          <w:tcPr>
            <w:tcW w:w="4820" w:type="dxa"/>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Calibri"/>
                <w:lang w:val="en-US"/>
              </w:rPr>
              <w:t>Limited operation of the SEACE for use by the Contracting Bodies -OEC-, as well as for the process search of the entities by the suppliers and the citizens.</w:t>
            </w:r>
          </w:p>
        </w:tc>
      </w:tr>
      <w:tr w:rsidR="000834F6" w:rsidRPr="00003DBC"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Main objective</w:t>
            </w:r>
          </w:p>
        </w:tc>
        <w:tc>
          <w:tcPr>
            <w:tcW w:w="4820" w:type="dxa"/>
          </w:tcPr>
          <w:p w:rsidR="000834F6" w:rsidRPr="0095252E" w:rsidRDefault="000834F6" w:rsidP="009E1946">
            <w:pPr>
              <w:jc w:val="both"/>
              <w:rPr>
                <w:rFonts w:ascii="Calibri" w:eastAsia="Calibri" w:hAnsi="Calibri" w:cs="Times New Roman"/>
                <w:bCs/>
                <w:lang w:val="en-US"/>
              </w:rPr>
            </w:pPr>
            <w:r w:rsidRPr="0095252E">
              <w:rPr>
                <w:rFonts w:ascii="Calibri" w:eastAsia="Calibri" w:hAnsi="Calibri" w:cs="Times New Roman"/>
                <w:bCs/>
                <w:lang w:val="en-US"/>
              </w:rPr>
              <w:t>Improving the SEACE for efficient use, with friendly information of similar processes, simplifying, in addition, the process search of processes of public entities contracting processes and making available information of potential suppliers at national level.</w:t>
            </w:r>
          </w:p>
        </w:tc>
      </w:tr>
      <w:tr w:rsidR="000834F6" w:rsidRPr="00003DBC"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Brief description of the commitment</w:t>
            </w:r>
          </w:p>
        </w:tc>
        <w:tc>
          <w:tcPr>
            <w:tcW w:w="4820" w:type="dxa"/>
          </w:tcPr>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Improving the Portal of the Electronic System of State Procurement (SEACE) through the implementation of modules that facilitate the search of procurement processes of public entities.</w:t>
            </w:r>
          </w:p>
        </w:tc>
      </w:tr>
      <w:tr w:rsidR="000834F6" w:rsidRPr="00003DBC" w:rsidTr="009E1946">
        <w:tc>
          <w:tcPr>
            <w:tcW w:w="4219" w:type="dxa"/>
            <w:gridSpan w:val="2"/>
            <w:shd w:val="clear" w:color="auto" w:fill="C6D9F1"/>
            <w:vAlign w:val="center"/>
          </w:tcPr>
          <w:p w:rsidR="000834F6" w:rsidRPr="0095252E" w:rsidRDefault="000834F6" w:rsidP="009E1946">
            <w:pPr>
              <w:autoSpaceDE w:val="0"/>
              <w:autoSpaceDN w:val="0"/>
              <w:adjustRightInd w:val="0"/>
              <w:rPr>
                <w:rFonts w:ascii="Calibri" w:eastAsia="Calibri" w:hAnsi="Calibri" w:cs="Gotham-Book"/>
                <w:b/>
                <w:color w:val="000000"/>
                <w:lang w:val="en-US"/>
              </w:rPr>
            </w:pPr>
            <w:r w:rsidRPr="0095252E">
              <w:rPr>
                <w:rFonts w:ascii="Calibri" w:eastAsia="Calibri" w:hAnsi="Calibri" w:cs="Gotham-Book"/>
                <w:b/>
                <w:color w:val="000000"/>
                <w:lang w:val="en-US"/>
              </w:rPr>
              <w:t>Relevance</w:t>
            </w:r>
          </w:p>
          <w:p w:rsidR="000834F6" w:rsidRPr="0095252E" w:rsidRDefault="000834F6" w:rsidP="009E1946">
            <w:pPr>
              <w:autoSpaceDE w:val="0"/>
              <w:autoSpaceDN w:val="0"/>
              <w:adjustRightInd w:val="0"/>
              <w:rPr>
                <w:rFonts w:ascii="Calibri" w:eastAsia="Calibri" w:hAnsi="Calibri" w:cs="Times New Roman"/>
                <w:b/>
                <w:color w:val="000000"/>
                <w:lang w:val="en-US"/>
              </w:rPr>
            </w:pPr>
          </w:p>
        </w:tc>
        <w:tc>
          <w:tcPr>
            <w:tcW w:w="4820" w:type="dxa"/>
          </w:tcPr>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The commitment assumed by the OSCE contributes as a contingency measure against a possible fall and/or prohibition of the technological tool that to date functions as SEACE 2.0 (Electronic System of State Procurement), having been implemented the modules PAC version 2.9, Contracts Version 2.9 and CUBSO version 2.9.</w:t>
            </w:r>
          </w:p>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It should be noted that such a technological tool promotes transparency and contributes to the fight against corruption.</w:t>
            </w:r>
          </w:p>
        </w:tc>
      </w:tr>
      <w:tr w:rsidR="000834F6" w:rsidRPr="00003DBC" w:rsidTr="009E1946">
        <w:tc>
          <w:tcPr>
            <w:tcW w:w="4219" w:type="dxa"/>
            <w:gridSpan w:val="2"/>
            <w:shd w:val="clear" w:color="auto" w:fill="C6D9F1"/>
            <w:vAlign w:val="center"/>
          </w:tcPr>
          <w:p w:rsidR="000834F6" w:rsidRPr="0095252E" w:rsidRDefault="000834F6" w:rsidP="009E1946">
            <w:pPr>
              <w:autoSpaceDE w:val="0"/>
              <w:autoSpaceDN w:val="0"/>
              <w:adjustRightInd w:val="0"/>
              <w:rPr>
                <w:rFonts w:ascii="Calibri" w:eastAsia="Calibri" w:hAnsi="Calibri" w:cs="Gotham-Book"/>
                <w:b/>
                <w:color w:val="000000"/>
                <w:lang w:val="en-US"/>
              </w:rPr>
            </w:pPr>
            <w:r w:rsidRPr="0095252E">
              <w:rPr>
                <w:rFonts w:ascii="Calibri" w:eastAsia="Calibri" w:hAnsi="Calibri" w:cs="Gotham-Book"/>
                <w:b/>
                <w:color w:val="000000"/>
                <w:lang w:val="en-US"/>
              </w:rPr>
              <w:t>Ambition</w:t>
            </w:r>
          </w:p>
          <w:p w:rsidR="000834F6" w:rsidRPr="0095252E" w:rsidRDefault="000834F6" w:rsidP="009E1946">
            <w:pPr>
              <w:autoSpaceDE w:val="0"/>
              <w:autoSpaceDN w:val="0"/>
              <w:adjustRightInd w:val="0"/>
              <w:rPr>
                <w:rFonts w:ascii="Calibri" w:eastAsia="Calibri" w:hAnsi="Calibri" w:cs="Gotham-BookItalic"/>
                <w:b/>
                <w:iCs/>
                <w:color w:val="000000"/>
                <w:lang w:val="en-US"/>
              </w:rPr>
            </w:pPr>
          </w:p>
        </w:tc>
        <w:tc>
          <w:tcPr>
            <w:tcW w:w="4820" w:type="dxa"/>
          </w:tcPr>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It is expected that improvements will be made to the Electronic System of State Procurement (SEACE), through the implementation of the following modules:</w:t>
            </w:r>
          </w:p>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Annual Procurement Plan - PAC version 2.9;</w:t>
            </w:r>
          </w:p>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Single Catalog of Goods, Services and Works - CUBSO version 2.9; And the contracts module 2.9.</w:t>
            </w:r>
          </w:p>
        </w:tc>
      </w:tr>
    </w:tbl>
    <w:p w:rsidR="00CE637F" w:rsidRPr="0095252E" w:rsidRDefault="00CE637F" w:rsidP="000834F6">
      <w:pPr>
        <w:rPr>
          <w:lang w:val="en-US"/>
        </w:rPr>
      </w:pPr>
    </w:p>
    <w:p w:rsidR="000834F6" w:rsidRPr="0095252E" w:rsidRDefault="00CE637F" w:rsidP="000834F6">
      <w:pPr>
        <w:rPr>
          <w:lang w:val="en-US"/>
        </w:rPr>
      </w:pPr>
      <w:r w:rsidRPr="0095252E">
        <w:rPr>
          <w:lang w:val="en-US"/>
        </w:rPr>
        <w:br w:type="column"/>
      </w:r>
    </w:p>
    <w:tbl>
      <w:tblPr>
        <w:tblStyle w:val="Tablaconcuadrcula2"/>
        <w:tblW w:w="9039" w:type="dxa"/>
        <w:tblLayout w:type="fixed"/>
        <w:tblLook w:val="04A0" w:firstRow="1" w:lastRow="0" w:firstColumn="1" w:lastColumn="0" w:noHBand="0" w:noVBand="1"/>
      </w:tblPr>
      <w:tblGrid>
        <w:gridCol w:w="1526"/>
        <w:gridCol w:w="2693"/>
        <w:gridCol w:w="1729"/>
        <w:gridCol w:w="1644"/>
        <w:gridCol w:w="1447"/>
      </w:tblGrid>
      <w:tr w:rsidR="000834F6" w:rsidRPr="0095252E" w:rsidTr="009E1946">
        <w:trPr>
          <w:trHeight w:val="283"/>
        </w:trPr>
        <w:tc>
          <w:tcPr>
            <w:tcW w:w="1526" w:type="dxa"/>
            <w:vMerge w:val="restart"/>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Compliance</w:t>
            </w:r>
          </w:p>
        </w:tc>
        <w:tc>
          <w:tcPr>
            <w:tcW w:w="2693" w:type="dxa"/>
            <w:shd w:val="clear" w:color="auto" w:fill="C6D9F1"/>
          </w:tcPr>
          <w:p w:rsidR="000834F6" w:rsidRPr="0095252E" w:rsidRDefault="00596BF3" w:rsidP="009E1946">
            <w:pPr>
              <w:rPr>
                <w:b/>
                <w:lang w:val="en-US"/>
              </w:rPr>
            </w:pPr>
            <w:r>
              <w:rPr>
                <w:b/>
                <w:lang w:val="en-US"/>
              </w:rPr>
              <w:t>Uninitiated</w:t>
            </w:r>
          </w:p>
        </w:tc>
        <w:tc>
          <w:tcPr>
            <w:tcW w:w="1729" w:type="dxa"/>
            <w:shd w:val="clear" w:color="auto" w:fill="C6D9F1"/>
          </w:tcPr>
          <w:p w:rsidR="000834F6" w:rsidRPr="0095252E" w:rsidRDefault="000834F6" w:rsidP="009E1946">
            <w:pPr>
              <w:rPr>
                <w:b/>
                <w:lang w:val="en-US"/>
              </w:rPr>
            </w:pPr>
            <w:r w:rsidRPr="0095252E">
              <w:rPr>
                <w:b/>
                <w:lang w:val="en-US"/>
              </w:rPr>
              <w:t>Limited</w:t>
            </w:r>
          </w:p>
        </w:tc>
        <w:tc>
          <w:tcPr>
            <w:tcW w:w="1644" w:type="dxa"/>
            <w:shd w:val="clear" w:color="auto" w:fill="C6D9F1"/>
          </w:tcPr>
          <w:p w:rsidR="000834F6" w:rsidRPr="0095252E" w:rsidRDefault="000834F6" w:rsidP="009E1946">
            <w:pPr>
              <w:rPr>
                <w:b/>
                <w:lang w:val="en-US"/>
              </w:rPr>
            </w:pPr>
            <w:r w:rsidRPr="0095252E">
              <w:rPr>
                <w:b/>
                <w:lang w:val="en-US"/>
              </w:rPr>
              <w:t>Substantial</w:t>
            </w:r>
          </w:p>
        </w:tc>
        <w:tc>
          <w:tcPr>
            <w:tcW w:w="1447" w:type="dxa"/>
            <w:shd w:val="clear" w:color="auto" w:fill="C6D9F1"/>
          </w:tcPr>
          <w:p w:rsidR="000834F6" w:rsidRPr="0095252E" w:rsidRDefault="000834F6" w:rsidP="009E1946">
            <w:pPr>
              <w:rPr>
                <w:b/>
                <w:lang w:val="en-US"/>
              </w:rPr>
            </w:pPr>
            <w:r w:rsidRPr="0095252E">
              <w:rPr>
                <w:b/>
                <w:lang w:val="en-US"/>
              </w:rPr>
              <w:t>Complete</w:t>
            </w:r>
          </w:p>
        </w:tc>
      </w:tr>
      <w:tr w:rsidR="000834F6" w:rsidRPr="0095252E" w:rsidTr="009E1946">
        <w:tc>
          <w:tcPr>
            <w:tcW w:w="1526" w:type="dxa"/>
            <w:vMerge/>
            <w:shd w:val="clear" w:color="auto" w:fill="C6D9F1"/>
            <w:vAlign w:val="center"/>
          </w:tcPr>
          <w:p w:rsidR="000834F6" w:rsidRPr="0095252E" w:rsidRDefault="000834F6" w:rsidP="009E1946">
            <w:pPr>
              <w:rPr>
                <w:rFonts w:ascii="Calibri" w:eastAsia="Calibri" w:hAnsi="Calibri" w:cs="Times New Roman"/>
                <w:b/>
                <w:color w:val="000000"/>
                <w:lang w:val="en-US"/>
              </w:rPr>
            </w:pPr>
          </w:p>
        </w:tc>
        <w:tc>
          <w:tcPr>
            <w:tcW w:w="2693" w:type="dxa"/>
          </w:tcPr>
          <w:p w:rsidR="000834F6" w:rsidRPr="0095252E" w:rsidRDefault="000834F6" w:rsidP="009E1946">
            <w:pPr>
              <w:jc w:val="center"/>
              <w:rPr>
                <w:rFonts w:ascii="Calibri" w:eastAsia="Calibri" w:hAnsi="Calibri" w:cs="Times New Roman"/>
                <w:b/>
                <w:color w:val="000000"/>
                <w:lang w:val="en-US"/>
              </w:rPr>
            </w:pPr>
          </w:p>
        </w:tc>
        <w:tc>
          <w:tcPr>
            <w:tcW w:w="1729" w:type="dxa"/>
          </w:tcPr>
          <w:p w:rsidR="000834F6" w:rsidRPr="0095252E" w:rsidRDefault="000834F6" w:rsidP="009E1946">
            <w:pPr>
              <w:jc w:val="center"/>
              <w:rPr>
                <w:rFonts w:ascii="Calibri" w:eastAsia="Calibri" w:hAnsi="Calibri" w:cs="Times New Roman"/>
                <w:b/>
                <w:color w:val="000000"/>
                <w:lang w:val="en-US"/>
              </w:rPr>
            </w:pPr>
            <w:r w:rsidRPr="0095252E">
              <w:rPr>
                <w:rFonts w:ascii="Calibri" w:eastAsia="Calibri" w:hAnsi="Calibri" w:cs="Times New Roman"/>
                <w:b/>
                <w:color w:val="000000"/>
                <w:lang w:val="en-US"/>
              </w:rPr>
              <w:t>X</w:t>
            </w:r>
          </w:p>
        </w:tc>
        <w:tc>
          <w:tcPr>
            <w:tcW w:w="1644" w:type="dxa"/>
          </w:tcPr>
          <w:p w:rsidR="000834F6" w:rsidRPr="0095252E" w:rsidRDefault="000834F6" w:rsidP="009E1946">
            <w:pPr>
              <w:jc w:val="center"/>
              <w:rPr>
                <w:rFonts w:ascii="Calibri" w:eastAsia="Calibri" w:hAnsi="Calibri" w:cs="Times New Roman"/>
                <w:b/>
                <w:color w:val="000000"/>
                <w:lang w:val="en-US"/>
              </w:rPr>
            </w:pPr>
          </w:p>
        </w:tc>
        <w:tc>
          <w:tcPr>
            <w:tcW w:w="1447" w:type="dxa"/>
            <w:shd w:val="clear" w:color="auto" w:fill="FFFFFF"/>
          </w:tcPr>
          <w:p w:rsidR="000834F6" w:rsidRPr="0095252E" w:rsidRDefault="000834F6" w:rsidP="009E1946">
            <w:pPr>
              <w:jc w:val="center"/>
              <w:rPr>
                <w:rFonts w:ascii="Calibri" w:eastAsia="Calibri" w:hAnsi="Calibri" w:cs="Times New Roman"/>
                <w:b/>
                <w:color w:val="000000"/>
                <w:lang w:val="en-US"/>
              </w:rPr>
            </w:pPr>
          </w:p>
        </w:tc>
      </w:tr>
      <w:tr w:rsidR="000834F6" w:rsidRPr="00003DBC" w:rsidTr="009E1946">
        <w:tc>
          <w:tcPr>
            <w:tcW w:w="1526" w:type="dxa"/>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Result description</w:t>
            </w:r>
          </w:p>
          <w:p w:rsidR="000834F6" w:rsidRPr="0095252E" w:rsidRDefault="000834F6" w:rsidP="009E1946">
            <w:pPr>
              <w:rPr>
                <w:rFonts w:ascii="Calibri" w:eastAsia="Calibri" w:hAnsi="Calibri" w:cs="Times New Roman"/>
                <w:b/>
                <w:iCs/>
                <w:lang w:val="en-US"/>
              </w:rPr>
            </w:pPr>
          </w:p>
        </w:tc>
        <w:tc>
          <w:tcPr>
            <w:tcW w:w="7513" w:type="dxa"/>
            <w:gridSpan w:val="4"/>
          </w:tcPr>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In order to fulfill the commitment, the following activities have been contemplated:</w:t>
            </w:r>
          </w:p>
          <w:p w:rsidR="000834F6" w:rsidRPr="0095252E" w:rsidRDefault="000834F6" w:rsidP="009E1946">
            <w:pPr>
              <w:jc w:val="both"/>
              <w:rPr>
                <w:rFonts w:ascii="Calibri" w:eastAsia="Calibri" w:hAnsi="Calibri" w:cs="Times New Roman"/>
                <w:szCs w:val="20"/>
                <w:lang w:val="en-US"/>
              </w:rPr>
            </w:pPr>
          </w:p>
          <w:p w:rsidR="000834F6" w:rsidRPr="0095252E" w:rsidRDefault="000834F6" w:rsidP="009E1946">
            <w:pPr>
              <w:jc w:val="both"/>
              <w:rPr>
                <w:rFonts w:ascii="Calibri" w:eastAsia="Calibri" w:hAnsi="Calibri" w:cs="Times New Roman"/>
                <w:b/>
                <w:i/>
                <w:szCs w:val="20"/>
                <w:lang w:val="en-US"/>
              </w:rPr>
            </w:pPr>
            <w:r w:rsidRPr="0095252E">
              <w:rPr>
                <w:rFonts w:ascii="Calibri" w:eastAsia="Calibri" w:hAnsi="Calibri" w:cs="Times New Roman"/>
                <w:b/>
                <w:i/>
                <w:szCs w:val="20"/>
                <w:lang w:val="en-US"/>
              </w:rPr>
              <w:t>1. Implementation of the modules of the Annual Procurement Plan - PAC</w:t>
            </w:r>
          </w:p>
          <w:p w:rsidR="000834F6" w:rsidRPr="0095252E" w:rsidRDefault="000834F6" w:rsidP="009E1946">
            <w:pPr>
              <w:jc w:val="both"/>
              <w:rPr>
                <w:rFonts w:ascii="Calibri" w:eastAsia="Calibri" w:hAnsi="Calibri" w:cs="Times New Roman"/>
                <w:b/>
                <w:i/>
                <w:szCs w:val="20"/>
                <w:lang w:val="en-US"/>
              </w:rPr>
            </w:pPr>
            <w:r w:rsidRPr="0095252E">
              <w:rPr>
                <w:rFonts w:ascii="Calibri" w:eastAsia="Calibri" w:hAnsi="Calibri" w:cs="Times New Roman"/>
                <w:b/>
                <w:i/>
                <w:szCs w:val="20"/>
                <w:lang w:val="en-US"/>
              </w:rPr>
              <w:t>Single Catalog of Goods, Services and Works -CUBSO.</w:t>
            </w:r>
          </w:p>
          <w:p w:rsidR="000834F6" w:rsidRPr="0095252E" w:rsidRDefault="000834F6" w:rsidP="009E1946">
            <w:pPr>
              <w:jc w:val="both"/>
              <w:rPr>
                <w:rFonts w:ascii="Calibri" w:eastAsia="Calibri" w:hAnsi="Calibri" w:cs="Times New Roman"/>
                <w:b/>
                <w:i/>
                <w:szCs w:val="20"/>
                <w:lang w:val="en-US"/>
              </w:rPr>
            </w:pPr>
            <w:r w:rsidRPr="0095252E">
              <w:rPr>
                <w:rFonts w:ascii="Calibri" w:eastAsia="Calibri" w:hAnsi="Calibri" w:cs="Times New Roman"/>
                <w:b/>
                <w:i/>
                <w:szCs w:val="20"/>
                <w:lang w:val="en-US"/>
              </w:rPr>
              <w:t>2. Implementation of the Contracts Module</w:t>
            </w:r>
          </w:p>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The functional tests of the modules of the Annual Procurement Plan - PAC for the month of December 2016 were reprogrammed. From the first semester of 2017, it would be available for the use of the parties concerned.</w:t>
            </w:r>
          </w:p>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The SEACE Management, as part of the technical actions, has been compiling the Updated Use Cases according to the current regulations, which will conclude in a final report, which will establish the technical specifications for the implementation of the new technological tool.</w:t>
            </w:r>
          </w:p>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Source: Memorandum No. 0401-2016 / OTI dated August 26, 2016</w:t>
            </w:r>
          </w:p>
        </w:tc>
      </w:tr>
      <w:tr w:rsidR="000834F6" w:rsidRPr="0095252E" w:rsidTr="009E1946">
        <w:tc>
          <w:tcPr>
            <w:tcW w:w="1526" w:type="dxa"/>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Conclusion date</w:t>
            </w:r>
          </w:p>
        </w:tc>
        <w:tc>
          <w:tcPr>
            <w:tcW w:w="7513" w:type="dxa"/>
            <w:gridSpan w:val="4"/>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June 2017</w:t>
            </w:r>
          </w:p>
        </w:tc>
      </w:tr>
      <w:tr w:rsidR="000834F6" w:rsidRPr="00003DBC" w:rsidTr="009E1946">
        <w:tc>
          <w:tcPr>
            <w:tcW w:w="1526" w:type="dxa"/>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Next steps</w:t>
            </w:r>
          </w:p>
        </w:tc>
        <w:tc>
          <w:tcPr>
            <w:tcW w:w="7513" w:type="dxa"/>
            <w:gridSpan w:val="4"/>
          </w:tcPr>
          <w:p w:rsidR="000834F6" w:rsidRPr="0095252E" w:rsidRDefault="000834F6" w:rsidP="009E1946">
            <w:pPr>
              <w:ind w:left="204"/>
              <w:contextualSpacing/>
              <w:jc w:val="both"/>
              <w:rPr>
                <w:rFonts w:ascii="Calibri" w:eastAsia="Calibri" w:hAnsi="Calibri" w:cs="Times New Roman"/>
                <w:color w:val="000000"/>
                <w:lang w:val="en-US"/>
              </w:rPr>
            </w:pPr>
            <w:r w:rsidRPr="0095252E">
              <w:rPr>
                <w:rFonts w:ascii="Calibri" w:eastAsia="Calibri" w:hAnsi="Calibri" w:cs="Times New Roman"/>
                <w:color w:val="000000"/>
                <w:lang w:val="en-US"/>
              </w:rPr>
              <w:t>Elaboration of Reference Terms (TDR) for the contracting of a consulting service that will implement the activities detailed above.</w:t>
            </w:r>
          </w:p>
        </w:tc>
      </w:tr>
      <w:tr w:rsidR="000834F6" w:rsidRPr="0095252E" w:rsidTr="009E1946">
        <w:tc>
          <w:tcPr>
            <w:tcW w:w="9039" w:type="dxa"/>
            <w:gridSpan w:val="5"/>
          </w:tcPr>
          <w:p w:rsidR="000834F6" w:rsidRPr="0095252E" w:rsidRDefault="000834F6" w:rsidP="009E1946">
            <w:pPr>
              <w:jc w:val="both"/>
              <w:rPr>
                <w:rFonts w:ascii="Calibri" w:eastAsia="Calibri" w:hAnsi="Calibri" w:cs="Gotham-Book"/>
                <w:b/>
                <w:color w:val="000000"/>
                <w:lang w:val="en-US"/>
              </w:rPr>
            </w:pPr>
          </w:p>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Gotham-Book"/>
                <w:b/>
                <w:color w:val="000000"/>
                <w:lang w:val="en-US"/>
              </w:rPr>
              <w:t>Additional information</w:t>
            </w:r>
          </w:p>
        </w:tc>
      </w:tr>
    </w:tbl>
    <w:p w:rsidR="000834F6" w:rsidRPr="0095252E" w:rsidRDefault="000834F6" w:rsidP="000834F6">
      <w:pPr>
        <w:rPr>
          <w:lang w:val="en-US"/>
        </w:rPr>
      </w:pPr>
    </w:p>
    <w:p w:rsidR="000834F6" w:rsidRPr="0095252E" w:rsidRDefault="000834F6" w:rsidP="000834F6">
      <w:pPr>
        <w:rPr>
          <w:lang w:val="en-US"/>
        </w:rPr>
      </w:pPr>
      <w:r w:rsidRPr="0095252E">
        <w:rPr>
          <w:lang w:val="en-US"/>
        </w:rPr>
        <w:br w:type="column"/>
      </w:r>
    </w:p>
    <w:tbl>
      <w:tblPr>
        <w:tblStyle w:val="Tablaconcuadrcula3"/>
        <w:tblW w:w="9039" w:type="dxa"/>
        <w:tblLayout w:type="fixed"/>
        <w:tblLook w:val="04A0" w:firstRow="1" w:lastRow="0" w:firstColumn="1" w:lastColumn="0" w:noHBand="0" w:noVBand="1"/>
      </w:tblPr>
      <w:tblGrid>
        <w:gridCol w:w="2109"/>
        <w:gridCol w:w="2110"/>
        <w:gridCol w:w="4820"/>
      </w:tblGrid>
      <w:tr w:rsidR="000834F6" w:rsidRPr="00003DBC" w:rsidTr="009E1946">
        <w:tc>
          <w:tcPr>
            <w:tcW w:w="9039" w:type="dxa"/>
            <w:gridSpan w:val="3"/>
            <w:shd w:val="clear" w:color="auto" w:fill="548DD4"/>
          </w:tcPr>
          <w:p w:rsidR="000834F6" w:rsidRPr="0095252E" w:rsidRDefault="000834F6" w:rsidP="009E1946">
            <w:pPr>
              <w:ind w:left="720"/>
              <w:jc w:val="center"/>
              <w:rPr>
                <w:rFonts w:ascii="Calibri" w:eastAsia="Calibri" w:hAnsi="Calibri" w:cs="Times New Roman"/>
                <w:b/>
                <w:lang w:val="en-US"/>
              </w:rPr>
            </w:pPr>
            <w:r w:rsidRPr="0095252E">
              <w:rPr>
                <w:rFonts w:ascii="Calibri" w:eastAsia="Calibri" w:hAnsi="Calibri" w:cs="Times New Roman"/>
                <w:b/>
                <w:lang w:val="en-US"/>
              </w:rPr>
              <w:t>Component: Transparency and Access to Public Information</w:t>
            </w:r>
          </w:p>
        </w:tc>
      </w:tr>
      <w:tr w:rsidR="000834F6" w:rsidRPr="0095252E" w:rsidTr="009E1946">
        <w:tc>
          <w:tcPr>
            <w:tcW w:w="9039" w:type="dxa"/>
            <w:gridSpan w:val="3"/>
            <w:shd w:val="clear" w:color="auto" w:fill="548DD4"/>
          </w:tcPr>
          <w:p w:rsidR="000834F6" w:rsidRPr="0095252E" w:rsidRDefault="000834F6" w:rsidP="009E1946">
            <w:pPr>
              <w:ind w:left="720"/>
              <w:jc w:val="center"/>
              <w:rPr>
                <w:rFonts w:ascii="Calibri" w:eastAsia="Calibri" w:hAnsi="Calibri" w:cs="Times New Roman"/>
                <w:b/>
                <w:lang w:val="en-US"/>
              </w:rPr>
            </w:pPr>
            <w:r w:rsidRPr="0095252E">
              <w:rPr>
                <w:rFonts w:ascii="Calibri" w:eastAsia="Calibri" w:hAnsi="Calibri" w:cs="Times New Roman"/>
                <w:b/>
                <w:u w:val="single"/>
                <w:lang w:val="en-US"/>
              </w:rPr>
              <w:t>Commitment 6</w:t>
            </w:r>
            <w:r w:rsidRPr="0095252E">
              <w:rPr>
                <w:rFonts w:ascii="Calibri" w:eastAsia="Calibri" w:hAnsi="Calibri" w:cs="Times New Roman"/>
                <w:b/>
                <w:lang w:val="en-US"/>
              </w:rPr>
              <w:t>. Implementing Commissions for Extractive Industries Transparency Commissions</w:t>
            </w:r>
          </w:p>
        </w:tc>
      </w:tr>
      <w:tr w:rsidR="000834F6" w:rsidRPr="00003DBC"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Secretariat/Ministry in charge</w:t>
            </w:r>
          </w:p>
        </w:tc>
        <w:tc>
          <w:tcPr>
            <w:tcW w:w="4820" w:type="dxa"/>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Permanent Multisector Commission for the Transparency of Extractive Industries (EITI Commission), attached to the Ministry of Energy and Mines-MINEM.</w:t>
            </w:r>
          </w:p>
        </w:tc>
      </w:tr>
      <w:tr w:rsidR="000834F6" w:rsidRPr="0095252E"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Name of the person in charge</w:t>
            </w:r>
          </w:p>
        </w:tc>
        <w:tc>
          <w:tcPr>
            <w:tcW w:w="4820" w:type="dxa"/>
          </w:tcPr>
          <w:p w:rsidR="000834F6" w:rsidRPr="00E975F8" w:rsidRDefault="000834F6" w:rsidP="009E1946">
            <w:pPr>
              <w:jc w:val="both"/>
              <w:rPr>
                <w:rFonts w:ascii="Calibri" w:eastAsia="Calibri" w:hAnsi="Calibri" w:cs="Times New Roman"/>
                <w:color w:val="000000"/>
                <w:lang w:val="es-PE"/>
              </w:rPr>
            </w:pPr>
            <w:r w:rsidRPr="00E975F8">
              <w:rPr>
                <w:rFonts w:ascii="Calibri" w:eastAsia="Calibri" w:hAnsi="Calibri" w:cs="Times New Roman"/>
                <w:color w:val="000000"/>
                <w:lang w:val="es-PE"/>
              </w:rPr>
              <w:t>Gonzalo Francisco Alberto Tamayo Flores</w:t>
            </w:r>
          </w:p>
        </w:tc>
      </w:tr>
      <w:tr w:rsidR="000834F6" w:rsidRPr="0095252E"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Position</w:t>
            </w:r>
          </w:p>
        </w:tc>
        <w:tc>
          <w:tcPr>
            <w:tcW w:w="4820" w:type="dxa"/>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Minister</w:t>
            </w:r>
          </w:p>
        </w:tc>
      </w:tr>
      <w:tr w:rsidR="000834F6" w:rsidRPr="0095252E"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Email</w:t>
            </w:r>
          </w:p>
        </w:tc>
        <w:tc>
          <w:tcPr>
            <w:tcW w:w="4820" w:type="dxa"/>
          </w:tcPr>
          <w:p w:rsidR="000834F6" w:rsidRPr="0095252E" w:rsidRDefault="002C33FD" w:rsidP="009E1946">
            <w:pPr>
              <w:jc w:val="both"/>
              <w:rPr>
                <w:rFonts w:ascii="Calibri" w:eastAsia="Calibri" w:hAnsi="Calibri" w:cs="Arial"/>
                <w:color w:val="0000FF"/>
                <w:u w:val="single"/>
                <w:lang w:val="en-US"/>
              </w:rPr>
            </w:pPr>
            <w:hyperlink r:id="rId23" w:history="1">
              <w:r w:rsidR="000834F6" w:rsidRPr="0095252E">
                <w:rPr>
                  <w:rFonts w:ascii="Calibri" w:eastAsia="Calibri" w:hAnsi="Calibri" w:cs="Arial"/>
                  <w:color w:val="0000FF"/>
                  <w:u w:val="single"/>
                  <w:lang w:val="en-US"/>
                </w:rPr>
                <w:t>gtamayo@minem.gob.pe</w:t>
              </w:r>
            </w:hyperlink>
          </w:p>
        </w:tc>
      </w:tr>
      <w:tr w:rsidR="000834F6" w:rsidRPr="0095252E"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Telephone</w:t>
            </w:r>
          </w:p>
        </w:tc>
        <w:tc>
          <w:tcPr>
            <w:tcW w:w="4820" w:type="dxa"/>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51-1-4111100</w:t>
            </w:r>
          </w:p>
        </w:tc>
      </w:tr>
      <w:tr w:rsidR="000834F6" w:rsidRPr="0095252E" w:rsidTr="009E1946">
        <w:tc>
          <w:tcPr>
            <w:tcW w:w="2109" w:type="dxa"/>
            <w:vMerge w:val="restart"/>
            <w:shd w:val="clear" w:color="auto" w:fill="C6D9F1"/>
            <w:vAlign w:val="center"/>
          </w:tcPr>
          <w:p w:rsidR="000834F6" w:rsidRPr="0095252E" w:rsidRDefault="00596BF3" w:rsidP="009E1946">
            <w:pPr>
              <w:rPr>
                <w:rFonts w:ascii="Calibri" w:eastAsia="Calibri" w:hAnsi="Calibri" w:cs="Times New Roman"/>
                <w:b/>
                <w:lang w:val="en-US"/>
              </w:rPr>
            </w:pPr>
            <w:r>
              <w:rPr>
                <w:rFonts w:ascii="Calibri" w:eastAsia="Calibri" w:hAnsi="Calibri" w:cs="Times New Roman"/>
                <w:b/>
                <w:lang w:val="en-US"/>
              </w:rPr>
              <w:t>Other parties involved</w:t>
            </w:r>
          </w:p>
        </w:tc>
        <w:tc>
          <w:tcPr>
            <w:tcW w:w="2110" w:type="dxa"/>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Government</w:t>
            </w:r>
          </w:p>
        </w:tc>
        <w:tc>
          <w:tcPr>
            <w:tcW w:w="4820" w:type="dxa"/>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NOT APPLICABLE</w:t>
            </w:r>
          </w:p>
        </w:tc>
      </w:tr>
      <w:tr w:rsidR="000834F6" w:rsidRPr="00003DBC" w:rsidTr="009E1946">
        <w:tc>
          <w:tcPr>
            <w:tcW w:w="2109" w:type="dxa"/>
            <w:vMerge/>
            <w:shd w:val="clear" w:color="auto" w:fill="C6D9F1"/>
            <w:vAlign w:val="center"/>
          </w:tcPr>
          <w:p w:rsidR="000834F6" w:rsidRPr="0095252E" w:rsidRDefault="000834F6" w:rsidP="009E1946">
            <w:pPr>
              <w:rPr>
                <w:rFonts w:ascii="Calibri" w:eastAsia="Calibri" w:hAnsi="Calibri" w:cs="Gotham-Book"/>
                <w:b/>
                <w:color w:val="000000"/>
                <w:lang w:val="en-US"/>
              </w:rPr>
            </w:pPr>
          </w:p>
        </w:tc>
        <w:tc>
          <w:tcPr>
            <w:tcW w:w="2110" w:type="dxa"/>
            <w:shd w:val="clear" w:color="auto" w:fill="C6D9F1"/>
            <w:vAlign w:val="center"/>
          </w:tcPr>
          <w:p w:rsidR="000834F6" w:rsidRPr="0095252E" w:rsidRDefault="000834F6" w:rsidP="009E1946">
            <w:pPr>
              <w:rPr>
                <w:rFonts w:ascii="Calibri" w:eastAsia="Calibri" w:hAnsi="Calibri" w:cs="Gotham-Book"/>
                <w:b/>
                <w:color w:val="000000"/>
                <w:lang w:val="en-US"/>
              </w:rPr>
            </w:pPr>
            <w:r w:rsidRPr="0095252E">
              <w:rPr>
                <w:rFonts w:ascii="Calibri" w:eastAsia="Calibri" w:hAnsi="Calibri" w:cs="Times New Roman"/>
                <w:b/>
                <w:lang w:val="en-US"/>
              </w:rPr>
              <w:t>Civil society, private initiative, multilateral or work groups</w:t>
            </w:r>
          </w:p>
        </w:tc>
        <w:tc>
          <w:tcPr>
            <w:tcW w:w="4820" w:type="dxa"/>
          </w:tcPr>
          <w:p w:rsidR="000834F6" w:rsidRPr="0095252E" w:rsidRDefault="000834F6" w:rsidP="009E1946">
            <w:pPr>
              <w:jc w:val="both"/>
              <w:rPr>
                <w:rFonts w:ascii="Calibri" w:eastAsia="Calibri" w:hAnsi="Calibri" w:cs="Times New Roman"/>
                <w:color w:val="000000"/>
                <w:lang w:val="en-US"/>
              </w:rPr>
            </w:pPr>
          </w:p>
        </w:tc>
      </w:tr>
      <w:tr w:rsidR="000834F6" w:rsidRPr="00003DBC"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Status quo or problem/</w:t>
            </w:r>
            <w:r w:rsidRPr="0095252E">
              <w:rPr>
                <w:rFonts w:ascii="Calibri" w:eastAsia="Calibri" w:hAnsi="Calibri" w:cs="Times New Roman"/>
                <w:b/>
                <w:lang w:val="en-US"/>
              </w:rPr>
              <w:br/>
              <w:t>challenge to be attended</w:t>
            </w:r>
          </w:p>
        </w:tc>
        <w:tc>
          <w:tcPr>
            <w:tcW w:w="4820" w:type="dxa"/>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At the regional level, there is a need to create spaces for dialogue between authorities, companies and civil society on (tax and non-tax) contributions, distribution and use of public resources derived from extractive activities (canon and others linked).</w:t>
            </w:r>
          </w:p>
        </w:tc>
      </w:tr>
      <w:tr w:rsidR="000834F6" w:rsidRPr="00003DBC"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Main objective</w:t>
            </w:r>
          </w:p>
        </w:tc>
        <w:tc>
          <w:tcPr>
            <w:tcW w:w="4820" w:type="dxa"/>
          </w:tcPr>
          <w:p w:rsidR="000834F6" w:rsidRPr="0095252E" w:rsidRDefault="000834F6" w:rsidP="009E1946">
            <w:pPr>
              <w:jc w:val="both"/>
              <w:rPr>
                <w:rFonts w:ascii="Calibri" w:eastAsia="Calibri" w:hAnsi="Calibri" w:cs="Times New Roman"/>
                <w:bCs/>
                <w:lang w:val="en-US"/>
              </w:rPr>
            </w:pPr>
            <w:r w:rsidRPr="0095252E">
              <w:rPr>
                <w:rFonts w:ascii="Calibri" w:eastAsia="Calibri" w:hAnsi="Calibri" w:cs="Times New Roman"/>
                <w:bCs/>
                <w:lang w:val="en-US"/>
              </w:rPr>
              <w:t>Showing transparency and informing the population about the destination of the resources coming from the canon for the exploitation of natural resources that is carried out in their region.</w:t>
            </w:r>
          </w:p>
        </w:tc>
      </w:tr>
      <w:tr w:rsidR="000834F6" w:rsidRPr="00003DBC"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Brief description of the commitment</w:t>
            </w:r>
          </w:p>
        </w:tc>
        <w:tc>
          <w:tcPr>
            <w:tcW w:w="4820" w:type="dxa"/>
          </w:tcPr>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Implementing Extractive Industries Transparency Commissions in three (03) Regional Governments, in order to establish transparency criteria on the use of the income received by these governments from extractive companies (mining and hydrocarbons), to encourage the development of their Regions.</w:t>
            </w:r>
          </w:p>
        </w:tc>
      </w:tr>
      <w:tr w:rsidR="000834F6" w:rsidRPr="00003DBC" w:rsidTr="009E1946">
        <w:tc>
          <w:tcPr>
            <w:tcW w:w="4219" w:type="dxa"/>
            <w:gridSpan w:val="2"/>
            <w:shd w:val="clear" w:color="auto" w:fill="C6D9F1"/>
            <w:vAlign w:val="center"/>
          </w:tcPr>
          <w:p w:rsidR="000834F6" w:rsidRPr="0095252E" w:rsidRDefault="000834F6" w:rsidP="009E1946">
            <w:pPr>
              <w:autoSpaceDE w:val="0"/>
              <w:autoSpaceDN w:val="0"/>
              <w:adjustRightInd w:val="0"/>
              <w:rPr>
                <w:rFonts w:ascii="Calibri" w:eastAsia="Calibri" w:hAnsi="Calibri" w:cs="Gotham-Book"/>
                <w:b/>
                <w:color w:val="000000"/>
                <w:lang w:val="en-US"/>
              </w:rPr>
            </w:pPr>
            <w:r w:rsidRPr="0095252E">
              <w:rPr>
                <w:rFonts w:ascii="Calibri" w:eastAsia="Calibri" w:hAnsi="Calibri" w:cs="Gotham-Book"/>
                <w:b/>
                <w:color w:val="000000"/>
                <w:lang w:val="en-US"/>
              </w:rPr>
              <w:t>Relevance</w:t>
            </w:r>
          </w:p>
          <w:p w:rsidR="000834F6" w:rsidRPr="0095252E" w:rsidRDefault="000834F6" w:rsidP="009E1946">
            <w:pPr>
              <w:autoSpaceDE w:val="0"/>
              <w:autoSpaceDN w:val="0"/>
              <w:adjustRightInd w:val="0"/>
              <w:rPr>
                <w:rFonts w:ascii="Calibri" w:eastAsia="Calibri" w:hAnsi="Calibri" w:cs="Times New Roman"/>
                <w:b/>
                <w:color w:val="000000"/>
                <w:lang w:val="en-US"/>
              </w:rPr>
            </w:pPr>
          </w:p>
        </w:tc>
        <w:tc>
          <w:tcPr>
            <w:tcW w:w="4820" w:type="dxa"/>
          </w:tcPr>
          <w:p w:rsidR="000834F6" w:rsidRPr="0095252E" w:rsidRDefault="000834F6" w:rsidP="009E1946">
            <w:pPr>
              <w:jc w:val="both"/>
              <w:rPr>
                <w:rFonts w:ascii="Calibri" w:eastAsia="Calibri" w:hAnsi="Calibri" w:cs="Times New Roman"/>
                <w:color w:val="FF0000"/>
                <w:szCs w:val="20"/>
                <w:lang w:val="en-US"/>
              </w:rPr>
            </w:pPr>
            <w:r w:rsidRPr="0095252E">
              <w:rPr>
                <w:rFonts w:ascii="Calibri" w:eastAsia="Calibri" w:hAnsi="Calibri" w:cs="Times New Roman"/>
                <w:szCs w:val="20"/>
                <w:lang w:val="en-US"/>
              </w:rPr>
              <w:t>It highlights the commitment as a country, since for Peru constitutes a successful practice in the field of transparency in the field of extractive industry. In this way, spaces of participation for social control are generated, based on transparency on the use of revenues received by regional governments, which also makes possible the participation of regional governments that promote open government.</w:t>
            </w:r>
          </w:p>
        </w:tc>
      </w:tr>
      <w:tr w:rsidR="000834F6" w:rsidRPr="00003DBC" w:rsidTr="009E1946">
        <w:tc>
          <w:tcPr>
            <w:tcW w:w="4219" w:type="dxa"/>
            <w:gridSpan w:val="2"/>
            <w:shd w:val="clear" w:color="auto" w:fill="C6D9F1"/>
            <w:vAlign w:val="center"/>
          </w:tcPr>
          <w:p w:rsidR="000834F6" w:rsidRPr="0095252E" w:rsidRDefault="000834F6" w:rsidP="009E1946">
            <w:pPr>
              <w:autoSpaceDE w:val="0"/>
              <w:autoSpaceDN w:val="0"/>
              <w:adjustRightInd w:val="0"/>
              <w:rPr>
                <w:rFonts w:ascii="Calibri" w:eastAsia="Calibri" w:hAnsi="Calibri" w:cs="Gotham-Book"/>
                <w:b/>
                <w:color w:val="000000"/>
                <w:lang w:val="en-US"/>
              </w:rPr>
            </w:pPr>
            <w:r w:rsidRPr="0095252E">
              <w:rPr>
                <w:rFonts w:ascii="Calibri" w:eastAsia="Calibri" w:hAnsi="Calibri" w:cs="Gotham-Book"/>
                <w:b/>
                <w:color w:val="000000"/>
                <w:lang w:val="en-US"/>
              </w:rPr>
              <w:t>Ambition</w:t>
            </w:r>
          </w:p>
          <w:p w:rsidR="000834F6" w:rsidRPr="0095252E" w:rsidRDefault="000834F6" w:rsidP="009E1946">
            <w:pPr>
              <w:autoSpaceDE w:val="0"/>
              <w:autoSpaceDN w:val="0"/>
              <w:adjustRightInd w:val="0"/>
              <w:rPr>
                <w:rFonts w:ascii="Calibri" w:eastAsia="Calibri" w:hAnsi="Calibri" w:cs="Gotham-BookItalic"/>
                <w:b/>
                <w:iCs/>
                <w:color w:val="000000"/>
                <w:lang w:val="en-US"/>
              </w:rPr>
            </w:pPr>
          </w:p>
        </w:tc>
        <w:tc>
          <w:tcPr>
            <w:tcW w:w="4820" w:type="dxa"/>
          </w:tcPr>
          <w:p w:rsidR="000834F6" w:rsidRPr="0095252E" w:rsidRDefault="000834F6" w:rsidP="009E1946">
            <w:pPr>
              <w:jc w:val="both"/>
              <w:rPr>
                <w:rFonts w:ascii="Calibri" w:eastAsia="Calibri" w:hAnsi="Calibri" w:cs="Times New Roman"/>
                <w:color w:val="FF0000"/>
                <w:szCs w:val="20"/>
                <w:lang w:val="en-US"/>
              </w:rPr>
            </w:pPr>
            <w:r w:rsidRPr="0095252E">
              <w:rPr>
                <w:rFonts w:ascii="Calibri" w:eastAsia="Calibri" w:hAnsi="Calibri" w:cs="Times New Roman"/>
                <w:szCs w:val="20"/>
                <w:lang w:val="en-US"/>
              </w:rPr>
              <w:t>It is expected that the Permanent Multisector Commission EITI Peru will expand the efforts in other regional governments by increasing the formation of EITI commissions.</w:t>
            </w:r>
          </w:p>
        </w:tc>
      </w:tr>
    </w:tbl>
    <w:p w:rsidR="000834F6" w:rsidRPr="0095252E" w:rsidRDefault="000834F6" w:rsidP="000834F6">
      <w:pPr>
        <w:rPr>
          <w:lang w:val="en-US"/>
        </w:rPr>
      </w:pPr>
    </w:p>
    <w:tbl>
      <w:tblPr>
        <w:tblStyle w:val="Tablaconcuadrcula4"/>
        <w:tblW w:w="9039" w:type="dxa"/>
        <w:tblLayout w:type="fixed"/>
        <w:tblLook w:val="04A0" w:firstRow="1" w:lastRow="0" w:firstColumn="1" w:lastColumn="0" w:noHBand="0" w:noVBand="1"/>
      </w:tblPr>
      <w:tblGrid>
        <w:gridCol w:w="1526"/>
        <w:gridCol w:w="2693"/>
        <w:gridCol w:w="1729"/>
        <w:gridCol w:w="1644"/>
        <w:gridCol w:w="1447"/>
      </w:tblGrid>
      <w:tr w:rsidR="000834F6" w:rsidRPr="0095252E" w:rsidTr="009E1946">
        <w:tc>
          <w:tcPr>
            <w:tcW w:w="1526" w:type="dxa"/>
            <w:vMerge w:val="restart"/>
            <w:shd w:val="clear" w:color="auto" w:fill="C6D9F1"/>
            <w:vAlign w:val="center"/>
          </w:tcPr>
          <w:p w:rsidR="000834F6" w:rsidRPr="0095252E" w:rsidRDefault="000834F6" w:rsidP="009E1946">
            <w:pPr>
              <w:rPr>
                <w:rFonts w:ascii="Calibri" w:eastAsia="Calibri" w:hAnsi="Calibri" w:cs="Times New Roman"/>
                <w:b/>
                <w:color w:val="000000"/>
                <w:lang w:val="en-US"/>
              </w:rPr>
            </w:pPr>
            <w:r w:rsidRPr="0095252E">
              <w:rPr>
                <w:rFonts w:ascii="Calibri" w:eastAsia="Calibri" w:hAnsi="Calibri" w:cs="Gotham-Book"/>
                <w:b/>
                <w:color w:val="000000"/>
                <w:lang w:val="en-US"/>
              </w:rPr>
              <w:t>Compliance</w:t>
            </w:r>
          </w:p>
        </w:tc>
        <w:tc>
          <w:tcPr>
            <w:tcW w:w="2693" w:type="dxa"/>
            <w:shd w:val="clear" w:color="auto" w:fill="C6D9F1"/>
          </w:tcPr>
          <w:p w:rsidR="000834F6" w:rsidRPr="0095252E" w:rsidRDefault="00596BF3" w:rsidP="009E1946">
            <w:pPr>
              <w:jc w:val="center"/>
              <w:rPr>
                <w:rFonts w:ascii="Calibri" w:eastAsia="Calibri" w:hAnsi="Calibri" w:cs="Times New Roman"/>
                <w:b/>
                <w:color w:val="000000"/>
                <w:lang w:val="en-US"/>
              </w:rPr>
            </w:pPr>
            <w:r>
              <w:rPr>
                <w:rFonts w:ascii="Calibri" w:eastAsia="Calibri" w:hAnsi="Calibri" w:cs="Gotham-Book"/>
                <w:b/>
                <w:color w:val="000000"/>
                <w:lang w:val="en-US"/>
              </w:rPr>
              <w:t>Uninitiated</w:t>
            </w:r>
          </w:p>
        </w:tc>
        <w:tc>
          <w:tcPr>
            <w:tcW w:w="1729" w:type="dxa"/>
            <w:shd w:val="clear" w:color="auto" w:fill="C6D9F1"/>
          </w:tcPr>
          <w:p w:rsidR="000834F6" w:rsidRPr="0095252E" w:rsidRDefault="000834F6" w:rsidP="009E1946">
            <w:pPr>
              <w:jc w:val="center"/>
              <w:rPr>
                <w:rFonts w:ascii="Calibri" w:eastAsia="Calibri" w:hAnsi="Calibri" w:cs="Times New Roman"/>
                <w:b/>
                <w:color w:val="000000"/>
                <w:lang w:val="en-US"/>
              </w:rPr>
            </w:pPr>
            <w:r w:rsidRPr="0095252E">
              <w:rPr>
                <w:rFonts w:ascii="Calibri" w:eastAsia="Calibri" w:hAnsi="Calibri" w:cs="Gotham-Book"/>
                <w:b/>
                <w:color w:val="000000"/>
                <w:lang w:val="en-US"/>
              </w:rPr>
              <w:t>Limited</w:t>
            </w:r>
          </w:p>
        </w:tc>
        <w:tc>
          <w:tcPr>
            <w:tcW w:w="1644" w:type="dxa"/>
            <w:shd w:val="clear" w:color="auto" w:fill="C6D9F1"/>
          </w:tcPr>
          <w:p w:rsidR="000834F6" w:rsidRPr="0095252E" w:rsidRDefault="000834F6" w:rsidP="009E1946">
            <w:pPr>
              <w:jc w:val="center"/>
              <w:rPr>
                <w:rFonts w:ascii="Calibri" w:eastAsia="Calibri" w:hAnsi="Calibri" w:cs="Times New Roman"/>
                <w:b/>
                <w:color w:val="000000"/>
                <w:lang w:val="en-US"/>
              </w:rPr>
            </w:pPr>
            <w:r w:rsidRPr="0095252E">
              <w:rPr>
                <w:rFonts w:ascii="Calibri" w:eastAsia="Calibri" w:hAnsi="Calibri" w:cs="Gotham-Book"/>
                <w:b/>
                <w:color w:val="000000"/>
                <w:lang w:val="en-US"/>
              </w:rPr>
              <w:t>Substantial</w:t>
            </w:r>
          </w:p>
        </w:tc>
        <w:tc>
          <w:tcPr>
            <w:tcW w:w="1447" w:type="dxa"/>
            <w:shd w:val="clear" w:color="auto" w:fill="C6D9F1"/>
          </w:tcPr>
          <w:p w:rsidR="000834F6" w:rsidRPr="0095252E" w:rsidRDefault="000834F6" w:rsidP="009E1946">
            <w:pPr>
              <w:jc w:val="center"/>
              <w:rPr>
                <w:rFonts w:ascii="Calibri" w:eastAsia="Calibri" w:hAnsi="Calibri" w:cs="Times New Roman"/>
                <w:b/>
                <w:color w:val="000000"/>
                <w:lang w:val="en-US"/>
              </w:rPr>
            </w:pPr>
            <w:r w:rsidRPr="0095252E">
              <w:rPr>
                <w:rFonts w:ascii="Calibri" w:eastAsia="Calibri" w:hAnsi="Calibri" w:cs="Gotham-Book"/>
                <w:b/>
                <w:color w:val="000000"/>
                <w:lang w:val="en-US"/>
              </w:rPr>
              <w:t>Complete</w:t>
            </w:r>
          </w:p>
        </w:tc>
      </w:tr>
      <w:tr w:rsidR="000834F6" w:rsidRPr="0095252E" w:rsidTr="009E1946">
        <w:tc>
          <w:tcPr>
            <w:tcW w:w="1526" w:type="dxa"/>
            <w:vMerge/>
            <w:shd w:val="clear" w:color="auto" w:fill="C6D9F1"/>
            <w:vAlign w:val="center"/>
          </w:tcPr>
          <w:p w:rsidR="000834F6" w:rsidRPr="0095252E" w:rsidRDefault="000834F6" w:rsidP="009E1946">
            <w:pPr>
              <w:rPr>
                <w:rFonts w:ascii="Calibri" w:eastAsia="Calibri" w:hAnsi="Calibri" w:cs="Times New Roman"/>
                <w:b/>
                <w:color w:val="000000"/>
                <w:lang w:val="en-US"/>
              </w:rPr>
            </w:pPr>
          </w:p>
        </w:tc>
        <w:tc>
          <w:tcPr>
            <w:tcW w:w="2693" w:type="dxa"/>
          </w:tcPr>
          <w:p w:rsidR="000834F6" w:rsidRPr="0095252E" w:rsidRDefault="000834F6" w:rsidP="009E1946">
            <w:pPr>
              <w:jc w:val="center"/>
              <w:rPr>
                <w:rFonts w:ascii="Calibri" w:eastAsia="Calibri" w:hAnsi="Calibri" w:cs="Times New Roman"/>
                <w:b/>
                <w:color w:val="000000"/>
                <w:lang w:val="en-US"/>
              </w:rPr>
            </w:pPr>
          </w:p>
        </w:tc>
        <w:tc>
          <w:tcPr>
            <w:tcW w:w="1729" w:type="dxa"/>
          </w:tcPr>
          <w:p w:rsidR="000834F6" w:rsidRPr="0095252E" w:rsidRDefault="000834F6" w:rsidP="009E1946">
            <w:pPr>
              <w:jc w:val="center"/>
              <w:rPr>
                <w:rFonts w:ascii="Calibri" w:eastAsia="Calibri" w:hAnsi="Calibri" w:cs="Times New Roman"/>
                <w:b/>
                <w:color w:val="000000"/>
                <w:lang w:val="en-US"/>
              </w:rPr>
            </w:pPr>
          </w:p>
        </w:tc>
        <w:tc>
          <w:tcPr>
            <w:tcW w:w="1644" w:type="dxa"/>
          </w:tcPr>
          <w:p w:rsidR="000834F6" w:rsidRPr="0095252E" w:rsidRDefault="000834F6" w:rsidP="009E1946">
            <w:pPr>
              <w:jc w:val="center"/>
              <w:rPr>
                <w:rFonts w:ascii="Calibri" w:eastAsia="Calibri" w:hAnsi="Calibri" w:cs="Times New Roman"/>
                <w:b/>
                <w:color w:val="000000"/>
                <w:lang w:val="en-US"/>
              </w:rPr>
            </w:pPr>
          </w:p>
        </w:tc>
        <w:tc>
          <w:tcPr>
            <w:tcW w:w="1447" w:type="dxa"/>
            <w:shd w:val="clear" w:color="auto" w:fill="FFFFFF"/>
          </w:tcPr>
          <w:p w:rsidR="000834F6" w:rsidRPr="0095252E" w:rsidRDefault="000834F6" w:rsidP="009E1946">
            <w:pPr>
              <w:jc w:val="center"/>
              <w:rPr>
                <w:rFonts w:ascii="Calibri" w:eastAsia="Calibri" w:hAnsi="Calibri" w:cs="Times New Roman"/>
                <w:b/>
                <w:color w:val="000000"/>
                <w:lang w:val="en-US"/>
              </w:rPr>
            </w:pPr>
            <w:r w:rsidRPr="0095252E">
              <w:rPr>
                <w:rFonts w:ascii="Calibri" w:eastAsia="Calibri" w:hAnsi="Calibri" w:cs="Times New Roman"/>
                <w:b/>
                <w:color w:val="000000"/>
                <w:lang w:val="en-US"/>
              </w:rPr>
              <w:t>X</w:t>
            </w:r>
          </w:p>
        </w:tc>
      </w:tr>
      <w:tr w:rsidR="000834F6" w:rsidRPr="00003DBC" w:rsidTr="009E1946">
        <w:tc>
          <w:tcPr>
            <w:tcW w:w="1526" w:type="dxa"/>
            <w:shd w:val="clear" w:color="auto" w:fill="C6D9F1"/>
            <w:vAlign w:val="center"/>
          </w:tcPr>
          <w:p w:rsidR="000834F6" w:rsidRPr="0095252E" w:rsidRDefault="000834F6" w:rsidP="009E1946">
            <w:pPr>
              <w:autoSpaceDE w:val="0"/>
              <w:autoSpaceDN w:val="0"/>
              <w:adjustRightInd w:val="0"/>
              <w:rPr>
                <w:rFonts w:ascii="Calibri" w:eastAsia="Calibri" w:hAnsi="Calibri" w:cs="Gotham-Book"/>
                <w:b/>
                <w:color w:val="000000"/>
                <w:lang w:val="en-US"/>
              </w:rPr>
            </w:pPr>
            <w:r w:rsidRPr="0095252E">
              <w:rPr>
                <w:rFonts w:ascii="Calibri" w:eastAsia="Calibri" w:hAnsi="Calibri" w:cs="Gotham-Book"/>
                <w:b/>
                <w:color w:val="000000"/>
                <w:lang w:val="en-US"/>
              </w:rPr>
              <w:t>Result description</w:t>
            </w:r>
          </w:p>
          <w:p w:rsidR="000834F6" w:rsidRPr="0095252E" w:rsidRDefault="000834F6" w:rsidP="009E1946">
            <w:pPr>
              <w:autoSpaceDE w:val="0"/>
              <w:autoSpaceDN w:val="0"/>
              <w:adjustRightInd w:val="0"/>
              <w:rPr>
                <w:rFonts w:ascii="Calibri" w:eastAsia="Calibri" w:hAnsi="Calibri" w:cs="Gotham-BookItalic"/>
                <w:b/>
                <w:iCs/>
                <w:color w:val="000000"/>
                <w:lang w:val="en-US"/>
              </w:rPr>
            </w:pPr>
          </w:p>
        </w:tc>
        <w:tc>
          <w:tcPr>
            <w:tcW w:w="7513" w:type="dxa"/>
            <w:gridSpan w:val="4"/>
          </w:tcPr>
          <w:p w:rsidR="000834F6" w:rsidRPr="0095252E" w:rsidRDefault="000834F6" w:rsidP="009E1946">
            <w:pPr>
              <w:jc w:val="both"/>
              <w:rPr>
                <w:rFonts w:ascii="Calibri" w:eastAsia="Calibri" w:hAnsi="Calibri" w:cs="Times New Roman"/>
                <w:b/>
                <w:i/>
                <w:color w:val="000000"/>
                <w:lang w:val="en-US"/>
              </w:rPr>
            </w:pPr>
            <w:r w:rsidRPr="0095252E">
              <w:rPr>
                <w:rFonts w:ascii="Calibri" w:eastAsia="Calibri" w:hAnsi="Calibri" w:cs="Times New Roman"/>
                <w:b/>
                <w:i/>
                <w:color w:val="000000"/>
                <w:lang w:val="en-US"/>
              </w:rPr>
              <w:t>As actions, it was contemplated that 03 Regional Governments publish the respective Ordinance establishing the EITI Commission in their region.</w:t>
            </w:r>
          </w:p>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The Ministry reported 100% compliance of the commitment, reporting on the EITI regional processes:</w:t>
            </w:r>
          </w:p>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1. Regional Process Piura. Reference Document: Regional Ordinance No. 289-2014/GRP-CR.</w:t>
            </w:r>
          </w:p>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EITI Piura: http://eitipiura.regionpiura.gob.pe/</w:t>
            </w:r>
          </w:p>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2. Regional Process Moquegua: Reference Document: Regional Ordinance No. 002-2014/CR-GRM</w:t>
            </w:r>
          </w:p>
          <w:p w:rsidR="000834F6" w:rsidRPr="00E975F8" w:rsidRDefault="000834F6" w:rsidP="009E1946">
            <w:pPr>
              <w:jc w:val="both"/>
              <w:rPr>
                <w:rFonts w:ascii="Calibri" w:eastAsia="Calibri" w:hAnsi="Calibri" w:cs="Times New Roman"/>
                <w:color w:val="000000"/>
                <w:lang w:val="fr-FR"/>
              </w:rPr>
            </w:pPr>
            <w:r w:rsidRPr="00E975F8">
              <w:rPr>
                <w:rFonts w:ascii="Calibri" w:eastAsia="Calibri" w:hAnsi="Calibri" w:cs="Times New Roman"/>
                <w:color w:val="000000"/>
                <w:lang w:val="fr-FR"/>
              </w:rPr>
              <w:t>EITI Moquegua: http://regionmoquegua.gob.pe/web13/transparencia/eiti.html</w:t>
            </w:r>
          </w:p>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These regional EITI processes in Moquegua and Piura have Regional EITI Commissions and are being implemented on a regular basis. Both processes have Regional Transparency Studies on the transfers and uses of resources that come from the extractive activities, the same ones that have been spreading in several regional spaces.</w:t>
            </w:r>
          </w:p>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3. Regional Process Loreto. Reference Document: Regional Ordinance No. 023-2012-GRL-CI.</w:t>
            </w:r>
          </w:p>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This regional process has been strengthened in terms of participation and organization.</w:t>
            </w:r>
          </w:p>
          <w:p w:rsidR="000834F6" w:rsidRPr="0095252E" w:rsidRDefault="000834F6" w:rsidP="009E1946">
            <w:pPr>
              <w:jc w:val="both"/>
              <w:rPr>
                <w:rFonts w:ascii="Calibri" w:eastAsia="Calibri" w:hAnsi="Calibri" w:cs="Times New Roman"/>
                <w:color w:val="000000"/>
                <w:lang w:val="en-US"/>
              </w:rPr>
            </w:pPr>
          </w:p>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The Permanent Multisector Commission EITI Peru has proceeded to extend the processes in other regions of the country (new processes). To date, it is carrying out the respective management and coordination process for its formalization and implementation.</w:t>
            </w:r>
          </w:p>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http://eitiperu.minem.gob.pe</w:t>
            </w:r>
          </w:p>
          <w:p w:rsidR="000834F6" w:rsidRPr="0095252E" w:rsidRDefault="000834F6" w:rsidP="009E1946">
            <w:pPr>
              <w:jc w:val="both"/>
              <w:rPr>
                <w:rFonts w:ascii="Calibri" w:eastAsia="Calibri" w:hAnsi="Calibri" w:cs="Times New Roman"/>
                <w:color w:val="000000"/>
                <w:lang w:val="en-US"/>
              </w:rPr>
            </w:pPr>
          </w:p>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Source: information provided via email (rperez@minem.gob.pe), dated 04.28.16</w:t>
            </w:r>
          </w:p>
        </w:tc>
      </w:tr>
      <w:tr w:rsidR="000834F6" w:rsidRPr="0095252E" w:rsidTr="009E1946">
        <w:tc>
          <w:tcPr>
            <w:tcW w:w="1526" w:type="dxa"/>
            <w:shd w:val="clear" w:color="auto" w:fill="C6D9F1"/>
            <w:vAlign w:val="center"/>
          </w:tcPr>
          <w:p w:rsidR="000834F6" w:rsidRPr="0095252E" w:rsidRDefault="000834F6" w:rsidP="009E1946">
            <w:pPr>
              <w:rPr>
                <w:rFonts w:ascii="Calibri" w:eastAsia="Calibri" w:hAnsi="Calibri" w:cs="Times New Roman"/>
                <w:b/>
                <w:color w:val="000000"/>
                <w:lang w:val="en-US"/>
              </w:rPr>
            </w:pPr>
            <w:r w:rsidRPr="0095252E">
              <w:rPr>
                <w:rFonts w:ascii="Calibri" w:eastAsia="Calibri" w:hAnsi="Calibri" w:cs="Gotham-Book"/>
                <w:b/>
                <w:color w:val="000000"/>
                <w:lang w:val="en-US"/>
              </w:rPr>
              <w:t>Conclusion date</w:t>
            </w:r>
          </w:p>
        </w:tc>
        <w:tc>
          <w:tcPr>
            <w:tcW w:w="7513" w:type="dxa"/>
            <w:gridSpan w:val="4"/>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Concluded</w:t>
            </w:r>
          </w:p>
        </w:tc>
      </w:tr>
      <w:tr w:rsidR="000834F6" w:rsidRPr="00003DBC" w:rsidTr="009E1946">
        <w:tc>
          <w:tcPr>
            <w:tcW w:w="1526" w:type="dxa"/>
            <w:shd w:val="clear" w:color="auto" w:fill="C6D9F1"/>
            <w:vAlign w:val="center"/>
          </w:tcPr>
          <w:p w:rsidR="000834F6" w:rsidRPr="0095252E" w:rsidRDefault="000834F6" w:rsidP="009E1946">
            <w:pPr>
              <w:rPr>
                <w:rFonts w:ascii="Calibri" w:eastAsia="Calibri" w:hAnsi="Calibri" w:cs="Times New Roman"/>
                <w:b/>
                <w:color w:val="000000"/>
                <w:lang w:val="en-US"/>
              </w:rPr>
            </w:pPr>
            <w:r w:rsidRPr="0095252E">
              <w:rPr>
                <w:rFonts w:ascii="Calibri" w:eastAsia="Calibri" w:hAnsi="Calibri" w:cs="Gotham-Book"/>
                <w:b/>
                <w:color w:val="000000"/>
                <w:lang w:val="en-US"/>
              </w:rPr>
              <w:t>Next steps</w:t>
            </w:r>
          </w:p>
        </w:tc>
        <w:tc>
          <w:tcPr>
            <w:tcW w:w="7513" w:type="dxa"/>
            <w:gridSpan w:val="4"/>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Other regions are expected to be incorporated shortly.</w:t>
            </w:r>
          </w:p>
        </w:tc>
      </w:tr>
      <w:tr w:rsidR="000834F6" w:rsidRPr="0095252E" w:rsidTr="009E1946">
        <w:tc>
          <w:tcPr>
            <w:tcW w:w="9039" w:type="dxa"/>
            <w:gridSpan w:val="5"/>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Gotham-Book"/>
                <w:b/>
                <w:color w:val="000000"/>
                <w:lang w:val="en-US"/>
              </w:rPr>
              <w:t>Additional information</w:t>
            </w:r>
          </w:p>
        </w:tc>
      </w:tr>
      <w:tr w:rsidR="000834F6" w:rsidRPr="00003DBC" w:rsidTr="009E1946">
        <w:tc>
          <w:tcPr>
            <w:tcW w:w="9039" w:type="dxa"/>
            <w:gridSpan w:val="5"/>
          </w:tcPr>
          <w:p w:rsidR="000834F6" w:rsidRPr="0095252E" w:rsidRDefault="000834F6" w:rsidP="009E1946">
            <w:pPr>
              <w:jc w:val="both"/>
              <w:rPr>
                <w:rFonts w:ascii="Calibri" w:eastAsia="Calibri" w:hAnsi="Calibri" w:cs="Gotham-Book"/>
                <w:color w:val="000000"/>
                <w:lang w:val="en-US"/>
              </w:rPr>
            </w:pPr>
            <w:r w:rsidRPr="0095252E">
              <w:rPr>
                <w:rFonts w:ascii="Calibri" w:eastAsia="Calibri" w:hAnsi="Calibri" w:cs="Gotham-Book"/>
                <w:color w:val="000000"/>
                <w:lang w:val="en-US"/>
              </w:rPr>
              <w:t>Peru is the first country to achieve EITI implementation at the subnational government level. This not only seeks to make the extractive industry transparent, but also to know how these revenues are transferred to regional or local governments and their use for the benefit of the population.</w:t>
            </w:r>
          </w:p>
        </w:tc>
      </w:tr>
    </w:tbl>
    <w:p w:rsidR="000834F6" w:rsidRPr="0095252E" w:rsidRDefault="000834F6" w:rsidP="000834F6">
      <w:pPr>
        <w:rPr>
          <w:lang w:val="en-US"/>
        </w:rPr>
      </w:pPr>
    </w:p>
    <w:p w:rsidR="000834F6" w:rsidRPr="0095252E" w:rsidRDefault="000834F6" w:rsidP="000834F6">
      <w:pPr>
        <w:rPr>
          <w:lang w:val="en-US"/>
        </w:rPr>
      </w:pPr>
      <w:r w:rsidRPr="0095252E">
        <w:rPr>
          <w:lang w:val="en-US"/>
        </w:rPr>
        <w:br w:type="column"/>
      </w:r>
    </w:p>
    <w:tbl>
      <w:tblPr>
        <w:tblStyle w:val="Tablaconcuadrcula5"/>
        <w:tblW w:w="9039" w:type="dxa"/>
        <w:tblLayout w:type="fixed"/>
        <w:tblLook w:val="04A0" w:firstRow="1" w:lastRow="0" w:firstColumn="1" w:lastColumn="0" w:noHBand="0" w:noVBand="1"/>
      </w:tblPr>
      <w:tblGrid>
        <w:gridCol w:w="2109"/>
        <w:gridCol w:w="2110"/>
        <w:gridCol w:w="4820"/>
      </w:tblGrid>
      <w:tr w:rsidR="000834F6" w:rsidRPr="0095252E" w:rsidTr="009E1946">
        <w:tc>
          <w:tcPr>
            <w:tcW w:w="9039" w:type="dxa"/>
            <w:gridSpan w:val="3"/>
            <w:shd w:val="clear" w:color="auto" w:fill="548DD4"/>
          </w:tcPr>
          <w:p w:rsidR="000834F6" w:rsidRPr="0095252E" w:rsidRDefault="000834F6" w:rsidP="009E1946">
            <w:pPr>
              <w:ind w:left="720"/>
              <w:jc w:val="center"/>
              <w:rPr>
                <w:rFonts w:ascii="Calibri" w:eastAsia="Calibri" w:hAnsi="Calibri" w:cs="Times New Roman"/>
                <w:b/>
                <w:lang w:val="en-US"/>
              </w:rPr>
            </w:pPr>
            <w:r w:rsidRPr="0095252E">
              <w:rPr>
                <w:rFonts w:ascii="Calibri" w:eastAsia="Calibri" w:hAnsi="Calibri" w:cs="Times New Roman"/>
                <w:b/>
                <w:lang w:val="en-US"/>
              </w:rPr>
              <w:t>Component: Citizen Participation</w:t>
            </w:r>
          </w:p>
        </w:tc>
      </w:tr>
      <w:tr w:rsidR="000834F6" w:rsidRPr="00003DBC" w:rsidTr="009E1946">
        <w:tc>
          <w:tcPr>
            <w:tcW w:w="9039" w:type="dxa"/>
            <w:gridSpan w:val="3"/>
            <w:shd w:val="clear" w:color="auto" w:fill="548DD4"/>
          </w:tcPr>
          <w:p w:rsidR="000834F6" w:rsidRPr="0095252E" w:rsidRDefault="000834F6" w:rsidP="009E1946">
            <w:pPr>
              <w:ind w:left="720"/>
              <w:rPr>
                <w:rFonts w:ascii="Calibri" w:eastAsia="Calibri" w:hAnsi="Calibri" w:cs="Times New Roman"/>
                <w:b/>
                <w:lang w:val="en-US"/>
              </w:rPr>
            </w:pPr>
            <w:r w:rsidRPr="0095252E">
              <w:rPr>
                <w:rFonts w:ascii="Calibri" w:eastAsia="Calibri" w:hAnsi="Calibri" w:cs="Times New Roman"/>
                <w:b/>
                <w:u w:val="single"/>
                <w:lang w:val="en-US"/>
              </w:rPr>
              <w:t>Commitment 7. Strengthening the management of citizen participation</w:t>
            </w:r>
          </w:p>
        </w:tc>
      </w:tr>
      <w:tr w:rsidR="000834F6" w:rsidRPr="00003DBC"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Secretariat/Ministry in charge</w:t>
            </w:r>
          </w:p>
        </w:tc>
        <w:tc>
          <w:tcPr>
            <w:tcW w:w="4820" w:type="dxa"/>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Presidency of the Cabinet, through the Secretariat of Public Management</w:t>
            </w:r>
          </w:p>
        </w:tc>
      </w:tr>
      <w:tr w:rsidR="000834F6" w:rsidRPr="0095252E"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Name of the person in charge</w:t>
            </w:r>
          </w:p>
        </w:tc>
        <w:tc>
          <w:tcPr>
            <w:tcW w:w="4820" w:type="dxa"/>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Fernando Zavala Lombardi</w:t>
            </w:r>
          </w:p>
        </w:tc>
      </w:tr>
      <w:tr w:rsidR="000834F6" w:rsidRPr="0095252E"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Position</w:t>
            </w:r>
          </w:p>
        </w:tc>
        <w:tc>
          <w:tcPr>
            <w:tcW w:w="4820" w:type="dxa"/>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President of the Cabinet</w:t>
            </w:r>
          </w:p>
        </w:tc>
      </w:tr>
      <w:tr w:rsidR="000834F6" w:rsidRPr="0095252E"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Email</w:t>
            </w:r>
          </w:p>
        </w:tc>
        <w:tc>
          <w:tcPr>
            <w:tcW w:w="4820" w:type="dxa"/>
          </w:tcPr>
          <w:p w:rsidR="000834F6" w:rsidRPr="0095252E" w:rsidRDefault="002C33FD" w:rsidP="009E1946">
            <w:pPr>
              <w:jc w:val="both"/>
              <w:rPr>
                <w:rFonts w:ascii="Calibri" w:eastAsia="Calibri" w:hAnsi="Calibri" w:cs="Arial"/>
                <w:color w:val="0000FF"/>
                <w:u w:val="single"/>
                <w:lang w:val="en-US"/>
              </w:rPr>
            </w:pPr>
            <w:hyperlink r:id="rId24" w:history="1">
              <w:r w:rsidR="000834F6" w:rsidRPr="0095252E">
                <w:rPr>
                  <w:rFonts w:ascii="Calibri" w:eastAsia="Calibri" w:hAnsi="Calibri" w:cs="Arial"/>
                  <w:color w:val="0000FF"/>
                  <w:u w:val="single"/>
                  <w:lang w:val="en-US"/>
                </w:rPr>
                <w:t>fzavala@pcm.gob.pe</w:t>
              </w:r>
            </w:hyperlink>
          </w:p>
        </w:tc>
      </w:tr>
      <w:tr w:rsidR="000834F6" w:rsidRPr="0095252E"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Telephone</w:t>
            </w:r>
          </w:p>
        </w:tc>
        <w:tc>
          <w:tcPr>
            <w:tcW w:w="4820" w:type="dxa"/>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51-1-2197000</w:t>
            </w:r>
          </w:p>
        </w:tc>
      </w:tr>
      <w:tr w:rsidR="000834F6" w:rsidRPr="0095252E" w:rsidTr="009E1946">
        <w:tc>
          <w:tcPr>
            <w:tcW w:w="2109" w:type="dxa"/>
            <w:vMerge w:val="restart"/>
            <w:shd w:val="clear" w:color="auto" w:fill="C6D9F1"/>
            <w:vAlign w:val="center"/>
          </w:tcPr>
          <w:p w:rsidR="000834F6" w:rsidRPr="0095252E" w:rsidRDefault="00596BF3" w:rsidP="009E1946">
            <w:pPr>
              <w:rPr>
                <w:rFonts w:ascii="Calibri" w:eastAsia="Calibri" w:hAnsi="Calibri" w:cs="Gotham-Book"/>
                <w:b/>
                <w:color w:val="000000"/>
                <w:lang w:val="en-US"/>
              </w:rPr>
            </w:pPr>
            <w:r>
              <w:rPr>
                <w:rFonts w:ascii="Calibri" w:eastAsia="Calibri" w:hAnsi="Calibri" w:cs="Gotham-Book"/>
                <w:b/>
                <w:color w:val="000000"/>
                <w:lang w:val="en-US"/>
              </w:rPr>
              <w:t>Other parties involved</w:t>
            </w:r>
          </w:p>
        </w:tc>
        <w:tc>
          <w:tcPr>
            <w:tcW w:w="2110" w:type="dxa"/>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Government</w:t>
            </w:r>
          </w:p>
        </w:tc>
        <w:tc>
          <w:tcPr>
            <w:tcW w:w="4820" w:type="dxa"/>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Not applicable</w:t>
            </w:r>
          </w:p>
        </w:tc>
      </w:tr>
      <w:tr w:rsidR="000834F6" w:rsidRPr="00003DBC" w:rsidTr="009E1946">
        <w:tc>
          <w:tcPr>
            <w:tcW w:w="2109" w:type="dxa"/>
            <w:vMerge/>
            <w:shd w:val="clear" w:color="auto" w:fill="C6D9F1"/>
            <w:vAlign w:val="center"/>
          </w:tcPr>
          <w:p w:rsidR="000834F6" w:rsidRPr="0095252E" w:rsidRDefault="000834F6" w:rsidP="009E1946">
            <w:pPr>
              <w:rPr>
                <w:rFonts w:ascii="Calibri" w:eastAsia="Calibri" w:hAnsi="Calibri" w:cs="Gotham-Book"/>
                <w:b/>
                <w:color w:val="000000"/>
                <w:lang w:val="en-US"/>
              </w:rPr>
            </w:pPr>
          </w:p>
        </w:tc>
        <w:tc>
          <w:tcPr>
            <w:tcW w:w="2110" w:type="dxa"/>
            <w:shd w:val="clear" w:color="auto" w:fill="C6D9F1"/>
            <w:vAlign w:val="center"/>
          </w:tcPr>
          <w:p w:rsidR="000834F6" w:rsidRPr="0095252E" w:rsidRDefault="000834F6" w:rsidP="009E1946">
            <w:pPr>
              <w:rPr>
                <w:rFonts w:ascii="Calibri" w:eastAsia="Calibri" w:hAnsi="Calibri" w:cs="Gotham-Book"/>
                <w:b/>
                <w:color w:val="000000"/>
                <w:lang w:val="en-US"/>
              </w:rPr>
            </w:pPr>
            <w:r w:rsidRPr="0095252E">
              <w:rPr>
                <w:rFonts w:ascii="Calibri" w:eastAsia="Calibri" w:hAnsi="Calibri" w:cs="Times New Roman"/>
                <w:b/>
                <w:lang w:val="en-US"/>
              </w:rPr>
              <w:t>Civil society, private initiative, multilateral or work groups</w:t>
            </w:r>
          </w:p>
        </w:tc>
        <w:tc>
          <w:tcPr>
            <w:tcW w:w="4820" w:type="dxa"/>
          </w:tcPr>
          <w:p w:rsidR="000834F6" w:rsidRPr="0095252E" w:rsidRDefault="000834F6" w:rsidP="009E1946">
            <w:pPr>
              <w:jc w:val="both"/>
              <w:rPr>
                <w:rFonts w:ascii="Calibri" w:eastAsia="Calibri" w:hAnsi="Calibri" w:cs="Times New Roman"/>
                <w:color w:val="000000"/>
                <w:lang w:val="en-US"/>
              </w:rPr>
            </w:pPr>
          </w:p>
        </w:tc>
      </w:tr>
      <w:tr w:rsidR="000834F6" w:rsidRPr="00003DBC"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Status quo or problem/</w:t>
            </w:r>
            <w:r w:rsidRPr="0095252E">
              <w:rPr>
                <w:rFonts w:ascii="Calibri" w:eastAsia="Calibri" w:hAnsi="Calibri" w:cs="Times New Roman"/>
                <w:b/>
                <w:lang w:val="en-US"/>
              </w:rPr>
              <w:br/>
              <w:t>challenge to be attended</w:t>
            </w:r>
          </w:p>
        </w:tc>
        <w:tc>
          <w:tcPr>
            <w:tcW w:w="4820" w:type="dxa"/>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 xml:space="preserve">According to the </w:t>
            </w:r>
            <w:proofErr w:type="spellStart"/>
            <w:r w:rsidRPr="0095252E">
              <w:rPr>
                <w:rFonts w:ascii="Calibri" w:eastAsia="Calibri" w:hAnsi="Calibri" w:cs="Times New Roman"/>
                <w:color w:val="000000"/>
                <w:lang w:val="en-US"/>
              </w:rPr>
              <w:t>Ibero</w:t>
            </w:r>
            <w:proofErr w:type="spellEnd"/>
            <w:r w:rsidRPr="0095252E">
              <w:rPr>
                <w:rFonts w:ascii="Calibri" w:eastAsia="Calibri" w:hAnsi="Calibri" w:cs="Times New Roman"/>
                <w:color w:val="000000"/>
                <w:lang w:val="en-US"/>
              </w:rPr>
              <w:t>-American Charter on Citizen Participation in Public Management (p.3), citizen participation is understood as a process of social construction of public policies, fostering the expression and defense of their interests and a greater knowledge of the Public affairs</w:t>
            </w:r>
          </w:p>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Although in our country there are regulated mechanisms, it is necessary to implement guidelines and guidelines on the management of citizen participation policies. This will make it possible to strengthen these mechanisms, so that they can be developed in an appropriate and active way.</w:t>
            </w:r>
          </w:p>
        </w:tc>
      </w:tr>
      <w:tr w:rsidR="000834F6" w:rsidRPr="00003DBC"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Main objective</w:t>
            </w:r>
          </w:p>
        </w:tc>
        <w:tc>
          <w:tcPr>
            <w:tcW w:w="4820" w:type="dxa"/>
          </w:tcPr>
          <w:p w:rsidR="000834F6" w:rsidRPr="0095252E" w:rsidRDefault="000834F6" w:rsidP="009E1946">
            <w:pPr>
              <w:jc w:val="both"/>
              <w:rPr>
                <w:rFonts w:ascii="Calibri" w:eastAsia="Calibri" w:hAnsi="Calibri" w:cs="Times New Roman"/>
                <w:bCs/>
                <w:lang w:val="en-US"/>
              </w:rPr>
            </w:pPr>
            <w:r w:rsidRPr="0095252E">
              <w:rPr>
                <w:rFonts w:ascii="Calibri" w:eastAsia="Calibri" w:hAnsi="Calibri" w:cs="Times New Roman"/>
                <w:bCs/>
                <w:lang w:val="en-US"/>
              </w:rPr>
              <w:t xml:space="preserve">To sensitize and guide public officials for the proper management of citizen participation, as a way to contribute to an improvement in the quality of public management, in accordance with national regulations and the </w:t>
            </w:r>
            <w:proofErr w:type="spellStart"/>
            <w:r w:rsidRPr="0095252E">
              <w:rPr>
                <w:rFonts w:ascii="Calibri" w:eastAsia="Calibri" w:hAnsi="Calibri" w:cs="Times New Roman"/>
                <w:bCs/>
                <w:lang w:val="en-US"/>
              </w:rPr>
              <w:t>Ibero</w:t>
            </w:r>
            <w:proofErr w:type="spellEnd"/>
            <w:r w:rsidRPr="0095252E">
              <w:rPr>
                <w:rFonts w:ascii="Calibri" w:eastAsia="Calibri" w:hAnsi="Calibri" w:cs="Times New Roman"/>
                <w:bCs/>
                <w:lang w:val="en-US"/>
              </w:rPr>
              <w:t>-American Charter on Citizen Participation.</w:t>
            </w:r>
          </w:p>
        </w:tc>
      </w:tr>
      <w:tr w:rsidR="000834F6" w:rsidRPr="00003DBC" w:rsidTr="009E1946">
        <w:tc>
          <w:tcPr>
            <w:tcW w:w="4219"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Brief description of the commitment</w:t>
            </w:r>
          </w:p>
        </w:tc>
        <w:tc>
          <w:tcPr>
            <w:tcW w:w="4820" w:type="dxa"/>
          </w:tcPr>
          <w:p w:rsidR="000834F6" w:rsidRPr="0095252E" w:rsidRDefault="000834F6" w:rsidP="009E1946">
            <w:pPr>
              <w:jc w:val="both"/>
              <w:rPr>
                <w:rFonts w:ascii="Calibri" w:eastAsia="Calibri" w:hAnsi="Calibri" w:cs="Times New Roman"/>
                <w:color w:val="FF0000"/>
                <w:szCs w:val="20"/>
                <w:lang w:val="en-US"/>
              </w:rPr>
            </w:pPr>
            <w:r w:rsidRPr="0095252E">
              <w:rPr>
                <w:rFonts w:ascii="Calibri" w:eastAsia="Calibri" w:hAnsi="Calibri" w:cs="Times New Roman"/>
                <w:szCs w:val="20"/>
                <w:lang w:val="en-US"/>
              </w:rPr>
              <w:t>Strengthen the management of citizen participation in the public entities of the three levels of government through guidelines and guidelines that contribute to an adequate management.</w:t>
            </w:r>
          </w:p>
        </w:tc>
      </w:tr>
      <w:tr w:rsidR="000834F6" w:rsidRPr="00003DBC" w:rsidTr="009E1946">
        <w:tc>
          <w:tcPr>
            <w:tcW w:w="4219" w:type="dxa"/>
            <w:gridSpan w:val="2"/>
            <w:shd w:val="clear" w:color="auto" w:fill="C6D9F1"/>
            <w:vAlign w:val="center"/>
          </w:tcPr>
          <w:p w:rsidR="000834F6" w:rsidRPr="0095252E" w:rsidRDefault="000834F6" w:rsidP="009E1946">
            <w:pPr>
              <w:autoSpaceDE w:val="0"/>
              <w:autoSpaceDN w:val="0"/>
              <w:adjustRightInd w:val="0"/>
              <w:rPr>
                <w:rFonts w:ascii="Calibri" w:eastAsia="Calibri" w:hAnsi="Calibri" w:cs="Gotham-Book"/>
                <w:b/>
                <w:color w:val="000000"/>
                <w:lang w:val="en-US"/>
              </w:rPr>
            </w:pPr>
            <w:r w:rsidRPr="0095252E">
              <w:rPr>
                <w:rFonts w:ascii="Calibri" w:eastAsia="Calibri" w:hAnsi="Calibri" w:cs="Gotham-Book"/>
                <w:b/>
                <w:color w:val="000000"/>
                <w:lang w:val="en-US"/>
              </w:rPr>
              <w:t>Relevance</w:t>
            </w:r>
          </w:p>
          <w:p w:rsidR="000834F6" w:rsidRPr="0095252E" w:rsidRDefault="000834F6" w:rsidP="009E1946">
            <w:pPr>
              <w:autoSpaceDE w:val="0"/>
              <w:autoSpaceDN w:val="0"/>
              <w:adjustRightInd w:val="0"/>
              <w:rPr>
                <w:rFonts w:ascii="Calibri" w:eastAsia="Calibri" w:hAnsi="Calibri" w:cs="Times New Roman"/>
                <w:b/>
                <w:color w:val="000000"/>
                <w:lang w:val="en-US"/>
              </w:rPr>
            </w:pPr>
          </w:p>
        </w:tc>
        <w:tc>
          <w:tcPr>
            <w:tcW w:w="4820" w:type="dxa"/>
          </w:tcPr>
          <w:p w:rsidR="000834F6" w:rsidRPr="0095252E" w:rsidRDefault="000834F6" w:rsidP="009E1946">
            <w:pPr>
              <w:jc w:val="both"/>
              <w:rPr>
                <w:rFonts w:ascii="Calibri" w:eastAsia="Calibri" w:hAnsi="Calibri" w:cs="Times New Roman"/>
                <w:color w:val="FF0000"/>
                <w:szCs w:val="20"/>
                <w:lang w:val="en-US"/>
              </w:rPr>
            </w:pPr>
            <w:r w:rsidRPr="0095252E">
              <w:rPr>
                <w:rFonts w:ascii="Calibri" w:eastAsia="Calibri" w:hAnsi="Calibri" w:cs="Times New Roman"/>
                <w:szCs w:val="20"/>
                <w:lang w:val="en-US"/>
              </w:rPr>
              <w:t>The commitment contributes to strengthening the effectiveness of existing citizen participation mechanisms, as a principle of Open Government.</w:t>
            </w:r>
          </w:p>
        </w:tc>
      </w:tr>
      <w:tr w:rsidR="000834F6" w:rsidRPr="00003DBC" w:rsidTr="009E1946">
        <w:tc>
          <w:tcPr>
            <w:tcW w:w="4219" w:type="dxa"/>
            <w:gridSpan w:val="2"/>
            <w:shd w:val="clear" w:color="auto" w:fill="C6D9F1"/>
            <w:vAlign w:val="center"/>
          </w:tcPr>
          <w:p w:rsidR="000834F6" w:rsidRPr="0095252E" w:rsidRDefault="000834F6" w:rsidP="009E1946">
            <w:pPr>
              <w:autoSpaceDE w:val="0"/>
              <w:autoSpaceDN w:val="0"/>
              <w:adjustRightInd w:val="0"/>
              <w:rPr>
                <w:rFonts w:ascii="Calibri" w:eastAsia="Calibri" w:hAnsi="Calibri" w:cs="Gotham-Book"/>
                <w:b/>
                <w:color w:val="000000"/>
                <w:lang w:val="en-US"/>
              </w:rPr>
            </w:pPr>
            <w:r w:rsidRPr="0095252E">
              <w:rPr>
                <w:rFonts w:ascii="Calibri" w:eastAsia="Calibri" w:hAnsi="Calibri" w:cs="Gotham-Book"/>
                <w:b/>
                <w:color w:val="000000"/>
                <w:lang w:val="en-US"/>
              </w:rPr>
              <w:t>Ambition</w:t>
            </w:r>
          </w:p>
          <w:p w:rsidR="000834F6" w:rsidRPr="0095252E" w:rsidRDefault="000834F6" w:rsidP="009E1946">
            <w:pPr>
              <w:autoSpaceDE w:val="0"/>
              <w:autoSpaceDN w:val="0"/>
              <w:adjustRightInd w:val="0"/>
              <w:rPr>
                <w:rFonts w:ascii="Calibri" w:eastAsia="Calibri" w:hAnsi="Calibri" w:cs="Gotham-BookItalic"/>
                <w:b/>
                <w:iCs/>
                <w:color w:val="000000"/>
                <w:lang w:val="en-US"/>
              </w:rPr>
            </w:pPr>
          </w:p>
        </w:tc>
        <w:tc>
          <w:tcPr>
            <w:tcW w:w="4820" w:type="dxa"/>
          </w:tcPr>
          <w:p w:rsidR="000834F6" w:rsidRPr="0095252E" w:rsidRDefault="000834F6" w:rsidP="009E1946">
            <w:pPr>
              <w:jc w:val="both"/>
              <w:rPr>
                <w:rFonts w:ascii="Calibri" w:eastAsia="Calibri" w:hAnsi="Calibri" w:cs="Times New Roman"/>
                <w:color w:val="FF0000"/>
                <w:szCs w:val="20"/>
                <w:lang w:val="en-US"/>
              </w:rPr>
            </w:pPr>
            <w:r w:rsidRPr="0095252E">
              <w:rPr>
                <w:rFonts w:ascii="Calibri" w:eastAsia="Calibri" w:hAnsi="Calibri" w:cs="Times New Roman"/>
                <w:szCs w:val="20"/>
                <w:lang w:val="en-US"/>
              </w:rPr>
              <w:t>Civil servants are expected to adequately manage citizen participation to contribute to improving the quality of public management.</w:t>
            </w:r>
          </w:p>
        </w:tc>
      </w:tr>
    </w:tbl>
    <w:p w:rsidR="00CE637F" w:rsidRPr="0095252E" w:rsidRDefault="00CE637F">
      <w:pPr>
        <w:rPr>
          <w:lang w:val="en-US"/>
        </w:rPr>
      </w:pPr>
    </w:p>
    <w:tbl>
      <w:tblPr>
        <w:tblStyle w:val="Tablaconcuadrcula5"/>
        <w:tblW w:w="9039" w:type="dxa"/>
        <w:tblLayout w:type="fixed"/>
        <w:tblLook w:val="04A0" w:firstRow="1" w:lastRow="0" w:firstColumn="1" w:lastColumn="0" w:noHBand="0" w:noVBand="1"/>
      </w:tblPr>
      <w:tblGrid>
        <w:gridCol w:w="2518"/>
        <w:gridCol w:w="1701"/>
        <w:gridCol w:w="1729"/>
        <w:gridCol w:w="1644"/>
        <w:gridCol w:w="1447"/>
      </w:tblGrid>
      <w:tr w:rsidR="000834F6" w:rsidRPr="0095252E" w:rsidTr="009E1946">
        <w:tc>
          <w:tcPr>
            <w:tcW w:w="2518" w:type="dxa"/>
            <w:vMerge w:val="restart"/>
            <w:shd w:val="clear" w:color="auto" w:fill="C6D9F1"/>
            <w:vAlign w:val="center"/>
          </w:tcPr>
          <w:p w:rsidR="000834F6" w:rsidRPr="0095252E" w:rsidRDefault="000834F6" w:rsidP="009E1946">
            <w:pPr>
              <w:rPr>
                <w:rFonts w:ascii="Calibri" w:eastAsia="Calibri" w:hAnsi="Calibri" w:cs="Times New Roman"/>
                <w:b/>
                <w:color w:val="000000"/>
                <w:lang w:val="en-US"/>
              </w:rPr>
            </w:pPr>
            <w:r w:rsidRPr="0095252E">
              <w:rPr>
                <w:rFonts w:ascii="Calibri" w:eastAsia="Calibri" w:hAnsi="Calibri" w:cs="Gotham-Book"/>
                <w:b/>
                <w:color w:val="000000"/>
                <w:lang w:val="en-US"/>
              </w:rPr>
              <w:t>Compliance</w:t>
            </w:r>
          </w:p>
        </w:tc>
        <w:tc>
          <w:tcPr>
            <w:tcW w:w="1701" w:type="dxa"/>
            <w:shd w:val="clear" w:color="auto" w:fill="C6D9F1"/>
          </w:tcPr>
          <w:p w:rsidR="000834F6" w:rsidRPr="0095252E" w:rsidRDefault="00596BF3" w:rsidP="009E1946">
            <w:pPr>
              <w:jc w:val="center"/>
              <w:rPr>
                <w:rFonts w:ascii="Calibri" w:eastAsia="Calibri" w:hAnsi="Calibri" w:cs="Times New Roman"/>
                <w:b/>
                <w:color w:val="000000"/>
                <w:lang w:val="en-US"/>
              </w:rPr>
            </w:pPr>
            <w:r>
              <w:rPr>
                <w:rFonts w:ascii="Calibri" w:eastAsia="Calibri" w:hAnsi="Calibri" w:cs="Gotham-Book"/>
                <w:b/>
                <w:color w:val="000000"/>
                <w:lang w:val="en-US"/>
              </w:rPr>
              <w:t>Uninitiated</w:t>
            </w:r>
          </w:p>
        </w:tc>
        <w:tc>
          <w:tcPr>
            <w:tcW w:w="1729" w:type="dxa"/>
            <w:shd w:val="clear" w:color="auto" w:fill="C6D9F1"/>
          </w:tcPr>
          <w:p w:rsidR="000834F6" w:rsidRPr="0095252E" w:rsidRDefault="000834F6" w:rsidP="009E1946">
            <w:pPr>
              <w:jc w:val="center"/>
              <w:rPr>
                <w:rFonts w:ascii="Calibri" w:eastAsia="Calibri" w:hAnsi="Calibri" w:cs="Times New Roman"/>
                <w:b/>
                <w:color w:val="000000"/>
                <w:lang w:val="en-US"/>
              </w:rPr>
            </w:pPr>
            <w:r w:rsidRPr="0095252E">
              <w:rPr>
                <w:rFonts w:ascii="Calibri" w:eastAsia="Calibri" w:hAnsi="Calibri" w:cs="Gotham-Book"/>
                <w:b/>
                <w:color w:val="000000"/>
                <w:lang w:val="en-US"/>
              </w:rPr>
              <w:t>Limited</w:t>
            </w:r>
          </w:p>
        </w:tc>
        <w:tc>
          <w:tcPr>
            <w:tcW w:w="1644" w:type="dxa"/>
            <w:shd w:val="clear" w:color="auto" w:fill="C6D9F1"/>
          </w:tcPr>
          <w:p w:rsidR="000834F6" w:rsidRPr="0095252E" w:rsidRDefault="000834F6" w:rsidP="009E1946">
            <w:pPr>
              <w:jc w:val="center"/>
              <w:rPr>
                <w:rFonts w:ascii="Calibri" w:eastAsia="Calibri" w:hAnsi="Calibri" w:cs="Times New Roman"/>
                <w:b/>
                <w:color w:val="000000"/>
                <w:lang w:val="en-US"/>
              </w:rPr>
            </w:pPr>
            <w:r w:rsidRPr="0095252E">
              <w:rPr>
                <w:rFonts w:ascii="Calibri" w:eastAsia="Calibri" w:hAnsi="Calibri" w:cs="Gotham-Book"/>
                <w:b/>
                <w:color w:val="000000"/>
                <w:lang w:val="en-US"/>
              </w:rPr>
              <w:t>Substantial</w:t>
            </w:r>
          </w:p>
        </w:tc>
        <w:tc>
          <w:tcPr>
            <w:tcW w:w="1447" w:type="dxa"/>
            <w:shd w:val="clear" w:color="auto" w:fill="C6D9F1"/>
          </w:tcPr>
          <w:p w:rsidR="000834F6" w:rsidRPr="0095252E" w:rsidRDefault="000834F6" w:rsidP="009E1946">
            <w:pPr>
              <w:jc w:val="center"/>
              <w:rPr>
                <w:rFonts w:ascii="Calibri" w:eastAsia="Calibri" w:hAnsi="Calibri" w:cs="Times New Roman"/>
                <w:b/>
                <w:color w:val="000000"/>
                <w:lang w:val="en-US"/>
              </w:rPr>
            </w:pPr>
            <w:r w:rsidRPr="0095252E">
              <w:rPr>
                <w:rFonts w:ascii="Calibri" w:eastAsia="Calibri" w:hAnsi="Calibri" w:cs="Gotham-Book"/>
                <w:b/>
                <w:color w:val="000000"/>
                <w:lang w:val="en-US"/>
              </w:rPr>
              <w:t>Complete</w:t>
            </w:r>
          </w:p>
        </w:tc>
      </w:tr>
      <w:tr w:rsidR="000834F6" w:rsidRPr="0095252E" w:rsidTr="009E1946">
        <w:tc>
          <w:tcPr>
            <w:tcW w:w="2518" w:type="dxa"/>
            <w:vMerge/>
            <w:shd w:val="clear" w:color="auto" w:fill="C6D9F1"/>
            <w:vAlign w:val="center"/>
          </w:tcPr>
          <w:p w:rsidR="000834F6" w:rsidRPr="0095252E" w:rsidRDefault="000834F6" w:rsidP="009E1946">
            <w:pPr>
              <w:rPr>
                <w:rFonts w:ascii="Calibri" w:eastAsia="Calibri" w:hAnsi="Calibri" w:cs="Times New Roman"/>
                <w:b/>
                <w:color w:val="000000"/>
                <w:lang w:val="en-US"/>
              </w:rPr>
            </w:pPr>
          </w:p>
        </w:tc>
        <w:tc>
          <w:tcPr>
            <w:tcW w:w="1701" w:type="dxa"/>
          </w:tcPr>
          <w:p w:rsidR="000834F6" w:rsidRPr="0095252E" w:rsidRDefault="000834F6" w:rsidP="009E1946">
            <w:pPr>
              <w:jc w:val="center"/>
              <w:rPr>
                <w:rFonts w:ascii="Calibri" w:eastAsia="Calibri" w:hAnsi="Calibri" w:cs="Times New Roman"/>
                <w:b/>
                <w:color w:val="000000"/>
                <w:lang w:val="en-US"/>
              </w:rPr>
            </w:pPr>
            <w:r w:rsidRPr="0095252E">
              <w:rPr>
                <w:rFonts w:ascii="Calibri" w:eastAsia="Calibri" w:hAnsi="Calibri" w:cs="Times New Roman"/>
                <w:b/>
                <w:color w:val="000000"/>
                <w:lang w:val="en-US"/>
              </w:rPr>
              <w:t>X</w:t>
            </w:r>
          </w:p>
        </w:tc>
        <w:tc>
          <w:tcPr>
            <w:tcW w:w="1729" w:type="dxa"/>
          </w:tcPr>
          <w:p w:rsidR="000834F6" w:rsidRPr="0095252E" w:rsidRDefault="000834F6" w:rsidP="009E1946">
            <w:pPr>
              <w:jc w:val="center"/>
              <w:rPr>
                <w:rFonts w:ascii="Calibri" w:eastAsia="Calibri" w:hAnsi="Calibri" w:cs="Times New Roman"/>
                <w:b/>
                <w:color w:val="000000"/>
                <w:lang w:val="en-US"/>
              </w:rPr>
            </w:pPr>
          </w:p>
        </w:tc>
        <w:tc>
          <w:tcPr>
            <w:tcW w:w="1644" w:type="dxa"/>
          </w:tcPr>
          <w:p w:rsidR="000834F6" w:rsidRPr="0095252E" w:rsidRDefault="000834F6" w:rsidP="009E1946">
            <w:pPr>
              <w:jc w:val="center"/>
              <w:rPr>
                <w:rFonts w:ascii="Calibri" w:eastAsia="Calibri" w:hAnsi="Calibri" w:cs="Times New Roman"/>
                <w:b/>
                <w:color w:val="000000"/>
                <w:lang w:val="en-US"/>
              </w:rPr>
            </w:pPr>
          </w:p>
        </w:tc>
        <w:tc>
          <w:tcPr>
            <w:tcW w:w="1447" w:type="dxa"/>
            <w:shd w:val="clear" w:color="auto" w:fill="FFFFFF"/>
          </w:tcPr>
          <w:p w:rsidR="000834F6" w:rsidRPr="0095252E" w:rsidRDefault="000834F6" w:rsidP="009E1946">
            <w:pPr>
              <w:jc w:val="center"/>
              <w:rPr>
                <w:rFonts w:ascii="Calibri" w:eastAsia="Calibri" w:hAnsi="Calibri" w:cs="Times New Roman"/>
                <w:b/>
                <w:color w:val="000000"/>
                <w:lang w:val="en-US"/>
              </w:rPr>
            </w:pPr>
          </w:p>
        </w:tc>
      </w:tr>
      <w:tr w:rsidR="000834F6" w:rsidRPr="00003DBC" w:rsidTr="009E1946">
        <w:tc>
          <w:tcPr>
            <w:tcW w:w="2518" w:type="dxa"/>
            <w:shd w:val="clear" w:color="auto" w:fill="C6D9F1"/>
            <w:vAlign w:val="center"/>
          </w:tcPr>
          <w:p w:rsidR="000834F6" w:rsidRPr="0095252E" w:rsidRDefault="000834F6" w:rsidP="009E1946">
            <w:pPr>
              <w:autoSpaceDE w:val="0"/>
              <w:autoSpaceDN w:val="0"/>
              <w:adjustRightInd w:val="0"/>
              <w:rPr>
                <w:rFonts w:ascii="Calibri" w:eastAsia="Calibri" w:hAnsi="Calibri" w:cs="Gotham-Book"/>
                <w:b/>
                <w:color w:val="000000"/>
                <w:lang w:val="en-US"/>
              </w:rPr>
            </w:pPr>
            <w:r w:rsidRPr="0095252E">
              <w:rPr>
                <w:rFonts w:ascii="Calibri" w:eastAsia="Calibri" w:hAnsi="Calibri" w:cs="Gotham-Book"/>
                <w:b/>
                <w:color w:val="000000"/>
                <w:lang w:val="en-US"/>
              </w:rPr>
              <w:lastRenderedPageBreak/>
              <w:t>Result description</w:t>
            </w:r>
          </w:p>
          <w:p w:rsidR="000834F6" w:rsidRPr="0095252E" w:rsidRDefault="000834F6" w:rsidP="009E1946">
            <w:pPr>
              <w:autoSpaceDE w:val="0"/>
              <w:autoSpaceDN w:val="0"/>
              <w:adjustRightInd w:val="0"/>
              <w:rPr>
                <w:rFonts w:ascii="Calibri" w:eastAsia="Calibri" w:hAnsi="Calibri" w:cs="Gotham-BookItalic"/>
                <w:b/>
                <w:iCs/>
                <w:color w:val="000000"/>
                <w:lang w:val="en-US"/>
              </w:rPr>
            </w:pPr>
          </w:p>
        </w:tc>
        <w:tc>
          <w:tcPr>
            <w:tcW w:w="6521" w:type="dxa"/>
            <w:gridSpan w:val="4"/>
          </w:tcPr>
          <w:p w:rsidR="000834F6" w:rsidRPr="0095252E" w:rsidRDefault="000834F6" w:rsidP="009E1946">
            <w:pPr>
              <w:jc w:val="both"/>
              <w:rPr>
                <w:rFonts w:ascii="Calibri" w:eastAsia="Calibri" w:hAnsi="Calibri" w:cs="Times New Roman"/>
                <w:b/>
                <w:i/>
                <w:szCs w:val="20"/>
                <w:lang w:val="en-US"/>
              </w:rPr>
            </w:pPr>
            <w:r w:rsidRPr="0095252E">
              <w:rPr>
                <w:rFonts w:ascii="Calibri" w:eastAsia="Calibri" w:hAnsi="Calibri" w:cs="Times New Roman"/>
                <w:b/>
                <w:i/>
                <w:szCs w:val="20"/>
                <w:lang w:val="en-US"/>
              </w:rPr>
              <w:t>1. Formation of a working group (made up of public entities and civil society) to elaborate the proposal of guidelines.</w:t>
            </w:r>
          </w:p>
          <w:p w:rsidR="000834F6" w:rsidRPr="0095252E" w:rsidRDefault="000834F6" w:rsidP="009E1946">
            <w:pPr>
              <w:jc w:val="both"/>
              <w:rPr>
                <w:rFonts w:ascii="Calibri" w:eastAsia="Calibri" w:hAnsi="Calibri" w:cs="Times New Roman"/>
                <w:b/>
                <w:i/>
                <w:szCs w:val="20"/>
                <w:lang w:val="en-US"/>
              </w:rPr>
            </w:pPr>
            <w:r w:rsidRPr="0095252E">
              <w:rPr>
                <w:rFonts w:ascii="Calibri" w:eastAsia="Calibri" w:hAnsi="Calibri" w:cs="Times New Roman"/>
                <w:b/>
                <w:i/>
                <w:szCs w:val="20"/>
                <w:lang w:val="en-US"/>
              </w:rPr>
              <w:t>2. Proposal of finished guidelines.</w:t>
            </w:r>
          </w:p>
          <w:p w:rsidR="000834F6" w:rsidRPr="0095252E" w:rsidRDefault="000834F6" w:rsidP="009E1946">
            <w:pPr>
              <w:jc w:val="both"/>
              <w:rPr>
                <w:rFonts w:ascii="Calibri" w:eastAsia="Calibri" w:hAnsi="Calibri" w:cs="Times New Roman"/>
                <w:b/>
                <w:i/>
                <w:szCs w:val="20"/>
                <w:lang w:val="en-US"/>
              </w:rPr>
            </w:pPr>
            <w:r w:rsidRPr="0095252E">
              <w:rPr>
                <w:rFonts w:ascii="Calibri" w:eastAsia="Calibri" w:hAnsi="Calibri" w:cs="Times New Roman"/>
                <w:b/>
                <w:i/>
                <w:szCs w:val="20"/>
                <w:lang w:val="en-US"/>
              </w:rPr>
              <w:t>3. Approval of the proposal of guidelines by the Senior Management of PCM.</w:t>
            </w:r>
          </w:p>
          <w:p w:rsidR="000834F6" w:rsidRPr="0095252E" w:rsidRDefault="000834F6" w:rsidP="009E1946">
            <w:pPr>
              <w:jc w:val="both"/>
              <w:rPr>
                <w:rFonts w:ascii="Calibri" w:eastAsia="Calibri" w:hAnsi="Calibri" w:cs="Times New Roman"/>
                <w:b/>
                <w:i/>
                <w:szCs w:val="20"/>
                <w:lang w:val="en-US"/>
              </w:rPr>
            </w:pPr>
            <w:r w:rsidRPr="0095252E">
              <w:rPr>
                <w:rFonts w:ascii="Calibri" w:eastAsia="Calibri" w:hAnsi="Calibri" w:cs="Times New Roman"/>
                <w:b/>
                <w:i/>
                <w:szCs w:val="20"/>
                <w:lang w:val="en-US"/>
              </w:rPr>
              <w:t>4. Publication of the standard that approves the guidelines</w:t>
            </w:r>
          </w:p>
          <w:p w:rsidR="000834F6" w:rsidRPr="0095252E" w:rsidRDefault="000834F6" w:rsidP="009E1946">
            <w:pPr>
              <w:jc w:val="both"/>
              <w:rPr>
                <w:rFonts w:ascii="Calibri" w:eastAsia="Calibri" w:hAnsi="Calibri" w:cs="Times New Roman"/>
                <w:b/>
                <w:i/>
                <w:szCs w:val="20"/>
                <w:lang w:val="en-US"/>
              </w:rPr>
            </w:pPr>
            <w:r w:rsidRPr="0095252E">
              <w:rPr>
                <w:rFonts w:ascii="Calibri" w:eastAsia="Calibri" w:hAnsi="Calibri" w:cs="Times New Roman"/>
                <w:b/>
                <w:i/>
                <w:szCs w:val="20"/>
                <w:lang w:val="en-US"/>
              </w:rPr>
              <w:t>5. Implementation of the guidelines.</w:t>
            </w:r>
          </w:p>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szCs w:val="20"/>
                <w:lang w:val="en-US"/>
              </w:rPr>
              <w:t>The implementation of the commitment for the first half of 2017 has been reprogrammed.</w:t>
            </w:r>
          </w:p>
        </w:tc>
      </w:tr>
      <w:tr w:rsidR="000834F6" w:rsidRPr="0095252E" w:rsidTr="009E1946">
        <w:tc>
          <w:tcPr>
            <w:tcW w:w="2518" w:type="dxa"/>
            <w:shd w:val="clear" w:color="auto" w:fill="C6D9F1"/>
            <w:vAlign w:val="center"/>
          </w:tcPr>
          <w:p w:rsidR="000834F6" w:rsidRPr="0095252E" w:rsidRDefault="000834F6" w:rsidP="009E1946">
            <w:pPr>
              <w:rPr>
                <w:rFonts w:ascii="Calibri" w:eastAsia="Calibri" w:hAnsi="Calibri" w:cs="Times New Roman"/>
                <w:b/>
                <w:color w:val="000000"/>
                <w:lang w:val="en-US"/>
              </w:rPr>
            </w:pPr>
            <w:r w:rsidRPr="0095252E">
              <w:rPr>
                <w:rFonts w:ascii="Calibri" w:eastAsia="Calibri" w:hAnsi="Calibri" w:cs="Gotham-Book"/>
                <w:b/>
                <w:color w:val="000000"/>
                <w:lang w:val="en-US"/>
              </w:rPr>
              <w:t>Conclusion date</w:t>
            </w:r>
          </w:p>
        </w:tc>
        <w:tc>
          <w:tcPr>
            <w:tcW w:w="6521" w:type="dxa"/>
            <w:gridSpan w:val="4"/>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June 2017</w:t>
            </w:r>
          </w:p>
        </w:tc>
      </w:tr>
      <w:tr w:rsidR="000834F6" w:rsidRPr="00003DBC" w:rsidTr="009E1946">
        <w:tc>
          <w:tcPr>
            <w:tcW w:w="2518" w:type="dxa"/>
            <w:shd w:val="clear" w:color="auto" w:fill="C6D9F1"/>
            <w:vAlign w:val="center"/>
          </w:tcPr>
          <w:p w:rsidR="000834F6" w:rsidRPr="0095252E" w:rsidRDefault="000834F6" w:rsidP="009E1946">
            <w:pPr>
              <w:rPr>
                <w:rFonts w:ascii="Calibri" w:eastAsia="Calibri" w:hAnsi="Calibri" w:cs="Times New Roman"/>
                <w:b/>
                <w:color w:val="000000"/>
                <w:lang w:val="en-US"/>
              </w:rPr>
            </w:pPr>
            <w:r w:rsidRPr="0095252E">
              <w:rPr>
                <w:rFonts w:ascii="Calibri" w:eastAsia="Calibri" w:hAnsi="Calibri" w:cs="Gotham-Book"/>
                <w:b/>
                <w:color w:val="000000"/>
                <w:lang w:val="en-US"/>
              </w:rPr>
              <w:t>Next steps</w:t>
            </w:r>
          </w:p>
        </w:tc>
        <w:tc>
          <w:tcPr>
            <w:tcW w:w="6521" w:type="dxa"/>
            <w:gridSpan w:val="4"/>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Implementing the activities considered to fulfill the commitment.</w:t>
            </w:r>
          </w:p>
        </w:tc>
      </w:tr>
      <w:tr w:rsidR="000834F6" w:rsidRPr="0095252E" w:rsidTr="009E1946">
        <w:tc>
          <w:tcPr>
            <w:tcW w:w="9039" w:type="dxa"/>
            <w:gridSpan w:val="5"/>
          </w:tcPr>
          <w:p w:rsidR="000834F6" w:rsidRPr="0095252E" w:rsidRDefault="000834F6" w:rsidP="009E1946">
            <w:pPr>
              <w:jc w:val="both"/>
              <w:rPr>
                <w:rFonts w:ascii="Calibri" w:eastAsia="Calibri" w:hAnsi="Calibri" w:cs="Gotham-Book"/>
                <w:b/>
                <w:color w:val="000000"/>
                <w:lang w:val="en-US"/>
              </w:rPr>
            </w:pPr>
          </w:p>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Gotham-Book"/>
                <w:b/>
                <w:color w:val="000000"/>
                <w:lang w:val="en-US"/>
              </w:rPr>
              <w:t>Additional information</w:t>
            </w:r>
          </w:p>
        </w:tc>
      </w:tr>
      <w:tr w:rsidR="000834F6" w:rsidRPr="0095252E" w:rsidTr="009E1946">
        <w:tc>
          <w:tcPr>
            <w:tcW w:w="9039" w:type="dxa"/>
            <w:gridSpan w:val="5"/>
          </w:tcPr>
          <w:p w:rsidR="000834F6" w:rsidRPr="0095252E" w:rsidRDefault="000834F6" w:rsidP="009E1946">
            <w:pPr>
              <w:jc w:val="both"/>
              <w:rPr>
                <w:rFonts w:ascii="Calibri" w:eastAsia="Calibri" w:hAnsi="Calibri" w:cs="Gotham-Book"/>
                <w:b/>
                <w:color w:val="000000"/>
                <w:lang w:val="en-US"/>
              </w:rPr>
            </w:pPr>
          </w:p>
        </w:tc>
      </w:tr>
    </w:tbl>
    <w:p w:rsidR="000834F6" w:rsidRPr="0095252E" w:rsidRDefault="000834F6" w:rsidP="000834F6">
      <w:pPr>
        <w:rPr>
          <w:lang w:val="en-US"/>
        </w:rPr>
      </w:pPr>
    </w:p>
    <w:p w:rsidR="000834F6" w:rsidRPr="0095252E" w:rsidRDefault="000834F6">
      <w:pPr>
        <w:rPr>
          <w:lang w:val="en-US"/>
        </w:rPr>
      </w:pPr>
      <w:r w:rsidRPr="0095252E">
        <w:rPr>
          <w:lang w:val="en-US"/>
        </w:rPr>
        <w:br w:type="page"/>
      </w:r>
    </w:p>
    <w:tbl>
      <w:tblPr>
        <w:tblStyle w:val="Tablaconcuadrcula6"/>
        <w:tblW w:w="9039" w:type="dxa"/>
        <w:tblLayout w:type="fixed"/>
        <w:tblLook w:val="04A0" w:firstRow="1" w:lastRow="0" w:firstColumn="1" w:lastColumn="0" w:noHBand="0" w:noVBand="1"/>
      </w:tblPr>
      <w:tblGrid>
        <w:gridCol w:w="1555"/>
        <w:gridCol w:w="963"/>
        <w:gridCol w:w="1701"/>
        <w:gridCol w:w="1729"/>
        <w:gridCol w:w="1644"/>
        <w:gridCol w:w="1447"/>
      </w:tblGrid>
      <w:tr w:rsidR="000834F6" w:rsidRPr="0095252E" w:rsidTr="009E1946">
        <w:tc>
          <w:tcPr>
            <w:tcW w:w="9039" w:type="dxa"/>
            <w:gridSpan w:val="6"/>
            <w:shd w:val="clear" w:color="auto" w:fill="548DD4"/>
          </w:tcPr>
          <w:p w:rsidR="000834F6" w:rsidRPr="0095252E" w:rsidRDefault="000834F6" w:rsidP="009E1946">
            <w:pPr>
              <w:ind w:left="720"/>
              <w:jc w:val="center"/>
              <w:rPr>
                <w:rFonts w:ascii="Calibri" w:eastAsia="Calibri" w:hAnsi="Calibri" w:cs="Times New Roman"/>
                <w:b/>
                <w:lang w:val="en-US"/>
              </w:rPr>
            </w:pPr>
            <w:r w:rsidRPr="0095252E">
              <w:rPr>
                <w:lang w:val="en-US"/>
              </w:rPr>
              <w:lastRenderedPageBreak/>
              <w:br w:type="column"/>
            </w:r>
            <w:r w:rsidRPr="0095252E">
              <w:rPr>
                <w:rFonts w:ascii="Calibri" w:eastAsia="Calibri" w:hAnsi="Calibri" w:cs="Times New Roman"/>
                <w:b/>
                <w:lang w:val="en-US"/>
              </w:rPr>
              <w:t>Component: CITIZEN PARTICIPATION</w:t>
            </w:r>
          </w:p>
        </w:tc>
      </w:tr>
      <w:tr w:rsidR="000834F6" w:rsidRPr="00003DBC" w:rsidTr="009E1946">
        <w:tc>
          <w:tcPr>
            <w:tcW w:w="9039" w:type="dxa"/>
            <w:gridSpan w:val="6"/>
            <w:shd w:val="clear" w:color="auto" w:fill="548DD4"/>
          </w:tcPr>
          <w:p w:rsidR="000834F6" w:rsidRPr="0095252E" w:rsidRDefault="000834F6" w:rsidP="009E1946">
            <w:pPr>
              <w:ind w:left="720"/>
              <w:jc w:val="both"/>
              <w:rPr>
                <w:rFonts w:ascii="Calibri" w:eastAsia="Calibri" w:hAnsi="Calibri" w:cs="Times New Roman"/>
                <w:b/>
                <w:lang w:val="en-US"/>
              </w:rPr>
            </w:pPr>
            <w:r w:rsidRPr="0095252E">
              <w:rPr>
                <w:rFonts w:ascii="Calibri" w:eastAsia="Calibri" w:hAnsi="Calibri" w:cs="Times New Roman"/>
                <w:b/>
                <w:u w:val="single"/>
                <w:lang w:val="en-US"/>
              </w:rPr>
              <w:t>Commitment 8:</w:t>
            </w:r>
            <w:r w:rsidRPr="0095252E">
              <w:rPr>
                <w:rFonts w:ascii="Calibri" w:eastAsia="Calibri" w:hAnsi="Calibri" w:cs="Times New Roman"/>
                <w:b/>
                <w:lang w:val="en-US"/>
              </w:rPr>
              <w:t xml:space="preserve"> Improving the knowledge and skills of civil servants and civil servants and indigenous peoples for the implementation of the Prior Consultation Law.</w:t>
            </w:r>
          </w:p>
        </w:tc>
      </w:tr>
      <w:tr w:rsidR="000834F6" w:rsidRPr="00003DBC" w:rsidTr="009E1946">
        <w:tc>
          <w:tcPr>
            <w:tcW w:w="4219" w:type="dxa"/>
            <w:gridSpan w:val="3"/>
            <w:shd w:val="clear" w:color="auto" w:fill="C6D9F1"/>
            <w:vAlign w:val="center"/>
          </w:tcPr>
          <w:p w:rsidR="000834F6" w:rsidRPr="0095252E" w:rsidRDefault="000834F6" w:rsidP="009E1946">
            <w:pPr>
              <w:rPr>
                <w:rFonts w:ascii="Calibri" w:eastAsia="Calibri" w:hAnsi="Calibri" w:cs="Times New Roman"/>
                <w:color w:val="000000"/>
                <w:lang w:val="en-US"/>
              </w:rPr>
            </w:pPr>
            <w:r w:rsidRPr="0095252E">
              <w:rPr>
                <w:rFonts w:ascii="Calibri" w:eastAsia="Calibri" w:hAnsi="Calibri" w:cs="Times New Roman"/>
                <w:b/>
                <w:lang w:val="en-US"/>
              </w:rPr>
              <w:t>Secretariat/Ministry in charge</w:t>
            </w:r>
          </w:p>
        </w:tc>
        <w:tc>
          <w:tcPr>
            <w:tcW w:w="4820" w:type="dxa"/>
            <w:gridSpan w:val="3"/>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Ministry of Culture, through the Vice-Ministry of Interculturality</w:t>
            </w:r>
          </w:p>
        </w:tc>
      </w:tr>
      <w:tr w:rsidR="000834F6" w:rsidRPr="0095252E" w:rsidTr="009E1946">
        <w:tc>
          <w:tcPr>
            <w:tcW w:w="4219" w:type="dxa"/>
            <w:gridSpan w:val="3"/>
            <w:shd w:val="clear" w:color="auto" w:fill="C6D9F1"/>
            <w:vAlign w:val="center"/>
          </w:tcPr>
          <w:p w:rsidR="000834F6" w:rsidRPr="0095252E" w:rsidRDefault="000834F6" w:rsidP="009E1946">
            <w:pPr>
              <w:autoSpaceDE w:val="0"/>
              <w:autoSpaceDN w:val="0"/>
              <w:adjustRightInd w:val="0"/>
              <w:rPr>
                <w:rFonts w:ascii="Calibri" w:eastAsia="Calibri" w:hAnsi="Calibri" w:cs="Gotham-Book"/>
                <w:color w:val="000000"/>
                <w:lang w:val="en-US"/>
              </w:rPr>
            </w:pPr>
            <w:r w:rsidRPr="0095252E">
              <w:rPr>
                <w:rFonts w:ascii="Calibri" w:eastAsia="Calibri" w:hAnsi="Calibri" w:cs="Times New Roman"/>
                <w:b/>
                <w:lang w:val="en-US"/>
              </w:rPr>
              <w:t>Name of the person in charge</w:t>
            </w:r>
          </w:p>
        </w:tc>
        <w:tc>
          <w:tcPr>
            <w:tcW w:w="4820" w:type="dxa"/>
            <w:gridSpan w:val="3"/>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 xml:space="preserve">Alfredo Martín Luna </w:t>
            </w:r>
            <w:proofErr w:type="spellStart"/>
            <w:r w:rsidRPr="0095252E">
              <w:rPr>
                <w:rFonts w:ascii="Calibri" w:eastAsia="Calibri" w:hAnsi="Calibri" w:cs="Times New Roman"/>
                <w:color w:val="000000"/>
                <w:lang w:val="en-US"/>
              </w:rPr>
              <w:t>Briceño</w:t>
            </w:r>
            <w:proofErr w:type="spellEnd"/>
          </w:p>
        </w:tc>
      </w:tr>
      <w:tr w:rsidR="000834F6" w:rsidRPr="0095252E" w:rsidTr="009E1946">
        <w:tc>
          <w:tcPr>
            <w:tcW w:w="4219" w:type="dxa"/>
            <w:gridSpan w:val="3"/>
            <w:shd w:val="clear" w:color="auto" w:fill="C6D9F1"/>
            <w:vAlign w:val="center"/>
          </w:tcPr>
          <w:p w:rsidR="000834F6" w:rsidRPr="0095252E" w:rsidRDefault="000834F6" w:rsidP="009E1946">
            <w:pPr>
              <w:rPr>
                <w:rFonts w:ascii="Calibri" w:eastAsia="Calibri" w:hAnsi="Calibri" w:cs="Times New Roman"/>
                <w:color w:val="000000"/>
                <w:lang w:val="en-US"/>
              </w:rPr>
            </w:pPr>
            <w:r w:rsidRPr="0095252E">
              <w:rPr>
                <w:rFonts w:ascii="Calibri" w:eastAsia="Calibri" w:hAnsi="Calibri" w:cs="Times New Roman"/>
                <w:b/>
                <w:lang w:val="en-US"/>
              </w:rPr>
              <w:t>Position</w:t>
            </w:r>
          </w:p>
        </w:tc>
        <w:tc>
          <w:tcPr>
            <w:tcW w:w="4820" w:type="dxa"/>
            <w:gridSpan w:val="3"/>
          </w:tcPr>
          <w:p w:rsidR="000834F6" w:rsidRPr="0095252E" w:rsidRDefault="000834F6" w:rsidP="009E1946">
            <w:pPr>
              <w:jc w:val="both"/>
              <w:rPr>
                <w:rFonts w:ascii="Calibri" w:eastAsia="Calibri" w:hAnsi="Calibri" w:cs="Times New Roman"/>
                <w:lang w:val="en-US"/>
              </w:rPr>
            </w:pPr>
            <w:proofErr w:type="spellStart"/>
            <w:r w:rsidRPr="0095252E">
              <w:rPr>
                <w:rFonts w:ascii="Calibri" w:eastAsia="Calibri" w:hAnsi="Calibri" w:cs="Times New Roman"/>
                <w:lang w:val="en-US"/>
              </w:rPr>
              <w:t>Viceminister</w:t>
            </w:r>
            <w:proofErr w:type="spellEnd"/>
            <w:r w:rsidRPr="0095252E">
              <w:rPr>
                <w:rFonts w:ascii="Calibri" w:eastAsia="Calibri" w:hAnsi="Calibri" w:cs="Times New Roman"/>
                <w:lang w:val="en-US"/>
              </w:rPr>
              <w:t xml:space="preserve"> of </w:t>
            </w:r>
            <w:proofErr w:type="spellStart"/>
            <w:r w:rsidRPr="0095252E">
              <w:rPr>
                <w:rFonts w:ascii="Calibri" w:eastAsia="Calibri" w:hAnsi="Calibri" w:cs="Times New Roman"/>
                <w:lang w:val="en-US"/>
              </w:rPr>
              <w:t>Interculturality</w:t>
            </w:r>
            <w:proofErr w:type="spellEnd"/>
          </w:p>
        </w:tc>
      </w:tr>
      <w:tr w:rsidR="000834F6" w:rsidRPr="0095252E" w:rsidTr="009E1946">
        <w:tc>
          <w:tcPr>
            <w:tcW w:w="4219" w:type="dxa"/>
            <w:gridSpan w:val="3"/>
            <w:shd w:val="clear" w:color="auto" w:fill="C6D9F1"/>
            <w:vAlign w:val="center"/>
          </w:tcPr>
          <w:p w:rsidR="000834F6" w:rsidRPr="0095252E" w:rsidRDefault="000834F6" w:rsidP="009E1946">
            <w:pPr>
              <w:autoSpaceDE w:val="0"/>
              <w:autoSpaceDN w:val="0"/>
              <w:adjustRightInd w:val="0"/>
              <w:rPr>
                <w:rFonts w:ascii="Calibri" w:eastAsia="Calibri" w:hAnsi="Calibri" w:cs="Gotham-Book"/>
                <w:color w:val="000000"/>
                <w:lang w:val="en-US"/>
              </w:rPr>
            </w:pPr>
            <w:r w:rsidRPr="0095252E">
              <w:rPr>
                <w:rFonts w:ascii="Calibri" w:eastAsia="Calibri" w:hAnsi="Calibri" w:cs="Times New Roman"/>
                <w:b/>
                <w:lang w:val="en-US"/>
              </w:rPr>
              <w:t>Email</w:t>
            </w:r>
          </w:p>
        </w:tc>
        <w:tc>
          <w:tcPr>
            <w:tcW w:w="4820" w:type="dxa"/>
            <w:gridSpan w:val="3"/>
          </w:tcPr>
          <w:p w:rsidR="000834F6" w:rsidRPr="0095252E" w:rsidRDefault="002C33FD" w:rsidP="009E1946">
            <w:pPr>
              <w:jc w:val="both"/>
              <w:rPr>
                <w:rFonts w:ascii="Calibri" w:eastAsia="Calibri" w:hAnsi="Calibri" w:cs="Arial"/>
                <w:color w:val="0000FF"/>
                <w:u w:val="single"/>
                <w:lang w:val="en-US"/>
              </w:rPr>
            </w:pPr>
            <w:hyperlink r:id="rId25" w:history="1">
              <w:r w:rsidR="000834F6" w:rsidRPr="0095252E">
                <w:rPr>
                  <w:rFonts w:ascii="Arial" w:eastAsia="Calibri" w:hAnsi="Arial" w:cs="Arial"/>
                  <w:color w:val="1F497D"/>
                  <w:sz w:val="18"/>
                  <w:szCs w:val="18"/>
                  <w:u w:val="single"/>
                  <w:bdr w:val="none" w:sz="0" w:space="0" w:color="auto" w:frame="1"/>
                  <w:shd w:val="clear" w:color="auto" w:fill="FFFFFF"/>
                  <w:lang w:val="en-US"/>
                </w:rPr>
                <w:t>aluna@cultura.gob.pe</w:t>
              </w:r>
            </w:hyperlink>
          </w:p>
        </w:tc>
      </w:tr>
      <w:tr w:rsidR="000834F6" w:rsidRPr="0095252E" w:rsidTr="009E1946">
        <w:tc>
          <w:tcPr>
            <w:tcW w:w="4219" w:type="dxa"/>
            <w:gridSpan w:val="3"/>
            <w:shd w:val="clear" w:color="auto" w:fill="C6D9F1"/>
            <w:vAlign w:val="center"/>
          </w:tcPr>
          <w:p w:rsidR="000834F6" w:rsidRPr="0095252E" w:rsidRDefault="000834F6" w:rsidP="009E1946">
            <w:pPr>
              <w:rPr>
                <w:rFonts w:ascii="Calibri" w:eastAsia="Calibri" w:hAnsi="Calibri" w:cs="Times New Roman"/>
                <w:color w:val="000000"/>
                <w:lang w:val="en-US"/>
              </w:rPr>
            </w:pPr>
            <w:r w:rsidRPr="0095252E">
              <w:rPr>
                <w:rFonts w:ascii="Calibri" w:eastAsia="Calibri" w:hAnsi="Calibri" w:cs="Times New Roman"/>
                <w:b/>
                <w:lang w:val="en-US"/>
              </w:rPr>
              <w:t>Telephone</w:t>
            </w:r>
          </w:p>
        </w:tc>
        <w:tc>
          <w:tcPr>
            <w:tcW w:w="4820" w:type="dxa"/>
            <w:gridSpan w:val="3"/>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lang w:val="en-US"/>
              </w:rPr>
              <w:t>(511) 618-9393</w:t>
            </w:r>
          </w:p>
        </w:tc>
      </w:tr>
      <w:tr w:rsidR="000834F6" w:rsidRPr="0095252E" w:rsidTr="009E1946">
        <w:tc>
          <w:tcPr>
            <w:tcW w:w="1555" w:type="dxa"/>
            <w:vMerge w:val="restart"/>
            <w:shd w:val="clear" w:color="auto" w:fill="C6D9F1"/>
            <w:vAlign w:val="center"/>
          </w:tcPr>
          <w:p w:rsidR="000834F6" w:rsidRPr="0095252E" w:rsidRDefault="00596BF3" w:rsidP="009E1946">
            <w:pPr>
              <w:rPr>
                <w:rFonts w:ascii="Calibri" w:eastAsia="Calibri" w:hAnsi="Calibri" w:cs="Gotham-Book"/>
                <w:b/>
                <w:color w:val="000000"/>
                <w:lang w:val="en-US"/>
              </w:rPr>
            </w:pPr>
            <w:r>
              <w:rPr>
                <w:rFonts w:ascii="Calibri" w:eastAsia="Calibri" w:hAnsi="Calibri" w:cs="Gotham-Book"/>
                <w:b/>
                <w:color w:val="000000"/>
                <w:lang w:val="en-US"/>
              </w:rPr>
              <w:t>Other parties involved</w:t>
            </w:r>
          </w:p>
        </w:tc>
        <w:tc>
          <w:tcPr>
            <w:tcW w:w="2664" w:type="dxa"/>
            <w:gridSpan w:val="2"/>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Government</w:t>
            </w:r>
          </w:p>
        </w:tc>
        <w:tc>
          <w:tcPr>
            <w:tcW w:w="4820" w:type="dxa"/>
            <w:gridSpan w:val="3"/>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Not applicable</w:t>
            </w:r>
          </w:p>
        </w:tc>
      </w:tr>
      <w:tr w:rsidR="000834F6" w:rsidRPr="00003DBC" w:rsidTr="009E1946">
        <w:trPr>
          <w:trHeight w:val="821"/>
        </w:trPr>
        <w:tc>
          <w:tcPr>
            <w:tcW w:w="1555" w:type="dxa"/>
            <w:vMerge/>
            <w:shd w:val="clear" w:color="auto" w:fill="C6D9F1"/>
            <w:vAlign w:val="center"/>
          </w:tcPr>
          <w:p w:rsidR="000834F6" w:rsidRPr="0095252E" w:rsidRDefault="000834F6" w:rsidP="009E1946">
            <w:pPr>
              <w:rPr>
                <w:rFonts w:ascii="Calibri" w:eastAsia="Calibri" w:hAnsi="Calibri" w:cs="Gotham-Book"/>
                <w:color w:val="000000"/>
                <w:lang w:val="en-US"/>
              </w:rPr>
            </w:pPr>
          </w:p>
        </w:tc>
        <w:tc>
          <w:tcPr>
            <w:tcW w:w="2664" w:type="dxa"/>
            <w:gridSpan w:val="2"/>
            <w:shd w:val="clear" w:color="auto" w:fill="C6D9F1"/>
            <w:vAlign w:val="center"/>
          </w:tcPr>
          <w:p w:rsidR="000834F6" w:rsidRPr="0095252E" w:rsidRDefault="000834F6" w:rsidP="009E1946">
            <w:pPr>
              <w:rPr>
                <w:rFonts w:ascii="Calibri" w:eastAsia="Calibri" w:hAnsi="Calibri" w:cs="Gotham-Book"/>
                <w:color w:val="000000"/>
                <w:lang w:val="en-US"/>
              </w:rPr>
            </w:pPr>
            <w:r w:rsidRPr="0095252E">
              <w:rPr>
                <w:rFonts w:ascii="Calibri" w:eastAsia="Calibri" w:hAnsi="Calibri" w:cs="Times New Roman"/>
                <w:b/>
                <w:lang w:val="en-US"/>
              </w:rPr>
              <w:t>Civil society, private initiative, multilateral or work groups</w:t>
            </w:r>
          </w:p>
        </w:tc>
        <w:tc>
          <w:tcPr>
            <w:tcW w:w="4820" w:type="dxa"/>
            <w:gridSpan w:val="3"/>
          </w:tcPr>
          <w:p w:rsidR="000834F6" w:rsidRPr="0095252E" w:rsidRDefault="000834F6" w:rsidP="009E1946">
            <w:pPr>
              <w:jc w:val="both"/>
              <w:rPr>
                <w:rFonts w:ascii="Calibri" w:eastAsia="Calibri" w:hAnsi="Calibri" w:cs="Times New Roman"/>
                <w:color w:val="000000"/>
                <w:lang w:val="en-US"/>
              </w:rPr>
            </w:pPr>
          </w:p>
        </w:tc>
      </w:tr>
      <w:tr w:rsidR="000834F6" w:rsidRPr="0095252E" w:rsidTr="009E1946">
        <w:tc>
          <w:tcPr>
            <w:tcW w:w="4219" w:type="dxa"/>
            <w:gridSpan w:val="3"/>
            <w:shd w:val="clear" w:color="auto" w:fill="C6D9F1"/>
            <w:vAlign w:val="center"/>
          </w:tcPr>
          <w:p w:rsidR="000834F6" w:rsidRPr="0095252E" w:rsidRDefault="000834F6" w:rsidP="009E1946">
            <w:pPr>
              <w:rPr>
                <w:rFonts w:ascii="Calibri" w:eastAsia="Calibri" w:hAnsi="Calibri" w:cs="Gotham-Book"/>
                <w:color w:val="000000"/>
                <w:lang w:val="en-US"/>
              </w:rPr>
            </w:pPr>
            <w:r w:rsidRPr="0095252E">
              <w:rPr>
                <w:rFonts w:ascii="Calibri" w:eastAsia="Calibri" w:hAnsi="Calibri" w:cs="Times New Roman"/>
                <w:b/>
                <w:lang w:val="en-US"/>
              </w:rPr>
              <w:t>Status quo or problem/</w:t>
            </w:r>
            <w:r w:rsidRPr="0095252E">
              <w:rPr>
                <w:rFonts w:ascii="Calibri" w:eastAsia="Calibri" w:hAnsi="Calibri" w:cs="Times New Roman"/>
                <w:b/>
                <w:lang w:val="en-US"/>
              </w:rPr>
              <w:br/>
              <w:t>challenge to be attended</w:t>
            </w:r>
          </w:p>
        </w:tc>
        <w:tc>
          <w:tcPr>
            <w:tcW w:w="4820" w:type="dxa"/>
            <w:gridSpan w:val="3"/>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Calibri"/>
                <w:lang w:val="en-US"/>
              </w:rPr>
              <w:t>The need to promote a greater dissemination and knowledge of the Prior Consultation Law to indigenous peoples and the officials of the three levels of government, charged with carrying out the implementation of the right to consultation, is necessary. The objectives of this process are guaranteed.</w:t>
            </w:r>
          </w:p>
        </w:tc>
      </w:tr>
      <w:tr w:rsidR="000834F6" w:rsidRPr="00003DBC" w:rsidTr="009E1946">
        <w:tc>
          <w:tcPr>
            <w:tcW w:w="4219" w:type="dxa"/>
            <w:gridSpan w:val="3"/>
            <w:shd w:val="clear" w:color="auto" w:fill="C6D9F1"/>
            <w:vAlign w:val="center"/>
          </w:tcPr>
          <w:p w:rsidR="000834F6" w:rsidRPr="0095252E" w:rsidRDefault="000834F6" w:rsidP="009E1946">
            <w:pPr>
              <w:rPr>
                <w:rFonts w:ascii="Calibri" w:eastAsia="Calibri" w:hAnsi="Calibri" w:cs="Times New Roman"/>
                <w:color w:val="000000"/>
                <w:lang w:val="en-US"/>
              </w:rPr>
            </w:pPr>
            <w:r w:rsidRPr="0095252E">
              <w:rPr>
                <w:rFonts w:ascii="Calibri" w:eastAsia="Calibri" w:hAnsi="Calibri" w:cs="Times New Roman"/>
                <w:b/>
                <w:lang w:val="en-US"/>
              </w:rPr>
              <w:t>Main objective</w:t>
            </w:r>
          </w:p>
        </w:tc>
        <w:tc>
          <w:tcPr>
            <w:tcW w:w="4820" w:type="dxa"/>
            <w:gridSpan w:val="3"/>
          </w:tcPr>
          <w:p w:rsidR="000834F6" w:rsidRPr="0095252E" w:rsidRDefault="000834F6" w:rsidP="009E1946">
            <w:pPr>
              <w:jc w:val="both"/>
              <w:rPr>
                <w:rFonts w:ascii="Calibri" w:eastAsia="Calibri" w:hAnsi="Calibri" w:cs="Times New Roman"/>
                <w:lang w:val="en-US"/>
              </w:rPr>
            </w:pPr>
            <w:r w:rsidRPr="0095252E">
              <w:rPr>
                <w:rFonts w:ascii="Calibri" w:eastAsia="Calibri" w:hAnsi="Calibri" w:cs="Calibri"/>
                <w:lang w:val="en-US"/>
              </w:rPr>
              <w:t>Strengthening the role of technical assistance to indigenous peoples and public officials of the Vice Ministry of Interculturality of the Ministry of Culture to promote greater compliance with the Prior Consultation Law.</w:t>
            </w:r>
          </w:p>
        </w:tc>
      </w:tr>
      <w:tr w:rsidR="000834F6" w:rsidRPr="00003DBC" w:rsidTr="009E1946">
        <w:tc>
          <w:tcPr>
            <w:tcW w:w="4219" w:type="dxa"/>
            <w:gridSpan w:val="3"/>
            <w:shd w:val="clear" w:color="auto" w:fill="C6D9F1"/>
            <w:vAlign w:val="center"/>
          </w:tcPr>
          <w:p w:rsidR="000834F6" w:rsidRPr="0095252E" w:rsidRDefault="000834F6" w:rsidP="009E1946">
            <w:pPr>
              <w:autoSpaceDE w:val="0"/>
              <w:autoSpaceDN w:val="0"/>
              <w:adjustRightInd w:val="0"/>
              <w:rPr>
                <w:rFonts w:ascii="Calibri" w:eastAsia="Calibri" w:hAnsi="Calibri" w:cs="Gotham-Book"/>
                <w:color w:val="000000"/>
                <w:lang w:val="en-US"/>
              </w:rPr>
            </w:pPr>
            <w:r w:rsidRPr="0095252E">
              <w:rPr>
                <w:rFonts w:ascii="Calibri" w:eastAsia="Calibri" w:hAnsi="Calibri" w:cs="Times New Roman"/>
                <w:b/>
                <w:lang w:val="en-US"/>
              </w:rPr>
              <w:t>Brief description of the commitment</w:t>
            </w:r>
          </w:p>
        </w:tc>
        <w:tc>
          <w:tcPr>
            <w:tcW w:w="4820" w:type="dxa"/>
            <w:gridSpan w:val="3"/>
          </w:tcPr>
          <w:p w:rsidR="000834F6" w:rsidRPr="0095252E" w:rsidRDefault="000834F6" w:rsidP="009E1946">
            <w:pPr>
              <w:jc w:val="both"/>
              <w:rPr>
                <w:rFonts w:ascii="Calibri" w:eastAsia="Calibri" w:hAnsi="Calibri" w:cs="Times New Roman"/>
                <w:lang w:val="en-US"/>
              </w:rPr>
            </w:pPr>
            <w:r w:rsidRPr="0095252E">
              <w:rPr>
                <w:rFonts w:ascii="Calibri" w:eastAsia="Calibri" w:hAnsi="Calibri" w:cs="Times New Roman"/>
                <w:lang w:val="en-US"/>
              </w:rPr>
              <w:t>Improving the knowledge and skills of public officials and civil servants, as well as indigenous peoples for the implementation of the Prior Consultation Law and its regulations, progressively increasing the coverage of training.</w:t>
            </w:r>
          </w:p>
          <w:p w:rsidR="000834F6" w:rsidRPr="0095252E" w:rsidRDefault="000834F6" w:rsidP="009E1946">
            <w:pPr>
              <w:jc w:val="both"/>
              <w:rPr>
                <w:rFonts w:ascii="Calibri" w:eastAsia="Calibri" w:hAnsi="Calibri" w:cs="Times New Roman"/>
                <w:lang w:val="en-US"/>
              </w:rPr>
            </w:pPr>
            <w:r w:rsidRPr="0095252E">
              <w:rPr>
                <w:rFonts w:ascii="Calibri" w:eastAsia="Calibri" w:hAnsi="Calibri" w:cs="Times New Roman"/>
                <w:lang w:val="en-US"/>
              </w:rPr>
              <w:t>Commitment activities:</w:t>
            </w:r>
          </w:p>
          <w:p w:rsidR="000834F6" w:rsidRPr="0095252E" w:rsidRDefault="000834F6" w:rsidP="009E1946">
            <w:pPr>
              <w:jc w:val="both"/>
              <w:rPr>
                <w:rFonts w:ascii="Calibri" w:eastAsia="Calibri" w:hAnsi="Calibri" w:cs="Times New Roman"/>
                <w:lang w:val="en-US"/>
              </w:rPr>
            </w:pPr>
            <w:r w:rsidRPr="0095252E">
              <w:rPr>
                <w:rFonts w:ascii="Calibri" w:eastAsia="Calibri" w:hAnsi="Calibri" w:cs="Times New Roman"/>
                <w:lang w:val="en-US"/>
              </w:rPr>
              <w:t xml:space="preserve">      1. Adoption of the Training Plan</w:t>
            </w:r>
          </w:p>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lang w:val="en-US"/>
              </w:rPr>
              <w:t xml:space="preserve">      2. Implementation of the Training Plan</w:t>
            </w:r>
          </w:p>
        </w:tc>
      </w:tr>
      <w:tr w:rsidR="000834F6" w:rsidRPr="00003DBC" w:rsidTr="009E1946">
        <w:tc>
          <w:tcPr>
            <w:tcW w:w="4219" w:type="dxa"/>
            <w:gridSpan w:val="3"/>
            <w:shd w:val="clear" w:color="auto" w:fill="C6D9F1"/>
            <w:vAlign w:val="center"/>
          </w:tcPr>
          <w:p w:rsidR="000834F6" w:rsidRPr="0095252E" w:rsidRDefault="000834F6" w:rsidP="009E1946">
            <w:pPr>
              <w:autoSpaceDE w:val="0"/>
              <w:autoSpaceDN w:val="0"/>
              <w:adjustRightInd w:val="0"/>
              <w:rPr>
                <w:rFonts w:ascii="Calibri" w:eastAsia="Calibri" w:hAnsi="Calibri" w:cs="Gotham-Book"/>
                <w:b/>
                <w:color w:val="000000"/>
                <w:lang w:val="en-US"/>
              </w:rPr>
            </w:pPr>
            <w:r w:rsidRPr="0095252E">
              <w:rPr>
                <w:rFonts w:ascii="Calibri" w:eastAsia="Calibri" w:hAnsi="Calibri" w:cs="Gotham-Book"/>
                <w:b/>
                <w:color w:val="000000"/>
                <w:lang w:val="en-US"/>
              </w:rPr>
              <w:t>Relevance</w:t>
            </w:r>
          </w:p>
          <w:p w:rsidR="000834F6" w:rsidRPr="0095252E" w:rsidRDefault="000834F6" w:rsidP="009E1946">
            <w:pPr>
              <w:autoSpaceDE w:val="0"/>
              <w:autoSpaceDN w:val="0"/>
              <w:adjustRightInd w:val="0"/>
              <w:rPr>
                <w:rFonts w:ascii="Calibri" w:eastAsia="Calibri" w:hAnsi="Calibri" w:cs="Times New Roman"/>
                <w:color w:val="000000"/>
                <w:lang w:val="en-US"/>
              </w:rPr>
            </w:pPr>
          </w:p>
        </w:tc>
        <w:tc>
          <w:tcPr>
            <w:tcW w:w="4820" w:type="dxa"/>
            <w:gridSpan w:val="3"/>
          </w:tcPr>
          <w:p w:rsidR="000834F6" w:rsidRPr="0095252E" w:rsidRDefault="000834F6" w:rsidP="009E1946">
            <w:pPr>
              <w:jc w:val="both"/>
              <w:rPr>
                <w:rFonts w:ascii="Calibri" w:eastAsia="Calibri" w:hAnsi="Calibri" w:cs="Times New Roman"/>
                <w:color w:val="FF0000"/>
                <w:szCs w:val="20"/>
                <w:lang w:val="en-US"/>
              </w:rPr>
            </w:pPr>
            <w:r w:rsidRPr="0095252E">
              <w:rPr>
                <w:rFonts w:ascii="Calibri" w:eastAsia="Calibri" w:hAnsi="Calibri" w:cs="Times New Roman"/>
                <w:szCs w:val="20"/>
                <w:lang w:val="en-US"/>
              </w:rPr>
              <w:t>The commitment assumed by the Ministry of Culture has contributed to strengthen knowledge and develop skills in public officials, as well as to reach an agreement or consensus between the State and indigenous peoples for the implementation of the Prior Consultation Law and its regulations, highlighting its Importance as a space for dialogue between the State and indigenous or indigenous peoples, who are participants in decision-making to guarantee the linguistic rights of all speakers of indigenous or native languages.</w:t>
            </w:r>
          </w:p>
        </w:tc>
      </w:tr>
      <w:tr w:rsidR="000834F6" w:rsidRPr="00003DBC" w:rsidTr="009E1946">
        <w:tc>
          <w:tcPr>
            <w:tcW w:w="4219" w:type="dxa"/>
            <w:gridSpan w:val="3"/>
            <w:shd w:val="clear" w:color="auto" w:fill="C6D9F1"/>
            <w:vAlign w:val="center"/>
          </w:tcPr>
          <w:p w:rsidR="000834F6" w:rsidRPr="0095252E" w:rsidRDefault="000834F6" w:rsidP="009E1946">
            <w:pPr>
              <w:autoSpaceDE w:val="0"/>
              <w:autoSpaceDN w:val="0"/>
              <w:adjustRightInd w:val="0"/>
              <w:rPr>
                <w:rFonts w:ascii="Calibri" w:eastAsia="Calibri" w:hAnsi="Calibri" w:cs="Gotham-Book"/>
                <w:b/>
                <w:color w:val="000000"/>
                <w:lang w:val="en-US"/>
              </w:rPr>
            </w:pPr>
            <w:r w:rsidRPr="0095252E">
              <w:rPr>
                <w:rFonts w:ascii="Calibri" w:eastAsia="Calibri" w:hAnsi="Calibri" w:cs="Gotham-Book"/>
                <w:b/>
                <w:color w:val="000000"/>
                <w:lang w:val="en-US"/>
              </w:rPr>
              <w:t>Ambition</w:t>
            </w:r>
          </w:p>
          <w:p w:rsidR="000834F6" w:rsidRPr="0095252E" w:rsidRDefault="000834F6" w:rsidP="009E1946">
            <w:pPr>
              <w:autoSpaceDE w:val="0"/>
              <w:autoSpaceDN w:val="0"/>
              <w:adjustRightInd w:val="0"/>
              <w:rPr>
                <w:rFonts w:ascii="Calibri" w:eastAsia="Calibri" w:hAnsi="Calibri" w:cs="Gotham-BookItalic"/>
                <w:color w:val="000000"/>
                <w:lang w:val="en-US"/>
              </w:rPr>
            </w:pPr>
          </w:p>
        </w:tc>
        <w:tc>
          <w:tcPr>
            <w:tcW w:w="4820" w:type="dxa"/>
            <w:gridSpan w:val="3"/>
          </w:tcPr>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 xml:space="preserve">It is expected to strengthen the knowledge and skills in officials and servers for the effective use of </w:t>
            </w:r>
            <w:r w:rsidRPr="0095252E">
              <w:rPr>
                <w:rFonts w:ascii="Calibri" w:eastAsia="Calibri" w:hAnsi="Calibri" w:cs="Times New Roman"/>
                <w:szCs w:val="20"/>
                <w:lang w:val="en-US"/>
              </w:rPr>
              <w:lastRenderedPageBreak/>
              <w:t>indigenous or native languages in public and private spaces.</w:t>
            </w:r>
          </w:p>
          <w:p w:rsidR="000834F6" w:rsidRPr="0095252E" w:rsidRDefault="000834F6" w:rsidP="009E1946">
            <w:pPr>
              <w:jc w:val="both"/>
              <w:rPr>
                <w:rFonts w:ascii="Calibri" w:eastAsia="Calibri" w:hAnsi="Calibri" w:cs="Times New Roman"/>
                <w:color w:val="FF0000"/>
                <w:szCs w:val="20"/>
                <w:lang w:val="en-US"/>
              </w:rPr>
            </w:pPr>
            <w:r w:rsidRPr="0095252E">
              <w:rPr>
                <w:rFonts w:ascii="Calibri" w:eastAsia="Calibri" w:hAnsi="Calibri" w:cs="Times New Roman"/>
                <w:szCs w:val="20"/>
                <w:lang w:val="en-US"/>
              </w:rPr>
              <w:t>Likewise, it is expected to ensure through intercultural dialogue its inclusion in the decision-making processes of the State and the adoption of measures that respect its collective rights.</w:t>
            </w:r>
          </w:p>
        </w:tc>
      </w:tr>
      <w:tr w:rsidR="000834F6" w:rsidRPr="0095252E" w:rsidTr="009E1946">
        <w:tc>
          <w:tcPr>
            <w:tcW w:w="2518" w:type="dxa"/>
            <w:gridSpan w:val="2"/>
            <w:vMerge w:val="restart"/>
            <w:shd w:val="clear" w:color="auto" w:fill="C6D9F1"/>
            <w:vAlign w:val="center"/>
          </w:tcPr>
          <w:p w:rsidR="000834F6" w:rsidRPr="0095252E" w:rsidRDefault="000834F6" w:rsidP="009E1946">
            <w:pPr>
              <w:rPr>
                <w:rFonts w:ascii="Calibri" w:eastAsia="Calibri" w:hAnsi="Calibri" w:cs="Times New Roman"/>
                <w:b/>
                <w:color w:val="000000"/>
                <w:lang w:val="en-US"/>
              </w:rPr>
            </w:pPr>
            <w:r w:rsidRPr="0095252E">
              <w:rPr>
                <w:rFonts w:ascii="Calibri" w:eastAsia="Calibri" w:hAnsi="Calibri" w:cs="Gotham-Book"/>
                <w:b/>
                <w:color w:val="000000"/>
                <w:lang w:val="en-US"/>
              </w:rPr>
              <w:lastRenderedPageBreak/>
              <w:t>Compliance</w:t>
            </w:r>
          </w:p>
        </w:tc>
        <w:tc>
          <w:tcPr>
            <w:tcW w:w="1701" w:type="dxa"/>
            <w:shd w:val="clear" w:color="auto" w:fill="C6D9F1"/>
          </w:tcPr>
          <w:p w:rsidR="000834F6" w:rsidRPr="0095252E" w:rsidRDefault="00596BF3" w:rsidP="009E1946">
            <w:pPr>
              <w:jc w:val="center"/>
              <w:rPr>
                <w:rFonts w:ascii="Calibri" w:eastAsia="Calibri" w:hAnsi="Calibri" w:cs="Times New Roman"/>
                <w:b/>
                <w:color w:val="000000"/>
                <w:lang w:val="en-US"/>
              </w:rPr>
            </w:pPr>
            <w:r>
              <w:rPr>
                <w:rFonts w:ascii="Calibri" w:eastAsia="Calibri" w:hAnsi="Calibri" w:cs="Gotham-Book"/>
                <w:b/>
                <w:color w:val="000000"/>
                <w:lang w:val="en-US"/>
              </w:rPr>
              <w:t>Uninitiated</w:t>
            </w:r>
          </w:p>
        </w:tc>
        <w:tc>
          <w:tcPr>
            <w:tcW w:w="1729" w:type="dxa"/>
            <w:shd w:val="clear" w:color="auto" w:fill="C6D9F1"/>
          </w:tcPr>
          <w:p w:rsidR="000834F6" w:rsidRPr="0095252E" w:rsidRDefault="000834F6" w:rsidP="009E1946">
            <w:pPr>
              <w:jc w:val="center"/>
              <w:rPr>
                <w:rFonts w:ascii="Calibri" w:eastAsia="Calibri" w:hAnsi="Calibri" w:cs="Times New Roman"/>
                <w:b/>
                <w:color w:val="000000"/>
                <w:lang w:val="en-US"/>
              </w:rPr>
            </w:pPr>
            <w:r w:rsidRPr="0095252E">
              <w:rPr>
                <w:rFonts w:ascii="Calibri" w:eastAsia="Calibri" w:hAnsi="Calibri" w:cs="Gotham-Book"/>
                <w:b/>
                <w:color w:val="000000"/>
                <w:lang w:val="en-US"/>
              </w:rPr>
              <w:t>Limited</w:t>
            </w:r>
          </w:p>
        </w:tc>
        <w:tc>
          <w:tcPr>
            <w:tcW w:w="1644" w:type="dxa"/>
            <w:shd w:val="clear" w:color="auto" w:fill="C6D9F1"/>
          </w:tcPr>
          <w:p w:rsidR="000834F6" w:rsidRPr="0095252E" w:rsidRDefault="000834F6" w:rsidP="009E1946">
            <w:pPr>
              <w:jc w:val="center"/>
              <w:rPr>
                <w:rFonts w:ascii="Calibri" w:eastAsia="Calibri" w:hAnsi="Calibri" w:cs="Times New Roman"/>
                <w:b/>
                <w:color w:val="000000"/>
                <w:lang w:val="en-US"/>
              </w:rPr>
            </w:pPr>
            <w:r w:rsidRPr="0095252E">
              <w:rPr>
                <w:rFonts w:ascii="Calibri" w:eastAsia="Calibri" w:hAnsi="Calibri" w:cs="Gotham-Book"/>
                <w:b/>
                <w:color w:val="000000"/>
                <w:lang w:val="en-US"/>
              </w:rPr>
              <w:t>Substantial</w:t>
            </w:r>
          </w:p>
        </w:tc>
        <w:tc>
          <w:tcPr>
            <w:tcW w:w="1447" w:type="dxa"/>
            <w:shd w:val="clear" w:color="auto" w:fill="C6D9F1"/>
          </w:tcPr>
          <w:p w:rsidR="000834F6" w:rsidRPr="0095252E" w:rsidRDefault="000834F6" w:rsidP="009E1946">
            <w:pPr>
              <w:jc w:val="center"/>
              <w:rPr>
                <w:rFonts w:ascii="Calibri" w:eastAsia="Calibri" w:hAnsi="Calibri" w:cs="Times New Roman"/>
                <w:b/>
                <w:color w:val="000000"/>
                <w:lang w:val="en-US"/>
              </w:rPr>
            </w:pPr>
            <w:r w:rsidRPr="0095252E">
              <w:rPr>
                <w:rFonts w:ascii="Calibri" w:eastAsia="Calibri" w:hAnsi="Calibri" w:cs="Gotham-Book"/>
                <w:b/>
                <w:color w:val="000000"/>
                <w:lang w:val="en-US"/>
              </w:rPr>
              <w:t>Complete</w:t>
            </w:r>
          </w:p>
        </w:tc>
      </w:tr>
      <w:tr w:rsidR="000834F6" w:rsidRPr="0095252E" w:rsidTr="009E1946">
        <w:tc>
          <w:tcPr>
            <w:tcW w:w="2518" w:type="dxa"/>
            <w:gridSpan w:val="2"/>
            <w:vMerge/>
            <w:shd w:val="clear" w:color="auto" w:fill="C6D9F1"/>
            <w:vAlign w:val="center"/>
          </w:tcPr>
          <w:p w:rsidR="000834F6" w:rsidRPr="0095252E" w:rsidRDefault="000834F6" w:rsidP="009E1946">
            <w:pPr>
              <w:rPr>
                <w:rFonts w:ascii="Calibri" w:eastAsia="Calibri" w:hAnsi="Calibri" w:cs="Times New Roman"/>
                <w:color w:val="000000"/>
                <w:lang w:val="en-US"/>
              </w:rPr>
            </w:pPr>
          </w:p>
        </w:tc>
        <w:tc>
          <w:tcPr>
            <w:tcW w:w="1701" w:type="dxa"/>
          </w:tcPr>
          <w:p w:rsidR="000834F6" w:rsidRPr="0095252E" w:rsidRDefault="000834F6" w:rsidP="009E1946">
            <w:pPr>
              <w:jc w:val="center"/>
              <w:rPr>
                <w:rFonts w:ascii="Calibri" w:eastAsia="Calibri" w:hAnsi="Calibri" w:cs="Times New Roman"/>
                <w:color w:val="000000"/>
                <w:lang w:val="en-US"/>
              </w:rPr>
            </w:pPr>
          </w:p>
        </w:tc>
        <w:tc>
          <w:tcPr>
            <w:tcW w:w="1729" w:type="dxa"/>
          </w:tcPr>
          <w:p w:rsidR="000834F6" w:rsidRPr="0095252E" w:rsidRDefault="000834F6" w:rsidP="009E1946">
            <w:pPr>
              <w:jc w:val="center"/>
              <w:rPr>
                <w:rFonts w:ascii="Calibri" w:eastAsia="Calibri" w:hAnsi="Calibri" w:cs="Times New Roman"/>
                <w:color w:val="000000"/>
                <w:lang w:val="en-US"/>
              </w:rPr>
            </w:pPr>
          </w:p>
        </w:tc>
        <w:tc>
          <w:tcPr>
            <w:tcW w:w="1644" w:type="dxa"/>
          </w:tcPr>
          <w:p w:rsidR="000834F6" w:rsidRPr="0095252E" w:rsidRDefault="000834F6" w:rsidP="009E1946">
            <w:pPr>
              <w:jc w:val="center"/>
              <w:rPr>
                <w:rFonts w:ascii="Calibri" w:eastAsia="Calibri" w:hAnsi="Calibri" w:cs="Times New Roman"/>
                <w:color w:val="000000"/>
                <w:lang w:val="en-US"/>
              </w:rPr>
            </w:pPr>
          </w:p>
        </w:tc>
        <w:tc>
          <w:tcPr>
            <w:tcW w:w="1447" w:type="dxa"/>
            <w:shd w:val="clear" w:color="auto" w:fill="FFFFFF"/>
          </w:tcPr>
          <w:p w:rsidR="000834F6" w:rsidRPr="0095252E" w:rsidRDefault="000834F6" w:rsidP="009E1946">
            <w:pPr>
              <w:jc w:val="center"/>
              <w:rPr>
                <w:rFonts w:ascii="Calibri" w:eastAsia="Calibri" w:hAnsi="Calibri" w:cs="Times New Roman"/>
                <w:b/>
                <w:color w:val="000000"/>
                <w:lang w:val="en-US"/>
              </w:rPr>
            </w:pPr>
            <w:r w:rsidRPr="0095252E">
              <w:rPr>
                <w:rFonts w:ascii="Calibri" w:eastAsia="Calibri" w:hAnsi="Calibri" w:cs="Times New Roman"/>
                <w:b/>
                <w:color w:val="000000"/>
                <w:lang w:val="en-US"/>
              </w:rPr>
              <w:t>X</w:t>
            </w:r>
          </w:p>
        </w:tc>
      </w:tr>
      <w:tr w:rsidR="000834F6" w:rsidRPr="0095252E" w:rsidTr="009E1946">
        <w:tc>
          <w:tcPr>
            <w:tcW w:w="2518" w:type="dxa"/>
            <w:gridSpan w:val="2"/>
            <w:shd w:val="clear" w:color="auto" w:fill="C6D9F1"/>
            <w:vAlign w:val="center"/>
          </w:tcPr>
          <w:p w:rsidR="000834F6" w:rsidRPr="0095252E" w:rsidRDefault="000834F6" w:rsidP="009E1946">
            <w:pPr>
              <w:autoSpaceDE w:val="0"/>
              <w:autoSpaceDN w:val="0"/>
              <w:adjustRightInd w:val="0"/>
              <w:rPr>
                <w:rFonts w:ascii="Calibri" w:eastAsia="Calibri" w:hAnsi="Calibri" w:cs="Gotham-Book"/>
                <w:b/>
                <w:color w:val="000000"/>
                <w:lang w:val="en-US"/>
              </w:rPr>
            </w:pPr>
            <w:r w:rsidRPr="0095252E">
              <w:rPr>
                <w:rFonts w:ascii="Calibri" w:eastAsia="Calibri" w:hAnsi="Calibri" w:cs="Gotham-Book"/>
                <w:b/>
                <w:color w:val="000000"/>
                <w:lang w:val="en-US"/>
              </w:rPr>
              <w:t>Result description</w:t>
            </w:r>
          </w:p>
          <w:p w:rsidR="000834F6" w:rsidRPr="0095252E" w:rsidRDefault="000834F6" w:rsidP="009E1946">
            <w:pPr>
              <w:autoSpaceDE w:val="0"/>
              <w:autoSpaceDN w:val="0"/>
              <w:adjustRightInd w:val="0"/>
              <w:rPr>
                <w:rFonts w:ascii="Calibri" w:eastAsia="Calibri" w:hAnsi="Calibri" w:cs="Gotham-BookItalic"/>
                <w:b/>
                <w:iCs/>
                <w:color w:val="000000"/>
                <w:lang w:val="en-US"/>
              </w:rPr>
            </w:pPr>
          </w:p>
        </w:tc>
        <w:tc>
          <w:tcPr>
            <w:tcW w:w="6521" w:type="dxa"/>
            <w:gridSpan w:val="4"/>
          </w:tcPr>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During 2015, 4504 people were trained.</w:t>
            </w:r>
          </w:p>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During 2016, with cutoff date 08/09/2016, 1162 people were managed to be trained.</w:t>
            </w:r>
          </w:p>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There is a Training Program of the Prior Consultation Management. Five types of training activities are considered:</w:t>
            </w:r>
          </w:p>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1. Workshops with male and female leaders.</w:t>
            </w:r>
          </w:p>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2. Workshops with male and female leaders in the framework of consultation processes.</w:t>
            </w:r>
          </w:p>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3. Workshops with officials and civil servants.</w:t>
            </w:r>
          </w:p>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4. Workshops with officials and civil servants in the framework of consultation processes.</w:t>
            </w:r>
          </w:p>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5. Specialization course on the right to prior consultation.</w:t>
            </w:r>
          </w:p>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To date, the following have been carried out</w:t>
            </w:r>
            <w:r w:rsidRPr="0095252E">
              <w:rPr>
                <w:rFonts w:ascii="Calibri" w:eastAsia="Calibri" w:hAnsi="Calibri" w:cs="Times New Roman"/>
                <w:szCs w:val="20"/>
                <w:vertAlign w:val="superscript"/>
                <w:lang w:val="en-US"/>
              </w:rPr>
              <w:t>2</w:t>
            </w:r>
            <w:r w:rsidRPr="0095252E">
              <w:rPr>
                <w:rFonts w:ascii="Calibri" w:eastAsia="Calibri" w:hAnsi="Calibri" w:cs="Times New Roman"/>
                <w:szCs w:val="20"/>
                <w:lang w:val="en-US"/>
              </w:rPr>
              <w:t>:</w:t>
            </w:r>
          </w:p>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- 7 workshops with male and female leaders with a total of 362 participants.</w:t>
            </w:r>
          </w:p>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- 3 workshops with male and female leaders in the framework of consultation processes with a total of 193 participants.</w:t>
            </w:r>
          </w:p>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- 11 workshops with civil servants, with a total of 450 participants.</w:t>
            </w:r>
          </w:p>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- 2 workshops with officials and civil servants within the framework of consultation processes, with a total of 21 participants.</w:t>
            </w:r>
          </w:p>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- 1 specialization course on the right to prior consultation, with a total of 136 participants.</w:t>
            </w:r>
          </w:p>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 xml:space="preserve">Source: </w:t>
            </w:r>
            <w:r w:rsidR="00984751">
              <w:rPr>
                <w:rFonts w:ascii="Calibri" w:eastAsia="Calibri" w:hAnsi="Calibri" w:cs="Times New Roman"/>
                <w:szCs w:val="20"/>
                <w:lang w:val="en-US"/>
              </w:rPr>
              <w:t>Official letter No.</w:t>
            </w:r>
            <w:r w:rsidRPr="0095252E">
              <w:rPr>
                <w:rFonts w:ascii="Calibri" w:eastAsia="Calibri" w:hAnsi="Calibri" w:cs="Times New Roman"/>
                <w:szCs w:val="20"/>
                <w:lang w:val="en-US"/>
              </w:rPr>
              <w:t xml:space="preserve"> 000077-2016/DCP/VMI/MC</w:t>
            </w:r>
          </w:p>
        </w:tc>
      </w:tr>
      <w:tr w:rsidR="000834F6" w:rsidRPr="0095252E" w:rsidTr="009E1946">
        <w:tc>
          <w:tcPr>
            <w:tcW w:w="2518" w:type="dxa"/>
            <w:gridSpan w:val="2"/>
            <w:shd w:val="clear" w:color="auto" w:fill="C6D9F1"/>
            <w:vAlign w:val="center"/>
          </w:tcPr>
          <w:p w:rsidR="000834F6" w:rsidRPr="0095252E" w:rsidRDefault="000834F6" w:rsidP="009E1946">
            <w:pPr>
              <w:rPr>
                <w:rFonts w:ascii="Calibri" w:eastAsia="Calibri" w:hAnsi="Calibri" w:cs="Times New Roman"/>
                <w:b/>
                <w:color w:val="000000"/>
                <w:lang w:val="en-US"/>
              </w:rPr>
            </w:pPr>
            <w:r w:rsidRPr="0095252E">
              <w:rPr>
                <w:rFonts w:ascii="Calibri" w:eastAsia="Calibri" w:hAnsi="Calibri" w:cs="Gotham-Book"/>
                <w:b/>
                <w:color w:val="000000"/>
                <w:lang w:val="en-US"/>
              </w:rPr>
              <w:t>Conclusion date</w:t>
            </w:r>
          </w:p>
        </w:tc>
        <w:tc>
          <w:tcPr>
            <w:tcW w:w="6521" w:type="dxa"/>
            <w:gridSpan w:val="4"/>
          </w:tcPr>
          <w:p w:rsidR="000834F6" w:rsidRPr="0095252E" w:rsidRDefault="000834F6" w:rsidP="009E1946">
            <w:pPr>
              <w:jc w:val="both"/>
              <w:rPr>
                <w:rFonts w:ascii="Calibri" w:eastAsia="Calibri" w:hAnsi="Calibri" w:cs="Times New Roman"/>
                <w:color w:val="FF0000"/>
                <w:lang w:val="en-US"/>
              </w:rPr>
            </w:pPr>
            <w:r w:rsidRPr="0095252E">
              <w:rPr>
                <w:rFonts w:ascii="Calibri" w:eastAsia="Calibri" w:hAnsi="Calibri" w:cs="Times New Roman"/>
                <w:lang w:val="en-US"/>
              </w:rPr>
              <w:t>Concluded</w:t>
            </w:r>
          </w:p>
        </w:tc>
      </w:tr>
      <w:tr w:rsidR="000834F6" w:rsidRPr="0095252E" w:rsidTr="009E1946">
        <w:tc>
          <w:tcPr>
            <w:tcW w:w="2518" w:type="dxa"/>
            <w:gridSpan w:val="2"/>
            <w:shd w:val="clear" w:color="auto" w:fill="C6D9F1"/>
            <w:vAlign w:val="center"/>
          </w:tcPr>
          <w:p w:rsidR="000834F6" w:rsidRPr="0095252E" w:rsidRDefault="000834F6" w:rsidP="009E1946">
            <w:pPr>
              <w:rPr>
                <w:rFonts w:ascii="Calibri" w:eastAsia="Calibri" w:hAnsi="Calibri" w:cs="Times New Roman"/>
                <w:b/>
                <w:color w:val="000000"/>
                <w:lang w:val="en-US"/>
              </w:rPr>
            </w:pPr>
            <w:r w:rsidRPr="0095252E">
              <w:rPr>
                <w:rFonts w:ascii="Calibri" w:eastAsia="Calibri" w:hAnsi="Calibri" w:cs="Gotham-Book"/>
                <w:b/>
                <w:color w:val="000000"/>
                <w:lang w:val="en-US"/>
              </w:rPr>
              <w:t>Next steps</w:t>
            </w:r>
          </w:p>
        </w:tc>
        <w:tc>
          <w:tcPr>
            <w:tcW w:w="6521" w:type="dxa"/>
            <w:gridSpan w:val="4"/>
          </w:tcPr>
          <w:p w:rsidR="000834F6" w:rsidRPr="0095252E" w:rsidRDefault="000834F6" w:rsidP="009E1946">
            <w:pPr>
              <w:jc w:val="both"/>
              <w:rPr>
                <w:rFonts w:ascii="Calibri" w:eastAsia="Calibri" w:hAnsi="Calibri" w:cs="Times New Roman"/>
                <w:color w:val="FF0000"/>
                <w:lang w:val="en-US"/>
              </w:rPr>
            </w:pPr>
          </w:p>
        </w:tc>
      </w:tr>
      <w:tr w:rsidR="000834F6" w:rsidRPr="0095252E" w:rsidTr="009E1946">
        <w:trPr>
          <w:trHeight w:val="212"/>
        </w:trPr>
        <w:tc>
          <w:tcPr>
            <w:tcW w:w="9039" w:type="dxa"/>
            <w:gridSpan w:val="6"/>
          </w:tcPr>
          <w:p w:rsidR="000834F6" w:rsidRPr="0095252E" w:rsidRDefault="000834F6" w:rsidP="009E1946">
            <w:pPr>
              <w:jc w:val="both"/>
              <w:rPr>
                <w:rFonts w:ascii="Calibri" w:eastAsia="Calibri" w:hAnsi="Calibri" w:cs="Times New Roman"/>
                <w:b/>
                <w:color w:val="000000"/>
                <w:lang w:val="en-US"/>
              </w:rPr>
            </w:pPr>
            <w:r w:rsidRPr="0095252E">
              <w:rPr>
                <w:rFonts w:ascii="Calibri" w:eastAsia="Calibri" w:hAnsi="Calibri" w:cs="Gotham-Book"/>
                <w:b/>
                <w:color w:val="000000"/>
                <w:lang w:val="en-US"/>
              </w:rPr>
              <w:t>Additional information</w:t>
            </w:r>
          </w:p>
        </w:tc>
      </w:tr>
    </w:tbl>
    <w:p w:rsidR="000834F6" w:rsidRPr="0095252E" w:rsidRDefault="000834F6" w:rsidP="000834F6">
      <w:pPr>
        <w:rPr>
          <w:lang w:val="en-US"/>
        </w:rPr>
      </w:pPr>
      <w:r w:rsidRPr="0095252E">
        <w:rPr>
          <w:lang w:val="en-US"/>
        </w:rPr>
        <w:t>__________________________</w:t>
      </w:r>
    </w:p>
    <w:p w:rsidR="000834F6" w:rsidRPr="0095252E" w:rsidRDefault="000834F6" w:rsidP="000834F6">
      <w:pPr>
        <w:spacing w:after="0" w:line="240" w:lineRule="auto"/>
        <w:rPr>
          <w:sz w:val="14"/>
          <w:szCs w:val="14"/>
          <w:lang w:val="en-US"/>
        </w:rPr>
      </w:pPr>
      <w:r w:rsidRPr="0095252E">
        <w:rPr>
          <w:sz w:val="18"/>
          <w:szCs w:val="14"/>
          <w:vertAlign w:val="superscript"/>
          <w:lang w:val="en-US"/>
        </w:rPr>
        <w:t>2</w:t>
      </w:r>
      <w:r w:rsidRPr="0095252E">
        <w:rPr>
          <w:sz w:val="14"/>
          <w:szCs w:val="14"/>
          <w:lang w:val="en-US"/>
        </w:rPr>
        <w:t xml:space="preserve"> Some foundations on Strengthening of Knowledge and Skills:</w:t>
      </w:r>
    </w:p>
    <w:p w:rsidR="000834F6" w:rsidRPr="0095252E" w:rsidRDefault="000834F6" w:rsidP="000834F6">
      <w:pPr>
        <w:spacing w:after="0" w:line="240" w:lineRule="auto"/>
        <w:rPr>
          <w:sz w:val="14"/>
          <w:szCs w:val="14"/>
          <w:lang w:val="en-US"/>
        </w:rPr>
      </w:pPr>
      <w:r w:rsidRPr="0095252E">
        <w:rPr>
          <w:sz w:val="14"/>
          <w:szCs w:val="14"/>
          <w:lang w:val="en-US"/>
        </w:rPr>
        <w:t>- Training Workshop on the right to prior consultation of indigenous or indigenous peoples with officials and officials of the National Superintendency of State Property</w:t>
      </w:r>
    </w:p>
    <w:p w:rsidR="007D5D3D" w:rsidRPr="0095252E" w:rsidRDefault="007D5D3D" w:rsidP="007D5D3D">
      <w:pPr>
        <w:pStyle w:val="Piedepgina"/>
        <w:rPr>
          <w:sz w:val="14"/>
          <w:szCs w:val="14"/>
          <w:lang w:val="en-US"/>
        </w:rPr>
      </w:pPr>
      <w:r w:rsidRPr="0095252E">
        <w:rPr>
          <w:sz w:val="14"/>
          <w:szCs w:val="14"/>
          <w:lang w:val="en-US"/>
        </w:rPr>
        <w:t>http://consultaprevia.cultura.gob.pe/capacitaciones/3101/</w:t>
      </w:r>
    </w:p>
    <w:p w:rsidR="000834F6" w:rsidRPr="0095252E" w:rsidRDefault="000834F6" w:rsidP="000834F6">
      <w:pPr>
        <w:spacing w:after="0" w:line="240" w:lineRule="auto"/>
        <w:rPr>
          <w:sz w:val="14"/>
          <w:szCs w:val="14"/>
          <w:lang w:val="en-US"/>
        </w:rPr>
      </w:pPr>
      <w:r w:rsidRPr="0095252E">
        <w:rPr>
          <w:sz w:val="14"/>
          <w:szCs w:val="14"/>
          <w:lang w:val="en-US"/>
        </w:rPr>
        <w:t xml:space="preserve">- Training workshop for indigenous leaders and leaders in the right to prior consultation - CNA </w:t>
      </w:r>
      <w:r w:rsidR="007D5D3D" w:rsidRPr="0095252E">
        <w:rPr>
          <w:sz w:val="14"/>
          <w:szCs w:val="14"/>
          <w:lang w:val="en-US"/>
        </w:rPr>
        <w:t>http://consultaprevia.cultura.gob.pe/categoria/talleres-con-lideres/?nombre=&amp;fecha=2016-04</w:t>
      </w:r>
    </w:p>
    <w:p w:rsidR="000834F6" w:rsidRPr="0095252E" w:rsidRDefault="000834F6" w:rsidP="000834F6">
      <w:pPr>
        <w:spacing w:after="0" w:line="240" w:lineRule="auto"/>
        <w:rPr>
          <w:sz w:val="14"/>
          <w:szCs w:val="14"/>
          <w:lang w:val="en-US"/>
        </w:rPr>
      </w:pPr>
      <w:r w:rsidRPr="0095252E">
        <w:rPr>
          <w:sz w:val="14"/>
          <w:szCs w:val="14"/>
          <w:lang w:val="en-US"/>
        </w:rPr>
        <w:t xml:space="preserve">- Training workshop on the right to prior consultation of indigenous or indigenous peoples with indigenous male and female leaders of the Bases of the Federation of Indigenous People of </w:t>
      </w:r>
      <w:proofErr w:type="spellStart"/>
      <w:r w:rsidRPr="0095252E">
        <w:rPr>
          <w:sz w:val="14"/>
          <w:szCs w:val="14"/>
          <w:lang w:val="en-US"/>
        </w:rPr>
        <w:t>Bajo</w:t>
      </w:r>
      <w:proofErr w:type="spellEnd"/>
      <w:r w:rsidRPr="0095252E">
        <w:rPr>
          <w:sz w:val="14"/>
          <w:szCs w:val="14"/>
          <w:lang w:val="en-US"/>
        </w:rPr>
        <w:t xml:space="preserve"> and Alto Corrientes - FEPIBAC</w:t>
      </w:r>
    </w:p>
    <w:p w:rsidR="007D5D3D" w:rsidRPr="0095252E" w:rsidRDefault="007D5D3D" w:rsidP="007D5D3D">
      <w:pPr>
        <w:pStyle w:val="Piedepgina"/>
        <w:rPr>
          <w:sz w:val="14"/>
          <w:szCs w:val="14"/>
          <w:lang w:val="en-US"/>
        </w:rPr>
      </w:pPr>
      <w:r w:rsidRPr="0095252E">
        <w:rPr>
          <w:sz w:val="14"/>
          <w:szCs w:val="14"/>
          <w:lang w:val="en-US"/>
        </w:rPr>
        <w:t>http://consultaprevia.cultura.gob.pe/capacitaciones/taller-de-capacitacion-sobre-el-derecho-a-la-consulta-previa-de-los-pueblos-indigenas-u-originarios-con-lideres-y-lideresas-indigenas-de-las-bases-de-la-federacion-de-pueblos-indigenas-de-bajo-y-alto/</w:t>
      </w:r>
    </w:p>
    <w:p w:rsidR="000834F6" w:rsidRPr="0095252E" w:rsidRDefault="000834F6" w:rsidP="000834F6">
      <w:pPr>
        <w:rPr>
          <w:lang w:val="en-US"/>
        </w:rPr>
      </w:pPr>
    </w:p>
    <w:tbl>
      <w:tblPr>
        <w:tblStyle w:val="Tablaconcuadrcula6"/>
        <w:tblW w:w="9039" w:type="dxa"/>
        <w:tblLayout w:type="fixed"/>
        <w:tblLook w:val="04A0" w:firstRow="1" w:lastRow="0" w:firstColumn="1" w:lastColumn="0" w:noHBand="0" w:noVBand="1"/>
      </w:tblPr>
      <w:tblGrid>
        <w:gridCol w:w="1526"/>
        <w:gridCol w:w="583"/>
        <w:gridCol w:w="2110"/>
        <w:gridCol w:w="1729"/>
        <w:gridCol w:w="1644"/>
        <w:gridCol w:w="1447"/>
      </w:tblGrid>
      <w:tr w:rsidR="000834F6" w:rsidRPr="0095252E" w:rsidTr="009E1946">
        <w:tc>
          <w:tcPr>
            <w:tcW w:w="9039" w:type="dxa"/>
            <w:gridSpan w:val="6"/>
            <w:shd w:val="clear" w:color="auto" w:fill="548DD4"/>
          </w:tcPr>
          <w:p w:rsidR="000834F6" w:rsidRPr="0095252E" w:rsidRDefault="000834F6" w:rsidP="009E1946">
            <w:pPr>
              <w:ind w:left="720"/>
              <w:jc w:val="center"/>
              <w:rPr>
                <w:rFonts w:ascii="Calibri" w:eastAsia="Calibri" w:hAnsi="Calibri" w:cs="Times New Roman"/>
                <w:b/>
                <w:lang w:val="en-US"/>
              </w:rPr>
            </w:pPr>
            <w:r w:rsidRPr="0095252E">
              <w:rPr>
                <w:rFonts w:ascii="Calibri" w:eastAsia="Calibri" w:hAnsi="Calibri" w:cs="Times New Roman"/>
                <w:b/>
                <w:lang w:val="en-US"/>
              </w:rPr>
              <w:t>Component: Citizen participation</w:t>
            </w:r>
          </w:p>
        </w:tc>
      </w:tr>
      <w:tr w:rsidR="000834F6" w:rsidRPr="00003DBC" w:rsidTr="009E1946">
        <w:tc>
          <w:tcPr>
            <w:tcW w:w="9039" w:type="dxa"/>
            <w:gridSpan w:val="6"/>
            <w:shd w:val="clear" w:color="auto" w:fill="548DD4"/>
          </w:tcPr>
          <w:p w:rsidR="000834F6" w:rsidRPr="0095252E" w:rsidRDefault="000834F6" w:rsidP="009E1946">
            <w:pPr>
              <w:ind w:left="720"/>
              <w:jc w:val="center"/>
              <w:rPr>
                <w:rFonts w:ascii="Calibri" w:eastAsia="Calibri" w:hAnsi="Calibri" w:cs="Times New Roman"/>
                <w:b/>
                <w:lang w:val="en-US"/>
              </w:rPr>
            </w:pPr>
            <w:r w:rsidRPr="0095252E">
              <w:rPr>
                <w:rFonts w:ascii="Calibri" w:eastAsia="Calibri" w:hAnsi="Calibri" w:cs="Times New Roman"/>
                <w:b/>
                <w:u w:val="single"/>
                <w:lang w:val="en-US"/>
              </w:rPr>
              <w:lastRenderedPageBreak/>
              <w:t>Commitment 9</w:t>
            </w:r>
            <w:r w:rsidRPr="0095252E">
              <w:rPr>
                <w:rFonts w:ascii="Calibri" w:eastAsia="Calibri" w:hAnsi="Calibri" w:cs="Times New Roman"/>
                <w:b/>
                <w:lang w:val="en-US"/>
              </w:rPr>
              <w:t>.</w:t>
            </w:r>
            <w:r w:rsidRPr="0095252E">
              <w:rPr>
                <w:lang w:val="en-US"/>
              </w:rPr>
              <w:t xml:space="preserve"> </w:t>
            </w:r>
            <w:r w:rsidRPr="0095252E">
              <w:rPr>
                <w:rFonts w:ascii="Calibri" w:eastAsia="Calibri" w:hAnsi="Calibri" w:cs="Times New Roman"/>
                <w:b/>
                <w:lang w:val="en-US"/>
              </w:rPr>
              <w:t>Institutionalizing citizen participation through mechanisms of social surveillance to the processes of the National School Feeding Program PNAE - "</w:t>
            </w:r>
            <w:proofErr w:type="spellStart"/>
            <w:r w:rsidRPr="0095252E">
              <w:rPr>
                <w:rFonts w:ascii="Calibri" w:eastAsia="Calibri" w:hAnsi="Calibri" w:cs="Times New Roman"/>
                <w:b/>
                <w:lang w:val="en-US"/>
              </w:rPr>
              <w:t>Qali</w:t>
            </w:r>
            <w:proofErr w:type="spellEnd"/>
            <w:r w:rsidRPr="0095252E">
              <w:rPr>
                <w:rFonts w:ascii="Calibri" w:eastAsia="Calibri" w:hAnsi="Calibri" w:cs="Times New Roman"/>
                <w:b/>
                <w:lang w:val="en-US"/>
              </w:rPr>
              <w:t xml:space="preserve"> </w:t>
            </w:r>
            <w:proofErr w:type="spellStart"/>
            <w:r w:rsidRPr="0095252E">
              <w:rPr>
                <w:rFonts w:ascii="Calibri" w:eastAsia="Calibri" w:hAnsi="Calibri" w:cs="Times New Roman"/>
                <w:b/>
                <w:lang w:val="en-US"/>
              </w:rPr>
              <w:t>Warma</w:t>
            </w:r>
            <w:proofErr w:type="spellEnd"/>
            <w:r w:rsidRPr="0095252E">
              <w:rPr>
                <w:rFonts w:ascii="Calibri" w:eastAsia="Calibri" w:hAnsi="Calibri" w:cs="Times New Roman"/>
                <w:b/>
                <w:lang w:val="en-US"/>
              </w:rPr>
              <w:t>"</w:t>
            </w:r>
          </w:p>
        </w:tc>
      </w:tr>
      <w:tr w:rsidR="000834F6" w:rsidRPr="00003DBC" w:rsidTr="009E1946">
        <w:tc>
          <w:tcPr>
            <w:tcW w:w="4219" w:type="dxa"/>
            <w:gridSpan w:val="3"/>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Secretariat/Ministry in charge</w:t>
            </w:r>
          </w:p>
        </w:tc>
        <w:tc>
          <w:tcPr>
            <w:tcW w:w="4820" w:type="dxa"/>
            <w:gridSpan w:val="3"/>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Ministry of Development and Social Inclusion</w:t>
            </w:r>
          </w:p>
        </w:tc>
      </w:tr>
      <w:tr w:rsidR="000834F6" w:rsidRPr="0095252E" w:rsidTr="009E1946">
        <w:tc>
          <w:tcPr>
            <w:tcW w:w="4219" w:type="dxa"/>
            <w:gridSpan w:val="3"/>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Name of the person in charge</w:t>
            </w:r>
          </w:p>
        </w:tc>
        <w:tc>
          <w:tcPr>
            <w:tcW w:w="4820" w:type="dxa"/>
            <w:gridSpan w:val="3"/>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 xml:space="preserve">Lucia </w:t>
            </w:r>
            <w:proofErr w:type="spellStart"/>
            <w:r w:rsidRPr="0095252E">
              <w:rPr>
                <w:rFonts w:ascii="Calibri" w:eastAsia="Calibri" w:hAnsi="Calibri" w:cs="Times New Roman"/>
                <w:color w:val="000000"/>
                <w:lang w:val="en-US"/>
              </w:rPr>
              <w:t>Cayetana</w:t>
            </w:r>
            <w:proofErr w:type="spellEnd"/>
            <w:r w:rsidRPr="0095252E">
              <w:rPr>
                <w:rFonts w:ascii="Calibri" w:eastAsia="Calibri" w:hAnsi="Calibri" w:cs="Times New Roman"/>
                <w:color w:val="000000"/>
                <w:lang w:val="en-US"/>
              </w:rPr>
              <w:t xml:space="preserve"> </w:t>
            </w:r>
            <w:proofErr w:type="spellStart"/>
            <w:r w:rsidRPr="0095252E">
              <w:rPr>
                <w:rFonts w:ascii="Calibri" w:eastAsia="Calibri" w:hAnsi="Calibri" w:cs="Times New Roman"/>
                <w:color w:val="000000"/>
                <w:lang w:val="en-US"/>
              </w:rPr>
              <w:t>Aljovin</w:t>
            </w:r>
            <w:proofErr w:type="spellEnd"/>
            <w:r w:rsidRPr="0095252E">
              <w:rPr>
                <w:rFonts w:ascii="Calibri" w:eastAsia="Calibri" w:hAnsi="Calibri" w:cs="Times New Roman"/>
                <w:color w:val="000000"/>
                <w:lang w:val="en-US"/>
              </w:rPr>
              <w:t xml:space="preserve"> </w:t>
            </w:r>
            <w:proofErr w:type="spellStart"/>
            <w:r w:rsidRPr="0095252E">
              <w:rPr>
                <w:rFonts w:ascii="Calibri" w:eastAsia="Calibri" w:hAnsi="Calibri" w:cs="Times New Roman"/>
                <w:color w:val="000000"/>
                <w:lang w:val="en-US"/>
              </w:rPr>
              <w:t>Gazzani</w:t>
            </w:r>
            <w:proofErr w:type="spellEnd"/>
          </w:p>
        </w:tc>
      </w:tr>
      <w:tr w:rsidR="000834F6" w:rsidRPr="0095252E" w:rsidTr="009E1946">
        <w:tc>
          <w:tcPr>
            <w:tcW w:w="4219" w:type="dxa"/>
            <w:gridSpan w:val="3"/>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Position</w:t>
            </w:r>
          </w:p>
        </w:tc>
        <w:tc>
          <w:tcPr>
            <w:tcW w:w="4820" w:type="dxa"/>
            <w:gridSpan w:val="3"/>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Minister</w:t>
            </w:r>
          </w:p>
        </w:tc>
      </w:tr>
      <w:tr w:rsidR="000834F6" w:rsidRPr="0095252E" w:rsidTr="009E1946">
        <w:tc>
          <w:tcPr>
            <w:tcW w:w="4219" w:type="dxa"/>
            <w:gridSpan w:val="3"/>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Email</w:t>
            </w:r>
          </w:p>
        </w:tc>
        <w:tc>
          <w:tcPr>
            <w:tcW w:w="4820" w:type="dxa"/>
            <w:gridSpan w:val="3"/>
          </w:tcPr>
          <w:p w:rsidR="000834F6" w:rsidRPr="0095252E" w:rsidRDefault="000834F6" w:rsidP="009E1946">
            <w:pPr>
              <w:jc w:val="both"/>
              <w:rPr>
                <w:rFonts w:ascii="Calibri" w:eastAsia="Calibri" w:hAnsi="Calibri" w:cs="Arial"/>
                <w:color w:val="0000FF"/>
                <w:u w:val="single"/>
                <w:lang w:val="en-US"/>
              </w:rPr>
            </w:pPr>
            <w:r w:rsidRPr="0095252E">
              <w:rPr>
                <w:rFonts w:ascii="Calibri" w:eastAsia="Calibri" w:hAnsi="Calibri" w:cs="Arial"/>
                <w:color w:val="0000FF"/>
                <w:u w:val="single"/>
                <w:lang w:val="en-US"/>
              </w:rPr>
              <w:t>despachoministerial1@midis.gob.pe</w:t>
            </w:r>
          </w:p>
        </w:tc>
      </w:tr>
      <w:tr w:rsidR="000834F6" w:rsidRPr="0095252E" w:rsidTr="009E1946">
        <w:tc>
          <w:tcPr>
            <w:tcW w:w="4219" w:type="dxa"/>
            <w:gridSpan w:val="3"/>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Telephone</w:t>
            </w:r>
          </w:p>
        </w:tc>
        <w:tc>
          <w:tcPr>
            <w:tcW w:w="4820" w:type="dxa"/>
            <w:gridSpan w:val="3"/>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51-1-6318000 Ax. 1561</w:t>
            </w:r>
          </w:p>
        </w:tc>
      </w:tr>
      <w:tr w:rsidR="000834F6" w:rsidRPr="0095252E" w:rsidTr="009E1946">
        <w:tc>
          <w:tcPr>
            <w:tcW w:w="2109" w:type="dxa"/>
            <w:gridSpan w:val="2"/>
            <w:vMerge w:val="restart"/>
            <w:shd w:val="clear" w:color="auto" w:fill="C6D9F1"/>
            <w:vAlign w:val="center"/>
          </w:tcPr>
          <w:p w:rsidR="000834F6" w:rsidRPr="0095252E" w:rsidRDefault="00596BF3" w:rsidP="009E1946">
            <w:pPr>
              <w:rPr>
                <w:rFonts w:ascii="Calibri" w:eastAsia="Calibri" w:hAnsi="Calibri" w:cs="Gotham-Book"/>
                <w:b/>
                <w:color w:val="000000"/>
                <w:lang w:val="en-US"/>
              </w:rPr>
            </w:pPr>
            <w:r>
              <w:rPr>
                <w:rFonts w:ascii="Calibri" w:eastAsia="Calibri" w:hAnsi="Calibri" w:cs="Gotham-Book"/>
                <w:b/>
                <w:color w:val="000000"/>
                <w:lang w:val="en-US"/>
              </w:rPr>
              <w:t>Other parties involved</w:t>
            </w:r>
          </w:p>
        </w:tc>
        <w:tc>
          <w:tcPr>
            <w:tcW w:w="2110" w:type="dxa"/>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Government</w:t>
            </w:r>
          </w:p>
        </w:tc>
        <w:tc>
          <w:tcPr>
            <w:tcW w:w="4820" w:type="dxa"/>
            <w:gridSpan w:val="3"/>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NOT APPLICABLE</w:t>
            </w:r>
          </w:p>
        </w:tc>
      </w:tr>
      <w:tr w:rsidR="000834F6" w:rsidRPr="00003DBC" w:rsidTr="009E1946">
        <w:tc>
          <w:tcPr>
            <w:tcW w:w="2109" w:type="dxa"/>
            <w:gridSpan w:val="2"/>
            <w:vMerge/>
            <w:shd w:val="clear" w:color="auto" w:fill="C6D9F1"/>
            <w:vAlign w:val="center"/>
          </w:tcPr>
          <w:p w:rsidR="000834F6" w:rsidRPr="0095252E" w:rsidRDefault="000834F6" w:rsidP="009E1946">
            <w:pPr>
              <w:rPr>
                <w:rFonts w:ascii="Calibri" w:eastAsia="Calibri" w:hAnsi="Calibri" w:cs="Gotham-Book"/>
                <w:b/>
                <w:color w:val="000000"/>
                <w:lang w:val="en-US"/>
              </w:rPr>
            </w:pPr>
          </w:p>
        </w:tc>
        <w:tc>
          <w:tcPr>
            <w:tcW w:w="2110" w:type="dxa"/>
            <w:shd w:val="clear" w:color="auto" w:fill="C6D9F1"/>
            <w:vAlign w:val="center"/>
          </w:tcPr>
          <w:p w:rsidR="000834F6" w:rsidRPr="0095252E" w:rsidRDefault="000834F6" w:rsidP="009E1946">
            <w:pPr>
              <w:rPr>
                <w:rFonts w:ascii="Calibri" w:eastAsia="Calibri" w:hAnsi="Calibri" w:cs="Gotham-Book"/>
                <w:b/>
                <w:color w:val="000000"/>
                <w:lang w:val="en-US"/>
              </w:rPr>
            </w:pPr>
            <w:r w:rsidRPr="0095252E">
              <w:rPr>
                <w:rFonts w:ascii="Calibri" w:eastAsia="Calibri" w:hAnsi="Calibri" w:cs="Times New Roman"/>
                <w:b/>
                <w:lang w:val="en-US"/>
              </w:rPr>
              <w:t>Civil society, private initiative, multilateral or work groups</w:t>
            </w:r>
          </w:p>
        </w:tc>
        <w:tc>
          <w:tcPr>
            <w:tcW w:w="4820" w:type="dxa"/>
            <w:gridSpan w:val="3"/>
          </w:tcPr>
          <w:p w:rsidR="000834F6" w:rsidRPr="0095252E" w:rsidRDefault="000834F6" w:rsidP="009E1946">
            <w:pPr>
              <w:jc w:val="both"/>
              <w:rPr>
                <w:rFonts w:ascii="Calibri" w:eastAsia="Calibri" w:hAnsi="Calibri" w:cs="Times New Roman"/>
                <w:color w:val="000000"/>
                <w:lang w:val="en-US"/>
              </w:rPr>
            </w:pPr>
          </w:p>
        </w:tc>
      </w:tr>
      <w:tr w:rsidR="000834F6" w:rsidRPr="00003DBC" w:rsidTr="009E1946">
        <w:tc>
          <w:tcPr>
            <w:tcW w:w="4219" w:type="dxa"/>
            <w:gridSpan w:val="3"/>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Status quo or problem/</w:t>
            </w:r>
            <w:r w:rsidRPr="0095252E">
              <w:rPr>
                <w:rFonts w:ascii="Calibri" w:eastAsia="Calibri" w:hAnsi="Calibri" w:cs="Times New Roman"/>
                <w:b/>
                <w:lang w:val="en-US"/>
              </w:rPr>
              <w:br/>
              <w:t>challenge to be attended</w:t>
            </w:r>
          </w:p>
        </w:tc>
        <w:tc>
          <w:tcPr>
            <w:tcW w:w="4820" w:type="dxa"/>
            <w:gridSpan w:val="3"/>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The need to strengthen the social management and monitoring of the food service management of the PNAE "</w:t>
            </w:r>
            <w:proofErr w:type="spellStart"/>
            <w:r w:rsidRPr="0095252E">
              <w:rPr>
                <w:rFonts w:ascii="Calibri" w:eastAsia="Calibri" w:hAnsi="Calibri" w:cs="Times New Roman"/>
                <w:color w:val="000000"/>
                <w:lang w:val="en-US"/>
              </w:rPr>
              <w:t>Qali</w:t>
            </w:r>
            <w:proofErr w:type="spellEnd"/>
            <w:r w:rsidRPr="0095252E">
              <w:rPr>
                <w:rFonts w:ascii="Calibri" w:eastAsia="Calibri" w:hAnsi="Calibri" w:cs="Times New Roman"/>
                <w:color w:val="000000"/>
                <w:lang w:val="en-US"/>
              </w:rPr>
              <w:t xml:space="preserve"> </w:t>
            </w:r>
            <w:proofErr w:type="spellStart"/>
            <w:r w:rsidRPr="0095252E">
              <w:rPr>
                <w:rFonts w:ascii="Calibri" w:eastAsia="Calibri" w:hAnsi="Calibri" w:cs="Times New Roman"/>
                <w:color w:val="000000"/>
                <w:lang w:val="en-US"/>
              </w:rPr>
              <w:t>Warma</w:t>
            </w:r>
            <w:proofErr w:type="spellEnd"/>
            <w:r w:rsidRPr="0095252E">
              <w:rPr>
                <w:rFonts w:ascii="Calibri" w:eastAsia="Calibri" w:hAnsi="Calibri" w:cs="Times New Roman"/>
                <w:color w:val="000000"/>
                <w:lang w:val="en-US"/>
              </w:rPr>
              <w:t>" has been identified, in order to monitor and evaluate the quality of the Program, through mechanisms of control and citizen participation.</w:t>
            </w:r>
          </w:p>
        </w:tc>
      </w:tr>
      <w:tr w:rsidR="000834F6" w:rsidRPr="00003DBC" w:rsidTr="009E1946">
        <w:tc>
          <w:tcPr>
            <w:tcW w:w="4219" w:type="dxa"/>
            <w:gridSpan w:val="3"/>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Main objective</w:t>
            </w:r>
          </w:p>
        </w:tc>
        <w:tc>
          <w:tcPr>
            <w:tcW w:w="4820" w:type="dxa"/>
            <w:gridSpan w:val="3"/>
          </w:tcPr>
          <w:p w:rsidR="000834F6" w:rsidRPr="0095252E" w:rsidRDefault="000834F6" w:rsidP="009E1946">
            <w:pPr>
              <w:jc w:val="both"/>
              <w:rPr>
                <w:rFonts w:ascii="Calibri" w:eastAsia="Calibri" w:hAnsi="Calibri" w:cs="Times New Roman"/>
                <w:bCs/>
                <w:lang w:val="en-US"/>
              </w:rPr>
            </w:pPr>
            <w:r w:rsidRPr="0095252E">
              <w:rPr>
                <w:rFonts w:ascii="Calibri" w:eastAsia="Calibri" w:hAnsi="Calibri" w:cs="Times New Roman"/>
                <w:bCs/>
                <w:lang w:val="en-US"/>
              </w:rPr>
              <w:t>To contribute to the improvement of the management and accountability of the PNAE "</w:t>
            </w:r>
            <w:proofErr w:type="spellStart"/>
            <w:r w:rsidRPr="0095252E">
              <w:rPr>
                <w:rFonts w:ascii="Calibri" w:eastAsia="Calibri" w:hAnsi="Calibri" w:cs="Times New Roman"/>
                <w:bCs/>
                <w:lang w:val="en-US"/>
              </w:rPr>
              <w:t>Qali</w:t>
            </w:r>
            <w:proofErr w:type="spellEnd"/>
            <w:r w:rsidRPr="0095252E">
              <w:rPr>
                <w:rFonts w:ascii="Calibri" w:eastAsia="Calibri" w:hAnsi="Calibri" w:cs="Times New Roman"/>
                <w:bCs/>
                <w:lang w:val="en-US"/>
              </w:rPr>
              <w:t xml:space="preserve"> </w:t>
            </w:r>
            <w:proofErr w:type="spellStart"/>
            <w:r w:rsidRPr="0095252E">
              <w:rPr>
                <w:rFonts w:ascii="Calibri" w:eastAsia="Calibri" w:hAnsi="Calibri" w:cs="Times New Roman"/>
                <w:bCs/>
                <w:lang w:val="en-US"/>
              </w:rPr>
              <w:t>Warma</w:t>
            </w:r>
            <w:proofErr w:type="spellEnd"/>
            <w:r w:rsidRPr="0095252E">
              <w:rPr>
                <w:rFonts w:ascii="Calibri" w:eastAsia="Calibri" w:hAnsi="Calibri" w:cs="Times New Roman"/>
                <w:bCs/>
                <w:lang w:val="en-US"/>
              </w:rPr>
              <w:t>"</w:t>
            </w:r>
          </w:p>
        </w:tc>
      </w:tr>
      <w:tr w:rsidR="000834F6" w:rsidRPr="00003DBC" w:rsidTr="009E1946">
        <w:tc>
          <w:tcPr>
            <w:tcW w:w="4219" w:type="dxa"/>
            <w:gridSpan w:val="3"/>
            <w:shd w:val="clear" w:color="auto" w:fill="C6D9F1"/>
            <w:vAlign w:val="center"/>
          </w:tcPr>
          <w:p w:rsidR="000834F6" w:rsidRPr="0095252E" w:rsidRDefault="000834F6" w:rsidP="009E1946">
            <w:pPr>
              <w:rPr>
                <w:rFonts w:ascii="Calibri" w:eastAsia="Calibri" w:hAnsi="Calibri" w:cs="Times New Roman"/>
                <w:b/>
                <w:lang w:val="en-US"/>
              </w:rPr>
            </w:pPr>
            <w:r w:rsidRPr="0095252E">
              <w:rPr>
                <w:rFonts w:ascii="Calibri" w:eastAsia="Calibri" w:hAnsi="Calibri" w:cs="Times New Roman"/>
                <w:b/>
                <w:lang w:val="en-US"/>
              </w:rPr>
              <w:t>Brief description of the commitment</w:t>
            </w:r>
          </w:p>
        </w:tc>
        <w:tc>
          <w:tcPr>
            <w:tcW w:w="4820" w:type="dxa"/>
            <w:gridSpan w:val="3"/>
          </w:tcPr>
          <w:p w:rsidR="000834F6" w:rsidRPr="0095252E" w:rsidRDefault="000834F6" w:rsidP="009E1946">
            <w:pPr>
              <w:jc w:val="both"/>
              <w:rPr>
                <w:rFonts w:ascii="Calibri" w:eastAsia="Calibri" w:hAnsi="Calibri" w:cs="Times New Roman"/>
                <w:szCs w:val="20"/>
                <w:lang w:val="en-US"/>
              </w:rPr>
            </w:pPr>
            <w:r w:rsidRPr="0095252E">
              <w:rPr>
                <w:rFonts w:ascii="Calibri" w:eastAsia="Calibri" w:hAnsi="Calibri" w:cs="Times New Roman"/>
                <w:szCs w:val="20"/>
                <w:lang w:val="en-US"/>
              </w:rPr>
              <w:t>Institutionalize citizen participation through social monitoring mechanisms to the processes of the National School Feeding Program PNAE - "</w:t>
            </w:r>
            <w:proofErr w:type="spellStart"/>
            <w:r w:rsidRPr="0095252E">
              <w:rPr>
                <w:rFonts w:ascii="Calibri" w:eastAsia="Calibri" w:hAnsi="Calibri" w:cs="Times New Roman"/>
                <w:szCs w:val="20"/>
                <w:lang w:val="en-US"/>
              </w:rPr>
              <w:t>Qali</w:t>
            </w:r>
            <w:proofErr w:type="spellEnd"/>
            <w:r w:rsidRPr="0095252E">
              <w:rPr>
                <w:rFonts w:ascii="Calibri" w:eastAsia="Calibri" w:hAnsi="Calibri" w:cs="Times New Roman"/>
                <w:szCs w:val="20"/>
                <w:lang w:val="en-US"/>
              </w:rPr>
              <w:t xml:space="preserve"> </w:t>
            </w:r>
            <w:proofErr w:type="spellStart"/>
            <w:r w:rsidRPr="0095252E">
              <w:rPr>
                <w:rFonts w:ascii="Calibri" w:eastAsia="Calibri" w:hAnsi="Calibri" w:cs="Times New Roman"/>
                <w:szCs w:val="20"/>
                <w:lang w:val="en-US"/>
              </w:rPr>
              <w:t>Warma</w:t>
            </w:r>
            <w:proofErr w:type="spellEnd"/>
            <w:r w:rsidRPr="0095252E">
              <w:rPr>
                <w:rFonts w:ascii="Calibri" w:eastAsia="Calibri" w:hAnsi="Calibri" w:cs="Times New Roman"/>
                <w:szCs w:val="20"/>
                <w:lang w:val="en-US"/>
              </w:rPr>
              <w:t>" by the Ministry of Development and Social Inclusion - MIDIS.</w:t>
            </w:r>
          </w:p>
        </w:tc>
      </w:tr>
      <w:tr w:rsidR="000834F6" w:rsidRPr="00003DBC" w:rsidTr="009E1946">
        <w:tc>
          <w:tcPr>
            <w:tcW w:w="4219" w:type="dxa"/>
            <w:gridSpan w:val="3"/>
            <w:shd w:val="clear" w:color="auto" w:fill="C6D9F1"/>
            <w:vAlign w:val="center"/>
          </w:tcPr>
          <w:p w:rsidR="000834F6" w:rsidRPr="0095252E" w:rsidRDefault="000834F6" w:rsidP="009E1946">
            <w:pPr>
              <w:autoSpaceDE w:val="0"/>
              <w:autoSpaceDN w:val="0"/>
              <w:adjustRightInd w:val="0"/>
              <w:rPr>
                <w:rFonts w:ascii="Calibri" w:eastAsia="Calibri" w:hAnsi="Calibri" w:cs="Gotham-Book"/>
                <w:b/>
                <w:color w:val="000000"/>
                <w:lang w:val="en-US"/>
              </w:rPr>
            </w:pPr>
            <w:r w:rsidRPr="0095252E">
              <w:rPr>
                <w:rFonts w:ascii="Calibri" w:eastAsia="Calibri" w:hAnsi="Calibri" w:cs="Gotham-Book"/>
                <w:b/>
                <w:color w:val="000000"/>
                <w:lang w:val="en-US"/>
              </w:rPr>
              <w:t>Relevance</w:t>
            </w:r>
          </w:p>
          <w:p w:rsidR="000834F6" w:rsidRPr="0095252E" w:rsidRDefault="000834F6" w:rsidP="009E1946">
            <w:pPr>
              <w:autoSpaceDE w:val="0"/>
              <w:autoSpaceDN w:val="0"/>
              <w:adjustRightInd w:val="0"/>
              <w:rPr>
                <w:rFonts w:ascii="Calibri" w:eastAsia="Calibri" w:hAnsi="Calibri" w:cs="Times New Roman"/>
                <w:b/>
                <w:color w:val="000000"/>
                <w:lang w:val="en-US"/>
              </w:rPr>
            </w:pPr>
          </w:p>
        </w:tc>
        <w:tc>
          <w:tcPr>
            <w:tcW w:w="4820" w:type="dxa"/>
            <w:gridSpan w:val="3"/>
          </w:tcPr>
          <w:p w:rsidR="000834F6" w:rsidRPr="0095252E" w:rsidRDefault="000834F6" w:rsidP="009E1946">
            <w:pPr>
              <w:jc w:val="both"/>
              <w:rPr>
                <w:rFonts w:ascii="Calibri" w:eastAsia="Calibri" w:hAnsi="Calibri" w:cs="Times New Roman"/>
                <w:color w:val="FF0000"/>
                <w:szCs w:val="20"/>
                <w:lang w:val="en-US"/>
              </w:rPr>
            </w:pPr>
            <w:r w:rsidRPr="0095252E">
              <w:rPr>
                <w:rFonts w:ascii="Calibri" w:eastAsia="Calibri" w:hAnsi="Calibri" w:cs="Times New Roman"/>
                <w:szCs w:val="20"/>
                <w:lang w:val="en-US"/>
              </w:rPr>
              <w:t xml:space="preserve">The commitment assumed by MIDIS has contributed to strengthen the capacity of control and surveillance of the citizenship on a social program of alimentary service with educational complement, allowing to undertake collaboration tasks that contribute to the achievement of the best management of </w:t>
            </w:r>
            <w:proofErr w:type="spellStart"/>
            <w:r w:rsidRPr="0095252E">
              <w:rPr>
                <w:rFonts w:ascii="Calibri" w:eastAsia="Calibri" w:hAnsi="Calibri" w:cs="Times New Roman"/>
                <w:szCs w:val="20"/>
                <w:lang w:val="en-US"/>
              </w:rPr>
              <w:t>Qali</w:t>
            </w:r>
            <w:proofErr w:type="spellEnd"/>
            <w:r w:rsidRPr="0095252E">
              <w:rPr>
                <w:rFonts w:ascii="Calibri" w:eastAsia="Calibri" w:hAnsi="Calibri" w:cs="Times New Roman"/>
                <w:szCs w:val="20"/>
                <w:lang w:val="en-US"/>
              </w:rPr>
              <w:t xml:space="preserve"> </w:t>
            </w:r>
            <w:proofErr w:type="spellStart"/>
            <w:r w:rsidRPr="0095252E">
              <w:rPr>
                <w:rFonts w:ascii="Calibri" w:eastAsia="Calibri" w:hAnsi="Calibri" w:cs="Times New Roman"/>
                <w:szCs w:val="20"/>
                <w:lang w:val="en-US"/>
              </w:rPr>
              <w:t>Warma</w:t>
            </w:r>
            <w:proofErr w:type="spellEnd"/>
            <w:r w:rsidRPr="0095252E">
              <w:rPr>
                <w:rFonts w:ascii="Calibri" w:eastAsia="Calibri" w:hAnsi="Calibri" w:cs="Times New Roman"/>
                <w:szCs w:val="20"/>
                <w:lang w:val="en-US"/>
              </w:rPr>
              <w:t>, to carry out social surveillance in educational institutions, generating, in addition, information on management with a preventive and proactive approach, generating warnings and recommendations with monitoring and surveillance actions, strengthening the co-management model, through social monitoring actions to the management of Program.</w:t>
            </w:r>
          </w:p>
        </w:tc>
      </w:tr>
      <w:tr w:rsidR="000834F6" w:rsidRPr="00003DBC" w:rsidTr="009E1946">
        <w:tc>
          <w:tcPr>
            <w:tcW w:w="4219" w:type="dxa"/>
            <w:gridSpan w:val="3"/>
            <w:shd w:val="clear" w:color="auto" w:fill="C6D9F1"/>
            <w:vAlign w:val="center"/>
          </w:tcPr>
          <w:p w:rsidR="000834F6" w:rsidRPr="0095252E" w:rsidRDefault="000834F6" w:rsidP="009E1946">
            <w:pPr>
              <w:autoSpaceDE w:val="0"/>
              <w:autoSpaceDN w:val="0"/>
              <w:adjustRightInd w:val="0"/>
              <w:rPr>
                <w:rFonts w:ascii="Calibri" w:eastAsia="Calibri" w:hAnsi="Calibri" w:cs="Gotham-Book"/>
                <w:b/>
                <w:color w:val="000000"/>
                <w:lang w:val="en-US"/>
              </w:rPr>
            </w:pPr>
            <w:r w:rsidRPr="0095252E">
              <w:rPr>
                <w:rFonts w:ascii="Calibri" w:eastAsia="Calibri" w:hAnsi="Calibri" w:cs="Gotham-Book"/>
                <w:b/>
                <w:color w:val="000000"/>
                <w:lang w:val="en-US"/>
              </w:rPr>
              <w:t>Ambition</w:t>
            </w:r>
          </w:p>
          <w:p w:rsidR="000834F6" w:rsidRPr="0095252E" w:rsidRDefault="000834F6" w:rsidP="009E1946">
            <w:pPr>
              <w:autoSpaceDE w:val="0"/>
              <w:autoSpaceDN w:val="0"/>
              <w:adjustRightInd w:val="0"/>
              <w:rPr>
                <w:rFonts w:ascii="Calibri" w:eastAsia="Calibri" w:hAnsi="Calibri" w:cs="Gotham-BookItalic"/>
                <w:b/>
                <w:iCs/>
                <w:color w:val="000000"/>
                <w:lang w:val="en-US"/>
              </w:rPr>
            </w:pPr>
          </w:p>
        </w:tc>
        <w:tc>
          <w:tcPr>
            <w:tcW w:w="4820" w:type="dxa"/>
            <w:gridSpan w:val="3"/>
          </w:tcPr>
          <w:p w:rsidR="000834F6" w:rsidRPr="0095252E" w:rsidRDefault="000834F6" w:rsidP="009E1946">
            <w:pPr>
              <w:jc w:val="both"/>
              <w:rPr>
                <w:rFonts w:ascii="Calibri" w:eastAsia="Calibri" w:hAnsi="Calibri" w:cs="Times New Roman"/>
                <w:color w:val="FF0000"/>
                <w:szCs w:val="20"/>
                <w:lang w:val="en-US"/>
              </w:rPr>
            </w:pPr>
            <w:r w:rsidRPr="0095252E">
              <w:rPr>
                <w:rFonts w:ascii="Calibri" w:eastAsia="Calibri" w:hAnsi="Calibri" w:cs="Times New Roman"/>
                <w:szCs w:val="20"/>
                <w:lang w:val="en-US"/>
              </w:rPr>
              <w:t xml:space="preserve">To date, there are five agreements in force in the area of surveillance. The </w:t>
            </w:r>
            <w:proofErr w:type="spellStart"/>
            <w:r w:rsidRPr="0095252E">
              <w:rPr>
                <w:rFonts w:ascii="Calibri" w:eastAsia="Calibri" w:hAnsi="Calibri" w:cs="Times New Roman"/>
                <w:szCs w:val="20"/>
                <w:lang w:val="en-US"/>
              </w:rPr>
              <w:t>Qali</w:t>
            </w:r>
            <w:proofErr w:type="spellEnd"/>
            <w:r w:rsidRPr="0095252E">
              <w:rPr>
                <w:rFonts w:ascii="Calibri" w:eastAsia="Calibri" w:hAnsi="Calibri" w:cs="Times New Roman"/>
                <w:szCs w:val="20"/>
                <w:lang w:val="en-US"/>
              </w:rPr>
              <w:t xml:space="preserve"> </w:t>
            </w:r>
            <w:proofErr w:type="spellStart"/>
            <w:r w:rsidRPr="0095252E">
              <w:rPr>
                <w:rFonts w:ascii="Calibri" w:eastAsia="Calibri" w:hAnsi="Calibri" w:cs="Times New Roman"/>
                <w:szCs w:val="20"/>
                <w:lang w:val="en-US"/>
              </w:rPr>
              <w:t>Warma</w:t>
            </w:r>
            <w:proofErr w:type="spellEnd"/>
            <w:r w:rsidRPr="0095252E">
              <w:rPr>
                <w:rFonts w:ascii="Calibri" w:eastAsia="Calibri" w:hAnsi="Calibri" w:cs="Times New Roman"/>
                <w:szCs w:val="20"/>
                <w:lang w:val="en-US"/>
              </w:rPr>
              <w:t xml:space="preserve"> Program is expected to strengthen its social management process by making sustainable the actions undertaken, such as updating stakeholder mapping, monitoring, monitoring and evaluation of the Program with The different control mechanisms </w:t>
            </w:r>
            <w:r w:rsidRPr="0095252E">
              <w:rPr>
                <w:rFonts w:ascii="Calibri" w:eastAsia="Calibri" w:hAnsi="Calibri" w:cs="Times New Roman"/>
                <w:szCs w:val="20"/>
                <w:lang w:val="en-US"/>
              </w:rPr>
              <w:lastRenderedPageBreak/>
              <w:t>such as monitoring and alert systems, strengthening its co-management model.</w:t>
            </w:r>
          </w:p>
        </w:tc>
      </w:tr>
      <w:tr w:rsidR="000834F6" w:rsidRPr="0095252E" w:rsidTr="009E1946">
        <w:tc>
          <w:tcPr>
            <w:tcW w:w="1526" w:type="dxa"/>
            <w:vMerge w:val="restart"/>
            <w:shd w:val="clear" w:color="auto" w:fill="C6D9F1"/>
            <w:vAlign w:val="center"/>
          </w:tcPr>
          <w:p w:rsidR="000834F6" w:rsidRPr="0095252E" w:rsidRDefault="000834F6" w:rsidP="009E1946">
            <w:pPr>
              <w:rPr>
                <w:rFonts w:ascii="Calibri" w:eastAsia="Calibri" w:hAnsi="Calibri" w:cs="Times New Roman"/>
                <w:b/>
                <w:color w:val="000000"/>
                <w:lang w:val="en-US"/>
              </w:rPr>
            </w:pPr>
            <w:r w:rsidRPr="0095252E">
              <w:rPr>
                <w:rFonts w:ascii="Calibri" w:eastAsia="Calibri" w:hAnsi="Calibri" w:cs="Gotham-Book"/>
                <w:b/>
                <w:color w:val="000000"/>
                <w:lang w:val="en-US"/>
              </w:rPr>
              <w:lastRenderedPageBreak/>
              <w:t>Compliance</w:t>
            </w:r>
          </w:p>
        </w:tc>
        <w:tc>
          <w:tcPr>
            <w:tcW w:w="2693" w:type="dxa"/>
            <w:gridSpan w:val="2"/>
            <w:shd w:val="clear" w:color="auto" w:fill="C6D9F1"/>
          </w:tcPr>
          <w:p w:rsidR="000834F6" w:rsidRPr="0095252E" w:rsidRDefault="00596BF3" w:rsidP="009E1946">
            <w:pPr>
              <w:jc w:val="center"/>
              <w:rPr>
                <w:rFonts w:ascii="Calibri" w:eastAsia="Calibri" w:hAnsi="Calibri" w:cs="Times New Roman"/>
                <w:b/>
                <w:color w:val="000000"/>
                <w:lang w:val="en-US"/>
              </w:rPr>
            </w:pPr>
            <w:r>
              <w:rPr>
                <w:rFonts w:ascii="Calibri" w:eastAsia="Calibri" w:hAnsi="Calibri" w:cs="Gotham-Book"/>
                <w:b/>
                <w:color w:val="000000"/>
                <w:lang w:val="en-US"/>
              </w:rPr>
              <w:t>Uninitiated</w:t>
            </w:r>
          </w:p>
        </w:tc>
        <w:tc>
          <w:tcPr>
            <w:tcW w:w="1729" w:type="dxa"/>
            <w:shd w:val="clear" w:color="auto" w:fill="C6D9F1"/>
          </w:tcPr>
          <w:p w:rsidR="000834F6" w:rsidRPr="0095252E" w:rsidRDefault="000834F6" w:rsidP="009E1946">
            <w:pPr>
              <w:jc w:val="center"/>
              <w:rPr>
                <w:rFonts w:ascii="Calibri" w:eastAsia="Calibri" w:hAnsi="Calibri" w:cs="Times New Roman"/>
                <w:b/>
                <w:color w:val="000000"/>
                <w:lang w:val="en-US"/>
              </w:rPr>
            </w:pPr>
            <w:r w:rsidRPr="0095252E">
              <w:rPr>
                <w:rFonts w:ascii="Calibri" w:eastAsia="Calibri" w:hAnsi="Calibri" w:cs="Gotham-Book"/>
                <w:b/>
                <w:color w:val="000000"/>
                <w:lang w:val="en-US"/>
              </w:rPr>
              <w:t>Limited</w:t>
            </w:r>
          </w:p>
        </w:tc>
        <w:tc>
          <w:tcPr>
            <w:tcW w:w="1644" w:type="dxa"/>
            <w:shd w:val="clear" w:color="auto" w:fill="C6D9F1"/>
          </w:tcPr>
          <w:p w:rsidR="000834F6" w:rsidRPr="0095252E" w:rsidRDefault="000834F6" w:rsidP="009E1946">
            <w:pPr>
              <w:jc w:val="center"/>
              <w:rPr>
                <w:rFonts w:ascii="Calibri" w:eastAsia="Calibri" w:hAnsi="Calibri" w:cs="Times New Roman"/>
                <w:b/>
                <w:color w:val="000000"/>
                <w:lang w:val="en-US"/>
              </w:rPr>
            </w:pPr>
            <w:r w:rsidRPr="0095252E">
              <w:rPr>
                <w:rFonts w:ascii="Calibri" w:eastAsia="Calibri" w:hAnsi="Calibri" w:cs="Gotham-Book"/>
                <w:b/>
                <w:color w:val="000000"/>
                <w:lang w:val="en-US"/>
              </w:rPr>
              <w:t>Substantial</w:t>
            </w:r>
          </w:p>
        </w:tc>
        <w:tc>
          <w:tcPr>
            <w:tcW w:w="1447" w:type="dxa"/>
            <w:shd w:val="clear" w:color="auto" w:fill="C6D9F1"/>
          </w:tcPr>
          <w:p w:rsidR="000834F6" w:rsidRPr="0095252E" w:rsidRDefault="000834F6" w:rsidP="009E1946">
            <w:pPr>
              <w:jc w:val="center"/>
              <w:rPr>
                <w:rFonts w:ascii="Calibri" w:eastAsia="Calibri" w:hAnsi="Calibri" w:cs="Times New Roman"/>
                <w:b/>
                <w:color w:val="000000"/>
                <w:lang w:val="en-US"/>
              </w:rPr>
            </w:pPr>
            <w:r w:rsidRPr="0095252E">
              <w:rPr>
                <w:rFonts w:ascii="Calibri" w:eastAsia="Calibri" w:hAnsi="Calibri" w:cs="Gotham-Book"/>
                <w:b/>
                <w:color w:val="000000"/>
                <w:lang w:val="en-US"/>
              </w:rPr>
              <w:t>Complete</w:t>
            </w:r>
          </w:p>
        </w:tc>
      </w:tr>
      <w:tr w:rsidR="000834F6" w:rsidRPr="0095252E" w:rsidTr="009E1946">
        <w:tc>
          <w:tcPr>
            <w:tcW w:w="1526" w:type="dxa"/>
            <w:vMerge/>
            <w:shd w:val="clear" w:color="auto" w:fill="C6D9F1"/>
            <w:vAlign w:val="center"/>
          </w:tcPr>
          <w:p w:rsidR="000834F6" w:rsidRPr="0095252E" w:rsidRDefault="000834F6" w:rsidP="009E1946">
            <w:pPr>
              <w:rPr>
                <w:rFonts w:ascii="Calibri" w:eastAsia="Calibri" w:hAnsi="Calibri" w:cs="Times New Roman"/>
                <w:b/>
                <w:color w:val="000000"/>
                <w:lang w:val="en-US"/>
              </w:rPr>
            </w:pPr>
          </w:p>
        </w:tc>
        <w:tc>
          <w:tcPr>
            <w:tcW w:w="2693" w:type="dxa"/>
            <w:gridSpan w:val="2"/>
          </w:tcPr>
          <w:p w:rsidR="000834F6" w:rsidRPr="0095252E" w:rsidRDefault="000834F6" w:rsidP="009E1946">
            <w:pPr>
              <w:jc w:val="center"/>
              <w:rPr>
                <w:rFonts w:ascii="Calibri" w:eastAsia="Calibri" w:hAnsi="Calibri" w:cs="Times New Roman"/>
                <w:b/>
                <w:color w:val="000000"/>
                <w:lang w:val="en-US"/>
              </w:rPr>
            </w:pPr>
          </w:p>
        </w:tc>
        <w:tc>
          <w:tcPr>
            <w:tcW w:w="1729" w:type="dxa"/>
          </w:tcPr>
          <w:p w:rsidR="000834F6" w:rsidRPr="0095252E" w:rsidRDefault="000834F6" w:rsidP="009E1946">
            <w:pPr>
              <w:jc w:val="center"/>
              <w:rPr>
                <w:rFonts w:ascii="Calibri" w:eastAsia="Calibri" w:hAnsi="Calibri" w:cs="Times New Roman"/>
                <w:b/>
                <w:color w:val="000000"/>
                <w:lang w:val="en-US"/>
              </w:rPr>
            </w:pPr>
          </w:p>
        </w:tc>
        <w:tc>
          <w:tcPr>
            <w:tcW w:w="1644" w:type="dxa"/>
          </w:tcPr>
          <w:p w:rsidR="000834F6" w:rsidRPr="0095252E" w:rsidRDefault="000834F6" w:rsidP="009E1946">
            <w:pPr>
              <w:jc w:val="center"/>
              <w:rPr>
                <w:rFonts w:ascii="Calibri" w:eastAsia="Calibri" w:hAnsi="Calibri" w:cs="Times New Roman"/>
                <w:b/>
                <w:color w:val="000000"/>
                <w:lang w:val="en-US"/>
              </w:rPr>
            </w:pPr>
            <w:r w:rsidRPr="0095252E">
              <w:rPr>
                <w:rFonts w:ascii="Calibri" w:eastAsia="Calibri" w:hAnsi="Calibri" w:cs="Times New Roman"/>
                <w:b/>
                <w:color w:val="000000"/>
                <w:lang w:val="en-US"/>
              </w:rPr>
              <w:t>X</w:t>
            </w:r>
          </w:p>
        </w:tc>
        <w:tc>
          <w:tcPr>
            <w:tcW w:w="1447" w:type="dxa"/>
            <w:shd w:val="clear" w:color="auto" w:fill="FFFFFF"/>
          </w:tcPr>
          <w:p w:rsidR="000834F6" w:rsidRPr="0095252E" w:rsidRDefault="000834F6" w:rsidP="009E1946">
            <w:pPr>
              <w:jc w:val="center"/>
              <w:rPr>
                <w:rFonts w:ascii="Calibri" w:eastAsia="Calibri" w:hAnsi="Calibri" w:cs="Times New Roman"/>
                <w:b/>
                <w:color w:val="000000"/>
                <w:lang w:val="en-US"/>
              </w:rPr>
            </w:pPr>
          </w:p>
        </w:tc>
      </w:tr>
      <w:tr w:rsidR="000834F6" w:rsidRPr="00003DBC" w:rsidTr="009E1946">
        <w:trPr>
          <w:trHeight w:val="8784"/>
        </w:trPr>
        <w:tc>
          <w:tcPr>
            <w:tcW w:w="1526" w:type="dxa"/>
            <w:shd w:val="clear" w:color="auto" w:fill="C6D9F1"/>
            <w:vAlign w:val="center"/>
          </w:tcPr>
          <w:p w:rsidR="000834F6" w:rsidRPr="0095252E" w:rsidRDefault="000834F6" w:rsidP="009E1946">
            <w:pPr>
              <w:autoSpaceDE w:val="0"/>
              <w:autoSpaceDN w:val="0"/>
              <w:adjustRightInd w:val="0"/>
              <w:rPr>
                <w:rFonts w:ascii="Calibri" w:eastAsia="Calibri" w:hAnsi="Calibri" w:cs="Gotham-Book"/>
                <w:b/>
                <w:color w:val="000000"/>
                <w:lang w:val="en-US"/>
              </w:rPr>
            </w:pPr>
            <w:r w:rsidRPr="0095252E">
              <w:rPr>
                <w:rFonts w:ascii="Calibri" w:eastAsia="Calibri" w:hAnsi="Calibri" w:cs="Gotham-Book"/>
                <w:b/>
                <w:color w:val="000000"/>
                <w:lang w:val="en-US"/>
              </w:rPr>
              <w:t>Result description</w:t>
            </w:r>
          </w:p>
          <w:p w:rsidR="000834F6" w:rsidRPr="0095252E" w:rsidRDefault="000834F6" w:rsidP="009E1946">
            <w:pPr>
              <w:autoSpaceDE w:val="0"/>
              <w:autoSpaceDN w:val="0"/>
              <w:adjustRightInd w:val="0"/>
              <w:rPr>
                <w:rFonts w:ascii="Calibri" w:eastAsia="Calibri" w:hAnsi="Calibri" w:cs="Gotham-BookItalic"/>
                <w:b/>
                <w:iCs/>
                <w:color w:val="000000"/>
                <w:lang w:val="en-US"/>
              </w:rPr>
            </w:pPr>
          </w:p>
        </w:tc>
        <w:tc>
          <w:tcPr>
            <w:tcW w:w="7513" w:type="dxa"/>
            <w:gridSpan w:val="5"/>
          </w:tcPr>
          <w:tbl>
            <w:tblP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3"/>
              <w:gridCol w:w="567"/>
              <w:gridCol w:w="908"/>
              <w:gridCol w:w="5074"/>
              <w:gridCol w:w="1134"/>
            </w:tblGrid>
            <w:tr w:rsidR="000834F6" w:rsidRPr="0095252E" w:rsidTr="009E1946">
              <w:trPr>
                <w:gridAfter w:val="1"/>
                <w:wAfter w:w="1134" w:type="dxa"/>
                <w:trHeight w:val="350"/>
              </w:trPr>
              <w:tc>
                <w:tcPr>
                  <w:tcW w:w="963" w:type="dxa"/>
                  <w:vMerge w:val="restart"/>
                  <w:shd w:val="clear" w:color="auto" w:fill="DBE5F1"/>
                  <w:noWrap/>
                  <w:vAlign w:val="center"/>
                  <w:hideMark/>
                </w:tcPr>
                <w:p w:rsidR="000834F6" w:rsidRPr="0095252E" w:rsidRDefault="000834F6" w:rsidP="009E1946">
                  <w:pPr>
                    <w:spacing w:after="0" w:line="240" w:lineRule="auto"/>
                    <w:jc w:val="center"/>
                    <w:rPr>
                      <w:rFonts w:ascii="Calibri" w:eastAsia="Times New Roman" w:hAnsi="Calibri" w:cs="Times New Roman"/>
                      <w:b/>
                      <w:bCs/>
                      <w:color w:val="000000"/>
                      <w:sz w:val="16"/>
                      <w:szCs w:val="16"/>
                      <w:lang w:val="en-US" w:eastAsia="es-PE"/>
                    </w:rPr>
                  </w:pPr>
                  <w:r w:rsidRPr="0095252E">
                    <w:rPr>
                      <w:rFonts w:ascii="Calibri" w:eastAsia="Times New Roman" w:hAnsi="Calibri" w:cs="Times New Roman"/>
                      <w:b/>
                      <w:bCs/>
                      <w:color w:val="000000"/>
                      <w:sz w:val="16"/>
                      <w:szCs w:val="16"/>
                      <w:lang w:val="en-US" w:eastAsia="es-PE"/>
                    </w:rPr>
                    <w:t>Activity</w:t>
                  </w:r>
                </w:p>
              </w:tc>
              <w:tc>
                <w:tcPr>
                  <w:tcW w:w="567" w:type="dxa"/>
                  <w:vMerge w:val="restart"/>
                  <w:shd w:val="clear" w:color="auto" w:fill="DBE5F1"/>
                  <w:vAlign w:val="center"/>
                  <w:hideMark/>
                </w:tcPr>
                <w:p w:rsidR="000834F6" w:rsidRPr="0095252E" w:rsidRDefault="000834F6" w:rsidP="009E1946">
                  <w:pPr>
                    <w:spacing w:after="0" w:line="240" w:lineRule="auto"/>
                    <w:jc w:val="center"/>
                    <w:rPr>
                      <w:rFonts w:ascii="Calibri" w:eastAsia="Times New Roman" w:hAnsi="Calibri" w:cs="Times New Roman"/>
                      <w:b/>
                      <w:bCs/>
                      <w:color w:val="000000"/>
                      <w:sz w:val="14"/>
                      <w:szCs w:val="14"/>
                      <w:lang w:val="en-US" w:eastAsia="es-PE"/>
                    </w:rPr>
                  </w:pPr>
                  <w:r w:rsidRPr="0095252E">
                    <w:rPr>
                      <w:rFonts w:ascii="Calibri" w:eastAsia="Times New Roman" w:hAnsi="Calibri" w:cs="Times New Roman"/>
                      <w:b/>
                      <w:bCs/>
                      <w:color w:val="000000"/>
                      <w:sz w:val="14"/>
                      <w:szCs w:val="14"/>
                      <w:lang w:val="en-US" w:eastAsia="es-PE"/>
                    </w:rPr>
                    <w:t>PROGRESS LEVEL 2016</w:t>
                  </w:r>
                </w:p>
              </w:tc>
              <w:tc>
                <w:tcPr>
                  <w:tcW w:w="908" w:type="dxa"/>
                  <w:vMerge w:val="restart"/>
                  <w:shd w:val="clear" w:color="auto" w:fill="DBE5F1"/>
                  <w:vAlign w:val="center"/>
                  <w:hideMark/>
                </w:tcPr>
                <w:p w:rsidR="000834F6" w:rsidRPr="0095252E" w:rsidRDefault="000834F6" w:rsidP="009E1946">
                  <w:pPr>
                    <w:spacing w:after="0" w:line="240" w:lineRule="auto"/>
                    <w:jc w:val="center"/>
                    <w:rPr>
                      <w:rFonts w:ascii="Calibri" w:eastAsia="Times New Roman" w:hAnsi="Calibri" w:cs="Times New Roman"/>
                      <w:b/>
                      <w:bCs/>
                      <w:color w:val="000000"/>
                      <w:sz w:val="14"/>
                      <w:szCs w:val="14"/>
                      <w:lang w:val="en-US" w:eastAsia="es-PE"/>
                    </w:rPr>
                  </w:pPr>
                  <w:r w:rsidRPr="0095252E">
                    <w:rPr>
                      <w:rFonts w:ascii="Calibri" w:eastAsia="Times New Roman" w:hAnsi="Calibri" w:cs="Times New Roman"/>
                      <w:b/>
                      <w:bCs/>
                      <w:color w:val="000000"/>
                      <w:sz w:val="14"/>
                      <w:szCs w:val="14"/>
                      <w:lang w:val="en-US" w:eastAsia="es-PE"/>
                    </w:rPr>
                    <w:t>*RESCHE-DULED DATE</w:t>
                  </w:r>
                </w:p>
              </w:tc>
              <w:tc>
                <w:tcPr>
                  <w:tcW w:w="5074" w:type="dxa"/>
                  <w:vMerge w:val="restart"/>
                  <w:shd w:val="clear" w:color="auto" w:fill="DBE5F1"/>
                  <w:vAlign w:val="center"/>
                  <w:hideMark/>
                </w:tcPr>
                <w:p w:rsidR="000834F6" w:rsidRPr="0095252E" w:rsidRDefault="000834F6" w:rsidP="009E1946">
                  <w:pPr>
                    <w:spacing w:after="0" w:line="240" w:lineRule="auto"/>
                    <w:jc w:val="center"/>
                    <w:rPr>
                      <w:rFonts w:ascii="Calibri" w:eastAsia="Times New Roman" w:hAnsi="Calibri" w:cs="Times New Roman"/>
                      <w:b/>
                      <w:bCs/>
                      <w:color w:val="000000"/>
                      <w:sz w:val="16"/>
                      <w:szCs w:val="16"/>
                      <w:lang w:val="en-US" w:eastAsia="es-PE"/>
                    </w:rPr>
                  </w:pPr>
                  <w:r w:rsidRPr="0095252E">
                    <w:rPr>
                      <w:rFonts w:ascii="Calibri" w:eastAsia="Times New Roman" w:hAnsi="Calibri" w:cs="Times New Roman"/>
                      <w:b/>
                      <w:bCs/>
                      <w:color w:val="000000"/>
                      <w:sz w:val="16"/>
                      <w:szCs w:val="16"/>
                      <w:lang w:val="en-US" w:eastAsia="es-PE"/>
                    </w:rPr>
                    <w:t>PROGRESS REGISTERED TO AUGUST 2016</w:t>
                  </w:r>
                </w:p>
              </w:tc>
            </w:tr>
            <w:tr w:rsidR="000834F6" w:rsidRPr="0095252E" w:rsidTr="009E1946">
              <w:trPr>
                <w:gridAfter w:val="1"/>
                <w:wAfter w:w="1134" w:type="dxa"/>
                <w:trHeight w:val="509"/>
              </w:trPr>
              <w:tc>
                <w:tcPr>
                  <w:tcW w:w="963" w:type="dxa"/>
                  <w:vMerge/>
                  <w:shd w:val="clear" w:color="auto" w:fill="DBE5F1"/>
                  <w:vAlign w:val="center"/>
                  <w:hideMark/>
                </w:tcPr>
                <w:p w:rsidR="000834F6" w:rsidRPr="0095252E" w:rsidRDefault="000834F6" w:rsidP="009E1946">
                  <w:pPr>
                    <w:spacing w:after="0" w:line="240" w:lineRule="auto"/>
                    <w:rPr>
                      <w:rFonts w:ascii="Calibri" w:eastAsia="Times New Roman" w:hAnsi="Calibri" w:cs="Times New Roman"/>
                      <w:b/>
                      <w:bCs/>
                      <w:color w:val="000000"/>
                      <w:sz w:val="16"/>
                      <w:szCs w:val="16"/>
                      <w:lang w:val="en-US" w:eastAsia="es-PE"/>
                    </w:rPr>
                  </w:pPr>
                </w:p>
              </w:tc>
              <w:tc>
                <w:tcPr>
                  <w:tcW w:w="567" w:type="dxa"/>
                  <w:vMerge/>
                  <w:shd w:val="clear" w:color="auto" w:fill="DBE5F1"/>
                  <w:vAlign w:val="center"/>
                  <w:hideMark/>
                </w:tcPr>
                <w:p w:rsidR="000834F6" w:rsidRPr="0095252E" w:rsidRDefault="000834F6" w:rsidP="009E1946">
                  <w:pPr>
                    <w:spacing w:after="0" w:line="240" w:lineRule="auto"/>
                    <w:rPr>
                      <w:rFonts w:ascii="Calibri" w:eastAsia="Times New Roman" w:hAnsi="Calibri" w:cs="Times New Roman"/>
                      <w:b/>
                      <w:bCs/>
                      <w:color w:val="000000"/>
                      <w:sz w:val="16"/>
                      <w:szCs w:val="16"/>
                      <w:lang w:val="en-US" w:eastAsia="es-PE"/>
                    </w:rPr>
                  </w:pPr>
                </w:p>
              </w:tc>
              <w:tc>
                <w:tcPr>
                  <w:tcW w:w="908" w:type="dxa"/>
                  <w:vMerge/>
                  <w:shd w:val="clear" w:color="auto" w:fill="DBE5F1"/>
                  <w:vAlign w:val="center"/>
                  <w:hideMark/>
                </w:tcPr>
                <w:p w:rsidR="000834F6" w:rsidRPr="0095252E" w:rsidRDefault="000834F6" w:rsidP="009E1946">
                  <w:pPr>
                    <w:spacing w:after="0" w:line="240" w:lineRule="auto"/>
                    <w:rPr>
                      <w:rFonts w:ascii="Calibri" w:eastAsia="Times New Roman" w:hAnsi="Calibri" w:cs="Times New Roman"/>
                      <w:b/>
                      <w:bCs/>
                      <w:color w:val="000000"/>
                      <w:sz w:val="16"/>
                      <w:szCs w:val="16"/>
                      <w:lang w:val="en-US" w:eastAsia="es-PE"/>
                    </w:rPr>
                  </w:pPr>
                </w:p>
              </w:tc>
              <w:tc>
                <w:tcPr>
                  <w:tcW w:w="5074" w:type="dxa"/>
                  <w:vMerge/>
                  <w:shd w:val="clear" w:color="auto" w:fill="DBE5F1"/>
                  <w:vAlign w:val="center"/>
                  <w:hideMark/>
                </w:tcPr>
                <w:p w:rsidR="000834F6" w:rsidRPr="0095252E" w:rsidRDefault="000834F6" w:rsidP="009E1946">
                  <w:pPr>
                    <w:spacing w:after="0" w:line="240" w:lineRule="auto"/>
                    <w:rPr>
                      <w:rFonts w:ascii="Calibri" w:eastAsia="Times New Roman" w:hAnsi="Calibri" w:cs="Times New Roman"/>
                      <w:b/>
                      <w:bCs/>
                      <w:color w:val="000000"/>
                      <w:sz w:val="16"/>
                      <w:szCs w:val="16"/>
                      <w:lang w:val="en-US" w:eastAsia="es-PE"/>
                    </w:rPr>
                  </w:pPr>
                </w:p>
              </w:tc>
            </w:tr>
            <w:tr w:rsidR="000834F6" w:rsidRPr="00003DBC" w:rsidTr="009E1946">
              <w:trPr>
                <w:gridAfter w:val="1"/>
                <w:wAfter w:w="1134" w:type="dxa"/>
                <w:trHeight w:val="2693"/>
              </w:trPr>
              <w:tc>
                <w:tcPr>
                  <w:tcW w:w="963" w:type="dxa"/>
                  <w:shd w:val="clear" w:color="auto" w:fill="auto"/>
                  <w:vAlign w:val="center"/>
                  <w:hideMark/>
                </w:tcPr>
                <w:p w:rsidR="000834F6" w:rsidRPr="0095252E" w:rsidRDefault="000834F6" w:rsidP="009E1946">
                  <w:pPr>
                    <w:spacing w:after="0" w:line="240" w:lineRule="auto"/>
                    <w:jc w:val="both"/>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1. Reviewing and validating the Directory of social actors with an interest in monitoring the management of the PNAE "</w:t>
                  </w:r>
                  <w:proofErr w:type="spellStart"/>
                  <w:r w:rsidRPr="0095252E">
                    <w:rPr>
                      <w:rFonts w:ascii="Calibri" w:eastAsia="Times New Roman" w:hAnsi="Calibri" w:cs="Times New Roman"/>
                      <w:color w:val="000000"/>
                      <w:sz w:val="16"/>
                      <w:szCs w:val="16"/>
                      <w:lang w:val="en-US" w:eastAsia="es-PE"/>
                    </w:rPr>
                    <w:t>Qali</w:t>
                  </w:r>
                  <w:proofErr w:type="spellEnd"/>
                  <w:r w:rsidRPr="0095252E">
                    <w:rPr>
                      <w:rFonts w:ascii="Calibri" w:eastAsia="Times New Roman" w:hAnsi="Calibri" w:cs="Times New Roman"/>
                      <w:color w:val="000000"/>
                      <w:sz w:val="16"/>
                      <w:szCs w:val="16"/>
                      <w:lang w:val="en-US" w:eastAsia="es-PE"/>
                    </w:rPr>
                    <w:t xml:space="preserve"> </w:t>
                  </w:r>
                  <w:proofErr w:type="spellStart"/>
                  <w:r w:rsidRPr="0095252E">
                    <w:rPr>
                      <w:rFonts w:ascii="Calibri" w:eastAsia="Times New Roman" w:hAnsi="Calibri" w:cs="Times New Roman"/>
                      <w:color w:val="000000"/>
                      <w:sz w:val="16"/>
                      <w:szCs w:val="16"/>
                      <w:lang w:val="en-US" w:eastAsia="es-PE"/>
                    </w:rPr>
                    <w:t>Warma</w:t>
                  </w:r>
                  <w:proofErr w:type="spellEnd"/>
                  <w:r w:rsidRPr="0095252E">
                    <w:rPr>
                      <w:rFonts w:ascii="Calibri" w:eastAsia="Times New Roman" w:hAnsi="Calibri" w:cs="Times New Roman"/>
                      <w:color w:val="000000"/>
                      <w:sz w:val="16"/>
                      <w:szCs w:val="16"/>
                      <w:lang w:val="en-US" w:eastAsia="es-PE"/>
                    </w:rPr>
                    <w:t>".</w:t>
                  </w:r>
                </w:p>
              </w:tc>
              <w:tc>
                <w:tcPr>
                  <w:tcW w:w="567" w:type="dxa"/>
                  <w:shd w:val="clear" w:color="auto" w:fill="auto"/>
                  <w:vAlign w:val="center"/>
                  <w:hideMark/>
                </w:tcPr>
                <w:p w:rsidR="000834F6" w:rsidRPr="0095252E" w:rsidRDefault="000834F6" w:rsidP="009E1946">
                  <w:pPr>
                    <w:spacing w:after="0" w:line="240" w:lineRule="auto"/>
                    <w:jc w:val="center"/>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 xml:space="preserve">100% </w:t>
                  </w:r>
                  <w:r w:rsidRPr="0095252E">
                    <w:rPr>
                      <w:rFonts w:ascii="Calibri" w:eastAsia="Times New Roman" w:hAnsi="Calibri" w:cs="Times New Roman"/>
                      <w:color w:val="000000"/>
                      <w:sz w:val="16"/>
                      <w:szCs w:val="16"/>
                      <w:lang w:val="en-US" w:eastAsia="es-PE"/>
                    </w:rPr>
                    <w:br/>
                    <w:t>(1)</w:t>
                  </w:r>
                </w:p>
              </w:tc>
              <w:tc>
                <w:tcPr>
                  <w:tcW w:w="908" w:type="dxa"/>
                  <w:shd w:val="clear" w:color="auto" w:fill="auto"/>
                  <w:vAlign w:val="center"/>
                  <w:hideMark/>
                </w:tcPr>
                <w:p w:rsidR="000834F6" w:rsidRPr="0095252E" w:rsidRDefault="000834F6" w:rsidP="009E1946">
                  <w:pPr>
                    <w:spacing w:after="0" w:line="240" w:lineRule="auto"/>
                    <w:jc w:val="center"/>
                    <w:rPr>
                      <w:rFonts w:ascii="Calibri" w:eastAsia="Times New Roman" w:hAnsi="Calibri" w:cs="Times New Roman"/>
                      <w:b/>
                      <w:bCs/>
                      <w:color w:val="000000"/>
                      <w:sz w:val="16"/>
                      <w:szCs w:val="16"/>
                      <w:lang w:val="en-US" w:eastAsia="es-PE"/>
                    </w:rPr>
                  </w:pPr>
                  <w:r w:rsidRPr="0095252E">
                    <w:rPr>
                      <w:rFonts w:ascii="Calibri" w:eastAsia="Times New Roman" w:hAnsi="Calibri" w:cs="Times New Roman"/>
                      <w:b/>
                      <w:bCs/>
                      <w:color w:val="000000"/>
                      <w:sz w:val="16"/>
                      <w:szCs w:val="16"/>
                      <w:lang w:val="en-US" w:eastAsia="es-PE"/>
                    </w:rPr>
                    <w:t>Jun. 2017 (2)</w:t>
                  </w:r>
                </w:p>
              </w:tc>
              <w:tc>
                <w:tcPr>
                  <w:tcW w:w="5074" w:type="dxa"/>
                  <w:shd w:val="clear" w:color="000000" w:fill="FFFFFF"/>
                  <w:vAlign w:val="center"/>
                  <w:hideMark/>
                </w:tcPr>
                <w:p w:rsidR="000834F6" w:rsidRPr="0095252E" w:rsidRDefault="000834F6" w:rsidP="009E1946">
                  <w:pPr>
                    <w:spacing w:after="0" w:line="240" w:lineRule="auto"/>
                    <w:jc w:val="both"/>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 xml:space="preserve">The Program reports that the Mapping of Actors was prepared in 2015, which is a permanent and continuous process, for its validation and updating. To this is added the technical assistance that are also made with other actors to contrast the instruments (matrices, tables, guides to access information, etc.), to theoretical precisions, based on experience. The follow-up to the technical assistance work carried out with these actors will allow a balance at </w:t>
                  </w:r>
                  <w:proofErr w:type="spellStart"/>
                  <w:r w:rsidRPr="0095252E">
                    <w:rPr>
                      <w:rFonts w:ascii="Calibri" w:eastAsia="Times New Roman" w:hAnsi="Calibri" w:cs="Times New Roman"/>
                      <w:color w:val="000000"/>
                      <w:sz w:val="16"/>
                      <w:szCs w:val="16"/>
                      <w:lang w:val="en-US" w:eastAsia="es-PE"/>
                    </w:rPr>
                    <w:t>Qali</w:t>
                  </w:r>
                  <w:proofErr w:type="spellEnd"/>
                  <w:r w:rsidRPr="0095252E">
                    <w:rPr>
                      <w:rFonts w:ascii="Calibri" w:eastAsia="Times New Roman" w:hAnsi="Calibri" w:cs="Times New Roman"/>
                      <w:color w:val="000000"/>
                      <w:sz w:val="16"/>
                      <w:szCs w:val="16"/>
                      <w:lang w:val="en-US" w:eastAsia="es-PE"/>
                    </w:rPr>
                    <w:t xml:space="preserve"> </w:t>
                  </w:r>
                  <w:proofErr w:type="spellStart"/>
                  <w:r w:rsidRPr="0095252E">
                    <w:rPr>
                      <w:rFonts w:ascii="Calibri" w:eastAsia="Times New Roman" w:hAnsi="Calibri" w:cs="Times New Roman"/>
                      <w:color w:val="000000"/>
                      <w:sz w:val="16"/>
                      <w:szCs w:val="16"/>
                      <w:lang w:val="en-US" w:eastAsia="es-PE"/>
                    </w:rPr>
                    <w:t>Warma</w:t>
                  </w:r>
                  <w:proofErr w:type="spellEnd"/>
                  <w:r w:rsidRPr="0095252E">
                    <w:rPr>
                      <w:rFonts w:ascii="Calibri" w:eastAsia="Times New Roman" w:hAnsi="Calibri" w:cs="Times New Roman"/>
                      <w:color w:val="000000"/>
                      <w:sz w:val="16"/>
                      <w:szCs w:val="16"/>
                      <w:lang w:val="en-US" w:eastAsia="es-PE"/>
                    </w:rPr>
                    <w:t xml:space="preserve"> level and in each territorial unit, of the possibilities and limitations of this methodology.</w:t>
                  </w:r>
                </w:p>
                <w:p w:rsidR="000834F6" w:rsidRPr="0095252E" w:rsidRDefault="000834F6" w:rsidP="009E1946">
                  <w:pPr>
                    <w:spacing w:after="0" w:line="240" w:lineRule="auto"/>
                    <w:jc w:val="both"/>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As of August 2016, the Monitoring, Evaluation and Evaluation Unit of the Program is receiving information to update the mapping of actors, incorporating the institutions and representatives who have been working this year. It should be noted that the mapping shows the work done with the governorates, especially with lieutenant governors, who are leaders in their communities and volunteers.</w:t>
                  </w:r>
                </w:p>
                <w:p w:rsidR="000834F6" w:rsidRPr="0095252E" w:rsidRDefault="000834F6" w:rsidP="000834F6">
                  <w:pPr>
                    <w:spacing w:after="0" w:line="240" w:lineRule="auto"/>
                    <w:jc w:val="both"/>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Attached hereto is the "Mapping Base/Identification of actors with interest in social surveillance to PNAE QALI WARMA 2015" (updated 2016).</w:t>
                  </w:r>
                </w:p>
              </w:tc>
            </w:tr>
            <w:tr w:rsidR="000834F6" w:rsidRPr="00003DBC" w:rsidTr="009E1946">
              <w:trPr>
                <w:gridAfter w:val="1"/>
                <w:wAfter w:w="1134" w:type="dxa"/>
                <w:trHeight w:val="2306"/>
              </w:trPr>
              <w:tc>
                <w:tcPr>
                  <w:tcW w:w="963" w:type="dxa"/>
                  <w:shd w:val="clear" w:color="auto" w:fill="auto"/>
                  <w:vAlign w:val="center"/>
                  <w:hideMark/>
                </w:tcPr>
                <w:p w:rsidR="000834F6" w:rsidRPr="0095252E" w:rsidRDefault="000834F6" w:rsidP="009E1946">
                  <w:pPr>
                    <w:spacing w:after="0" w:line="240" w:lineRule="auto"/>
                    <w:jc w:val="both"/>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2. Work meetings with identified social actors, to engage them in monitoring.</w:t>
                  </w:r>
                </w:p>
              </w:tc>
              <w:tc>
                <w:tcPr>
                  <w:tcW w:w="567" w:type="dxa"/>
                  <w:shd w:val="clear" w:color="auto" w:fill="auto"/>
                  <w:noWrap/>
                  <w:vAlign w:val="center"/>
                  <w:hideMark/>
                </w:tcPr>
                <w:p w:rsidR="000834F6" w:rsidRPr="0095252E" w:rsidRDefault="000834F6" w:rsidP="009E1946">
                  <w:pPr>
                    <w:spacing w:after="0" w:line="240" w:lineRule="auto"/>
                    <w:jc w:val="center"/>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(2)</w:t>
                  </w:r>
                </w:p>
              </w:tc>
              <w:tc>
                <w:tcPr>
                  <w:tcW w:w="908" w:type="dxa"/>
                  <w:shd w:val="clear" w:color="000000" w:fill="FFFFFF"/>
                  <w:vAlign w:val="center"/>
                  <w:hideMark/>
                </w:tcPr>
                <w:p w:rsidR="000834F6" w:rsidRPr="0095252E" w:rsidRDefault="000834F6" w:rsidP="009E1946">
                  <w:pPr>
                    <w:spacing w:after="0" w:line="240" w:lineRule="auto"/>
                    <w:jc w:val="center"/>
                    <w:rPr>
                      <w:rFonts w:ascii="Calibri" w:eastAsia="Times New Roman" w:hAnsi="Calibri" w:cs="Times New Roman"/>
                      <w:b/>
                      <w:bCs/>
                      <w:color w:val="000000"/>
                      <w:sz w:val="16"/>
                      <w:szCs w:val="16"/>
                      <w:lang w:val="en-US" w:eastAsia="es-PE"/>
                    </w:rPr>
                  </w:pPr>
                  <w:r w:rsidRPr="0095252E">
                    <w:rPr>
                      <w:rFonts w:ascii="Calibri" w:eastAsia="Times New Roman" w:hAnsi="Calibri" w:cs="Times New Roman"/>
                      <w:b/>
                      <w:bCs/>
                      <w:color w:val="000000"/>
                      <w:sz w:val="16"/>
                      <w:szCs w:val="16"/>
                      <w:lang w:val="en-US" w:eastAsia="es-PE"/>
                    </w:rPr>
                    <w:t xml:space="preserve">Jun. 2017 </w:t>
                  </w:r>
                </w:p>
              </w:tc>
              <w:tc>
                <w:tcPr>
                  <w:tcW w:w="5074" w:type="dxa"/>
                  <w:shd w:val="clear" w:color="000000" w:fill="FFFFFF"/>
                  <w:vAlign w:val="center"/>
                  <w:hideMark/>
                </w:tcPr>
                <w:p w:rsidR="000834F6" w:rsidRPr="0095252E" w:rsidRDefault="000834F6" w:rsidP="009E1946">
                  <w:pPr>
                    <w:spacing w:after="0" w:line="240" w:lineRule="auto"/>
                    <w:jc w:val="both"/>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This year, 300 supervisors were accredited to participate in the 116 Purchasing Committees. The effective participation of 254 people has been verified at different stages of the procurement process. It is also known that this participation has been in 452 moments or stages of the procurement process. Some of them have been present in more than one stage.</w:t>
                  </w:r>
                </w:p>
                <w:p w:rsidR="000834F6" w:rsidRPr="0095252E" w:rsidRDefault="000834F6" w:rsidP="009E1946">
                  <w:pPr>
                    <w:spacing w:after="0" w:line="240" w:lineRule="auto"/>
                    <w:jc w:val="both"/>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 xml:space="preserve">Of the total number of people who have actually participated, 137 are accredited by the Committee on Transparency and Citizen Vigilance, 69 by the Poverty Reduction Roundtable, 07 by the Regional Education Directorates, 39 by the Educational Management Units Local, </w:t>
                  </w:r>
                  <w:proofErr w:type="gramStart"/>
                  <w:r w:rsidRPr="0095252E">
                    <w:rPr>
                      <w:rFonts w:ascii="Calibri" w:eastAsia="Times New Roman" w:hAnsi="Calibri" w:cs="Times New Roman"/>
                      <w:color w:val="000000"/>
                      <w:sz w:val="16"/>
                      <w:szCs w:val="16"/>
                      <w:lang w:val="en-US" w:eastAsia="es-PE"/>
                    </w:rPr>
                    <w:t>01</w:t>
                  </w:r>
                  <w:proofErr w:type="gramEnd"/>
                  <w:r w:rsidRPr="0095252E">
                    <w:rPr>
                      <w:rFonts w:ascii="Calibri" w:eastAsia="Times New Roman" w:hAnsi="Calibri" w:cs="Times New Roman"/>
                      <w:color w:val="000000"/>
                      <w:sz w:val="16"/>
                      <w:szCs w:val="16"/>
                      <w:lang w:val="en-US" w:eastAsia="es-PE"/>
                    </w:rPr>
                    <w:t xml:space="preserve"> of the Public Ministry and 01 of the Justice of the Peace 2.</w:t>
                  </w:r>
                </w:p>
                <w:p w:rsidR="000834F6" w:rsidRPr="0095252E" w:rsidRDefault="000834F6" w:rsidP="009E1946">
                  <w:pPr>
                    <w:spacing w:after="0" w:line="240" w:lineRule="auto"/>
                    <w:jc w:val="both"/>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It has been possible to identify that the stages with the greatest participation are those linked to the Submission of Proposals, with a total of 376 [consider in the figures that some go to more than one Procurement Committee], for the Evaluation of Technical and Economic Proposals 391 , And for Proposals Selection 338, respectively.</w:t>
                  </w:r>
                </w:p>
              </w:tc>
            </w:tr>
            <w:tr w:rsidR="000834F6" w:rsidRPr="00003DBC" w:rsidTr="009E1946">
              <w:trPr>
                <w:gridAfter w:val="1"/>
                <w:wAfter w:w="1134" w:type="dxa"/>
                <w:trHeight w:val="407"/>
              </w:trPr>
              <w:tc>
                <w:tcPr>
                  <w:tcW w:w="963" w:type="dxa"/>
                  <w:shd w:val="clear" w:color="auto" w:fill="auto"/>
                  <w:vAlign w:val="center"/>
                  <w:hideMark/>
                </w:tcPr>
                <w:p w:rsidR="000834F6" w:rsidRPr="0095252E" w:rsidRDefault="000834F6" w:rsidP="009E1946">
                  <w:pPr>
                    <w:spacing w:after="0" w:line="240" w:lineRule="auto"/>
                    <w:jc w:val="both"/>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3. Implementation of the training program for identified social actors.</w:t>
                  </w:r>
                </w:p>
              </w:tc>
              <w:tc>
                <w:tcPr>
                  <w:tcW w:w="567" w:type="dxa"/>
                  <w:shd w:val="clear" w:color="auto" w:fill="auto"/>
                  <w:noWrap/>
                  <w:vAlign w:val="center"/>
                  <w:hideMark/>
                </w:tcPr>
                <w:p w:rsidR="000834F6" w:rsidRPr="0095252E" w:rsidRDefault="000834F6" w:rsidP="009E1946">
                  <w:pPr>
                    <w:spacing w:after="0" w:line="240" w:lineRule="auto"/>
                    <w:jc w:val="center"/>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(2)</w:t>
                  </w:r>
                </w:p>
              </w:tc>
              <w:tc>
                <w:tcPr>
                  <w:tcW w:w="908" w:type="dxa"/>
                  <w:shd w:val="clear" w:color="000000" w:fill="FFFFFF"/>
                  <w:vAlign w:val="center"/>
                  <w:hideMark/>
                </w:tcPr>
                <w:p w:rsidR="000834F6" w:rsidRPr="0095252E" w:rsidRDefault="000834F6" w:rsidP="009E1946">
                  <w:pPr>
                    <w:spacing w:after="0" w:line="240" w:lineRule="auto"/>
                    <w:jc w:val="center"/>
                    <w:rPr>
                      <w:rFonts w:ascii="Calibri" w:eastAsia="Times New Roman" w:hAnsi="Calibri" w:cs="Times New Roman"/>
                      <w:b/>
                      <w:bCs/>
                      <w:color w:val="000000"/>
                      <w:sz w:val="16"/>
                      <w:szCs w:val="16"/>
                      <w:lang w:val="en-US" w:eastAsia="es-PE"/>
                    </w:rPr>
                  </w:pPr>
                  <w:r w:rsidRPr="0095252E">
                    <w:rPr>
                      <w:rFonts w:ascii="Calibri" w:eastAsia="Times New Roman" w:hAnsi="Calibri" w:cs="Times New Roman"/>
                      <w:b/>
                      <w:bCs/>
                      <w:color w:val="000000"/>
                      <w:sz w:val="16"/>
                      <w:szCs w:val="16"/>
                      <w:lang w:val="en-US" w:eastAsia="es-PE"/>
                    </w:rPr>
                    <w:t xml:space="preserve">Jun. 2017 </w:t>
                  </w:r>
                </w:p>
              </w:tc>
              <w:tc>
                <w:tcPr>
                  <w:tcW w:w="5074" w:type="dxa"/>
                  <w:shd w:val="clear" w:color="000000" w:fill="FFFFFF"/>
                  <w:vAlign w:val="center"/>
                  <w:hideMark/>
                </w:tcPr>
                <w:p w:rsidR="000834F6" w:rsidRPr="0095252E" w:rsidRDefault="000834F6" w:rsidP="009E1946">
                  <w:pPr>
                    <w:spacing w:after="0" w:line="240" w:lineRule="auto"/>
                    <w:jc w:val="both"/>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During the year 2016, a total of 395 technical assistance was carried out to 5,931 social actors, which addressed issues such as information on basic guidelines of the Program, co-management model, purchase process, school feeding committee, modalities of care , Social monitoring, instruments of social surveillance, alerts among other topics of interest.</w:t>
                  </w:r>
                </w:p>
              </w:tc>
            </w:tr>
            <w:tr w:rsidR="000834F6" w:rsidRPr="00003DBC" w:rsidTr="009E1946">
              <w:trPr>
                <w:gridAfter w:val="1"/>
                <w:wAfter w:w="1134" w:type="dxa"/>
                <w:trHeight w:val="3525"/>
              </w:trPr>
              <w:tc>
                <w:tcPr>
                  <w:tcW w:w="963" w:type="dxa"/>
                  <w:shd w:val="clear" w:color="auto" w:fill="auto"/>
                  <w:vAlign w:val="center"/>
                  <w:hideMark/>
                </w:tcPr>
                <w:p w:rsidR="000834F6" w:rsidRPr="0095252E" w:rsidRDefault="000834F6" w:rsidP="009E1946">
                  <w:pPr>
                    <w:spacing w:after="0" w:line="240" w:lineRule="auto"/>
                    <w:jc w:val="both"/>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lastRenderedPageBreak/>
                    <w:t>4. Agreements signed with the social actors identified to monitor the management of the PNAE "</w:t>
                  </w:r>
                  <w:proofErr w:type="spellStart"/>
                  <w:r w:rsidRPr="0095252E">
                    <w:rPr>
                      <w:rFonts w:ascii="Calibri" w:eastAsia="Times New Roman" w:hAnsi="Calibri" w:cs="Times New Roman"/>
                      <w:color w:val="000000"/>
                      <w:sz w:val="16"/>
                      <w:szCs w:val="16"/>
                      <w:lang w:val="en-US" w:eastAsia="es-PE"/>
                    </w:rPr>
                    <w:t>Qali</w:t>
                  </w:r>
                  <w:proofErr w:type="spellEnd"/>
                  <w:r w:rsidRPr="0095252E">
                    <w:rPr>
                      <w:rFonts w:ascii="Calibri" w:eastAsia="Times New Roman" w:hAnsi="Calibri" w:cs="Times New Roman"/>
                      <w:color w:val="000000"/>
                      <w:sz w:val="16"/>
                      <w:szCs w:val="16"/>
                      <w:lang w:val="en-US" w:eastAsia="es-PE"/>
                    </w:rPr>
                    <w:t xml:space="preserve"> </w:t>
                  </w:r>
                  <w:proofErr w:type="spellStart"/>
                  <w:r w:rsidRPr="0095252E">
                    <w:rPr>
                      <w:rFonts w:ascii="Calibri" w:eastAsia="Times New Roman" w:hAnsi="Calibri" w:cs="Times New Roman"/>
                      <w:color w:val="000000"/>
                      <w:sz w:val="16"/>
                      <w:szCs w:val="16"/>
                      <w:lang w:val="en-US" w:eastAsia="es-PE"/>
                    </w:rPr>
                    <w:t>Warma</w:t>
                  </w:r>
                  <w:proofErr w:type="spellEnd"/>
                  <w:r w:rsidRPr="0095252E">
                    <w:rPr>
                      <w:rFonts w:ascii="Calibri" w:eastAsia="Times New Roman" w:hAnsi="Calibri" w:cs="Times New Roman"/>
                      <w:color w:val="000000"/>
                      <w:sz w:val="16"/>
                      <w:szCs w:val="16"/>
                      <w:lang w:val="en-US" w:eastAsia="es-PE"/>
                    </w:rPr>
                    <w:t>".</w:t>
                  </w:r>
                </w:p>
              </w:tc>
              <w:tc>
                <w:tcPr>
                  <w:tcW w:w="567" w:type="dxa"/>
                  <w:shd w:val="clear" w:color="auto" w:fill="auto"/>
                  <w:noWrap/>
                  <w:vAlign w:val="center"/>
                  <w:hideMark/>
                </w:tcPr>
                <w:p w:rsidR="000834F6" w:rsidRPr="0095252E" w:rsidRDefault="000834F6" w:rsidP="009E1946">
                  <w:pPr>
                    <w:spacing w:after="0" w:line="240" w:lineRule="auto"/>
                    <w:jc w:val="center"/>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(2)</w:t>
                  </w:r>
                </w:p>
              </w:tc>
              <w:tc>
                <w:tcPr>
                  <w:tcW w:w="908" w:type="dxa"/>
                  <w:shd w:val="clear" w:color="000000" w:fill="FFFFFF"/>
                  <w:noWrap/>
                  <w:vAlign w:val="center"/>
                  <w:hideMark/>
                </w:tcPr>
                <w:p w:rsidR="000834F6" w:rsidRPr="0095252E" w:rsidRDefault="000834F6" w:rsidP="009E1946">
                  <w:pPr>
                    <w:spacing w:after="0" w:line="240" w:lineRule="auto"/>
                    <w:jc w:val="center"/>
                    <w:rPr>
                      <w:rFonts w:ascii="Calibri" w:eastAsia="Times New Roman" w:hAnsi="Calibri" w:cs="Times New Roman"/>
                      <w:b/>
                      <w:bCs/>
                      <w:color w:val="000000"/>
                      <w:sz w:val="16"/>
                      <w:szCs w:val="16"/>
                      <w:lang w:val="en-US" w:eastAsia="es-PE"/>
                    </w:rPr>
                  </w:pPr>
                  <w:r w:rsidRPr="0095252E">
                    <w:rPr>
                      <w:rFonts w:ascii="Calibri" w:eastAsia="Times New Roman" w:hAnsi="Calibri" w:cs="Times New Roman"/>
                      <w:b/>
                      <w:bCs/>
                      <w:color w:val="000000"/>
                      <w:sz w:val="16"/>
                      <w:szCs w:val="16"/>
                      <w:lang w:val="en-US" w:eastAsia="es-PE"/>
                    </w:rPr>
                    <w:t>Jun. 2017</w:t>
                  </w:r>
                </w:p>
              </w:tc>
              <w:tc>
                <w:tcPr>
                  <w:tcW w:w="5074" w:type="dxa"/>
                  <w:shd w:val="clear" w:color="000000" w:fill="FFFFFF"/>
                  <w:vAlign w:val="center"/>
                  <w:hideMark/>
                </w:tcPr>
                <w:p w:rsidR="000834F6" w:rsidRPr="0095252E" w:rsidRDefault="000834F6" w:rsidP="009E1946">
                  <w:pPr>
                    <w:spacing w:after="0" w:line="240" w:lineRule="auto"/>
                    <w:jc w:val="both"/>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 xml:space="preserve">To date, there are five agreements in force in the area of ​​social monitoring: 1) Territorial Unit Cajamarca 2: Inter-institutional collaboration agreement between Ideas Center and the National School Feeding Program </w:t>
                  </w:r>
                  <w:proofErr w:type="spellStart"/>
                  <w:r w:rsidRPr="0095252E">
                    <w:rPr>
                      <w:rFonts w:ascii="Calibri" w:eastAsia="Times New Roman" w:hAnsi="Calibri" w:cs="Times New Roman"/>
                      <w:color w:val="000000"/>
                      <w:sz w:val="16"/>
                      <w:szCs w:val="16"/>
                      <w:lang w:val="en-US" w:eastAsia="es-PE"/>
                    </w:rPr>
                    <w:t>Qali</w:t>
                  </w:r>
                  <w:proofErr w:type="spellEnd"/>
                  <w:r w:rsidRPr="0095252E">
                    <w:rPr>
                      <w:rFonts w:ascii="Calibri" w:eastAsia="Times New Roman" w:hAnsi="Calibri" w:cs="Times New Roman"/>
                      <w:color w:val="000000"/>
                      <w:sz w:val="16"/>
                      <w:szCs w:val="16"/>
                      <w:lang w:val="en-US" w:eastAsia="es-PE"/>
                    </w:rPr>
                    <w:t xml:space="preserve"> </w:t>
                  </w:r>
                  <w:proofErr w:type="spellStart"/>
                  <w:r w:rsidRPr="0095252E">
                    <w:rPr>
                      <w:rFonts w:ascii="Calibri" w:eastAsia="Times New Roman" w:hAnsi="Calibri" w:cs="Times New Roman"/>
                      <w:color w:val="000000"/>
                      <w:sz w:val="16"/>
                      <w:szCs w:val="16"/>
                      <w:lang w:val="en-US" w:eastAsia="es-PE"/>
                    </w:rPr>
                    <w:t>Warma</w:t>
                  </w:r>
                  <w:proofErr w:type="spellEnd"/>
                  <w:r w:rsidRPr="0095252E">
                    <w:rPr>
                      <w:rFonts w:ascii="Calibri" w:eastAsia="Times New Roman" w:hAnsi="Calibri" w:cs="Times New Roman"/>
                      <w:color w:val="000000"/>
                      <w:sz w:val="16"/>
                      <w:szCs w:val="16"/>
                      <w:lang w:val="en-US" w:eastAsia="es-PE"/>
                    </w:rPr>
                    <w:t xml:space="preserve">, 2) Amazonas Territorial Unit: Collaboration agreement Inter-institutional cooperation between the </w:t>
                  </w:r>
                  <w:proofErr w:type="spellStart"/>
                  <w:r w:rsidRPr="0095252E">
                    <w:rPr>
                      <w:rFonts w:ascii="Calibri" w:eastAsia="Times New Roman" w:hAnsi="Calibri" w:cs="Times New Roman"/>
                      <w:color w:val="000000"/>
                      <w:sz w:val="16"/>
                      <w:szCs w:val="16"/>
                      <w:lang w:val="en-US" w:eastAsia="es-PE"/>
                    </w:rPr>
                    <w:t>Awajun</w:t>
                  </w:r>
                  <w:proofErr w:type="spellEnd"/>
                  <w:r w:rsidRPr="0095252E">
                    <w:rPr>
                      <w:rFonts w:ascii="Calibri" w:eastAsia="Times New Roman" w:hAnsi="Calibri" w:cs="Times New Roman"/>
                      <w:color w:val="000000"/>
                      <w:sz w:val="16"/>
                      <w:szCs w:val="16"/>
                      <w:lang w:val="en-US" w:eastAsia="es-PE"/>
                    </w:rPr>
                    <w:t xml:space="preserve"> and </w:t>
                  </w:r>
                  <w:proofErr w:type="spellStart"/>
                  <w:r w:rsidRPr="0095252E">
                    <w:rPr>
                      <w:rFonts w:ascii="Calibri" w:eastAsia="Times New Roman" w:hAnsi="Calibri" w:cs="Times New Roman"/>
                      <w:color w:val="000000"/>
                      <w:sz w:val="16"/>
                      <w:szCs w:val="16"/>
                      <w:lang w:val="en-US" w:eastAsia="es-PE"/>
                    </w:rPr>
                    <w:t>Wampis</w:t>
                  </w:r>
                  <w:proofErr w:type="spellEnd"/>
                  <w:r w:rsidRPr="0095252E">
                    <w:rPr>
                      <w:rFonts w:ascii="Calibri" w:eastAsia="Times New Roman" w:hAnsi="Calibri" w:cs="Times New Roman"/>
                      <w:color w:val="000000"/>
                      <w:sz w:val="16"/>
                      <w:szCs w:val="16"/>
                      <w:lang w:val="en-US" w:eastAsia="es-PE"/>
                    </w:rPr>
                    <w:t xml:space="preserve"> National Civil Association of Peru and the National School Food Program </w:t>
                  </w:r>
                  <w:proofErr w:type="spellStart"/>
                  <w:r w:rsidRPr="0095252E">
                    <w:rPr>
                      <w:rFonts w:ascii="Calibri" w:eastAsia="Times New Roman" w:hAnsi="Calibri" w:cs="Times New Roman"/>
                      <w:color w:val="000000"/>
                      <w:sz w:val="16"/>
                      <w:szCs w:val="16"/>
                      <w:lang w:val="en-US" w:eastAsia="es-PE"/>
                    </w:rPr>
                    <w:t>Qali</w:t>
                  </w:r>
                  <w:proofErr w:type="spellEnd"/>
                  <w:r w:rsidRPr="0095252E">
                    <w:rPr>
                      <w:rFonts w:ascii="Calibri" w:eastAsia="Times New Roman" w:hAnsi="Calibri" w:cs="Times New Roman"/>
                      <w:color w:val="000000"/>
                      <w:sz w:val="16"/>
                      <w:szCs w:val="16"/>
                      <w:lang w:val="en-US" w:eastAsia="es-PE"/>
                    </w:rPr>
                    <w:t xml:space="preserve"> </w:t>
                  </w:r>
                  <w:proofErr w:type="spellStart"/>
                  <w:r w:rsidRPr="0095252E">
                    <w:rPr>
                      <w:rFonts w:ascii="Calibri" w:eastAsia="Times New Roman" w:hAnsi="Calibri" w:cs="Times New Roman"/>
                      <w:color w:val="000000"/>
                      <w:sz w:val="16"/>
                      <w:szCs w:val="16"/>
                      <w:lang w:val="en-US" w:eastAsia="es-PE"/>
                    </w:rPr>
                    <w:t>Warma</w:t>
                  </w:r>
                  <w:proofErr w:type="spellEnd"/>
                  <w:r w:rsidRPr="0095252E">
                    <w:rPr>
                      <w:rFonts w:ascii="Calibri" w:eastAsia="Times New Roman" w:hAnsi="Calibri" w:cs="Times New Roman"/>
                      <w:color w:val="000000"/>
                      <w:sz w:val="16"/>
                      <w:szCs w:val="16"/>
                      <w:lang w:val="en-US" w:eastAsia="es-PE"/>
                    </w:rPr>
                    <w:t xml:space="preserve">, 3) </w:t>
                  </w:r>
                  <w:proofErr w:type="spellStart"/>
                  <w:r w:rsidRPr="0095252E">
                    <w:rPr>
                      <w:rFonts w:ascii="Calibri" w:eastAsia="Times New Roman" w:hAnsi="Calibri" w:cs="Times New Roman"/>
                      <w:color w:val="000000"/>
                      <w:sz w:val="16"/>
                      <w:szCs w:val="16"/>
                      <w:lang w:val="en-US" w:eastAsia="es-PE"/>
                    </w:rPr>
                    <w:t>Junin</w:t>
                  </w:r>
                  <w:proofErr w:type="spellEnd"/>
                  <w:r w:rsidRPr="0095252E">
                    <w:rPr>
                      <w:rFonts w:ascii="Calibri" w:eastAsia="Times New Roman" w:hAnsi="Calibri" w:cs="Times New Roman"/>
                      <w:color w:val="000000"/>
                      <w:sz w:val="16"/>
                      <w:szCs w:val="16"/>
                      <w:lang w:val="en-US" w:eastAsia="es-PE"/>
                    </w:rPr>
                    <w:t xml:space="preserve"> Territorial Unit: Collaboration agreement between the Association of Native Communities of </w:t>
                  </w:r>
                  <w:proofErr w:type="spellStart"/>
                  <w:r w:rsidRPr="0095252E">
                    <w:rPr>
                      <w:rFonts w:ascii="Calibri" w:eastAsia="Times New Roman" w:hAnsi="Calibri" w:cs="Times New Roman"/>
                      <w:color w:val="000000"/>
                      <w:sz w:val="16"/>
                      <w:szCs w:val="16"/>
                      <w:lang w:val="en-US" w:eastAsia="es-PE"/>
                    </w:rPr>
                    <w:t>Pichanaqui</w:t>
                  </w:r>
                  <w:proofErr w:type="spellEnd"/>
                  <w:r w:rsidRPr="0095252E">
                    <w:rPr>
                      <w:rFonts w:ascii="Calibri" w:eastAsia="Times New Roman" w:hAnsi="Calibri" w:cs="Times New Roman"/>
                      <w:color w:val="000000"/>
                      <w:sz w:val="16"/>
                      <w:szCs w:val="16"/>
                      <w:lang w:val="en-US" w:eastAsia="es-PE"/>
                    </w:rPr>
                    <w:t xml:space="preserve">- ACECONAP and the National School Feeding Program </w:t>
                  </w:r>
                  <w:proofErr w:type="spellStart"/>
                  <w:r w:rsidRPr="0095252E">
                    <w:rPr>
                      <w:rFonts w:ascii="Calibri" w:eastAsia="Times New Roman" w:hAnsi="Calibri" w:cs="Times New Roman"/>
                      <w:color w:val="000000"/>
                      <w:sz w:val="16"/>
                      <w:szCs w:val="16"/>
                      <w:lang w:val="en-US" w:eastAsia="es-PE"/>
                    </w:rPr>
                    <w:t>Qali</w:t>
                  </w:r>
                  <w:proofErr w:type="spellEnd"/>
                  <w:r w:rsidRPr="0095252E">
                    <w:rPr>
                      <w:rFonts w:ascii="Calibri" w:eastAsia="Times New Roman" w:hAnsi="Calibri" w:cs="Times New Roman"/>
                      <w:color w:val="000000"/>
                      <w:sz w:val="16"/>
                      <w:szCs w:val="16"/>
                      <w:lang w:val="en-US" w:eastAsia="es-PE"/>
                    </w:rPr>
                    <w:t xml:space="preserve"> </w:t>
                  </w:r>
                  <w:proofErr w:type="spellStart"/>
                  <w:r w:rsidRPr="0095252E">
                    <w:rPr>
                      <w:rFonts w:ascii="Calibri" w:eastAsia="Times New Roman" w:hAnsi="Calibri" w:cs="Times New Roman"/>
                      <w:color w:val="000000"/>
                      <w:sz w:val="16"/>
                      <w:szCs w:val="16"/>
                      <w:lang w:val="en-US" w:eastAsia="es-PE"/>
                    </w:rPr>
                    <w:t>Warma</w:t>
                  </w:r>
                  <w:proofErr w:type="spellEnd"/>
                  <w:r w:rsidRPr="0095252E">
                    <w:rPr>
                      <w:rFonts w:ascii="Calibri" w:eastAsia="Times New Roman" w:hAnsi="Calibri" w:cs="Times New Roman"/>
                      <w:color w:val="000000"/>
                      <w:sz w:val="16"/>
                      <w:szCs w:val="16"/>
                      <w:lang w:val="en-US" w:eastAsia="es-PE"/>
                    </w:rPr>
                    <w:t xml:space="preserve">, 4) </w:t>
                  </w:r>
                  <w:proofErr w:type="spellStart"/>
                  <w:r w:rsidRPr="0095252E">
                    <w:rPr>
                      <w:rFonts w:ascii="Calibri" w:eastAsia="Times New Roman" w:hAnsi="Calibri" w:cs="Times New Roman"/>
                      <w:color w:val="000000"/>
                      <w:sz w:val="16"/>
                      <w:szCs w:val="16"/>
                      <w:lang w:val="en-US" w:eastAsia="es-PE"/>
                    </w:rPr>
                    <w:t>Junin</w:t>
                  </w:r>
                  <w:proofErr w:type="spellEnd"/>
                  <w:r w:rsidRPr="0095252E">
                    <w:rPr>
                      <w:rFonts w:ascii="Calibri" w:eastAsia="Times New Roman" w:hAnsi="Calibri" w:cs="Times New Roman"/>
                      <w:color w:val="000000"/>
                      <w:sz w:val="16"/>
                      <w:szCs w:val="16"/>
                      <w:lang w:val="en-US" w:eastAsia="es-PE"/>
                    </w:rPr>
                    <w:t xml:space="preserve"> Territorial Unit: Collaboration agreement between the </w:t>
                  </w:r>
                  <w:proofErr w:type="spellStart"/>
                  <w:r w:rsidRPr="0095252E">
                    <w:rPr>
                      <w:rFonts w:ascii="Calibri" w:eastAsia="Times New Roman" w:hAnsi="Calibri" w:cs="Times New Roman"/>
                      <w:color w:val="000000"/>
                      <w:sz w:val="16"/>
                      <w:szCs w:val="16"/>
                      <w:lang w:val="en-US" w:eastAsia="es-PE"/>
                    </w:rPr>
                    <w:t>Ashana</w:t>
                  </w:r>
                  <w:proofErr w:type="spellEnd"/>
                  <w:r w:rsidRPr="0095252E">
                    <w:rPr>
                      <w:rFonts w:ascii="Calibri" w:eastAsia="Times New Roman" w:hAnsi="Calibri" w:cs="Times New Roman"/>
                      <w:color w:val="000000"/>
                      <w:sz w:val="16"/>
                      <w:szCs w:val="16"/>
                      <w:lang w:val="en-US" w:eastAsia="es-PE"/>
                    </w:rPr>
                    <w:t xml:space="preserve"> Central of the </w:t>
                  </w:r>
                  <w:proofErr w:type="spellStart"/>
                  <w:r w:rsidRPr="0095252E">
                    <w:rPr>
                      <w:rFonts w:ascii="Calibri" w:eastAsia="Times New Roman" w:hAnsi="Calibri" w:cs="Times New Roman"/>
                      <w:color w:val="000000"/>
                      <w:sz w:val="16"/>
                      <w:szCs w:val="16"/>
                      <w:lang w:val="en-US" w:eastAsia="es-PE"/>
                    </w:rPr>
                    <w:t>Ene</w:t>
                  </w:r>
                  <w:proofErr w:type="spellEnd"/>
                  <w:r w:rsidRPr="0095252E">
                    <w:rPr>
                      <w:rFonts w:ascii="Calibri" w:eastAsia="Times New Roman" w:hAnsi="Calibri" w:cs="Times New Roman"/>
                      <w:color w:val="000000"/>
                      <w:sz w:val="16"/>
                      <w:szCs w:val="16"/>
                      <w:lang w:val="en-US" w:eastAsia="es-PE"/>
                    </w:rPr>
                    <w:t xml:space="preserve"> River (CARE) and the National School Food Program </w:t>
                  </w:r>
                  <w:proofErr w:type="spellStart"/>
                  <w:r w:rsidRPr="0095252E">
                    <w:rPr>
                      <w:rFonts w:ascii="Calibri" w:eastAsia="Times New Roman" w:hAnsi="Calibri" w:cs="Times New Roman"/>
                      <w:color w:val="000000"/>
                      <w:sz w:val="16"/>
                      <w:szCs w:val="16"/>
                      <w:lang w:val="en-US" w:eastAsia="es-PE"/>
                    </w:rPr>
                    <w:t>Qali</w:t>
                  </w:r>
                  <w:proofErr w:type="spellEnd"/>
                  <w:r w:rsidRPr="0095252E">
                    <w:rPr>
                      <w:rFonts w:ascii="Calibri" w:eastAsia="Times New Roman" w:hAnsi="Calibri" w:cs="Times New Roman"/>
                      <w:color w:val="000000"/>
                      <w:sz w:val="16"/>
                      <w:szCs w:val="16"/>
                      <w:lang w:val="en-US" w:eastAsia="es-PE"/>
                    </w:rPr>
                    <w:t xml:space="preserve"> </w:t>
                  </w:r>
                  <w:proofErr w:type="spellStart"/>
                  <w:r w:rsidRPr="0095252E">
                    <w:rPr>
                      <w:rFonts w:ascii="Calibri" w:eastAsia="Times New Roman" w:hAnsi="Calibri" w:cs="Times New Roman"/>
                      <w:color w:val="000000"/>
                      <w:sz w:val="16"/>
                      <w:szCs w:val="16"/>
                      <w:lang w:val="en-US" w:eastAsia="es-PE"/>
                    </w:rPr>
                    <w:t>Warma</w:t>
                  </w:r>
                  <w:proofErr w:type="spellEnd"/>
                  <w:r w:rsidRPr="0095252E">
                    <w:rPr>
                      <w:rFonts w:ascii="Calibri" w:eastAsia="Times New Roman" w:hAnsi="Calibri" w:cs="Times New Roman"/>
                      <w:color w:val="000000"/>
                      <w:sz w:val="16"/>
                      <w:szCs w:val="16"/>
                      <w:lang w:val="en-US" w:eastAsia="es-PE"/>
                    </w:rPr>
                    <w:t xml:space="preserve">, 5) Cajamarca Territorial Unit 1: Interinstitutional collaboration agreement between PAZ-PERU Corps and the National Program School Food Supply </w:t>
                  </w:r>
                  <w:proofErr w:type="spellStart"/>
                  <w:r w:rsidRPr="0095252E">
                    <w:rPr>
                      <w:rFonts w:ascii="Calibri" w:eastAsia="Times New Roman" w:hAnsi="Calibri" w:cs="Times New Roman"/>
                      <w:color w:val="000000"/>
                      <w:sz w:val="16"/>
                      <w:szCs w:val="16"/>
                      <w:lang w:val="en-US" w:eastAsia="es-PE"/>
                    </w:rPr>
                    <w:t>Qali</w:t>
                  </w:r>
                  <w:proofErr w:type="spellEnd"/>
                  <w:r w:rsidRPr="0095252E">
                    <w:rPr>
                      <w:rFonts w:ascii="Calibri" w:eastAsia="Times New Roman" w:hAnsi="Calibri" w:cs="Times New Roman"/>
                      <w:color w:val="000000"/>
                      <w:sz w:val="16"/>
                      <w:szCs w:val="16"/>
                      <w:lang w:val="en-US" w:eastAsia="es-PE"/>
                    </w:rPr>
                    <w:t xml:space="preserve"> </w:t>
                  </w:r>
                  <w:proofErr w:type="spellStart"/>
                  <w:r w:rsidRPr="0095252E">
                    <w:rPr>
                      <w:rFonts w:ascii="Calibri" w:eastAsia="Times New Roman" w:hAnsi="Calibri" w:cs="Times New Roman"/>
                      <w:color w:val="000000"/>
                      <w:sz w:val="16"/>
                      <w:szCs w:val="16"/>
                      <w:lang w:val="en-US" w:eastAsia="es-PE"/>
                    </w:rPr>
                    <w:t>Warma</w:t>
                  </w:r>
                  <w:proofErr w:type="spellEnd"/>
                  <w:r w:rsidRPr="0095252E">
                    <w:rPr>
                      <w:rFonts w:ascii="Calibri" w:eastAsia="Times New Roman" w:hAnsi="Calibri" w:cs="Times New Roman"/>
                      <w:color w:val="000000"/>
                      <w:sz w:val="16"/>
                      <w:szCs w:val="16"/>
                      <w:lang w:val="en-US" w:eastAsia="es-PE"/>
                    </w:rPr>
                    <w:t>.</w:t>
                  </w:r>
                </w:p>
                <w:p w:rsidR="000834F6" w:rsidRPr="0095252E" w:rsidRDefault="000834F6" w:rsidP="009E1946">
                  <w:pPr>
                    <w:spacing w:after="0" w:line="240" w:lineRule="auto"/>
                    <w:jc w:val="both"/>
                    <w:rPr>
                      <w:rFonts w:ascii="Calibri" w:eastAsia="Times New Roman" w:hAnsi="Calibri" w:cs="Times New Roman"/>
                      <w:color w:val="000000"/>
                      <w:sz w:val="16"/>
                      <w:szCs w:val="16"/>
                      <w:lang w:val="en-US" w:eastAsia="es-PE"/>
                    </w:rPr>
                  </w:pPr>
                </w:p>
                <w:p w:rsidR="000834F6" w:rsidRPr="0095252E" w:rsidRDefault="000834F6" w:rsidP="009E1946">
                  <w:pPr>
                    <w:spacing w:after="0" w:line="240" w:lineRule="auto"/>
                    <w:jc w:val="both"/>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 xml:space="preserve">Likewise, the following agreements are in a renewal process: 1) Amazonas Territorial Unit: Interinstitutional collaboration agreement between the APAFAS Federation of the Amazonas Region and the National School Food Program </w:t>
                  </w:r>
                  <w:proofErr w:type="spellStart"/>
                  <w:r w:rsidRPr="0095252E">
                    <w:rPr>
                      <w:rFonts w:ascii="Calibri" w:eastAsia="Times New Roman" w:hAnsi="Calibri" w:cs="Times New Roman"/>
                      <w:color w:val="000000"/>
                      <w:sz w:val="16"/>
                      <w:szCs w:val="16"/>
                      <w:lang w:val="en-US" w:eastAsia="es-PE"/>
                    </w:rPr>
                    <w:t>Qali</w:t>
                  </w:r>
                  <w:proofErr w:type="spellEnd"/>
                  <w:r w:rsidRPr="0095252E">
                    <w:rPr>
                      <w:rFonts w:ascii="Calibri" w:eastAsia="Times New Roman" w:hAnsi="Calibri" w:cs="Times New Roman"/>
                      <w:color w:val="000000"/>
                      <w:sz w:val="16"/>
                      <w:szCs w:val="16"/>
                      <w:lang w:val="en-US" w:eastAsia="es-PE"/>
                    </w:rPr>
                    <w:t xml:space="preserve"> </w:t>
                  </w:r>
                  <w:proofErr w:type="spellStart"/>
                  <w:r w:rsidRPr="0095252E">
                    <w:rPr>
                      <w:rFonts w:ascii="Calibri" w:eastAsia="Times New Roman" w:hAnsi="Calibri" w:cs="Times New Roman"/>
                      <w:color w:val="000000"/>
                      <w:sz w:val="16"/>
                      <w:szCs w:val="16"/>
                      <w:lang w:val="en-US" w:eastAsia="es-PE"/>
                    </w:rPr>
                    <w:t>Warma</w:t>
                  </w:r>
                  <w:proofErr w:type="spellEnd"/>
                  <w:r w:rsidRPr="0095252E">
                    <w:rPr>
                      <w:rFonts w:ascii="Calibri" w:eastAsia="Times New Roman" w:hAnsi="Calibri" w:cs="Times New Roman"/>
                      <w:color w:val="000000"/>
                      <w:sz w:val="16"/>
                      <w:szCs w:val="16"/>
                      <w:lang w:val="en-US" w:eastAsia="es-PE"/>
                    </w:rPr>
                    <w:t xml:space="preserve">, 2) </w:t>
                  </w:r>
                  <w:proofErr w:type="spellStart"/>
                  <w:r w:rsidRPr="0095252E">
                    <w:rPr>
                      <w:rFonts w:ascii="Calibri" w:eastAsia="Times New Roman" w:hAnsi="Calibri" w:cs="Times New Roman"/>
                      <w:color w:val="000000"/>
                      <w:sz w:val="16"/>
                      <w:szCs w:val="16"/>
                      <w:lang w:val="en-US" w:eastAsia="es-PE"/>
                    </w:rPr>
                    <w:t>Junin</w:t>
                  </w:r>
                  <w:proofErr w:type="spellEnd"/>
                  <w:r w:rsidRPr="0095252E">
                    <w:rPr>
                      <w:rFonts w:ascii="Calibri" w:eastAsia="Times New Roman" w:hAnsi="Calibri" w:cs="Times New Roman"/>
                      <w:color w:val="000000"/>
                      <w:sz w:val="16"/>
                      <w:szCs w:val="16"/>
                      <w:lang w:val="en-US" w:eastAsia="es-PE"/>
                    </w:rPr>
                    <w:t xml:space="preserve"> Territorial Unit: Collaboration agreement Between the Indigenous Organizations of the Central Forest and the National Program of School Feeding </w:t>
                  </w:r>
                  <w:proofErr w:type="spellStart"/>
                  <w:r w:rsidRPr="0095252E">
                    <w:rPr>
                      <w:rFonts w:ascii="Calibri" w:eastAsia="Times New Roman" w:hAnsi="Calibri" w:cs="Times New Roman"/>
                      <w:color w:val="000000"/>
                      <w:sz w:val="16"/>
                      <w:szCs w:val="16"/>
                      <w:lang w:val="en-US" w:eastAsia="es-PE"/>
                    </w:rPr>
                    <w:t>Qali</w:t>
                  </w:r>
                  <w:proofErr w:type="spellEnd"/>
                  <w:r w:rsidRPr="0095252E">
                    <w:rPr>
                      <w:rFonts w:ascii="Calibri" w:eastAsia="Times New Roman" w:hAnsi="Calibri" w:cs="Times New Roman"/>
                      <w:color w:val="000000"/>
                      <w:sz w:val="16"/>
                      <w:szCs w:val="16"/>
                      <w:lang w:val="en-US" w:eastAsia="es-PE"/>
                    </w:rPr>
                    <w:t xml:space="preserve"> </w:t>
                  </w:r>
                  <w:proofErr w:type="spellStart"/>
                  <w:r w:rsidRPr="0095252E">
                    <w:rPr>
                      <w:rFonts w:ascii="Calibri" w:eastAsia="Times New Roman" w:hAnsi="Calibri" w:cs="Times New Roman"/>
                      <w:color w:val="000000"/>
                      <w:sz w:val="16"/>
                      <w:szCs w:val="16"/>
                      <w:lang w:val="en-US" w:eastAsia="es-PE"/>
                    </w:rPr>
                    <w:t>Warma</w:t>
                  </w:r>
                  <w:proofErr w:type="spellEnd"/>
                  <w:r w:rsidRPr="0095252E">
                    <w:rPr>
                      <w:rFonts w:ascii="Calibri" w:eastAsia="Times New Roman" w:hAnsi="Calibri" w:cs="Times New Roman"/>
                      <w:color w:val="000000"/>
                      <w:sz w:val="16"/>
                      <w:szCs w:val="16"/>
                      <w:lang w:val="en-US" w:eastAsia="es-PE"/>
                    </w:rPr>
                    <w:t>.</w:t>
                  </w:r>
                </w:p>
              </w:tc>
            </w:tr>
            <w:tr w:rsidR="000834F6" w:rsidRPr="00003DBC" w:rsidTr="009E1946">
              <w:trPr>
                <w:gridAfter w:val="1"/>
                <w:wAfter w:w="1134" w:type="dxa"/>
                <w:trHeight w:val="1941"/>
              </w:trPr>
              <w:tc>
                <w:tcPr>
                  <w:tcW w:w="963" w:type="dxa"/>
                  <w:shd w:val="clear" w:color="auto" w:fill="auto"/>
                  <w:vAlign w:val="center"/>
                  <w:hideMark/>
                </w:tcPr>
                <w:p w:rsidR="000834F6" w:rsidRPr="0095252E" w:rsidRDefault="000834F6" w:rsidP="009E1946">
                  <w:pPr>
                    <w:spacing w:after="0" w:line="240" w:lineRule="auto"/>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5. Implementation of citizen monitoring actions.</w:t>
                  </w:r>
                </w:p>
              </w:tc>
              <w:tc>
                <w:tcPr>
                  <w:tcW w:w="567" w:type="dxa"/>
                  <w:shd w:val="clear" w:color="auto" w:fill="auto"/>
                  <w:noWrap/>
                  <w:vAlign w:val="center"/>
                  <w:hideMark/>
                </w:tcPr>
                <w:p w:rsidR="000834F6" w:rsidRPr="0095252E" w:rsidRDefault="000834F6" w:rsidP="009E1946">
                  <w:pPr>
                    <w:spacing w:after="0" w:line="240" w:lineRule="auto"/>
                    <w:jc w:val="center"/>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(2)</w:t>
                  </w:r>
                </w:p>
              </w:tc>
              <w:tc>
                <w:tcPr>
                  <w:tcW w:w="908" w:type="dxa"/>
                  <w:shd w:val="clear" w:color="000000" w:fill="FFFFFF"/>
                  <w:vAlign w:val="center"/>
                  <w:hideMark/>
                </w:tcPr>
                <w:p w:rsidR="000834F6" w:rsidRPr="0095252E" w:rsidRDefault="000834F6" w:rsidP="009E1946">
                  <w:pPr>
                    <w:spacing w:after="0" w:line="240" w:lineRule="auto"/>
                    <w:jc w:val="center"/>
                    <w:rPr>
                      <w:rFonts w:ascii="Calibri" w:eastAsia="Times New Roman" w:hAnsi="Calibri" w:cs="Times New Roman"/>
                      <w:b/>
                      <w:bCs/>
                      <w:color w:val="000000"/>
                      <w:sz w:val="16"/>
                      <w:szCs w:val="16"/>
                      <w:lang w:val="en-US" w:eastAsia="es-PE"/>
                    </w:rPr>
                  </w:pPr>
                  <w:r w:rsidRPr="0095252E">
                    <w:rPr>
                      <w:rFonts w:ascii="Calibri" w:eastAsia="Times New Roman" w:hAnsi="Calibri" w:cs="Times New Roman"/>
                      <w:b/>
                      <w:bCs/>
                      <w:color w:val="000000"/>
                      <w:sz w:val="16"/>
                      <w:szCs w:val="16"/>
                      <w:lang w:val="en-US" w:eastAsia="es-PE"/>
                    </w:rPr>
                    <w:t xml:space="preserve">Jun. 2017 </w:t>
                  </w:r>
                </w:p>
              </w:tc>
              <w:tc>
                <w:tcPr>
                  <w:tcW w:w="5074" w:type="dxa"/>
                  <w:shd w:val="clear" w:color="000000" w:fill="FFFFFF"/>
                  <w:vAlign w:val="center"/>
                  <w:hideMark/>
                </w:tcPr>
                <w:p w:rsidR="000834F6" w:rsidRPr="0095252E" w:rsidRDefault="000834F6" w:rsidP="009E1946">
                  <w:pPr>
                    <w:spacing w:after="0" w:line="240" w:lineRule="auto"/>
                    <w:jc w:val="both"/>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Surveillance actions are carried out, through people who voluntarily commit to it. The meetings (workshops, talks) that are carried out as technical assistance allow reflection on the participation as a right of the people, which is expressed in the actions of monitoring the specific characteristics of the program, as well as the mechanisms. In this case, the monitoring tabs can be applied to gather the information in those actions. In addition, a voluntary commitment act has been developed.</w:t>
                  </w:r>
                </w:p>
                <w:p w:rsidR="000834F6" w:rsidRPr="0095252E" w:rsidRDefault="000834F6" w:rsidP="009E1946">
                  <w:pPr>
                    <w:spacing w:after="0" w:line="240" w:lineRule="auto"/>
                    <w:jc w:val="both"/>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In the framework of the monitoring carried out, the responses to the alerts raised are monitored. This report details that, in July of this year, 493 cases of alert have been received (twice the year 2015), of which 477 have been answered.</w:t>
                  </w:r>
                </w:p>
              </w:tc>
            </w:tr>
            <w:tr w:rsidR="000834F6" w:rsidRPr="00003DBC" w:rsidTr="009E1946">
              <w:trPr>
                <w:trHeight w:val="221"/>
              </w:trPr>
              <w:tc>
                <w:tcPr>
                  <w:tcW w:w="8646" w:type="dxa"/>
                  <w:gridSpan w:val="5"/>
                  <w:shd w:val="clear" w:color="000000" w:fill="FFFFFF"/>
                  <w:vAlign w:val="center"/>
                  <w:hideMark/>
                </w:tcPr>
                <w:p w:rsidR="000834F6" w:rsidRPr="0095252E" w:rsidRDefault="000834F6" w:rsidP="009E1946">
                  <w:pPr>
                    <w:spacing w:after="0" w:line="240" w:lineRule="auto"/>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(1)  A 100% progress was recorded in 2015, due to the fact that the Actor Mapping was carried out.</w:t>
                  </w:r>
                </w:p>
              </w:tc>
            </w:tr>
            <w:tr w:rsidR="000834F6" w:rsidRPr="00003DBC" w:rsidTr="009E1946">
              <w:trPr>
                <w:trHeight w:val="681"/>
              </w:trPr>
              <w:tc>
                <w:tcPr>
                  <w:tcW w:w="8646" w:type="dxa"/>
                  <w:gridSpan w:val="5"/>
                  <w:shd w:val="clear" w:color="000000" w:fill="FFFFFF"/>
                  <w:vAlign w:val="center"/>
                  <w:hideMark/>
                </w:tcPr>
                <w:p w:rsidR="000834F6" w:rsidRPr="0095252E" w:rsidRDefault="000834F6" w:rsidP="009E1946">
                  <w:pPr>
                    <w:spacing w:after="0" w:line="240" w:lineRule="auto"/>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(2) No progress is made in percentages, because the Open Government Action Plan 2015-2016 approved, does not record programmed targets. However, there are qualitative progress.</w:t>
                  </w:r>
                </w:p>
                <w:p w:rsidR="000834F6" w:rsidRPr="0095252E" w:rsidRDefault="000834F6" w:rsidP="009E1946">
                  <w:pPr>
                    <w:spacing w:after="0" w:line="240" w:lineRule="auto"/>
                    <w:rPr>
                      <w:rFonts w:ascii="Calibri" w:eastAsia="Times New Roman" w:hAnsi="Calibri" w:cs="Times New Roman"/>
                      <w:color w:val="000000"/>
                      <w:sz w:val="16"/>
                      <w:szCs w:val="16"/>
                      <w:lang w:val="en-US" w:eastAsia="es-PE"/>
                    </w:rPr>
                  </w:pPr>
                  <w:r w:rsidRPr="0095252E">
                    <w:rPr>
                      <w:rFonts w:ascii="Calibri" w:eastAsia="Times New Roman" w:hAnsi="Calibri" w:cs="Times New Roman"/>
                      <w:color w:val="000000"/>
                      <w:sz w:val="16"/>
                      <w:szCs w:val="16"/>
                      <w:lang w:val="en-US" w:eastAsia="es-PE"/>
                    </w:rPr>
                    <w:t>It should be noted that these actions are of a permanent nature and are continuously updated, so that it is presented as a reformulated date in June 2017.</w:t>
                  </w:r>
                </w:p>
              </w:tc>
            </w:tr>
          </w:tbl>
          <w:p w:rsidR="000834F6" w:rsidRPr="0095252E" w:rsidRDefault="000834F6" w:rsidP="009E1946">
            <w:pPr>
              <w:jc w:val="both"/>
              <w:rPr>
                <w:rFonts w:ascii="Calibri" w:eastAsia="Calibri" w:hAnsi="Calibri" w:cs="Times New Roman"/>
                <w:color w:val="000000"/>
                <w:lang w:val="en-US"/>
              </w:rPr>
            </w:pPr>
          </w:p>
          <w:p w:rsidR="000834F6" w:rsidRPr="0095252E" w:rsidRDefault="000834F6" w:rsidP="00984751">
            <w:pPr>
              <w:jc w:val="both"/>
              <w:rPr>
                <w:rFonts w:ascii="Calibri" w:eastAsia="Calibri" w:hAnsi="Calibri" w:cs="Times New Roman"/>
                <w:color w:val="000000"/>
                <w:lang w:val="en-US"/>
              </w:rPr>
            </w:pPr>
            <w:r w:rsidRPr="0095252E">
              <w:rPr>
                <w:rFonts w:ascii="Calibri" w:eastAsia="Calibri" w:hAnsi="Calibri" w:cs="Times New Roman"/>
                <w:color w:val="000000"/>
                <w:lang w:val="en-US"/>
              </w:rPr>
              <w:t>Source: Offic</w:t>
            </w:r>
            <w:r w:rsidR="00984751">
              <w:rPr>
                <w:rFonts w:ascii="Calibri" w:eastAsia="Calibri" w:hAnsi="Calibri" w:cs="Times New Roman"/>
                <w:color w:val="000000"/>
                <w:lang w:val="en-US"/>
              </w:rPr>
              <w:t>ial letter</w:t>
            </w:r>
            <w:r w:rsidRPr="0095252E">
              <w:rPr>
                <w:rFonts w:ascii="Calibri" w:eastAsia="Calibri" w:hAnsi="Calibri" w:cs="Times New Roman"/>
                <w:color w:val="000000"/>
                <w:lang w:val="en-US"/>
              </w:rPr>
              <w:t xml:space="preserve"> No. 1218-2016-MIDIS/SG</w:t>
            </w:r>
          </w:p>
        </w:tc>
      </w:tr>
      <w:tr w:rsidR="000834F6" w:rsidRPr="0095252E" w:rsidTr="009E1946">
        <w:trPr>
          <w:trHeight w:val="347"/>
        </w:trPr>
        <w:tc>
          <w:tcPr>
            <w:tcW w:w="1526" w:type="dxa"/>
            <w:shd w:val="clear" w:color="auto" w:fill="C6D9F1"/>
            <w:vAlign w:val="center"/>
          </w:tcPr>
          <w:p w:rsidR="000834F6" w:rsidRPr="0095252E" w:rsidRDefault="000834F6" w:rsidP="009E1946">
            <w:pPr>
              <w:rPr>
                <w:rFonts w:ascii="Calibri" w:eastAsia="Calibri" w:hAnsi="Calibri" w:cs="Times New Roman"/>
                <w:b/>
                <w:color w:val="000000"/>
                <w:lang w:val="en-US"/>
              </w:rPr>
            </w:pPr>
            <w:r w:rsidRPr="0095252E">
              <w:rPr>
                <w:rFonts w:ascii="Calibri" w:eastAsia="Calibri" w:hAnsi="Calibri" w:cs="Gotham-Book"/>
                <w:b/>
                <w:color w:val="000000"/>
                <w:lang w:val="en-US"/>
              </w:rPr>
              <w:lastRenderedPageBreak/>
              <w:t>Conclusion date</w:t>
            </w:r>
          </w:p>
        </w:tc>
        <w:tc>
          <w:tcPr>
            <w:tcW w:w="7513" w:type="dxa"/>
            <w:gridSpan w:val="5"/>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June 2017</w:t>
            </w:r>
          </w:p>
        </w:tc>
      </w:tr>
      <w:tr w:rsidR="000834F6" w:rsidRPr="00003DBC" w:rsidTr="009E1946">
        <w:tc>
          <w:tcPr>
            <w:tcW w:w="1526" w:type="dxa"/>
            <w:shd w:val="clear" w:color="auto" w:fill="C6D9F1"/>
            <w:vAlign w:val="center"/>
          </w:tcPr>
          <w:p w:rsidR="000834F6" w:rsidRPr="0095252E" w:rsidRDefault="000834F6" w:rsidP="009E1946">
            <w:pPr>
              <w:rPr>
                <w:rFonts w:ascii="Calibri" w:eastAsia="Calibri" w:hAnsi="Calibri" w:cs="Times New Roman"/>
                <w:b/>
                <w:color w:val="000000"/>
                <w:lang w:val="en-US"/>
              </w:rPr>
            </w:pPr>
            <w:r w:rsidRPr="0095252E">
              <w:rPr>
                <w:rFonts w:ascii="Calibri" w:eastAsia="Calibri" w:hAnsi="Calibri" w:cs="Gotham-Book"/>
                <w:b/>
                <w:color w:val="000000"/>
                <w:lang w:val="en-US"/>
              </w:rPr>
              <w:t>Next steps</w:t>
            </w:r>
          </w:p>
        </w:tc>
        <w:tc>
          <w:tcPr>
            <w:tcW w:w="7513" w:type="dxa"/>
            <w:gridSpan w:val="5"/>
          </w:tcPr>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Times New Roman"/>
                <w:color w:val="000000"/>
                <w:lang w:val="en-US"/>
              </w:rPr>
              <w:t>Except for the first activity, all other activities are of a permanent nature and continuously updated, so it is considered to continue its development.</w:t>
            </w:r>
          </w:p>
        </w:tc>
      </w:tr>
      <w:tr w:rsidR="000834F6" w:rsidRPr="0095252E" w:rsidTr="009E1946">
        <w:tc>
          <w:tcPr>
            <w:tcW w:w="9039" w:type="dxa"/>
            <w:gridSpan w:val="6"/>
          </w:tcPr>
          <w:p w:rsidR="000834F6" w:rsidRPr="0095252E" w:rsidRDefault="000834F6" w:rsidP="009E1946">
            <w:pPr>
              <w:jc w:val="both"/>
              <w:rPr>
                <w:rFonts w:ascii="Calibri" w:eastAsia="Calibri" w:hAnsi="Calibri" w:cs="Gotham-Book"/>
                <w:b/>
                <w:color w:val="000000"/>
                <w:lang w:val="en-US"/>
              </w:rPr>
            </w:pPr>
          </w:p>
          <w:p w:rsidR="000834F6" w:rsidRPr="0095252E" w:rsidRDefault="000834F6" w:rsidP="009E1946">
            <w:pPr>
              <w:jc w:val="both"/>
              <w:rPr>
                <w:rFonts w:ascii="Calibri" w:eastAsia="Calibri" w:hAnsi="Calibri" w:cs="Times New Roman"/>
                <w:color w:val="000000"/>
                <w:lang w:val="en-US"/>
              </w:rPr>
            </w:pPr>
            <w:r w:rsidRPr="0095252E">
              <w:rPr>
                <w:rFonts w:ascii="Calibri" w:eastAsia="Calibri" w:hAnsi="Calibri" w:cs="Gotham-Book"/>
                <w:b/>
                <w:color w:val="000000"/>
                <w:lang w:val="en-US"/>
              </w:rPr>
              <w:t>Additional information</w:t>
            </w:r>
          </w:p>
        </w:tc>
      </w:tr>
    </w:tbl>
    <w:p w:rsidR="000834F6" w:rsidRPr="0095252E" w:rsidRDefault="000834F6" w:rsidP="000834F6">
      <w:pPr>
        <w:rPr>
          <w:lang w:val="en-US"/>
        </w:rPr>
      </w:pPr>
    </w:p>
    <w:p w:rsidR="009E1946" w:rsidRPr="0095252E" w:rsidRDefault="00C06C11" w:rsidP="00EF33B6">
      <w:pPr>
        <w:jc w:val="both"/>
        <w:rPr>
          <w:lang w:val="en-US"/>
        </w:rPr>
      </w:pPr>
      <w:r w:rsidRPr="0095252E">
        <w:rPr>
          <w:lang w:val="en-US"/>
        </w:rPr>
        <w:br w:type="column"/>
      </w:r>
    </w:p>
    <w:tbl>
      <w:tblPr>
        <w:tblStyle w:val="Tablaconcuadrcula"/>
        <w:tblW w:w="8986" w:type="dxa"/>
        <w:tblLayout w:type="fixed"/>
        <w:tblLook w:val="04A0" w:firstRow="1" w:lastRow="0" w:firstColumn="1" w:lastColumn="0" w:noHBand="0" w:noVBand="1"/>
      </w:tblPr>
      <w:tblGrid>
        <w:gridCol w:w="2090"/>
        <w:gridCol w:w="409"/>
        <w:gridCol w:w="1681"/>
        <w:gridCol w:w="8"/>
        <w:gridCol w:w="1714"/>
        <w:gridCol w:w="1627"/>
        <w:gridCol w:w="1436"/>
        <w:gridCol w:w="11"/>
        <w:gridCol w:w="10"/>
      </w:tblGrid>
      <w:tr w:rsidR="009E1946" w:rsidRPr="0095252E" w:rsidTr="009E1946">
        <w:trPr>
          <w:trHeight w:val="136"/>
        </w:trPr>
        <w:tc>
          <w:tcPr>
            <w:tcW w:w="8986" w:type="dxa"/>
            <w:gridSpan w:val="9"/>
            <w:tcBorders>
              <w:bottom w:val="single" w:sz="4" w:space="0" w:color="auto"/>
            </w:tcBorders>
            <w:shd w:val="clear" w:color="auto" w:fill="548DD4"/>
          </w:tcPr>
          <w:p w:rsidR="009E1946" w:rsidRPr="0095252E" w:rsidRDefault="009E1946" w:rsidP="009E1946">
            <w:pPr>
              <w:ind w:left="720"/>
              <w:jc w:val="center"/>
              <w:rPr>
                <w:rFonts w:eastAsia="Calibri"/>
                <w:b/>
                <w:lang w:val="en-US"/>
              </w:rPr>
            </w:pPr>
            <w:r w:rsidRPr="0095252E">
              <w:rPr>
                <w:rFonts w:eastAsia="Calibri"/>
                <w:b/>
                <w:lang w:val="en-US"/>
              </w:rPr>
              <w:t>Component: Civic activism</w:t>
            </w:r>
          </w:p>
        </w:tc>
      </w:tr>
      <w:tr w:rsidR="009E1946" w:rsidRPr="00003DBC" w:rsidTr="009E1946">
        <w:trPr>
          <w:trHeight w:val="244"/>
        </w:trPr>
        <w:tc>
          <w:tcPr>
            <w:tcW w:w="8986" w:type="dxa"/>
            <w:gridSpan w:val="9"/>
            <w:shd w:val="clear" w:color="auto" w:fill="548DD4"/>
          </w:tcPr>
          <w:p w:rsidR="009E1946" w:rsidRPr="0095252E" w:rsidRDefault="009E1946" w:rsidP="009E1946">
            <w:pPr>
              <w:ind w:left="720"/>
              <w:jc w:val="center"/>
              <w:rPr>
                <w:rFonts w:eastAsia="Calibri"/>
                <w:b/>
                <w:lang w:val="en-US"/>
              </w:rPr>
            </w:pPr>
            <w:r w:rsidRPr="0095252E">
              <w:rPr>
                <w:rFonts w:eastAsia="Calibri"/>
                <w:b/>
                <w:u w:val="single"/>
                <w:lang w:val="en-US"/>
              </w:rPr>
              <w:t>Commitment 10</w:t>
            </w:r>
            <w:r w:rsidRPr="0095252E">
              <w:rPr>
                <w:rFonts w:eastAsia="Calibri"/>
                <w:b/>
                <w:lang w:val="en-US"/>
              </w:rPr>
              <w:t>. Encouraging the civic activism in the Plenary Agreements                                                                                       of the Supreme Court of the Republic</w:t>
            </w:r>
          </w:p>
        </w:tc>
      </w:tr>
      <w:tr w:rsidR="009E1946" w:rsidRPr="00003DBC" w:rsidTr="009E1946">
        <w:trPr>
          <w:gridAfter w:val="1"/>
          <w:wAfter w:w="10" w:type="dxa"/>
          <w:trHeight w:val="220"/>
        </w:trPr>
        <w:tc>
          <w:tcPr>
            <w:tcW w:w="4188" w:type="dxa"/>
            <w:gridSpan w:val="4"/>
            <w:shd w:val="clear" w:color="auto" w:fill="C6D9F1"/>
            <w:vAlign w:val="center"/>
          </w:tcPr>
          <w:p w:rsidR="009E1946" w:rsidRPr="0095252E" w:rsidRDefault="009E1946" w:rsidP="009E1946">
            <w:pPr>
              <w:autoSpaceDE w:val="0"/>
              <w:autoSpaceDN w:val="0"/>
              <w:adjustRightInd w:val="0"/>
              <w:rPr>
                <w:rFonts w:eastAsia="Calibri" w:cs="Gotham-Book"/>
                <w:b/>
                <w:color w:val="000000"/>
                <w:lang w:val="en-US"/>
              </w:rPr>
            </w:pPr>
            <w:r w:rsidRPr="0095252E">
              <w:rPr>
                <w:rFonts w:ascii="Calibri" w:eastAsia="Calibri" w:hAnsi="Calibri" w:cs="Times New Roman"/>
                <w:b/>
                <w:lang w:val="en-US"/>
              </w:rPr>
              <w:t>Secretariat/Ministry in charge</w:t>
            </w:r>
          </w:p>
        </w:tc>
        <w:tc>
          <w:tcPr>
            <w:tcW w:w="4788" w:type="dxa"/>
            <w:gridSpan w:val="4"/>
          </w:tcPr>
          <w:p w:rsidR="009E1946" w:rsidRPr="0095252E" w:rsidRDefault="009E1946" w:rsidP="009E1946">
            <w:pPr>
              <w:jc w:val="both"/>
              <w:rPr>
                <w:rFonts w:eastAsia="Calibri"/>
                <w:color w:val="000000"/>
                <w:lang w:val="en-US"/>
              </w:rPr>
            </w:pPr>
            <w:r w:rsidRPr="0095252E">
              <w:rPr>
                <w:rFonts w:eastAsia="Calibri"/>
                <w:color w:val="000000"/>
                <w:lang w:val="en-US"/>
              </w:rPr>
              <w:t>The Judiciary – Supreme Court of the Republic</w:t>
            </w:r>
          </w:p>
        </w:tc>
      </w:tr>
      <w:tr w:rsidR="009E1946" w:rsidRPr="0095252E" w:rsidTr="009E1946">
        <w:trPr>
          <w:gridAfter w:val="1"/>
          <w:wAfter w:w="10" w:type="dxa"/>
          <w:trHeight w:val="130"/>
        </w:trPr>
        <w:tc>
          <w:tcPr>
            <w:tcW w:w="4188" w:type="dxa"/>
            <w:gridSpan w:val="4"/>
            <w:shd w:val="clear" w:color="auto" w:fill="C6D9F1"/>
            <w:vAlign w:val="center"/>
          </w:tcPr>
          <w:p w:rsidR="009E1946" w:rsidRPr="0095252E" w:rsidRDefault="009E1946" w:rsidP="009E1946">
            <w:pPr>
              <w:autoSpaceDE w:val="0"/>
              <w:autoSpaceDN w:val="0"/>
              <w:adjustRightInd w:val="0"/>
              <w:rPr>
                <w:rFonts w:eastAsia="Calibri" w:cs="Gotham-Book"/>
                <w:b/>
                <w:color w:val="000000"/>
                <w:lang w:val="en-US"/>
              </w:rPr>
            </w:pPr>
            <w:r w:rsidRPr="0095252E">
              <w:rPr>
                <w:rFonts w:ascii="Calibri" w:eastAsia="Calibri" w:hAnsi="Calibri" w:cs="Times New Roman"/>
                <w:b/>
                <w:lang w:val="en-US"/>
              </w:rPr>
              <w:t>Name of the person in charge</w:t>
            </w:r>
          </w:p>
        </w:tc>
        <w:tc>
          <w:tcPr>
            <w:tcW w:w="4788" w:type="dxa"/>
            <w:gridSpan w:val="4"/>
          </w:tcPr>
          <w:p w:rsidR="009E1946" w:rsidRPr="0095252E" w:rsidRDefault="009E1946" w:rsidP="009E1946">
            <w:pPr>
              <w:jc w:val="both"/>
              <w:rPr>
                <w:rFonts w:eastAsia="Calibri"/>
                <w:color w:val="000000"/>
                <w:lang w:val="en-US"/>
              </w:rPr>
            </w:pPr>
            <w:r w:rsidRPr="0095252E">
              <w:rPr>
                <w:rFonts w:eastAsia="Calibri"/>
                <w:color w:val="000000"/>
                <w:lang w:val="en-US"/>
              </w:rPr>
              <w:t xml:space="preserve">Victor Lucas </w:t>
            </w:r>
            <w:proofErr w:type="spellStart"/>
            <w:r w:rsidRPr="0095252E">
              <w:rPr>
                <w:rFonts w:eastAsia="Calibri"/>
                <w:color w:val="000000"/>
                <w:lang w:val="en-US"/>
              </w:rPr>
              <w:t>Ticona</w:t>
            </w:r>
            <w:proofErr w:type="spellEnd"/>
            <w:r w:rsidRPr="0095252E">
              <w:rPr>
                <w:rFonts w:eastAsia="Calibri"/>
                <w:color w:val="000000"/>
                <w:lang w:val="en-US"/>
              </w:rPr>
              <w:t xml:space="preserve"> </w:t>
            </w:r>
            <w:proofErr w:type="spellStart"/>
            <w:r w:rsidRPr="0095252E">
              <w:rPr>
                <w:rFonts w:eastAsia="Calibri"/>
                <w:color w:val="000000"/>
                <w:lang w:val="en-US"/>
              </w:rPr>
              <w:t>Postigo</w:t>
            </w:r>
            <w:proofErr w:type="spellEnd"/>
          </w:p>
        </w:tc>
      </w:tr>
      <w:tr w:rsidR="009E1946" w:rsidRPr="00003DBC" w:rsidTr="009E1946">
        <w:trPr>
          <w:gridAfter w:val="1"/>
          <w:wAfter w:w="10" w:type="dxa"/>
          <w:trHeight w:val="220"/>
        </w:trPr>
        <w:tc>
          <w:tcPr>
            <w:tcW w:w="4188" w:type="dxa"/>
            <w:gridSpan w:val="4"/>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Position</w:t>
            </w:r>
          </w:p>
        </w:tc>
        <w:tc>
          <w:tcPr>
            <w:tcW w:w="4788" w:type="dxa"/>
            <w:gridSpan w:val="4"/>
          </w:tcPr>
          <w:p w:rsidR="009E1946" w:rsidRPr="0095252E" w:rsidRDefault="009E1946" w:rsidP="009E1946">
            <w:pPr>
              <w:jc w:val="both"/>
              <w:rPr>
                <w:rFonts w:eastAsia="Calibri"/>
                <w:color w:val="000000"/>
                <w:lang w:val="en-US"/>
              </w:rPr>
            </w:pPr>
            <w:r w:rsidRPr="0095252E">
              <w:rPr>
                <w:rFonts w:eastAsia="Calibri"/>
                <w:color w:val="000000"/>
                <w:lang w:val="en-US"/>
              </w:rPr>
              <w:t>Head of the Judiciary and the Supreme Court of Justice</w:t>
            </w:r>
          </w:p>
        </w:tc>
      </w:tr>
      <w:tr w:rsidR="009E1946" w:rsidRPr="0095252E" w:rsidTr="009E1946">
        <w:trPr>
          <w:gridAfter w:val="1"/>
          <w:wAfter w:w="10" w:type="dxa"/>
          <w:trHeight w:val="114"/>
        </w:trPr>
        <w:tc>
          <w:tcPr>
            <w:tcW w:w="4188" w:type="dxa"/>
            <w:gridSpan w:val="4"/>
            <w:shd w:val="clear" w:color="auto" w:fill="C6D9F1"/>
            <w:vAlign w:val="center"/>
          </w:tcPr>
          <w:p w:rsidR="009E1946" w:rsidRPr="0095252E" w:rsidRDefault="009E1946" w:rsidP="009E1946">
            <w:pPr>
              <w:autoSpaceDE w:val="0"/>
              <w:autoSpaceDN w:val="0"/>
              <w:adjustRightInd w:val="0"/>
              <w:rPr>
                <w:rFonts w:eastAsia="Calibri" w:cs="Gotham-Book"/>
                <w:b/>
                <w:color w:val="000000"/>
                <w:lang w:val="en-US"/>
              </w:rPr>
            </w:pPr>
            <w:r w:rsidRPr="0095252E">
              <w:rPr>
                <w:rFonts w:eastAsia="Calibri" w:cs="Gotham-Book"/>
                <w:b/>
                <w:color w:val="000000"/>
                <w:lang w:val="en-US"/>
              </w:rPr>
              <w:t>E-mail</w:t>
            </w:r>
          </w:p>
        </w:tc>
        <w:tc>
          <w:tcPr>
            <w:tcW w:w="4788" w:type="dxa"/>
            <w:gridSpan w:val="4"/>
          </w:tcPr>
          <w:p w:rsidR="009E1946" w:rsidRPr="0095252E" w:rsidRDefault="009E1946" w:rsidP="009E1946">
            <w:pPr>
              <w:jc w:val="both"/>
              <w:rPr>
                <w:rFonts w:eastAsia="Calibri"/>
                <w:color w:val="0000FF"/>
                <w:u w:val="single"/>
                <w:lang w:val="en-US"/>
              </w:rPr>
            </w:pPr>
            <w:r w:rsidRPr="0095252E">
              <w:rPr>
                <w:rFonts w:eastAsia="Calibri"/>
                <w:color w:val="0000FF"/>
                <w:u w:val="single"/>
                <w:lang w:val="en-US"/>
              </w:rPr>
              <w:t>vticona@pj.gob.pe</w:t>
            </w:r>
          </w:p>
        </w:tc>
      </w:tr>
      <w:tr w:rsidR="009E1946" w:rsidRPr="0095252E" w:rsidTr="009E1946">
        <w:trPr>
          <w:gridAfter w:val="1"/>
          <w:wAfter w:w="10" w:type="dxa"/>
          <w:trHeight w:val="105"/>
        </w:trPr>
        <w:tc>
          <w:tcPr>
            <w:tcW w:w="4188" w:type="dxa"/>
            <w:gridSpan w:val="4"/>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Telephone</w:t>
            </w:r>
          </w:p>
        </w:tc>
        <w:tc>
          <w:tcPr>
            <w:tcW w:w="4788" w:type="dxa"/>
            <w:gridSpan w:val="4"/>
          </w:tcPr>
          <w:p w:rsidR="009E1946" w:rsidRPr="0095252E" w:rsidRDefault="009E1946" w:rsidP="009E1946">
            <w:pPr>
              <w:jc w:val="both"/>
              <w:rPr>
                <w:rFonts w:eastAsia="Calibri"/>
                <w:color w:val="000000"/>
                <w:lang w:val="en-US"/>
              </w:rPr>
            </w:pPr>
            <w:r w:rsidRPr="0095252E">
              <w:rPr>
                <w:rFonts w:eastAsia="Calibri"/>
                <w:color w:val="000000"/>
                <w:lang w:val="en-US"/>
              </w:rPr>
              <w:t>51-1-428-3690</w:t>
            </w:r>
          </w:p>
        </w:tc>
      </w:tr>
      <w:tr w:rsidR="009E1946" w:rsidRPr="0095252E" w:rsidTr="009E1946">
        <w:trPr>
          <w:gridAfter w:val="2"/>
          <w:wAfter w:w="21" w:type="dxa"/>
          <w:trHeight w:val="114"/>
        </w:trPr>
        <w:tc>
          <w:tcPr>
            <w:tcW w:w="2090" w:type="dxa"/>
            <w:vMerge w:val="restart"/>
            <w:shd w:val="clear" w:color="auto" w:fill="C6D9F1"/>
            <w:vAlign w:val="center"/>
          </w:tcPr>
          <w:p w:rsidR="009E1946" w:rsidRPr="0095252E" w:rsidRDefault="00596BF3" w:rsidP="009E1946">
            <w:pPr>
              <w:rPr>
                <w:rFonts w:eastAsia="Calibri" w:cs="Gotham-Book"/>
                <w:b/>
                <w:color w:val="000000"/>
                <w:lang w:val="en-US"/>
              </w:rPr>
            </w:pPr>
            <w:r>
              <w:rPr>
                <w:rFonts w:eastAsia="Calibri" w:cs="Gotham-Book"/>
                <w:b/>
                <w:color w:val="000000"/>
                <w:lang w:val="en-US"/>
              </w:rPr>
              <w:t>Other parties involved</w:t>
            </w:r>
          </w:p>
        </w:tc>
        <w:tc>
          <w:tcPr>
            <w:tcW w:w="2090" w:type="dxa"/>
            <w:gridSpan w:val="2"/>
            <w:shd w:val="clear" w:color="auto" w:fill="C6D9F1"/>
            <w:vAlign w:val="center"/>
          </w:tcPr>
          <w:p w:rsidR="009E1946" w:rsidRPr="0095252E" w:rsidRDefault="009E1946" w:rsidP="009E1946">
            <w:pPr>
              <w:rPr>
                <w:rFonts w:eastAsia="Calibri" w:cs="Gotham-Book"/>
                <w:b/>
                <w:color w:val="000000"/>
                <w:lang w:val="en-US"/>
              </w:rPr>
            </w:pPr>
            <w:r w:rsidRPr="0095252E">
              <w:rPr>
                <w:rFonts w:eastAsia="Calibri" w:cs="Gotham-Book"/>
                <w:b/>
                <w:color w:val="000000"/>
                <w:lang w:val="en-US"/>
              </w:rPr>
              <w:t>Government</w:t>
            </w:r>
          </w:p>
        </w:tc>
        <w:tc>
          <w:tcPr>
            <w:tcW w:w="4785" w:type="dxa"/>
            <w:gridSpan w:val="4"/>
          </w:tcPr>
          <w:p w:rsidR="009E1946" w:rsidRPr="0095252E" w:rsidRDefault="009E1946" w:rsidP="009E1946">
            <w:pPr>
              <w:jc w:val="both"/>
              <w:rPr>
                <w:rFonts w:eastAsia="Calibri"/>
                <w:color w:val="000000"/>
                <w:lang w:val="en-US"/>
              </w:rPr>
            </w:pPr>
            <w:r w:rsidRPr="0095252E">
              <w:rPr>
                <w:rFonts w:eastAsia="Calibri"/>
                <w:color w:val="000000"/>
                <w:lang w:val="en-US"/>
              </w:rPr>
              <w:t>Not applicable</w:t>
            </w:r>
          </w:p>
        </w:tc>
      </w:tr>
      <w:tr w:rsidR="009E1946" w:rsidRPr="00003DBC" w:rsidTr="009E1946">
        <w:trPr>
          <w:gridAfter w:val="2"/>
          <w:wAfter w:w="21" w:type="dxa"/>
          <w:trHeight w:val="62"/>
        </w:trPr>
        <w:tc>
          <w:tcPr>
            <w:tcW w:w="2090" w:type="dxa"/>
            <w:vMerge/>
            <w:shd w:val="clear" w:color="auto" w:fill="C6D9F1"/>
            <w:vAlign w:val="center"/>
          </w:tcPr>
          <w:p w:rsidR="009E1946" w:rsidRPr="0095252E" w:rsidRDefault="009E1946" w:rsidP="009E1946">
            <w:pPr>
              <w:rPr>
                <w:rFonts w:eastAsia="Calibri" w:cs="Gotham-Book"/>
                <w:b/>
                <w:color w:val="000000"/>
                <w:lang w:val="en-US"/>
              </w:rPr>
            </w:pPr>
          </w:p>
        </w:tc>
        <w:tc>
          <w:tcPr>
            <w:tcW w:w="2090" w:type="dxa"/>
            <w:gridSpan w:val="2"/>
            <w:shd w:val="clear" w:color="auto" w:fill="C6D9F1"/>
            <w:vAlign w:val="center"/>
          </w:tcPr>
          <w:p w:rsidR="009E1946" w:rsidRPr="0095252E" w:rsidRDefault="009E1946" w:rsidP="009E1946">
            <w:pPr>
              <w:rPr>
                <w:rFonts w:eastAsia="Calibri" w:cs="Gotham-Book"/>
                <w:b/>
                <w:color w:val="000000"/>
                <w:lang w:val="en-US"/>
              </w:rPr>
            </w:pPr>
            <w:r w:rsidRPr="0095252E">
              <w:rPr>
                <w:rFonts w:eastAsia="Calibri" w:cs="Gotham-Book"/>
                <w:b/>
                <w:color w:val="000000"/>
                <w:lang w:val="en-US"/>
              </w:rPr>
              <w:t>Civil Society, private initiative, multilateral or work groups</w:t>
            </w:r>
          </w:p>
        </w:tc>
        <w:tc>
          <w:tcPr>
            <w:tcW w:w="4785" w:type="dxa"/>
            <w:gridSpan w:val="4"/>
          </w:tcPr>
          <w:p w:rsidR="009E1946" w:rsidRPr="0095252E" w:rsidRDefault="009E1946" w:rsidP="009E1946">
            <w:pPr>
              <w:jc w:val="both"/>
              <w:rPr>
                <w:rFonts w:eastAsia="Calibri"/>
                <w:color w:val="000000"/>
                <w:lang w:val="en-US"/>
              </w:rPr>
            </w:pPr>
          </w:p>
        </w:tc>
      </w:tr>
      <w:tr w:rsidR="009E1946" w:rsidRPr="00003DBC" w:rsidTr="009E1946">
        <w:trPr>
          <w:gridAfter w:val="1"/>
          <w:wAfter w:w="10" w:type="dxa"/>
          <w:trHeight w:val="689"/>
        </w:trPr>
        <w:tc>
          <w:tcPr>
            <w:tcW w:w="4188" w:type="dxa"/>
            <w:gridSpan w:val="4"/>
            <w:shd w:val="clear" w:color="auto" w:fill="C6D9F1"/>
            <w:vAlign w:val="center"/>
          </w:tcPr>
          <w:p w:rsidR="009E1946" w:rsidRPr="0095252E" w:rsidRDefault="009E1946" w:rsidP="009E1946">
            <w:pPr>
              <w:rPr>
                <w:rFonts w:eastAsia="Calibri" w:cs="Gotham-Book"/>
                <w:b/>
                <w:color w:val="000000"/>
                <w:lang w:val="en-US"/>
              </w:rPr>
            </w:pPr>
            <w:r w:rsidRPr="0095252E">
              <w:rPr>
                <w:rFonts w:eastAsia="Calibri" w:cs="Gotham-Book"/>
                <w:b/>
                <w:color w:val="000000"/>
                <w:lang w:val="en-US"/>
              </w:rPr>
              <w:t>Status quo or problem/</w:t>
            </w:r>
            <w:r w:rsidRPr="0095252E">
              <w:rPr>
                <w:rFonts w:eastAsia="Calibri" w:cs="Gotham-Book"/>
                <w:b/>
                <w:color w:val="000000"/>
                <w:lang w:val="en-US"/>
              </w:rPr>
              <w:br/>
              <w:t>challenge to be attended</w:t>
            </w:r>
          </w:p>
        </w:tc>
        <w:tc>
          <w:tcPr>
            <w:tcW w:w="4788" w:type="dxa"/>
            <w:gridSpan w:val="4"/>
          </w:tcPr>
          <w:p w:rsidR="009E1946" w:rsidRPr="0095252E" w:rsidRDefault="009E1946" w:rsidP="009E1946">
            <w:pPr>
              <w:jc w:val="both"/>
              <w:rPr>
                <w:rFonts w:eastAsia="Calibri"/>
                <w:color w:val="000000"/>
                <w:lang w:val="en-US"/>
              </w:rPr>
            </w:pPr>
            <w:r w:rsidRPr="0095252E">
              <w:rPr>
                <w:rFonts w:eastAsia="Calibri"/>
                <w:color w:val="000000"/>
                <w:lang w:val="en-US"/>
              </w:rPr>
              <w:t xml:space="preserve">Currently, the participation of citizens, private entities and other public entities in the Plenary Agreements of the Supreme Court of the Republic falls to coordinator Supreme Spokesman, who is empowered to permit the participation of these parties. </w:t>
            </w:r>
          </w:p>
        </w:tc>
      </w:tr>
      <w:tr w:rsidR="009E1946" w:rsidRPr="00003DBC" w:rsidTr="009E1946">
        <w:trPr>
          <w:gridAfter w:val="1"/>
          <w:wAfter w:w="10" w:type="dxa"/>
          <w:trHeight w:val="459"/>
        </w:trPr>
        <w:tc>
          <w:tcPr>
            <w:tcW w:w="4188" w:type="dxa"/>
            <w:gridSpan w:val="4"/>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Main objective</w:t>
            </w:r>
          </w:p>
        </w:tc>
        <w:tc>
          <w:tcPr>
            <w:tcW w:w="4788" w:type="dxa"/>
            <w:gridSpan w:val="4"/>
          </w:tcPr>
          <w:p w:rsidR="009E1946" w:rsidRPr="0095252E" w:rsidRDefault="009E1946" w:rsidP="009E1946">
            <w:pPr>
              <w:jc w:val="both"/>
              <w:rPr>
                <w:rFonts w:eastAsia="Calibri"/>
                <w:bCs/>
                <w:lang w:val="en-US"/>
              </w:rPr>
            </w:pPr>
            <w:r w:rsidRPr="0095252E">
              <w:rPr>
                <w:rFonts w:eastAsia="Calibri"/>
                <w:bCs/>
                <w:lang w:val="en-US"/>
              </w:rPr>
              <w:t>Regulating and making official the participation of citizens, private entities and other public entities in the Plenary Agreements of the Supreme Court of the Republic.</w:t>
            </w:r>
          </w:p>
        </w:tc>
      </w:tr>
      <w:tr w:rsidR="009E1946" w:rsidRPr="00003DBC" w:rsidTr="009E1946">
        <w:trPr>
          <w:gridAfter w:val="1"/>
          <w:wAfter w:w="10" w:type="dxa"/>
          <w:trHeight w:val="344"/>
        </w:trPr>
        <w:tc>
          <w:tcPr>
            <w:tcW w:w="4188" w:type="dxa"/>
            <w:gridSpan w:val="4"/>
            <w:shd w:val="clear" w:color="auto" w:fill="C6D9F1"/>
            <w:vAlign w:val="center"/>
          </w:tcPr>
          <w:p w:rsidR="009E1946" w:rsidRPr="0095252E" w:rsidRDefault="009E1946" w:rsidP="009E1946">
            <w:pPr>
              <w:autoSpaceDE w:val="0"/>
              <w:autoSpaceDN w:val="0"/>
              <w:adjustRightInd w:val="0"/>
              <w:rPr>
                <w:rFonts w:eastAsia="Calibri" w:cs="Gotham-Book"/>
                <w:b/>
                <w:color w:val="000000"/>
                <w:lang w:val="en-US"/>
              </w:rPr>
            </w:pPr>
            <w:r w:rsidRPr="0095252E">
              <w:rPr>
                <w:rFonts w:eastAsia="Calibri" w:cs="Gotham-Book"/>
                <w:b/>
                <w:color w:val="000000"/>
                <w:lang w:val="en-US"/>
              </w:rPr>
              <w:t>Brief description of the commitment</w:t>
            </w:r>
          </w:p>
        </w:tc>
        <w:tc>
          <w:tcPr>
            <w:tcW w:w="4788" w:type="dxa"/>
            <w:gridSpan w:val="4"/>
          </w:tcPr>
          <w:p w:rsidR="009E1946" w:rsidRPr="0095252E" w:rsidRDefault="009E1946" w:rsidP="009E1946">
            <w:pPr>
              <w:jc w:val="both"/>
              <w:rPr>
                <w:rFonts w:eastAsia="Calibri"/>
                <w:color w:val="FF0000"/>
                <w:szCs w:val="20"/>
                <w:lang w:val="en-US"/>
              </w:rPr>
            </w:pPr>
            <w:r w:rsidRPr="0095252E">
              <w:rPr>
                <w:rFonts w:eastAsia="Calibri"/>
                <w:szCs w:val="20"/>
                <w:lang w:val="en-US"/>
              </w:rPr>
              <w:t xml:space="preserve">Making official and encouraging the participation of citizens and other public entities in the Plenary Agreements of the Supreme Court of the Republic. </w:t>
            </w:r>
          </w:p>
        </w:tc>
      </w:tr>
      <w:tr w:rsidR="009E1946" w:rsidRPr="00003DBC" w:rsidTr="009E1946">
        <w:trPr>
          <w:gridAfter w:val="1"/>
          <w:wAfter w:w="10" w:type="dxa"/>
          <w:trHeight w:val="344"/>
        </w:trPr>
        <w:tc>
          <w:tcPr>
            <w:tcW w:w="4188" w:type="dxa"/>
            <w:gridSpan w:val="4"/>
            <w:shd w:val="clear" w:color="auto" w:fill="C6D9F1"/>
            <w:vAlign w:val="center"/>
          </w:tcPr>
          <w:p w:rsidR="009E1946" w:rsidRPr="0095252E" w:rsidRDefault="009E1946" w:rsidP="009E1946">
            <w:pPr>
              <w:autoSpaceDE w:val="0"/>
              <w:autoSpaceDN w:val="0"/>
              <w:adjustRightInd w:val="0"/>
              <w:rPr>
                <w:rFonts w:eastAsia="Calibri" w:cs="Gotham-Book"/>
                <w:b/>
                <w:lang w:val="en-US"/>
              </w:rPr>
            </w:pPr>
            <w:r w:rsidRPr="0095252E">
              <w:rPr>
                <w:rFonts w:eastAsia="Calibri" w:cs="Gotham-Book"/>
                <w:b/>
                <w:lang w:val="en-US"/>
              </w:rPr>
              <w:t>Relevance</w:t>
            </w:r>
          </w:p>
          <w:p w:rsidR="009E1946" w:rsidRPr="0095252E" w:rsidRDefault="009E1946" w:rsidP="009E1946">
            <w:pPr>
              <w:autoSpaceDE w:val="0"/>
              <w:autoSpaceDN w:val="0"/>
              <w:adjustRightInd w:val="0"/>
              <w:rPr>
                <w:rFonts w:eastAsia="Calibri"/>
                <w:b/>
                <w:lang w:val="en-US"/>
              </w:rPr>
            </w:pPr>
          </w:p>
        </w:tc>
        <w:tc>
          <w:tcPr>
            <w:tcW w:w="4788" w:type="dxa"/>
            <w:gridSpan w:val="4"/>
          </w:tcPr>
          <w:p w:rsidR="009E1946" w:rsidRPr="0095252E" w:rsidRDefault="009E1946" w:rsidP="009E1946">
            <w:pPr>
              <w:jc w:val="both"/>
              <w:rPr>
                <w:rFonts w:eastAsia="Calibri"/>
                <w:szCs w:val="20"/>
                <w:lang w:val="en-US"/>
              </w:rPr>
            </w:pPr>
            <w:r w:rsidRPr="0095252E">
              <w:rPr>
                <w:rFonts w:eastAsia="Calibri"/>
                <w:szCs w:val="20"/>
                <w:lang w:val="en-US"/>
              </w:rPr>
              <w:t>The commitment contributes to permit and strengthen the civic activism in the Plenary Agreements of the Supreme Court.</w:t>
            </w:r>
          </w:p>
        </w:tc>
      </w:tr>
      <w:tr w:rsidR="009E1946" w:rsidRPr="00003DBC" w:rsidTr="009E1946">
        <w:trPr>
          <w:gridAfter w:val="1"/>
          <w:wAfter w:w="10" w:type="dxa"/>
          <w:trHeight w:val="371"/>
        </w:trPr>
        <w:tc>
          <w:tcPr>
            <w:tcW w:w="4188" w:type="dxa"/>
            <w:gridSpan w:val="4"/>
            <w:shd w:val="clear" w:color="auto" w:fill="C6D9F1"/>
            <w:vAlign w:val="center"/>
          </w:tcPr>
          <w:p w:rsidR="009E1946" w:rsidRPr="0095252E" w:rsidRDefault="009E1946" w:rsidP="009E1946">
            <w:pPr>
              <w:autoSpaceDE w:val="0"/>
              <w:autoSpaceDN w:val="0"/>
              <w:adjustRightInd w:val="0"/>
              <w:rPr>
                <w:rFonts w:eastAsia="Calibri" w:cs="Gotham-Book"/>
                <w:b/>
                <w:lang w:val="en-US"/>
              </w:rPr>
            </w:pPr>
            <w:r w:rsidRPr="0095252E">
              <w:rPr>
                <w:rFonts w:eastAsia="Calibri" w:cs="Gotham-Book"/>
                <w:b/>
                <w:lang w:val="en-US"/>
              </w:rPr>
              <w:t>Ambition</w:t>
            </w:r>
          </w:p>
          <w:p w:rsidR="009E1946" w:rsidRPr="0095252E" w:rsidRDefault="009E1946" w:rsidP="009E1946">
            <w:pPr>
              <w:autoSpaceDE w:val="0"/>
              <w:autoSpaceDN w:val="0"/>
              <w:adjustRightInd w:val="0"/>
              <w:rPr>
                <w:rFonts w:eastAsia="Calibri" w:cs="Gotham-BookItalic"/>
                <w:b/>
                <w:iCs/>
                <w:lang w:val="en-US"/>
              </w:rPr>
            </w:pPr>
          </w:p>
        </w:tc>
        <w:tc>
          <w:tcPr>
            <w:tcW w:w="4788" w:type="dxa"/>
            <w:gridSpan w:val="4"/>
          </w:tcPr>
          <w:p w:rsidR="009E1946" w:rsidRPr="0095252E" w:rsidRDefault="009E1946" w:rsidP="009E1946">
            <w:pPr>
              <w:jc w:val="both"/>
              <w:rPr>
                <w:rFonts w:eastAsia="Calibri"/>
                <w:szCs w:val="20"/>
                <w:lang w:val="en-US"/>
              </w:rPr>
            </w:pPr>
            <w:r w:rsidRPr="0095252E">
              <w:rPr>
                <w:rFonts w:eastAsia="Calibri"/>
                <w:szCs w:val="20"/>
                <w:lang w:val="en-US"/>
              </w:rPr>
              <w:t xml:space="preserve">A greater openness towards the citizens in the Plenary Agreements of the Supreme Court of the Judiciary is expected. </w:t>
            </w:r>
          </w:p>
        </w:tc>
      </w:tr>
      <w:tr w:rsidR="009E1946" w:rsidRPr="0095252E" w:rsidTr="009E1946">
        <w:trPr>
          <w:gridAfter w:val="2"/>
          <w:wAfter w:w="21" w:type="dxa"/>
          <w:trHeight w:val="105"/>
        </w:trPr>
        <w:tc>
          <w:tcPr>
            <w:tcW w:w="2499" w:type="dxa"/>
            <w:gridSpan w:val="2"/>
            <w:vMerge w:val="restart"/>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Compliance</w:t>
            </w:r>
          </w:p>
        </w:tc>
        <w:tc>
          <w:tcPr>
            <w:tcW w:w="1689" w:type="dxa"/>
            <w:gridSpan w:val="2"/>
            <w:shd w:val="clear" w:color="auto" w:fill="C6D9F1"/>
          </w:tcPr>
          <w:p w:rsidR="009E1946" w:rsidRPr="0095252E" w:rsidRDefault="00596BF3" w:rsidP="009E1946">
            <w:pPr>
              <w:jc w:val="center"/>
              <w:rPr>
                <w:rFonts w:eastAsia="Calibri"/>
                <w:b/>
                <w:color w:val="000000"/>
                <w:lang w:val="en-US"/>
              </w:rPr>
            </w:pPr>
            <w:r>
              <w:rPr>
                <w:rFonts w:eastAsia="Calibri" w:cs="Gotham-Book"/>
                <w:b/>
                <w:color w:val="000000"/>
                <w:lang w:val="en-US"/>
              </w:rPr>
              <w:t>Uninitiated</w:t>
            </w:r>
          </w:p>
        </w:tc>
        <w:tc>
          <w:tcPr>
            <w:tcW w:w="1714" w:type="dxa"/>
            <w:shd w:val="clear" w:color="auto" w:fill="C6D9F1"/>
          </w:tcPr>
          <w:p w:rsidR="009E1946" w:rsidRPr="0095252E" w:rsidRDefault="009E1946" w:rsidP="009E1946">
            <w:pPr>
              <w:jc w:val="center"/>
              <w:rPr>
                <w:rFonts w:eastAsia="Calibri"/>
                <w:b/>
                <w:color w:val="000000"/>
                <w:lang w:val="en-US"/>
              </w:rPr>
            </w:pPr>
            <w:r w:rsidRPr="0095252E">
              <w:rPr>
                <w:rFonts w:eastAsia="Calibri" w:cs="Gotham-Book"/>
                <w:b/>
                <w:color w:val="000000"/>
                <w:lang w:val="en-US"/>
              </w:rPr>
              <w:t>Limited</w:t>
            </w:r>
          </w:p>
        </w:tc>
        <w:tc>
          <w:tcPr>
            <w:tcW w:w="1627" w:type="dxa"/>
            <w:shd w:val="clear" w:color="auto" w:fill="C6D9F1"/>
          </w:tcPr>
          <w:p w:rsidR="009E1946" w:rsidRPr="0095252E" w:rsidRDefault="009E1946" w:rsidP="009E1946">
            <w:pPr>
              <w:jc w:val="center"/>
              <w:rPr>
                <w:rFonts w:eastAsia="Calibri"/>
                <w:b/>
                <w:color w:val="000000"/>
                <w:lang w:val="en-US"/>
              </w:rPr>
            </w:pPr>
            <w:r w:rsidRPr="0095252E">
              <w:rPr>
                <w:rFonts w:eastAsia="Calibri" w:cs="Gotham-Book"/>
                <w:b/>
                <w:color w:val="000000"/>
                <w:lang w:val="en-US"/>
              </w:rPr>
              <w:t>Substantial</w:t>
            </w:r>
          </w:p>
        </w:tc>
        <w:tc>
          <w:tcPr>
            <w:tcW w:w="1436" w:type="dxa"/>
            <w:shd w:val="clear" w:color="auto" w:fill="C6D9F1"/>
          </w:tcPr>
          <w:p w:rsidR="009E1946" w:rsidRPr="0095252E" w:rsidRDefault="009E1946" w:rsidP="009E1946">
            <w:pPr>
              <w:jc w:val="center"/>
              <w:rPr>
                <w:rFonts w:eastAsia="Calibri"/>
                <w:b/>
                <w:color w:val="000000"/>
                <w:lang w:val="en-US"/>
              </w:rPr>
            </w:pPr>
            <w:r w:rsidRPr="0095252E">
              <w:rPr>
                <w:rFonts w:eastAsia="Calibri" w:cs="Gotham-Book"/>
                <w:b/>
                <w:color w:val="000000"/>
                <w:lang w:val="en-US"/>
              </w:rPr>
              <w:t>Complete</w:t>
            </w:r>
          </w:p>
        </w:tc>
      </w:tr>
      <w:tr w:rsidR="009E1946" w:rsidRPr="0095252E" w:rsidTr="009E1946">
        <w:trPr>
          <w:gridAfter w:val="2"/>
          <w:wAfter w:w="21" w:type="dxa"/>
          <w:trHeight w:val="62"/>
        </w:trPr>
        <w:tc>
          <w:tcPr>
            <w:tcW w:w="2499" w:type="dxa"/>
            <w:gridSpan w:val="2"/>
            <w:vMerge/>
            <w:shd w:val="clear" w:color="auto" w:fill="C6D9F1"/>
            <w:vAlign w:val="center"/>
          </w:tcPr>
          <w:p w:rsidR="009E1946" w:rsidRPr="0095252E" w:rsidRDefault="009E1946" w:rsidP="009E1946">
            <w:pPr>
              <w:rPr>
                <w:rFonts w:eastAsia="Calibri"/>
                <w:b/>
                <w:color w:val="000000"/>
                <w:lang w:val="en-US"/>
              </w:rPr>
            </w:pPr>
          </w:p>
        </w:tc>
        <w:tc>
          <w:tcPr>
            <w:tcW w:w="1689" w:type="dxa"/>
            <w:gridSpan w:val="2"/>
          </w:tcPr>
          <w:p w:rsidR="009E1946" w:rsidRPr="0095252E" w:rsidRDefault="009E1946" w:rsidP="009E1946">
            <w:pPr>
              <w:jc w:val="center"/>
              <w:rPr>
                <w:rFonts w:eastAsia="Calibri"/>
                <w:b/>
                <w:color w:val="000000"/>
                <w:lang w:val="en-US"/>
              </w:rPr>
            </w:pPr>
            <w:r w:rsidRPr="0095252E">
              <w:rPr>
                <w:rFonts w:eastAsia="Calibri"/>
                <w:b/>
                <w:color w:val="000000"/>
                <w:lang w:val="en-US"/>
              </w:rPr>
              <w:t>X</w:t>
            </w:r>
          </w:p>
        </w:tc>
        <w:tc>
          <w:tcPr>
            <w:tcW w:w="1714" w:type="dxa"/>
          </w:tcPr>
          <w:p w:rsidR="009E1946" w:rsidRPr="0095252E" w:rsidRDefault="009E1946" w:rsidP="009E1946">
            <w:pPr>
              <w:jc w:val="center"/>
              <w:rPr>
                <w:rFonts w:eastAsia="Calibri"/>
                <w:b/>
                <w:color w:val="000000"/>
                <w:lang w:val="en-US"/>
              </w:rPr>
            </w:pPr>
          </w:p>
        </w:tc>
        <w:tc>
          <w:tcPr>
            <w:tcW w:w="1627" w:type="dxa"/>
          </w:tcPr>
          <w:p w:rsidR="009E1946" w:rsidRPr="0095252E" w:rsidRDefault="009E1946" w:rsidP="009E1946">
            <w:pPr>
              <w:jc w:val="center"/>
              <w:rPr>
                <w:rFonts w:eastAsia="Calibri"/>
                <w:b/>
                <w:color w:val="000000"/>
                <w:lang w:val="en-US"/>
              </w:rPr>
            </w:pPr>
          </w:p>
        </w:tc>
        <w:tc>
          <w:tcPr>
            <w:tcW w:w="1436" w:type="dxa"/>
            <w:shd w:val="clear" w:color="auto" w:fill="FFFFFF"/>
          </w:tcPr>
          <w:p w:rsidR="009E1946" w:rsidRPr="0095252E" w:rsidRDefault="009E1946" w:rsidP="009E1946">
            <w:pPr>
              <w:jc w:val="center"/>
              <w:rPr>
                <w:rFonts w:eastAsia="Calibri"/>
                <w:b/>
                <w:color w:val="000000"/>
                <w:lang w:val="en-US"/>
              </w:rPr>
            </w:pPr>
          </w:p>
        </w:tc>
      </w:tr>
      <w:tr w:rsidR="009E1946" w:rsidRPr="00003DBC" w:rsidTr="009E1946">
        <w:trPr>
          <w:gridAfter w:val="1"/>
          <w:wAfter w:w="10" w:type="dxa"/>
          <w:trHeight w:val="1272"/>
        </w:trPr>
        <w:tc>
          <w:tcPr>
            <w:tcW w:w="2499" w:type="dxa"/>
            <w:gridSpan w:val="2"/>
            <w:shd w:val="clear" w:color="auto" w:fill="C6D9F1"/>
            <w:vAlign w:val="center"/>
          </w:tcPr>
          <w:p w:rsidR="009E1946" w:rsidRPr="0095252E" w:rsidRDefault="009E1946" w:rsidP="009E1946">
            <w:pPr>
              <w:autoSpaceDE w:val="0"/>
              <w:autoSpaceDN w:val="0"/>
              <w:adjustRightInd w:val="0"/>
              <w:rPr>
                <w:rFonts w:eastAsia="Calibri" w:cs="Gotham-Book"/>
                <w:b/>
                <w:color w:val="000000"/>
                <w:lang w:val="en-US"/>
              </w:rPr>
            </w:pPr>
            <w:r w:rsidRPr="0095252E">
              <w:rPr>
                <w:rFonts w:eastAsia="Calibri" w:cs="Gotham-Book"/>
                <w:b/>
                <w:color w:val="000000"/>
                <w:lang w:val="en-US"/>
              </w:rPr>
              <w:t xml:space="preserve">Description of the </w:t>
            </w:r>
          </w:p>
          <w:p w:rsidR="009E1946" w:rsidRPr="0095252E" w:rsidRDefault="009E1946" w:rsidP="009E1946">
            <w:pPr>
              <w:autoSpaceDE w:val="0"/>
              <w:autoSpaceDN w:val="0"/>
              <w:adjustRightInd w:val="0"/>
              <w:rPr>
                <w:rFonts w:eastAsia="Calibri" w:cs="Gotham-Book"/>
                <w:b/>
                <w:color w:val="000000"/>
                <w:lang w:val="en-US"/>
              </w:rPr>
            </w:pPr>
            <w:r w:rsidRPr="0095252E">
              <w:rPr>
                <w:rFonts w:eastAsia="Calibri" w:cs="Gotham-Book"/>
                <w:b/>
                <w:color w:val="000000"/>
                <w:lang w:val="en-US"/>
              </w:rPr>
              <w:t>results</w:t>
            </w:r>
          </w:p>
          <w:p w:rsidR="009E1946" w:rsidRPr="0095252E" w:rsidRDefault="009E1946" w:rsidP="009E1946">
            <w:pPr>
              <w:autoSpaceDE w:val="0"/>
              <w:autoSpaceDN w:val="0"/>
              <w:adjustRightInd w:val="0"/>
              <w:rPr>
                <w:rFonts w:eastAsia="Calibri" w:cs="Gotham-BookItalic"/>
                <w:b/>
                <w:iCs/>
                <w:color w:val="000000"/>
                <w:lang w:val="en-US"/>
              </w:rPr>
            </w:pPr>
          </w:p>
        </w:tc>
        <w:tc>
          <w:tcPr>
            <w:tcW w:w="6477" w:type="dxa"/>
            <w:gridSpan w:val="6"/>
          </w:tcPr>
          <w:p w:rsidR="009E1946" w:rsidRPr="0095252E" w:rsidRDefault="009E1946" w:rsidP="009E1946">
            <w:pPr>
              <w:jc w:val="both"/>
              <w:rPr>
                <w:rFonts w:eastAsia="Calibri"/>
                <w:szCs w:val="20"/>
                <w:lang w:val="en-US"/>
              </w:rPr>
            </w:pPr>
            <w:r w:rsidRPr="0095252E">
              <w:rPr>
                <w:rFonts w:eastAsia="Calibri"/>
                <w:szCs w:val="20"/>
                <w:lang w:val="en-US"/>
              </w:rPr>
              <w:t>The following activities were considered:</w:t>
            </w:r>
          </w:p>
          <w:p w:rsidR="009E1946" w:rsidRPr="0095252E" w:rsidRDefault="009E1946" w:rsidP="009E1946">
            <w:pPr>
              <w:jc w:val="both"/>
              <w:rPr>
                <w:rFonts w:eastAsia="Calibri"/>
                <w:b/>
                <w:i/>
                <w:szCs w:val="20"/>
                <w:lang w:val="en-US"/>
              </w:rPr>
            </w:pPr>
            <w:r w:rsidRPr="0095252E">
              <w:rPr>
                <w:rFonts w:eastAsia="Calibri"/>
                <w:b/>
                <w:i/>
                <w:szCs w:val="20"/>
                <w:lang w:val="en-US"/>
              </w:rPr>
              <w:t>1. Finished Resolution Project regulating the civic activism in Plenary Agreement of the Supreme Court of the Republic.</w:t>
            </w:r>
          </w:p>
          <w:p w:rsidR="009E1946" w:rsidRPr="0095252E" w:rsidRDefault="009E1946" w:rsidP="009E1946">
            <w:pPr>
              <w:jc w:val="both"/>
              <w:rPr>
                <w:rFonts w:eastAsia="Calibri"/>
                <w:b/>
                <w:i/>
                <w:szCs w:val="20"/>
                <w:lang w:val="en-US"/>
              </w:rPr>
            </w:pPr>
            <w:r w:rsidRPr="0095252E">
              <w:rPr>
                <w:rFonts w:eastAsia="Calibri"/>
                <w:b/>
                <w:i/>
                <w:szCs w:val="20"/>
                <w:lang w:val="en-US"/>
              </w:rPr>
              <w:t>2. Pre-Publication of Resolution Project for citizens</w:t>
            </w:r>
            <w:r w:rsidR="00984751">
              <w:rPr>
                <w:rFonts w:eastAsia="Calibri"/>
                <w:b/>
                <w:i/>
                <w:szCs w:val="20"/>
                <w:lang w:val="en-US"/>
              </w:rPr>
              <w:t>’</w:t>
            </w:r>
            <w:r w:rsidRPr="0095252E">
              <w:rPr>
                <w:rFonts w:eastAsia="Calibri"/>
                <w:b/>
                <w:i/>
                <w:szCs w:val="20"/>
                <w:lang w:val="en-US"/>
              </w:rPr>
              <w:t xml:space="preserve"> commentaries.</w:t>
            </w:r>
          </w:p>
          <w:p w:rsidR="009E1946" w:rsidRPr="0095252E" w:rsidRDefault="009E1946" w:rsidP="009E1946">
            <w:pPr>
              <w:jc w:val="both"/>
              <w:rPr>
                <w:rFonts w:eastAsia="Calibri"/>
                <w:b/>
                <w:i/>
                <w:szCs w:val="20"/>
                <w:lang w:val="en-US"/>
              </w:rPr>
            </w:pPr>
            <w:r w:rsidRPr="0095252E">
              <w:rPr>
                <w:rFonts w:eastAsia="Calibri"/>
                <w:b/>
                <w:i/>
                <w:szCs w:val="20"/>
                <w:lang w:val="en-US"/>
              </w:rPr>
              <w:t xml:space="preserve">3. Publication of resolution approving the general contents in the official journal </w:t>
            </w:r>
            <w:r w:rsidR="00DA118E">
              <w:rPr>
                <w:rFonts w:eastAsia="Calibri"/>
                <w:b/>
                <w:i/>
                <w:szCs w:val="20"/>
                <w:lang w:val="en-US"/>
              </w:rPr>
              <w:t>“</w:t>
            </w:r>
            <w:r w:rsidRPr="0095252E">
              <w:rPr>
                <w:rFonts w:eastAsia="Calibri"/>
                <w:b/>
                <w:i/>
                <w:szCs w:val="20"/>
                <w:lang w:val="en-US"/>
              </w:rPr>
              <w:t xml:space="preserve">El </w:t>
            </w:r>
            <w:proofErr w:type="spellStart"/>
            <w:r w:rsidRPr="0095252E">
              <w:rPr>
                <w:rFonts w:eastAsia="Calibri"/>
                <w:b/>
                <w:i/>
                <w:szCs w:val="20"/>
                <w:lang w:val="en-US"/>
              </w:rPr>
              <w:t>Peruano</w:t>
            </w:r>
            <w:proofErr w:type="spellEnd"/>
            <w:r w:rsidR="00DA118E">
              <w:rPr>
                <w:rFonts w:eastAsia="Calibri"/>
                <w:b/>
                <w:i/>
                <w:szCs w:val="20"/>
                <w:lang w:val="en-US"/>
              </w:rPr>
              <w:t>”</w:t>
            </w:r>
            <w:r w:rsidRPr="0095252E">
              <w:rPr>
                <w:rFonts w:eastAsia="Calibri"/>
                <w:b/>
                <w:i/>
                <w:szCs w:val="20"/>
                <w:lang w:val="en-US"/>
              </w:rPr>
              <w:t xml:space="preserve">. </w:t>
            </w:r>
          </w:p>
          <w:p w:rsidR="009E1946" w:rsidRPr="0095252E" w:rsidRDefault="009E1946" w:rsidP="009E1946">
            <w:pPr>
              <w:jc w:val="both"/>
              <w:rPr>
                <w:rFonts w:eastAsia="Calibri"/>
                <w:color w:val="FF0000"/>
                <w:szCs w:val="20"/>
                <w:lang w:val="en-US"/>
              </w:rPr>
            </w:pPr>
          </w:p>
          <w:p w:rsidR="009E1946" w:rsidRPr="0095252E" w:rsidRDefault="009E1946" w:rsidP="009E1946">
            <w:pPr>
              <w:jc w:val="both"/>
              <w:rPr>
                <w:rFonts w:eastAsia="Calibri"/>
                <w:color w:val="000000"/>
                <w:lang w:val="en-US"/>
              </w:rPr>
            </w:pPr>
            <w:r w:rsidRPr="0095252E">
              <w:rPr>
                <w:rFonts w:eastAsia="Calibri"/>
                <w:color w:val="000000"/>
                <w:lang w:val="en-US"/>
              </w:rPr>
              <w:t>To this date, the Judiciary does not inform any progress in any activiti</w:t>
            </w:r>
            <w:r w:rsidR="00984751">
              <w:rPr>
                <w:rFonts w:eastAsia="Calibri"/>
                <w:color w:val="000000"/>
                <w:lang w:val="en-US"/>
              </w:rPr>
              <w:t>es by saying that their comple</w:t>
            </w:r>
            <w:r w:rsidRPr="0095252E">
              <w:rPr>
                <w:rFonts w:eastAsia="Calibri"/>
                <w:color w:val="000000"/>
                <w:lang w:val="en-US"/>
              </w:rPr>
              <w:t>tion has been rescheduled for October, 2016.</w:t>
            </w:r>
          </w:p>
          <w:p w:rsidR="009E1946" w:rsidRPr="0095252E" w:rsidRDefault="009E1946" w:rsidP="009E1946">
            <w:pPr>
              <w:jc w:val="both"/>
              <w:rPr>
                <w:rFonts w:eastAsia="Calibri"/>
                <w:color w:val="000000"/>
                <w:lang w:val="en-US"/>
              </w:rPr>
            </w:pPr>
            <w:r w:rsidRPr="0095252E">
              <w:rPr>
                <w:rFonts w:eastAsia="Calibri"/>
                <w:color w:val="000000"/>
                <w:lang w:val="en-US"/>
              </w:rPr>
              <w:t>Source: Official letter No. 5582-2016-SG-CS-PJ</w:t>
            </w:r>
          </w:p>
        </w:tc>
      </w:tr>
      <w:tr w:rsidR="009E1946" w:rsidRPr="0095252E" w:rsidTr="009E1946">
        <w:trPr>
          <w:gridAfter w:val="1"/>
          <w:wAfter w:w="10" w:type="dxa"/>
          <w:trHeight w:val="105"/>
        </w:trPr>
        <w:tc>
          <w:tcPr>
            <w:tcW w:w="2499" w:type="dxa"/>
            <w:gridSpan w:val="2"/>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lastRenderedPageBreak/>
              <w:t>Conclusion Date</w:t>
            </w:r>
          </w:p>
        </w:tc>
        <w:tc>
          <w:tcPr>
            <w:tcW w:w="6477" w:type="dxa"/>
            <w:gridSpan w:val="6"/>
          </w:tcPr>
          <w:p w:rsidR="009E1946" w:rsidRPr="0095252E" w:rsidRDefault="009E1946" w:rsidP="009E1946">
            <w:pPr>
              <w:jc w:val="both"/>
              <w:rPr>
                <w:rFonts w:eastAsia="Calibri"/>
                <w:color w:val="000000"/>
                <w:lang w:val="en-US"/>
              </w:rPr>
            </w:pPr>
            <w:r w:rsidRPr="0095252E">
              <w:rPr>
                <w:rFonts w:eastAsia="Calibri"/>
                <w:color w:val="000000"/>
                <w:lang w:val="en-US"/>
              </w:rPr>
              <w:t xml:space="preserve">October 2016 </w:t>
            </w:r>
          </w:p>
        </w:tc>
      </w:tr>
      <w:tr w:rsidR="009E1946" w:rsidRPr="00003DBC" w:rsidTr="009E1946">
        <w:trPr>
          <w:gridAfter w:val="1"/>
          <w:wAfter w:w="10" w:type="dxa"/>
          <w:trHeight w:val="114"/>
        </w:trPr>
        <w:tc>
          <w:tcPr>
            <w:tcW w:w="2499" w:type="dxa"/>
            <w:gridSpan w:val="2"/>
            <w:shd w:val="clear" w:color="auto" w:fill="C6D9F1"/>
            <w:vAlign w:val="center"/>
          </w:tcPr>
          <w:p w:rsidR="009E1946" w:rsidRPr="0095252E" w:rsidRDefault="009E1946" w:rsidP="009E1946">
            <w:pPr>
              <w:rPr>
                <w:rFonts w:eastAsia="Calibri"/>
                <w:b/>
                <w:color w:val="000000"/>
                <w:lang w:val="en-US"/>
              </w:rPr>
            </w:pPr>
            <w:r w:rsidRPr="0095252E">
              <w:rPr>
                <w:rFonts w:eastAsia="Calibri"/>
                <w:b/>
                <w:color w:val="000000"/>
                <w:lang w:val="en-US"/>
              </w:rPr>
              <w:t>Next steps</w:t>
            </w:r>
          </w:p>
        </w:tc>
        <w:tc>
          <w:tcPr>
            <w:tcW w:w="6477" w:type="dxa"/>
            <w:gridSpan w:val="6"/>
          </w:tcPr>
          <w:p w:rsidR="009E1946" w:rsidRPr="0095252E" w:rsidRDefault="009E1946" w:rsidP="009E1946">
            <w:pPr>
              <w:jc w:val="both"/>
              <w:rPr>
                <w:rFonts w:eastAsia="Calibri"/>
                <w:color w:val="000000"/>
                <w:lang w:val="en-US"/>
              </w:rPr>
            </w:pPr>
            <w:r w:rsidRPr="0095252E">
              <w:rPr>
                <w:rFonts w:eastAsia="Calibri"/>
                <w:color w:val="000000"/>
                <w:lang w:val="en-US"/>
              </w:rPr>
              <w:t>To start activities implementing the commitment</w:t>
            </w:r>
          </w:p>
        </w:tc>
      </w:tr>
      <w:tr w:rsidR="009E1946" w:rsidRPr="0095252E" w:rsidTr="009E1946">
        <w:trPr>
          <w:trHeight w:val="229"/>
        </w:trPr>
        <w:tc>
          <w:tcPr>
            <w:tcW w:w="8986" w:type="dxa"/>
            <w:gridSpan w:val="9"/>
          </w:tcPr>
          <w:p w:rsidR="009E1946" w:rsidRPr="0095252E" w:rsidRDefault="009E1946" w:rsidP="009E1946">
            <w:pPr>
              <w:jc w:val="both"/>
              <w:rPr>
                <w:rFonts w:eastAsia="Calibri"/>
                <w:color w:val="000000"/>
                <w:lang w:val="en-US"/>
              </w:rPr>
            </w:pPr>
            <w:r w:rsidRPr="0095252E">
              <w:rPr>
                <w:rFonts w:eastAsia="Calibri" w:cs="Gotham-Book"/>
                <w:b/>
                <w:color w:val="000000"/>
                <w:lang w:val="en-US"/>
              </w:rPr>
              <w:t>Additional information</w:t>
            </w:r>
          </w:p>
        </w:tc>
      </w:tr>
      <w:tr w:rsidR="009E1946" w:rsidRPr="0095252E" w:rsidTr="009E1946">
        <w:trPr>
          <w:trHeight w:val="94"/>
        </w:trPr>
        <w:tc>
          <w:tcPr>
            <w:tcW w:w="8986" w:type="dxa"/>
            <w:gridSpan w:val="9"/>
          </w:tcPr>
          <w:p w:rsidR="009E1946" w:rsidRPr="0095252E" w:rsidRDefault="009E1946" w:rsidP="009E1946">
            <w:pPr>
              <w:jc w:val="both"/>
              <w:rPr>
                <w:rFonts w:eastAsia="Calibri" w:cs="Gotham-Book"/>
                <w:b/>
                <w:color w:val="000000"/>
                <w:lang w:val="en-US"/>
              </w:rPr>
            </w:pPr>
          </w:p>
        </w:tc>
      </w:tr>
    </w:tbl>
    <w:p w:rsidR="00984751" w:rsidRDefault="00984751" w:rsidP="009E1946">
      <w:pPr>
        <w:ind w:firstLine="708"/>
        <w:rPr>
          <w:rFonts w:ascii="Calibri" w:eastAsia="Calibri" w:hAnsi="Calibri" w:cs="Times New Roman"/>
          <w:lang w:val="en-US"/>
        </w:rPr>
      </w:pPr>
    </w:p>
    <w:p w:rsidR="00984751" w:rsidRDefault="00984751">
      <w:pPr>
        <w:rPr>
          <w:rFonts w:ascii="Calibri" w:eastAsia="Calibri" w:hAnsi="Calibri" w:cs="Times New Roman"/>
          <w:lang w:val="en-US"/>
        </w:rPr>
      </w:pPr>
      <w:r>
        <w:rPr>
          <w:rFonts w:ascii="Calibri" w:eastAsia="Calibri" w:hAnsi="Calibri" w:cs="Times New Roman"/>
          <w:lang w:val="en-US"/>
        </w:rPr>
        <w:br w:type="page"/>
      </w:r>
    </w:p>
    <w:p w:rsidR="009E1946" w:rsidRPr="0095252E" w:rsidRDefault="009E1946" w:rsidP="009E1946">
      <w:pPr>
        <w:ind w:firstLine="708"/>
        <w:rPr>
          <w:rFonts w:ascii="Calibri" w:eastAsia="Calibri" w:hAnsi="Calibri" w:cs="Times New Roman"/>
          <w:lang w:val="en-US"/>
        </w:rPr>
      </w:pPr>
    </w:p>
    <w:tbl>
      <w:tblPr>
        <w:tblStyle w:val="Tablaconcuadrcula1"/>
        <w:tblW w:w="9039" w:type="dxa"/>
        <w:tblLayout w:type="fixed"/>
        <w:tblLook w:val="04A0" w:firstRow="1" w:lastRow="0" w:firstColumn="1" w:lastColumn="0" w:noHBand="0" w:noVBand="1"/>
      </w:tblPr>
      <w:tblGrid>
        <w:gridCol w:w="2109"/>
        <w:gridCol w:w="409"/>
        <w:gridCol w:w="1701"/>
        <w:gridCol w:w="1729"/>
        <w:gridCol w:w="1644"/>
        <w:gridCol w:w="1447"/>
      </w:tblGrid>
      <w:tr w:rsidR="009E1946" w:rsidRPr="0095252E" w:rsidTr="009E1946">
        <w:tc>
          <w:tcPr>
            <w:tcW w:w="9039" w:type="dxa"/>
            <w:gridSpan w:val="6"/>
            <w:shd w:val="clear" w:color="auto" w:fill="548DD4"/>
          </w:tcPr>
          <w:p w:rsidR="009E1946" w:rsidRPr="0095252E" w:rsidRDefault="009E1946" w:rsidP="009E1946">
            <w:pPr>
              <w:ind w:left="360"/>
              <w:jc w:val="center"/>
              <w:rPr>
                <w:rFonts w:eastAsia="Calibri"/>
                <w:b/>
                <w:lang w:val="en-US"/>
              </w:rPr>
            </w:pPr>
            <w:r w:rsidRPr="0095252E">
              <w:rPr>
                <w:rFonts w:eastAsia="Calibri"/>
                <w:b/>
                <w:lang w:val="en-US"/>
              </w:rPr>
              <w:t>Component: Reporting</w:t>
            </w:r>
          </w:p>
        </w:tc>
      </w:tr>
      <w:tr w:rsidR="009E1946" w:rsidRPr="00003DBC" w:rsidTr="009E1946">
        <w:tc>
          <w:tcPr>
            <w:tcW w:w="9039" w:type="dxa"/>
            <w:gridSpan w:val="6"/>
            <w:shd w:val="clear" w:color="auto" w:fill="548DD4"/>
          </w:tcPr>
          <w:p w:rsidR="009E1946" w:rsidRPr="0095252E" w:rsidRDefault="009E1946" w:rsidP="009E1946">
            <w:pPr>
              <w:ind w:left="360"/>
              <w:jc w:val="center"/>
              <w:rPr>
                <w:rFonts w:eastAsia="Calibri"/>
                <w:b/>
                <w:color w:val="000000"/>
                <w:lang w:val="en-US"/>
              </w:rPr>
            </w:pPr>
            <w:r w:rsidRPr="0095252E">
              <w:rPr>
                <w:rFonts w:eastAsia="Calibri"/>
                <w:b/>
                <w:color w:val="000000"/>
                <w:u w:val="single"/>
                <w:lang w:val="en-US"/>
              </w:rPr>
              <w:t>Commitment 11</w:t>
            </w:r>
            <w:r w:rsidRPr="0095252E">
              <w:rPr>
                <w:rFonts w:eastAsia="Calibri"/>
                <w:b/>
                <w:color w:val="000000"/>
                <w:lang w:val="en-US"/>
              </w:rPr>
              <w:t>. Understandable Information on Public Entity Heads Reporting</w:t>
            </w:r>
          </w:p>
        </w:tc>
      </w:tr>
      <w:tr w:rsidR="009E1946" w:rsidRPr="00003DBC" w:rsidTr="009E1946">
        <w:tc>
          <w:tcPr>
            <w:tcW w:w="4219" w:type="dxa"/>
            <w:gridSpan w:val="3"/>
            <w:shd w:val="clear" w:color="auto" w:fill="C6D9F1"/>
            <w:vAlign w:val="center"/>
          </w:tcPr>
          <w:p w:rsidR="009E1946" w:rsidRPr="0095252E" w:rsidRDefault="009E1946" w:rsidP="009E1946">
            <w:pPr>
              <w:rPr>
                <w:rFonts w:eastAsia="Calibri"/>
                <w:b/>
                <w:color w:val="000000"/>
                <w:lang w:val="en-US"/>
              </w:rPr>
            </w:pPr>
            <w:r w:rsidRPr="0095252E">
              <w:rPr>
                <w:rFonts w:ascii="Calibri" w:eastAsia="Calibri" w:hAnsi="Calibri" w:cs="Times New Roman"/>
                <w:b/>
                <w:lang w:val="en-US"/>
              </w:rPr>
              <w:t>Secretariat/Ministry in charge</w:t>
            </w:r>
          </w:p>
        </w:tc>
        <w:tc>
          <w:tcPr>
            <w:tcW w:w="4820" w:type="dxa"/>
            <w:gridSpan w:val="3"/>
          </w:tcPr>
          <w:p w:rsidR="009E1946" w:rsidRPr="0095252E" w:rsidRDefault="009E1946" w:rsidP="009E1946">
            <w:pPr>
              <w:jc w:val="both"/>
              <w:rPr>
                <w:rFonts w:eastAsia="Calibri"/>
                <w:color w:val="000000"/>
                <w:lang w:val="en-US"/>
              </w:rPr>
            </w:pPr>
            <w:r w:rsidRPr="0095252E">
              <w:rPr>
                <w:rFonts w:eastAsia="Calibri"/>
                <w:color w:val="000000"/>
                <w:lang w:val="en-US"/>
              </w:rPr>
              <w:t>General Comptroller’s Office of the Republic</w:t>
            </w:r>
          </w:p>
        </w:tc>
      </w:tr>
      <w:tr w:rsidR="009E1946" w:rsidRPr="0095252E" w:rsidTr="009E1946">
        <w:tc>
          <w:tcPr>
            <w:tcW w:w="4219" w:type="dxa"/>
            <w:gridSpan w:val="3"/>
            <w:shd w:val="clear" w:color="auto" w:fill="C6D9F1"/>
            <w:vAlign w:val="center"/>
          </w:tcPr>
          <w:p w:rsidR="009E1946" w:rsidRPr="0095252E" w:rsidRDefault="009E1946" w:rsidP="009E1946">
            <w:pPr>
              <w:autoSpaceDE w:val="0"/>
              <w:autoSpaceDN w:val="0"/>
              <w:adjustRightInd w:val="0"/>
              <w:rPr>
                <w:rFonts w:eastAsia="Calibri" w:cs="Gotham-Book"/>
                <w:b/>
                <w:color w:val="000000"/>
                <w:lang w:val="en-US"/>
              </w:rPr>
            </w:pPr>
            <w:r w:rsidRPr="0095252E">
              <w:rPr>
                <w:rFonts w:ascii="Calibri" w:eastAsia="Calibri" w:hAnsi="Calibri" w:cs="Times New Roman"/>
                <w:b/>
                <w:lang w:val="en-US"/>
              </w:rPr>
              <w:t>Name of the person in charge</w:t>
            </w:r>
          </w:p>
        </w:tc>
        <w:tc>
          <w:tcPr>
            <w:tcW w:w="4820" w:type="dxa"/>
            <w:gridSpan w:val="3"/>
          </w:tcPr>
          <w:p w:rsidR="009E1946" w:rsidRPr="0095252E" w:rsidRDefault="009E1946" w:rsidP="009E1946">
            <w:pPr>
              <w:jc w:val="both"/>
              <w:rPr>
                <w:rFonts w:eastAsia="Calibri"/>
                <w:color w:val="000000"/>
                <w:lang w:val="en-US"/>
              </w:rPr>
            </w:pPr>
            <w:r w:rsidRPr="0095252E">
              <w:rPr>
                <w:rFonts w:eastAsia="Calibri"/>
                <w:color w:val="000000"/>
                <w:lang w:val="en-US"/>
              </w:rPr>
              <w:t>Edgar Arnold Alarcon Tejada</w:t>
            </w:r>
          </w:p>
        </w:tc>
      </w:tr>
      <w:tr w:rsidR="009E1946" w:rsidRPr="00003DBC" w:rsidTr="009E1946">
        <w:tc>
          <w:tcPr>
            <w:tcW w:w="4219" w:type="dxa"/>
            <w:gridSpan w:val="3"/>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Position</w:t>
            </w:r>
          </w:p>
        </w:tc>
        <w:tc>
          <w:tcPr>
            <w:tcW w:w="4820" w:type="dxa"/>
            <w:gridSpan w:val="3"/>
          </w:tcPr>
          <w:p w:rsidR="009E1946" w:rsidRPr="0095252E" w:rsidRDefault="009E1946" w:rsidP="009E1946">
            <w:pPr>
              <w:jc w:val="both"/>
              <w:rPr>
                <w:rFonts w:eastAsia="Calibri"/>
                <w:color w:val="000000"/>
                <w:lang w:val="en-US"/>
              </w:rPr>
            </w:pPr>
            <w:r w:rsidRPr="0095252E">
              <w:rPr>
                <w:rFonts w:eastAsia="Calibri"/>
                <w:color w:val="000000"/>
                <w:lang w:val="en-US"/>
              </w:rPr>
              <w:t>General Comptroller of the Republic</w:t>
            </w:r>
          </w:p>
        </w:tc>
      </w:tr>
      <w:tr w:rsidR="009E1946" w:rsidRPr="0095252E" w:rsidTr="009E1946">
        <w:tc>
          <w:tcPr>
            <w:tcW w:w="4219" w:type="dxa"/>
            <w:gridSpan w:val="3"/>
            <w:shd w:val="clear" w:color="auto" w:fill="C6D9F1"/>
            <w:vAlign w:val="center"/>
          </w:tcPr>
          <w:p w:rsidR="009E1946" w:rsidRPr="0095252E" w:rsidRDefault="009E1946" w:rsidP="009E1946">
            <w:pPr>
              <w:autoSpaceDE w:val="0"/>
              <w:autoSpaceDN w:val="0"/>
              <w:adjustRightInd w:val="0"/>
              <w:rPr>
                <w:rFonts w:eastAsia="Calibri" w:cs="Gotham-Book"/>
                <w:b/>
                <w:color w:val="000000"/>
                <w:lang w:val="en-US"/>
              </w:rPr>
            </w:pPr>
            <w:r w:rsidRPr="0095252E">
              <w:rPr>
                <w:rFonts w:eastAsia="Calibri" w:cs="Gotham-Book"/>
                <w:b/>
                <w:color w:val="000000"/>
                <w:lang w:val="en-US"/>
              </w:rPr>
              <w:t>E-mail</w:t>
            </w:r>
          </w:p>
        </w:tc>
        <w:tc>
          <w:tcPr>
            <w:tcW w:w="4820" w:type="dxa"/>
            <w:gridSpan w:val="3"/>
          </w:tcPr>
          <w:p w:rsidR="009E1946" w:rsidRPr="0095252E" w:rsidRDefault="002C33FD" w:rsidP="009E1946">
            <w:pPr>
              <w:jc w:val="both"/>
              <w:rPr>
                <w:rFonts w:eastAsia="Calibri"/>
                <w:color w:val="0000FF"/>
                <w:u w:val="single"/>
                <w:lang w:val="en-US"/>
              </w:rPr>
            </w:pPr>
            <w:hyperlink r:id="rId26" w:history="1">
              <w:r w:rsidR="009E1946" w:rsidRPr="0095252E">
                <w:rPr>
                  <w:rFonts w:eastAsia="Calibri"/>
                  <w:color w:val="0000FF"/>
                  <w:u w:val="single"/>
                  <w:lang w:val="en-US"/>
                </w:rPr>
                <w:t>ealarcon@contraloria.gob.pe</w:t>
              </w:r>
            </w:hyperlink>
          </w:p>
        </w:tc>
      </w:tr>
      <w:tr w:rsidR="009E1946" w:rsidRPr="0095252E" w:rsidTr="009E1946">
        <w:tc>
          <w:tcPr>
            <w:tcW w:w="4219" w:type="dxa"/>
            <w:gridSpan w:val="3"/>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Telephone</w:t>
            </w:r>
          </w:p>
        </w:tc>
        <w:tc>
          <w:tcPr>
            <w:tcW w:w="4820" w:type="dxa"/>
            <w:gridSpan w:val="3"/>
          </w:tcPr>
          <w:p w:rsidR="009E1946" w:rsidRPr="0095252E" w:rsidRDefault="009E1946" w:rsidP="009E1946">
            <w:pPr>
              <w:jc w:val="both"/>
              <w:rPr>
                <w:rFonts w:eastAsia="Calibri"/>
                <w:color w:val="000000"/>
                <w:lang w:val="en-US"/>
              </w:rPr>
            </w:pPr>
            <w:r w:rsidRPr="0095252E">
              <w:rPr>
                <w:rFonts w:eastAsia="Calibri"/>
                <w:color w:val="000000"/>
                <w:lang w:val="en-US"/>
              </w:rPr>
              <w:t>51-1- 3303000</w:t>
            </w:r>
          </w:p>
        </w:tc>
      </w:tr>
      <w:tr w:rsidR="009E1946" w:rsidRPr="0095252E" w:rsidTr="009E1946">
        <w:tc>
          <w:tcPr>
            <w:tcW w:w="2109" w:type="dxa"/>
            <w:vMerge w:val="restart"/>
            <w:shd w:val="clear" w:color="auto" w:fill="C6D9F1"/>
            <w:vAlign w:val="center"/>
          </w:tcPr>
          <w:p w:rsidR="009E1946" w:rsidRPr="0095252E" w:rsidRDefault="00596BF3" w:rsidP="009E1946">
            <w:pPr>
              <w:rPr>
                <w:rFonts w:eastAsia="Calibri" w:cs="Gotham-Book"/>
                <w:b/>
                <w:color w:val="000000"/>
                <w:lang w:val="en-US"/>
              </w:rPr>
            </w:pPr>
            <w:r>
              <w:rPr>
                <w:rFonts w:eastAsia="Calibri" w:cs="Gotham-Book"/>
                <w:b/>
                <w:color w:val="000000"/>
                <w:lang w:val="en-US"/>
              </w:rPr>
              <w:t>Other parties involved</w:t>
            </w:r>
          </w:p>
        </w:tc>
        <w:tc>
          <w:tcPr>
            <w:tcW w:w="2110" w:type="dxa"/>
            <w:gridSpan w:val="2"/>
            <w:shd w:val="clear" w:color="auto" w:fill="C6D9F1"/>
            <w:vAlign w:val="center"/>
          </w:tcPr>
          <w:p w:rsidR="009E1946" w:rsidRPr="0095252E" w:rsidRDefault="009E1946" w:rsidP="009E1946">
            <w:pPr>
              <w:rPr>
                <w:rFonts w:eastAsia="Calibri" w:cs="Gotham-Book"/>
                <w:b/>
                <w:color w:val="000000"/>
                <w:lang w:val="en-US"/>
              </w:rPr>
            </w:pPr>
            <w:r w:rsidRPr="0095252E">
              <w:rPr>
                <w:rFonts w:eastAsia="Calibri" w:cs="Gotham-Book"/>
                <w:b/>
                <w:color w:val="000000"/>
                <w:lang w:val="en-US"/>
              </w:rPr>
              <w:t>Government</w:t>
            </w:r>
          </w:p>
        </w:tc>
        <w:tc>
          <w:tcPr>
            <w:tcW w:w="4820" w:type="dxa"/>
            <w:gridSpan w:val="3"/>
          </w:tcPr>
          <w:p w:rsidR="009E1946" w:rsidRPr="0095252E" w:rsidRDefault="009E1946" w:rsidP="009E1946">
            <w:pPr>
              <w:jc w:val="both"/>
              <w:rPr>
                <w:rFonts w:eastAsia="Calibri"/>
                <w:color w:val="000000"/>
                <w:lang w:val="en-US"/>
              </w:rPr>
            </w:pPr>
            <w:r w:rsidRPr="0095252E">
              <w:rPr>
                <w:rFonts w:eastAsia="Calibri"/>
                <w:color w:val="000000"/>
                <w:lang w:val="en-US"/>
              </w:rPr>
              <w:t>NOT APPLICABLE</w:t>
            </w:r>
          </w:p>
        </w:tc>
      </w:tr>
      <w:tr w:rsidR="009E1946" w:rsidRPr="00003DBC" w:rsidTr="009E1946">
        <w:tc>
          <w:tcPr>
            <w:tcW w:w="2109" w:type="dxa"/>
            <w:vMerge/>
            <w:shd w:val="clear" w:color="auto" w:fill="C6D9F1"/>
            <w:vAlign w:val="center"/>
          </w:tcPr>
          <w:p w:rsidR="009E1946" w:rsidRPr="0095252E" w:rsidRDefault="009E1946" w:rsidP="009E1946">
            <w:pPr>
              <w:rPr>
                <w:rFonts w:eastAsia="Calibri" w:cs="Gotham-Book"/>
                <w:b/>
                <w:color w:val="000000"/>
                <w:lang w:val="en-US"/>
              </w:rPr>
            </w:pPr>
          </w:p>
        </w:tc>
        <w:tc>
          <w:tcPr>
            <w:tcW w:w="2110" w:type="dxa"/>
            <w:gridSpan w:val="2"/>
            <w:shd w:val="clear" w:color="auto" w:fill="C6D9F1"/>
            <w:vAlign w:val="center"/>
          </w:tcPr>
          <w:p w:rsidR="009E1946" w:rsidRPr="0095252E" w:rsidRDefault="009E1946" w:rsidP="009E1946">
            <w:pPr>
              <w:rPr>
                <w:rFonts w:eastAsia="Calibri" w:cs="Gotham-Book"/>
                <w:b/>
                <w:color w:val="000000"/>
                <w:lang w:val="en-US"/>
              </w:rPr>
            </w:pPr>
            <w:r w:rsidRPr="0095252E">
              <w:rPr>
                <w:rFonts w:eastAsia="Calibri" w:cs="Gotham-Book"/>
                <w:b/>
                <w:color w:val="000000"/>
                <w:lang w:val="en-US"/>
              </w:rPr>
              <w:t>Civil Society, private initiative, multilateral or work groups</w:t>
            </w:r>
          </w:p>
        </w:tc>
        <w:tc>
          <w:tcPr>
            <w:tcW w:w="4820" w:type="dxa"/>
            <w:gridSpan w:val="3"/>
          </w:tcPr>
          <w:p w:rsidR="009E1946" w:rsidRPr="0095252E" w:rsidRDefault="009E1946" w:rsidP="009E1946">
            <w:pPr>
              <w:jc w:val="both"/>
              <w:rPr>
                <w:rFonts w:eastAsia="Calibri"/>
                <w:color w:val="000000"/>
                <w:lang w:val="en-US"/>
              </w:rPr>
            </w:pPr>
          </w:p>
          <w:p w:rsidR="009E1946" w:rsidRPr="0095252E" w:rsidRDefault="009E1946" w:rsidP="009E1946">
            <w:pPr>
              <w:jc w:val="both"/>
              <w:rPr>
                <w:rFonts w:eastAsia="Calibri"/>
                <w:color w:val="000000"/>
                <w:lang w:val="en-US"/>
              </w:rPr>
            </w:pPr>
          </w:p>
          <w:p w:rsidR="009E1946" w:rsidRPr="0095252E" w:rsidRDefault="009E1946" w:rsidP="009E1946">
            <w:pPr>
              <w:jc w:val="both"/>
              <w:rPr>
                <w:rFonts w:eastAsia="Calibri"/>
                <w:color w:val="000000"/>
                <w:lang w:val="en-US"/>
              </w:rPr>
            </w:pPr>
          </w:p>
          <w:p w:rsidR="009E1946" w:rsidRPr="0095252E" w:rsidRDefault="009E1946" w:rsidP="009E1946">
            <w:pPr>
              <w:jc w:val="both"/>
              <w:rPr>
                <w:rFonts w:eastAsia="Calibri"/>
                <w:color w:val="000000"/>
                <w:lang w:val="en-US"/>
              </w:rPr>
            </w:pPr>
          </w:p>
          <w:p w:rsidR="009E1946" w:rsidRPr="0095252E" w:rsidRDefault="009E1946" w:rsidP="009E1946">
            <w:pPr>
              <w:jc w:val="both"/>
              <w:rPr>
                <w:rFonts w:eastAsia="Calibri"/>
                <w:color w:val="000000"/>
                <w:lang w:val="en-US"/>
              </w:rPr>
            </w:pPr>
          </w:p>
        </w:tc>
      </w:tr>
      <w:tr w:rsidR="009E1946" w:rsidRPr="00003DBC" w:rsidTr="009E1946">
        <w:tc>
          <w:tcPr>
            <w:tcW w:w="4219" w:type="dxa"/>
            <w:gridSpan w:val="3"/>
            <w:shd w:val="clear" w:color="auto" w:fill="C6D9F1"/>
            <w:vAlign w:val="center"/>
          </w:tcPr>
          <w:p w:rsidR="009E1946" w:rsidRPr="0095252E" w:rsidRDefault="009E1946" w:rsidP="009E1946">
            <w:pPr>
              <w:rPr>
                <w:rFonts w:eastAsia="Calibri" w:cs="Gotham-Book"/>
                <w:b/>
                <w:color w:val="000000"/>
                <w:lang w:val="en-US"/>
              </w:rPr>
            </w:pPr>
            <w:r w:rsidRPr="0095252E">
              <w:rPr>
                <w:rFonts w:eastAsia="Calibri" w:cs="Gotham-Book"/>
                <w:b/>
                <w:color w:val="000000"/>
                <w:lang w:val="en-US"/>
              </w:rPr>
              <w:t>Status quo or problem/</w:t>
            </w:r>
            <w:r w:rsidRPr="0095252E">
              <w:rPr>
                <w:rFonts w:eastAsia="Calibri" w:cs="Gotham-Book"/>
                <w:b/>
                <w:color w:val="000000"/>
                <w:lang w:val="en-US"/>
              </w:rPr>
              <w:br/>
              <w:t>challenge to be attended</w:t>
            </w:r>
          </w:p>
        </w:tc>
        <w:tc>
          <w:tcPr>
            <w:tcW w:w="4820" w:type="dxa"/>
            <w:gridSpan w:val="3"/>
          </w:tcPr>
          <w:p w:rsidR="009E1946" w:rsidRPr="0095252E" w:rsidRDefault="009E1946" w:rsidP="009E1946">
            <w:pPr>
              <w:autoSpaceDE w:val="0"/>
              <w:autoSpaceDN w:val="0"/>
              <w:adjustRightInd w:val="0"/>
              <w:jc w:val="both"/>
              <w:rPr>
                <w:rFonts w:eastAsia="Calibri" w:cs="Calibri"/>
                <w:color w:val="000000"/>
                <w:lang w:val="en-US"/>
              </w:rPr>
            </w:pPr>
            <w:r w:rsidRPr="0095252E">
              <w:rPr>
                <w:rFonts w:eastAsia="Calibri" w:cs="Calibri"/>
                <w:color w:val="000000"/>
                <w:lang w:val="en-US"/>
              </w:rPr>
              <w:t xml:space="preserve">It is noted that it is required that the information contained in the reporting of public entities heads is submitted in better-understanding formats responding to the citizens’ requirements and needs for the engagement in social control and tasks regarding control. </w:t>
            </w:r>
          </w:p>
        </w:tc>
      </w:tr>
      <w:tr w:rsidR="009E1946" w:rsidRPr="00003DBC" w:rsidTr="009E1946">
        <w:tc>
          <w:tcPr>
            <w:tcW w:w="4219" w:type="dxa"/>
            <w:gridSpan w:val="3"/>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Main objective</w:t>
            </w:r>
          </w:p>
        </w:tc>
        <w:tc>
          <w:tcPr>
            <w:tcW w:w="4820" w:type="dxa"/>
            <w:gridSpan w:val="3"/>
          </w:tcPr>
          <w:p w:rsidR="009E1946" w:rsidRPr="0095252E" w:rsidRDefault="009E1946" w:rsidP="009E1946">
            <w:pPr>
              <w:jc w:val="both"/>
              <w:rPr>
                <w:rFonts w:eastAsia="Calibri"/>
                <w:bCs/>
                <w:lang w:val="en-US"/>
              </w:rPr>
            </w:pPr>
            <w:r w:rsidRPr="0095252E">
              <w:rPr>
                <w:rFonts w:eastAsia="Calibri"/>
                <w:bCs/>
                <w:lang w:val="en-US"/>
              </w:rPr>
              <w:t xml:space="preserve">To allow easy access and the understanding of the information given by public entities holders about resources management, as well as decisions made because of the exercise of his role, responding to citizens because the management and outcome of his actions, and may be subject to social control.  </w:t>
            </w:r>
          </w:p>
        </w:tc>
      </w:tr>
      <w:tr w:rsidR="009E1946" w:rsidRPr="00003DBC" w:rsidTr="009E1946">
        <w:tc>
          <w:tcPr>
            <w:tcW w:w="4219" w:type="dxa"/>
            <w:gridSpan w:val="3"/>
            <w:shd w:val="clear" w:color="auto" w:fill="C6D9F1"/>
            <w:vAlign w:val="center"/>
          </w:tcPr>
          <w:p w:rsidR="009E1946" w:rsidRPr="0095252E" w:rsidRDefault="009E1946" w:rsidP="009E1946">
            <w:pPr>
              <w:autoSpaceDE w:val="0"/>
              <w:autoSpaceDN w:val="0"/>
              <w:adjustRightInd w:val="0"/>
              <w:rPr>
                <w:rFonts w:eastAsia="Calibri" w:cs="Gotham-Book"/>
                <w:b/>
                <w:color w:val="000000"/>
                <w:lang w:val="en-US"/>
              </w:rPr>
            </w:pPr>
            <w:r w:rsidRPr="0095252E">
              <w:rPr>
                <w:rFonts w:eastAsia="Calibri" w:cs="Gotham-Book"/>
                <w:b/>
                <w:color w:val="000000"/>
                <w:lang w:val="en-US"/>
              </w:rPr>
              <w:t>Brief description of the commitment</w:t>
            </w:r>
          </w:p>
        </w:tc>
        <w:tc>
          <w:tcPr>
            <w:tcW w:w="4820" w:type="dxa"/>
            <w:gridSpan w:val="3"/>
          </w:tcPr>
          <w:p w:rsidR="009E1946" w:rsidRPr="0095252E" w:rsidRDefault="009E1946" w:rsidP="009E1946">
            <w:pPr>
              <w:jc w:val="both"/>
              <w:rPr>
                <w:rFonts w:eastAsia="Calibri"/>
                <w:color w:val="FF0000"/>
                <w:szCs w:val="20"/>
                <w:lang w:val="en-US"/>
              </w:rPr>
            </w:pPr>
            <w:r w:rsidRPr="0095252E">
              <w:rPr>
                <w:rFonts w:eastAsia="Calibri"/>
                <w:color w:val="000000"/>
                <w:lang w:val="en-US"/>
              </w:rPr>
              <w:t>To provide the citizens with comprehensible information about reporting of public entities heads through the web, in order to allow the social control based on such information.</w:t>
            </w:r>
          </w:p>
        </w:tc>
      </w:tr>
      <w:tr w:rsidR="009E1946" w:rsidRPr="00003DBC" w:rsidTr="009E1946">
        <w:tc>
          <w:tcPr>
            <w:tcW w:w="4219" w:type="dxa"/>
            <w:gridSpan w:val="3"/>
            <w:shd w:val="clear" w:color="auto" w:fill="C6D9F1"/>
            <w:vAlign w:val="center"/>
          </w:tcPr>
          <w:p w:rsidR="009E1946" w:rsidRPr="0095252E" w:rsidRDefault="009E1946" w:rsidP="009E1946">
            <w:pPr>
              <w:autoSpaceDE w:val="0"/>
              <w:autoSpaceDN w:val="0"/>
              <w:adjustRightInd w:val="0"/>
              <w:rPr>
                <w:rFonts w:eastAsia="Calibri" w:cs="Gotham-Book"/>
                <w:b/>
                <w:lang w:val="en-US"/>
              </w:rPr>
            </w:pPr>
            <w:r w:rsidRPr="0095252E">
              <w:rPr>
                <w:rFonts w:eastAsia="Calibri" w:cs="Gotham-Book"/>
                <w:b/>
                <w:lang w:val="en-US"/>
              </w:rPr>
              <w:t>Relevance</w:t>
            </w:r>
          </w:p>
          <w:p w:rsidR="009E1946" w:rsidRPr="0095252E" w:rsidRDefault="009E1946" w:rsidP="009E1946">
            <w:pPr>
              <w:autoSpaceDE w:val="0"/>
              <w:autoSpaceDN w:val="0"/>
              <w:adjustRightInd w:val="0"/>
              <w:rPr>
                <w:rFonts w:eastAsia="Calibri"/>
                <w:b/>
                <w:color w:val="000000"/>
                <w:lang w:val="en-US"/>
              </w:rPr>
            </w:pPr>
          </w:p>
        </w:tc>
        <w:tc>
          <w:tcPr>
            <w:tcW w:w="4820" w:type="dxa"/>
            <w:gridSpan w:val="3"/>
          </w:tcPr>
          <w:p w:rsidR="009E1946" w:rsidRPr="0095252E" w:rsidRDefault="009E1946" w:rsidP="009E1946">
            <w:pPr>
              <w:jc w:val="both"/>
              <w:rPr>
                <w:rFonts w:eastAsia="Calibri"/>
                <w:szCs w:val="20"/>
                <w:lang w:val="en-US"/>
              </w:rPr>
            </w:pPr>
            <w:r w:rsidRPr="0095252E">
              <w:rPr>
                <w:rFonts w:eastAsia="Calibri"/>
                <w:szCs w:val="20"/>
                <w:lang w:val="en-US"/>
              </w:rPr>
              <w:t xml:space="preserve">Developing instruments based on technological tools to make the reporting more comprehensible and facilitating the social control contribute to transparency in management and promote the supervision and control of citizens regarding the public administration, as well as the use of information technologies is promoted to get relevant information for citizens. </w:t>
            </w:r>
          </w:p>
        </w:tc>
      </w:tr>
      <w:tr w:rsidR="009E1946" w:rsidRPr="00003DBC" w:rsidTr="009E1946">
        <w:tc>
          <w:tcPr>
            <w:tcW w:w="4219" w:type="dxa"/>
            <w:gridSpan w:val="3"/>
            <w:shd w:val="clear" w:color="auto" w:fill="C6D9F1"/>
            <w:vAlign w:val="center"/>
          </w:tcPr>
          <w:p w:rsidR="009E1946" w:rsidRPr="0095252E" w:rsidRDefault="009E1946" w:rsidP="009E1946">
            <w:pPr>
              <w:autoSpaceDE w:val="0"/>
              <w:autoSpaceDN w:val="0"/>
              <w:adjustRightInd w:val="0"/>
              <w:rPr>
                <w:rFonts w:eastAsia="Calibri" w:cs="Gotham-Book"/>
                <w:b/>
                <w:lang w:val="en-US"/>
              </w:rPr>
            </w:pPr>
            <w:r w:rsidRPr="0095252E">
              <w:rPr>
                <w:rFonts w:eastAsia="Calibri" w:cs="Gotham-Book"/>
                <w:b/>
                <w:lang w:val="en-US"/>
              </w:rPr>
              <w:t>Ambition</w:t>
            </w:r>
          </w:p>
          <w:p w:rsidR="009E1946" w:rsidRPr="0095252E" w:rsidRDefault="009E1946" w:rsidP="009E1946">
            <w:pPr>
              <w:autoSpaceDE w:val="0"/>
              <w:autoSpaceDN w:val="0"/>
              <w:adjustRightInd w:val="0"/>
              <w:rPr>
                <w:rFonts w:eastAsia="Calibri" w:cs="Gotham-BookItalic"/>
                <w:b/>
                <w:iCs/>
                <w:color w:val="000000"/>
                <w:lang w:val="en-US"/>
              </w:rPr>
            </w:pPr>
          </w:p>
        </w:tc>
        <w:tc>
          <w:tcPr>
            <w:tcW w:w="4820" w:type="dxa"/>
            <w:gridSpan w:val="3"/>
          </w:tcPr>
          <w:p w:rsidR="009E1946" w:rsidRPr="0095252E" w:rsidRDefault="009E1946" w:rsidP="009E1946">
            <w:pPr>
              <w:jc w:val="both"/>
              <w:rPr>
                <w:rFonts w:eastAsia="Calibri"/>
                <w:szCs w:val="20"/>
                <w:lang w:val="en-US"/>
              </w:rPr>
            </w:pPr>
            <w:r w:rsidRPr="0095252E">
              <w:rPr>
                <w:rFonts w:eastAsia="Calibri"/>
                <w:szCs w:val="20"/>
                <w:lang w:val="en-US"/>
              </w:rPr>
              <w:t>It is expected a tool that allows an effective implementation of reporting as a civic activism mechanism, placing the public administration under the citizens control, regard to its decisions, as well as the management of public resources.</w:t>
            </w:r>
          </w:p>
        </w:tc>
      </w:tr>
      <w:tr w:rsidR="009E1946" w:rsidRPr="0095252E" w:rsidTr="009E1946">
        <w:tc>
          <w:tcPr>
            <w:tcW w:w="2518" w:type="dxa"/>
            <w:gridSpan w:val="2"/>
            <w:vMerge w:val="restart"/>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Compliance</w:t>
            </w:r>
          </w:p>
        </w:tc>
        <w:tc>
          <w:tcPr>
            <w:tcW w:w="1701" w:type="dxa"/>
            <w:shd w:val="clear" w:color="auto" w:fill="C6D9F1"/>
          </w:tcPr>
          <w:p w:rsidR="009E1946" w:rsidRPr="0095252E" w:rsidRDefault="00596BF3" w:rsidP="009E1946">
            <w:pPr>
              <w:jc w:val="center"/>
              <w:rPr>
                <w:rFonts w:eastAsia="Calibri"/>
                <w:b/>
                <w:color w:val="000000"/>
                <w:lang w:val="en-US"/>
              </w:rPr>
            </w:pPr>
            <w:r>
              <w:rPr>
                <w:rFonts w:eastAsia="Calibri" w:cs="Gotham-Book"/>
                <w:b/>
                <w:color w:val="000000"/>
                <w:lang w:val="en-US"/>
              </w:rPr>
              <w:t>Uninitiated</w:t>
            </w:r>
          </w:p>
        </w:tc>
        <w:tc>
          <w:tcPr>
            <w:tcW w:w="1729" w:type="dxa"/>
            <w:shd w:val="clear" w:color="auto" w:fill="C6D9F1"/>
          </w:tcPr>
          <w:p w:rsidR="009E1946" w:rsidRPr="0095252E" w:rsidRDefault="009E1946" w:rsidP="009E1946">
            <w:pPr>
              <w:jc w:val="center"/>
              <w:rPr>
                <w:rFonts w:eastAsia="Calibri"/>
                <w:b/>
                <w:color w:val="000000"/>
                <w:lang w:val="en-US"/>
              </w:rPr>
            </w:pPr>
            <w:r w:rsidRPr="0095252E">
              <w:rPr>
                <w:rFonts w:eastAsia="Calibri" w:cs="Gotham-Book"/>
                <w:b/>
                <w:color w:val="000000"/>
                <w:lang w:val="en-US"/>
              </w:rPr>
              <w:t>Limited</w:t>
            </w:r>
          </w:p>
        </w:tc>
        <w:tc>
          <w:tcPr>
            <w:tcW w:w="1644" w:type="dxa"/>
            <w:shd w:val="clear" w:color="auto" w:fill="C6D9F1"/>
          </w:tcPr>
          <w:p w:rsidR="009E1946" w:rsidRPr="0095252E" w:rsidRDefault="009E1946" w:rsidP="009E1946">
            <w:pPr>
              <w:jc w:val="center"/>
              <w:rPr>
                <w:rFonts w:eastAsia="Calibri"/>
                <w:b/>
                <w:color w:val="000000"/>
                <w:lang w:val="en-US"/>
              </w:rPr>
            </w:pPr>
            <w:r w:rsidRPr="0095252E">
              <w:rPr>
                <w:rFonts w:eastAsia="Calibri" w:cs="Gotham-Book"/>
                <w:b/>
                <w:color w:val="000000"/>
                <w:lang w:val="en-US"/>
              </w:rPr>
              <w:t>Substantial</w:t>
            </w:r>
          </w:p>
        </w:tc>
        <w:tc>
          <w:tcPr>
            <w:tcW w:w="1447" w:type="dxa"/>
            <w:shd w:val="clear" w:color="auto" w:fill="C6D9F1"/>
          </w:tcPr>
          <w:p w:rsidR="009E1946" w:rsidRPr="0095252E" w:rsidRDefault="009E1946" w:rsidP="009E1946">
            <w:pPr>
              <w:jc w:val="center"/>
              <w:rPr>
                <w:rFonts w:eastAsia="Calibri"/>
                <w:b/>
                <w:color w:val="000000"/>
                <w:lang w:val="en-US"/>
              </w:rPr>
            </w:pPr>
            <w:r w:rsidRPr="0095252E">
              <w:rPr>
                <w:rFonts w:eastAsia="Calibri" w:cs="Gotham-Book"/>
                <w:b/>
                <w:color w:val="000000"/>
                <w:lang w:val="en-US"/>
              </w:rPr>
              <w:t>Complete</w:t>
            </w:r>
          </w:p>
        </w:tc>
      </w:tr>
      <w:tr w:rsidR="009E1946" w:rsidRPr="0095252E" w:rsidTr="009E1946">
        <w:tc>
          <w:tcPr>
            <w:tcW w:w="2518" w:type="dxa"/>
            <w:gridSpan w:val="2"/>
            <w:vMerge/>
            <w:shd w:val="clear" w:color="auto" w:fill="C6D9F1"/>
            <w:vAlign w:val="center"/>
          </w:tcPr>
          <w:p w:rsidR="009E1946" w:rsidRPr="0095252E" w:rsidRDefault="009E1946" w:rsidP="009E1946">
            <w:pPr>
              <w:rPr>
                <w:rFonts w:eastAsia="Calibri"/>
                <w:b/>
                <w:color w:val="000000"/>
                <w:lang w:val="en-US"/>
              </w:rPr>
            </w:pPr>
          </w:p>
        </w:tc>
        <w:tc>
          <w:tcPr>
            <w:tcW w:w="1701" w:type="dxa"/>
          </w:tcPr>
          <w:p w:rsidR="009E1946" w:rsidRPr="0095252E" w:rsidRDefault="009E1946" w:rsidP="009E1946">
            <w:pPr>
              <w:jc w:val="center"/>
              <w:rPr>
                <w:rFonts w:eastAsia="Calibri"/>
                <w:b/>
                <w:color w:val="000000"/>
                <w:lang w:val="en-US"/>
              </w:rPr>
            </w:pPr>
          </w:p>
        </w:tc>
        <w:tc>
          <w:tcPr>
            <w:tcW w:w="1729" w:type="dxa"/>
          </w:tcPr>
          <w:p w:rsidR="009E1946" w:rsidRPr="0095252E" w:rsidRDefault="009E1946" w:rsidP="009E1946">
            <w:pPr>
              <w:jc w:val="center"/>
              <w:rPr>
                <w:rFonts w:eastAsia="Calibri"/>
                <w:b/>
                <w:color w:val="000000"/>
                <w:lang w:val="en-US"/>
              </w:rPr>
            </w:pPr>
          </w:p>
        </w:tc>
        <w:tc>
          <w:tcPr>
            <w:tcW w:w="1644" w:type="dxa"/>
          </w:tcPr>
          <w:p w:rsidR="009E1946" w:rsidRPr="0095252E" w:rsidRDefault="009E1946" w:rsidP="009E1946">
            <w:pPr>
              <w:jc w:val="center"/>
              <w:rPr>
                <w:rFonts w:eastAsia="Calibri"/>
                <w:b/>
                <w:color w:val="000000"/>
                <w:lang w:val="en-US"/>
              </w:rPr>
            </w:pPr>
            <w:r w:rsidRPr="0095252E">
              <w:rPr>
                <w:rFonts w:eastAsia="Calibri"/>
                <w:b/>
                <w:color w:val="000000"/>
                <w:lang w:val="en-US"/>
              </w:rPr>
              <w:t>X</w:t>
            </w:r>
          </w:p>
        </w:tc>
        <w:tc>
          <w:tcPr>
            <w:tcW w:w="1447" w:type="dxa"/>
            <w:shd w:val="clear" w:color="auto" w:fill="FFFFFF"/>
          </w:tcPr>
          <w:p w:rsidR="009E1946" w:rsidRPr="0095252E" w:rsidRDefault="009E1946" w:rsidP="009E1946">
            <w:pPr>
              <w:jc w:val="center"/>
              <w:rPr>
                <w:rFonts w:eastAsia="Calibri"/>
                <w:b/>
                <w:color w:val="000000"/>
                <w:lang w:val="en-US"/>
              </w:rPr>
            </w:pPr>
          </w:p>
        </w:tc>
      </w:tr>
      <w:tr w:rsidR="009E1946" w:rsidRPr="0095252E" w:rsidTr="009E1946">
        <w:tc>
          <w:tcPr>
            <w:tcW w:w="2518" w:type="dxa"/>
            <w:gridSpan w:val="2"/>
            <w:shd w:val="clear" w:color="auto" w:fill="C6D9F1"/>
            <w:vAlign w:val="center"/>
          </w:tcPr>
          <w:p w:rsidR="009E1946" w:rsidRPr="0095252E" w:rsidRDefault="009E1946" w:rsidP="009E1946">
            <w:pPr>
              <w:autoSpaceDE w:val="0"/>
              <w:autoSpaceDN w:val="0"/>
              <w:adjustRightInd w:val="0"/>
              <w:rPr>
                <w:rFonts w:eastAsia="Calibri" w:cs="Gotham-Book"/>
                <w:b/>
                <w:color w:val="000000"/>
                <w:lang w:val="en-US"/>
              </w:rPr>
            </w:pPr>
          </w:p>
          <w:p w:rsidR="009E1946" w:rsidRPr="0095252E" w:rsidRDefault="009E1946" w:rsidP="009E1946">
            <w:pPr>
              <w:autoSpaceDE w:val="0"/>
              <w:autoSpaceDN w:val="0"/>
              <w:adjustRightInd w:val="0"/>
              <w:rPr>
                <w:rFonts w:eastAsia="Calibri" w:cs="Gotham-Book"/>
                <w:b/>
                <w:color w:val="000000"/>
                <w:lang w:val="en-US"/>
              </w:rPr>
            </w:pPr>
          </w:p>
          <w:p w:rsidR="009E1946" w:rsidRPr="0095252E" w:rsidRDefault="009E1946" w:rsidP="009E1946">
            <w:pPr>
              <w:autoSpaceDE w:val="0"/>
              <w:autoSpaceDN w:val="0"/>
              <w:adjustRightInd w:val="0"/>
              <w:rPr>
                <w:rFonts w:eastAsia="Calibri" w:cs="Gotham-Book"/>
                <w:b/>
                <w:color w:val="000000"/>
                <w:lang w:val="en-US"/>
              </w:rPr>
            </w:pPr>
          </w:p>
          <w:p w:rsidR="009E1946" w:rsidRPr="0095252E" w:rsidRDefault="009E1946" w:rsidP="009E1946">
            <w:pPr>
              <w:autoSpaceDE w:val="0"/>
              <w:autoSpaceDN w:val="0"/>
              <w:adjustRightInd w:val="0"/>
              <w:rPr>
                <w:rFonts w:eastAsia="Calibri" w:cs="Gotham-Book"/>
                <w:b/>
                <w:color w:val="000000"/>
                <w:lang w:val="en-US"/>
              </w:rPr>
            </w:pPr>
          </w:p>
          <w:p w:rsidR="009E1946" w:rsidRPr="0095252E" w:rsidRDefault="009E1946" w:rsidP="009E1946">
            <w:pPr>
              <w:autoSpaceDE w:val="0"/>
              <w:autoSpaceDN w:val="0"/>
              <w:adjustRightInd w:val="0"/>
              <w:rPr>
                <w:rFonts w:eastAsia="Calibri" w:cs="Gotham-Book"/>
                <w:b/>
                <w:color w:val="000000"/>
                <w:lang w:val="en-US"/>
              </w:rPr>
            </w:pPr>
          </w:p>
          <w:p w:rsidR="009E1946" w:rsidRPr="0095252E" w:rsidRDefault="009E1946" w:rsidP="009E1946">
            <w:pPr>
              <w:autoSpaceDE w:val="0"/>
              <w:autoSpaceDN w:val="0"/>
              <w:adjustRightInd w:val="0"/>
              <w:rPr>
                <w:rFonts w:eastAsia="Calibri" w:cs="Gotham-Book"/>
                <w:b/>
                <w:color w:val="000000"/>
                <w:lang w:val="en-US"/>
              </w:rPr>
            </w:pPr>
          </w:p>
          <w:p w:rsidR="009E1946" w:rsidRPr="0095252E" w:rsidRDefault="009E1946" w:rsidP="009E1946">
            <w:pPr>
              <w:autoSpaceDE w:val="0"/>
              <w:autoSpaceDN w:val="0"/>
              <w:adjustRightInd w:val="0"/>
              <w:rPr>
                <w:rFonts w:eastAsia="Calibri" w:cs="Gotham-Book"/>
                <w:b/>
                <w:color w:val="000000"/>
                <w:lang w:val="en-US"/>
              </w:rPr>
            </w:pPr>
          </w:p>
          <w:p w:rsidR="009E1946" w:rsidRPr="0095252E" w:rsidRDefault="009E1946" w:rsidP="009E1946">
            <w:pPr>
              <w:autoSpaceDE w:val="0"/>
              <w:autoSpaceDN w:val="0"/>
              <w:adjustRightInd w:val="0"/>
              <w:rPr>
                <w:rFonts w:eastAsia="Calibri" w:cs="Gotham-Book"/>
                <w:b/>
                <w:color w:val="000000"/>
                <w:lang w:val="en-US"/>
              </w:rPr>
            </w:pPr>
          </w:p>
          <w:p w:rsidR="009E1946" w:rsidRPr="0095252E" w:rsidRDefault="009E1946" w:rsidP="009E1946">
            <w:pPr>
              <w:autoSpaceDE w:val="0"/>
              <w:autoSpaceDN w:val="0"/>
              <w:adjustRightInd w:val="0"/>
              <w:rPr>
                <w:rFonts w:eastAsia="Calibri" w:cs="Gotham-Book"/>
                <w:b/>
                <w:color w:val="000000"/>
                <w:lang w:val="en-US"/>
              </w:rPr>
            </w:pPr>
          </w:p>
          <w:p w:rsidR="009E1946" w:rsidRPr="0095252E" w:rsidRDefault="009E1946" w:rsidP="009E1946">
            <w:pPr>
              <w:autoSpaceDE w:val="0"/>
              <w:autoSpaceDN w:val="0"/>
              <w:adjustRightInd w:val="0"/>
              <w:rPr>
                <w:rFonts w:eastAsia="Calibri" w:cs="Gotham-Book"/>
                <w:b/>
                <w:color w:val="000000"/>
                <w:lang w:val="en-US"/>
              </w:rPr>
            </w:pPr>
          </w:p>
          <w:p w:rsidR="009E1946" w:rsidRPr="0095252E" w:rsidRDefault="00DA118E" w:rsidP="009E1946">
            <w:pPr>
              <w:autoSpaceDE w:val="0"/>
              <w:autoSpaceDN w:val="0"/>
              <w:adjustRightInd w:val="0"/>
              <w:rPr>
                <w:rFonts w:eastAsia="Calibri" w:cs="Gotham-Book"/>
                <w:b/>
                <w:color w:val="000000"/>
                <w:lang w:val="en-US"/>
              </w:rPr>
            </w:pPr>
            <w:r>
              <w:rPr>
                <w:rFonts w:eastAsia="Calibri" w:cs="Gotham-Book"/>
                <w:b/>
                <w:color w:val="000000"/>
                <w:lang w:val="en-US"/>
              </w:rPr>
              <w:t>Result description</w:t>
            </w:r>
          </w:p>
          <w:p w:rsidR="009E1946" w:rsidRPr="0095252E" w:rsidRDefault="009E1946" w:rsidP="009E1946">
            <w:pPr>
              <w:autoSpaceDE w:val="0"/>
              <w:autoSpaceDN w:val="0"/>
              <w:adjustRightInd w:val="0"/>
              <w:rPr>
                <w:rFonts w:eastAsia="Calibri" w:cs="Gotham-BookItalic"/>
                <w:b/>
                <w:iCs/>
                <w:color w:val="000000"/>
                <w:lang w:val="en-US"/>
              </w:rPr>
            </w:pPr>
          </w:p>
        </w:tc>
        <w:tc>
          <w:tcPr>
            <w:tcW w:w="6521" w:type="dxa"/>
            <w:gridSpan w:val="4"/>
          </w:tcPr>
          <w:p w:rsidR="009E1946" w:rsidRPr="0095252E" w:rsidRDefault="009E1946" w:rsidP="009E1946">
            <w:pPr>
              <w:jc w:val="both"/>
              <w:rPr>
                <w:rFonts w:eastAsia="Calibri"/>
                <w:szCs w:val="20"/>
                <w:lang w:val="en-US"/>
              </w:rPr>
            </w:pPr>
            <w:r w:rsidRPr="0095252E">
              <w:rPr>
                <w:rFonts w:eastAsia="Calibri"/>
                <w:szCs w:val="20"/>
                <w:lang w:val="en-US"/>
              </w:rPr>
              <w:lastRenderedPageBreak/>
              <w:t>Activities</w:t>
            </w:r>
          </w:p>
          <w:p w:rsidR="009E1946" w:rsidRPr="0095252E" w:rsidRDefault="009E1946" w:rsidP="009E1946">
            <w:pPr>
              <w:numPr>
                <w:ilvl w:val="0"/>
                <w:numId w:val="6"/>
              </w:numPr>
              <w:contextualSpacing/>
              <w:jc w:val="both"/>
              <w:rPr>
                <w:rFonts w:eastAsia="Calibri"/>
                <w:b/>
                <w:i/>
                <w:szCs w:val="20"/>
                <w:lang w:val="en-US"/>
              </w:rPr>
            </w:pPr>
            <w:r w:rsidRPr="0095252E">
              <w:rPr>
                <w:rFonts w:eastAsia="Calibri"/>
                <w:b/>
                <w:i/>
                <w:szCs w:val="20"/>
                <w:lang w:val="en-US"/>
              </w:rPr>
              <w:lastRenderedPageBreak/>
              <w:t>Approved policy with the process redesign of the reporting of public entities heads</w:t>
            </w:r>
          </w:p>
          <w:p w:rsidR="009E1946" w:rsidRPr="0095252E" w:rsidRDefault="009E1946" w:rsidP="009E1946">
            <w:pPr>
              <w:ind w:left="720"/>
              <w:contextualSpacing/>
              <w:jc w:val="both"/>
              <w:rPr>
                <w:rFonts w:eastAsia="Calibri"/>
                <w:szCs w:val="20"/>
                <w:lang w:val="en-US"/>
              </w:rPr>
            </w:pPr>
            <w:r w:rsidRPr="0095252E">
              <w:rPr>
                <w:rFonts w:eastAsia="Calibri"/>
                <w:szCs w:val="20"/>
                <w:lang w:val="en-US"/>
              </w:rPr>
              <w:t xml:space="preserve">The Comptroller General Office of Republic issued the Resolution of Comptroller </w:t>
            </w:r>
            <w:r w:rsidR="00984751">
              <w:rPr>
                <w:rFonts w:eastAsia="Calibri"/>
                <w:szCs w:val="20"/>
                <w:lang w:val="en-US"/>
              </w:rPr>
              <w:t>Official letter No.</w:t>
            </w:r>
            <w:r w:rsidRPr="0095252E">
              <w:rPr>
                <w:rFonts w:eastAsia="Calibri"/>
                <w:szCs w:val="20"/>
                <w:lang w:val="en-US"/>
              </w:rPr>
              <w:t xml:space="preserve"> 159-2016-CG approving the policy No. 015-2016-CG/GPROD “Reporting of Entities Heads”. Completed activity.</w:t>
            </w:r>
          </w:p>
          <w:p w:rsidR="009E1946" w:rsidRPr="0095252E" w:rsidRDefault="009E1946" w:rsidP="009E1946">
            <w:pPr>
              <w:numPr>
                <w:ilvl w:val="0"/>
                <w:numId w:val="6"/>
              </w:numPr>
              <w:contextualSpacing/>
              <w:jc w:val="both"/>
              <w:rPr>
                <w:rFonts w:eastAsia="Calibri"/>
                <w:b/>
                <w:i/>
                <w:szCs w:val="20"/>
                <w:lang w:val="en-US"/>
              </w:rPr>
            </w:pPr>
            <w:r w:rsidRPr="0095252E">
              <w:rPr>
                <w:rFonts w:eastAsia="Calibri"/>
                <w:b/>
                <w:i/>
                <w:szCs w:val="20"/>
                <w:lang w:val="en-US"/>
              </w:rPr>
              <w:t>Designed and Operating Technological Tool with information about reporting of public entities heads</w:t>
            </w:r>
          </w:p>
          <w:p w:rsidR="009E1946" w:rsidRPr="0095252E" w:rsidRDefault="009E1946" w:rsidP="009E1946">
            <w:pPr>
              <w:ind w:left="720"/>
              <w:contextualSpacing/>
              <w:jc w:val="both"/>
              <w:rPr>
                <w:rFonts w:eastAsia="Calibri"/>
                <w:szCs w:val="20"/>
                <w:lang w:val="en-US"/>
              </w:rPr>
            </w:pPr>
            <w:r w:rsidRPr="0095252E">
              <w:rPr>
                <w:rFonts w:eastAsia="Calibri"/>
                <w:szCs w:val="20"/>
                <w:lang w:val="en-US"/>
              </w:rPr>
              <w:t>The tool is on the stage of quality control for its subsequent implementation. Activity in progress, its completion has been rescheduled for September, 2016.</w:t>
            </w:r>
          </w:p>
          <w:p w:rsidR="009E1946" w:rsidRPr="0095252E" w:rsidRDefault="009E1946" w:rsidP="009E1946">
            <w:pPr>
              <w:numPr>
                <w:ilvl w:val="0"/>
                <w:numId w:val="6"/>
              </w:numPr>
              <w:contextualSpacing/>
              <w:jc w:val="both"/>
              <w:rPr>
                <w:rFonts w:eastAsia="Calibri"/>
                <w:b/>
                <w:i/>
                <w:szCs w:val="20"/>
                <w:lang w:val="en-US"/>
              </w:rPr>
            </w:pPr>
            <w:r w:rsidRPr="0095252E">
              <w:rPr>
                <w:rFonts w:eastAsia="Calibri"/>
                <w:b/>
                <w:i/>
                <w:szCs w:val="20"/>
                <w:lang w:val="en-US"/>
              </w:rPr>
              <w:t>Launch and dissemination of the technological tool</w:t>
            </w:r>
          </w:p>
          <w:p w:rsidR="009E1946" w:rsidRPr="0095252E" w:rsidRDefault="009E1946" w:rsidP="009E1946">
            <w:pPr>
              <w:ind w:left="720"/>
              <w:contextualSpacing/>
              <w:jc w:val="both"/>
              <w:rPr>
                <w:rFonts w:eastAsia="Calibri"/>
                <w:szCs w:val="20"/>
                <w:lang w:val="en-US"/>
              </w:rPr>
            </w:pPr>
            <w:r w:rsidRPr="0095252E">
              <w:rPr>
                <w:rFonts w:eastAsia="Calibri"/>
                <w:szCs w:val="20"/>
                <w:lang w:val="en-US"/>
              </w:rPr>
              <w:t>The launch and dissemination are subject to the implementation of the tool, whereby such activity is completed. Activity in progress, its completion has been rescheduled for September, 2016.</w:t>
            </w:r>
          </w:p>
          <w:p w:rsidR="009E1946" w:rsidRPr="0095252E" w:rsidRDefault="009E1946" w:rsidP="009E1946">
            <w:pPr>
              <w:numPr>
                <w:ilvl w:val="0"/>
                <w:numId w:val="6"/>
              </w:numPr>
              <w:contextualSpacing/>
              <w:jc w:val="both"/>
              <w:rPr>
                <w:rFonts w:eastAsia="Calibri"/>
                <w:b/>
                <w:i/>
                <w:szCs w:val="20"/>
                <w:lang w:val="en-US"/>
              </w:rPr>
            </w:pPr>
            <w:r w:rsidRPr="0095252E">
              <w:rPr>
                <w:rFonts w:eastAsia="Calibri"/>
                <w:b/>
                <w:i/>
                <w:szCs w:val="20"/>
                <w:lang w:val="en-US"/>
              </w:rPr>
              <w:t>Dissemination and training at national level on the policy and the use of the technological tool</w:t>
            </w:r>
          </w:p>
          <w:p w:rsidR="009E1946" w:rsidRPr="0095252E" w:rsidRDefault="009E1946" w:rsidP="009E1946">
            <w:pPr>
              <w:ind w:left="720"/>
              <w:contextualSpacing/>
              <w:jc w:val="both"/>
              <w:rPr>
                <w:rFonts w:eastAsia="Calibri"/>
                <w:szCs w:val="20"/>
                <w:lang w:val="en-US"/>
              </w:rPr>
            </w:pPr>
            <w:r w:rsidRPr="0095252E">
              <w:rPr>
                <w:rFonts w:eastAsia="Calibri"/>
                <w:szCs w:val="20"/>
                <w:lang w:val="en-US"/>
              </w:rPr>
              <w:t>Twenty training workshops for public entities holders and officer of Metropolitan Lima have been carried out. The dissemination at national level is pending. The Conclusion Date has been rescheduled for December, 2016.</w:t>
            </w:r>
          </w:p>
          <w:p w:rsidR="009E1946" w:rsidRPr="0095252E" w:rsidRDefault="009E1946" w:rsidP="009E1946">
            <w:pPr>
              <w:ind w:left="-79"/>
              <w:contextualSpacing/>
              <w:jc w:val="both"/>
              <w:rPr>
                <w:rFonts w:eastAsia="Calibri"/>
                <w:color w:val="000000"/>
                <w:lang w:val="en-US"/>
              </w:rPr>
            </w:pPr>
            <w:r w:rsidRPr="0095252E">
              <w:rPr>
                <w:rFonts w:eastAsia="Calibri"/>
                <w:szCs w:val="20"/>
                <w:lang w:val="en-US"/>
              </w:rPr>
              <w:t>Source: Official letter No. 00719-2016-CG/SGE</w:t>
            </w:r>
          </w:p>
        </w:tc>
      </w:tr>
      <w:tr w:rsidR="009E1946" w:rsidRPr="0095252E" w:rsidTr="009E1946">
        <w:tc>
          <w:tcPr>
            <w:tcW w:w="2518" w:type="dxa"/>
            <w:gridSpan w:val="2"/>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lastRenderedPageBreak/>
              <w:t>Conclusion Date</w:t>
            </w:r>
          </w:p>
        </w:tc>
        <w:tc>
          <w:tcPr>
            <w:tcW w:w="6521" w:type="dxa"/>
            <w:gridSpan w:val="4"/>
          </w:tcPr>
          <w:p w:rsidR="009E1946" w:rsidRPr="0095252E" w:rsidRDefault="009E1946" w:rsidP="009E1946">
            <w:pPr>
              <w:jc w:val="both"/>
              <w:rPr>
                <w:rFonts w:eastAsia="Calibri"/>
                <w:color w:val="000000"/>
                <w:lang w:val="en-US"/>
              </w:rPr>
            </w:pPr>
            <w:r w:rsidRPr="0095252E">
              <w:rPr>
                <w:rFonts w:eastAsia="Calibri"/>
                <w:color w:val="000000"/>
                <w:lang w:val="en-US"/>
              </w:rPr>
              <w:t>December 2016</w:t>
            </w:r>
          </w:p>
        </w:tc>
      </w:tr>
      <w:tr w:rsidR="009E1946" w:rsidRPr="00003DBC" w:rsidTr="009E1946">
        <w:tc>
          <w:tcPr>
            <w:tcW w:w="2518" w:type="dxa"/>
            <w:gridSpan w:val="2"/>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Next steps</w:t>
            </w:r>
          </w:p>
        </w:tc>
        <w:tc>
          <w:tcPr>
            <w:tcW w:w="6521" w:type="dxa"/>
            <w:gridSpan w:val="4"/>
          </w:tcPr>
          <w:p w:rsidR="009E1946" w:rsidRPr="0095252E" w:rsidRDefault="009E1946" w:rsidP="009E1946">
            <w:pPr>
              <w:jc w:val="both"/>
              <w:rPr>
                <w:rFonts w:eastAsia="Calibri"/>
                <w:color w:val="000000"/>
                <w:lang w:val="en-US"/>
              </w:rPr>
            </w:pPr>
            <w:r w:rsidRPr="0095252E">
              <w:rPr>
                <w:rFonts w:eastAsia="Calibri"/>
                <w:color w:val="000000"/>
                <w:lang w:val="en-US"/>
              </w:rPr>
              <w:t>To implement the technological tool with information about reporting, along with the launch, dissemination and training at national level on the Policy and the use of the tool.</w:t>
            </w:r>
          </w:p>
        </w:tc>
      </w:tr>
      <w:tr w:rsidR="009E1946" w:rsidRPr="0095252E" w:rsidTr="009E1946">
        <w:tc>
          <w:tcPr>
            <w:tcW w:w="9039" w:type="dxa"/>
            <w:gridSpan w:val="6"/>
          </w:tcPr>
          <w:p w:rsidR="009E1946" w:rsidRPr="0095252E" w:rsidRDefault="009E1946" w:rsidP="009E1946">
            <w:pPr>
              <w:jc w:val="both"/>
              <w:rPr>
                <w:rFonts w:eastAsia="Calibri" w:cs="Gotham-Book"/>
                <w:b/>
                <w:color w:val="000000"/>
                <w:lang w:val="en-US"/>
              </w:rPr>
            </w:pPr>
          </w:p>
          <w:p w:rsidR="009E1946" w:rsidRPr="0095252E" w:rsidRDefault="009E1946" w:rsidP="009E1946">
            <w:pPr>
              <w:jc w:val="both"/>
              <w:rPr>
                <w:rFonts w:eastAsia="Calibri"/>
                <w:color w:val="000000"/>
                <w:lang w:val="en-US"/>
              </w:rPr>
            </w:pPr>
            <w:r w:rsidRPr="0095252E">
              <w:rPr>
                <w:rFonts w:eastAsia="Calibri" w:cs="Gotham-Book"/>
                <w:b/>
                <w:color w:val="000000"/>
                <w:lang w:val="en-US"/>
              </w:rPr>
              <w:t>Additional information</w:t>
            </w:r>
          </w:p>
        </w:tc>
      </w:tr>
      <w:tr w:rsidR="009E1946" w:rsidRPr="0095252E" w:rsidTr="009E1946">
        <w:tc>
          <w:tcPr>
            <w:tcW w:w="9039" w:type="dxa"/>
            <w:gridSpan w:val="6"/>
          </w:tcPr>
          <w:p w:rsidR="009E1946" w:rsidRPr="0095252E" w:rsidRDefault="009E1946" w:rsidP="009E1946">
            <w:pPr>
              <w:jc w:val="both"/>
              <w:rPr>
                <w:rFonts w:eastAsia="Calibri" w:cs="Gotham-Book"/>
                <w:b/>
                <w:color w:val="000000"/>
                <w:lang w:val="en-US"/>
              </w:rPr>
            </w:pPr>
          </w:p>
        </w:tc>
      </w:tr>
    </w:tbl>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tbl>
      <w:tblPr>
        <w:tblStyle w:val="Tablaconcuadrcula"/>
        <w:tblW w:w="9039" w:type="dxa"/>
        <w:tblLayout w:type="fixed"/>
        <w:tblLook w:val="04A0" w:firstRow="1" w:lastRow="0" w:firstColumn="1" w:lastColumn="0" w:noHBand="0" w:noVBand="1"/>
      </w:tblPr>
      <w:tblGrid>
        <w:gridCol w:w="2109"/>
        <w:gridCol w:w="409"/>
        <w:gridCol w:w="1701"/>
        <w:gridCol w:w="1729"/>
        <w:gridCol w:w="1644"/>
        <w:gridCol w:w="1447"/>
      </w:tblGrid>
      <w:tr w:rsidR="009E1946" w:rsidRPr="0095252E" w:rsidTr="009E1946">
        <w:tc>
          <w:tcPr>
            <w:tcW w:w="9039" w:type="dxa"/>
            <w:gridSpan w:val="6"/>
            <w:shd w:val="clear" w:color="auto" w:fill="548DD4"/>
          </w:tcPr>
          <w:p w:rsidR="009E1946" w:rsidRPr="0095252E" w:rsidRDefault="009E1946" w:rsidP="009E1946">
            <w:pPr>
              <w:ind w:left="720"/>
              <w:jc w:val="center"/>
              <w:rPr>
                <w:rFonts w:eastAsia="Calibri"/>
                <w:b/>
                <w:lang w:val="en-US"/>
              </w:rPr>
            </w:pPr>
            <w:r w:rsidRPr="0095252E">
              <w:rPr>
                <w:rFonts w:eastAsia="Calibri"/>
                <w:b/>
                <w:lang w:val="en-US"/>
              </w:rPr>
              <w:t>Component: Reporting</w:t>
            </w:r>
          </w:p>
        </w:tc>
      </w:tr>
      <w:tr w:rsidR="009E1946" w:rsidRPr="00003DBC" w:rsidTr="009E1946">
        <w:tc>
          <w:tcPr>
            <w:tcW w:w="9039" w:type="dxa"/>
            <w:gridSpan w:val="6"/>
            <w:shd w:val="clear" w:color="auto" w:fill="548DD4"/>
          </w:tcPr>
          <w:p w:rsidR="009E1946" w:rsidRPr="0095252E" w:rsidRDefault="009E1946" w:rsidP="009E1946">
            <w:pPr>
              <w:ind w:left="720"/>
              <w:jc w:val="center"/>
              <w:rPr>
                <w:rFonts w:eastAsia="Calibri"/>
                <w:b/>
                <w:lang w:val="en-US"/>
              </w:rPr>
            </w:pPr>
            <w:r w:rsidRPr="0095252E">
              <w:rPr>
                <w:rFonts w:eastAsia="Calibri"/>
                <w:b/>
                <w:u w:val="single"/>
                <w:lang w:val="en-US"/>
              </w:rPr>
              <w:t>Commitment 12</w:t>
            </w:r>
            <w:r w:rsidRPr="0095252E">
              <w:rPr>
                <w:rFonts w:eastAsia="Calibri"/>
                <w:b/>
                <w:lang w:val="en-US"/>
              </w:rPr>
              <w:t xml:space="preserve">. Improving the quality of reporting hearings </w:t>
            </w:r>
          </w:p>
          <w:p w:rsidR="009E1946" w:rsidRPr="0095252E" w:rsidRDefault="009E1946" w:rsidP="009E1946">
            <w:pPr>
              <w:ind w:left="720"/>
              <w:jc w:val="center"/>
              <w:rPr>
                <w:rFonts w:eastAsia="Calibri"/>
                <w:b/>
                <w:lang w:val="en-US"/>
              </w:rPr>
            </w:pPr>
          </w:p>
        </w:tc>
      </w:tr>
      <w:tr w:rsidR="009E1946" w:rsidRPr="00003DBC" w:rsidTr="009E1946">
        <w:tc>
          <w:tcPr>
            <w:tcW w:w="4219" w:type="dxa"/>
            <w:gridSpan w:val="3"/>
            <w:shd w:val="clear" w:color="auto" w:fill="C6D9F1"/>
            <w:vAlign w:val="center"/>
          </w:tcPr>
          <w:p w:rsidR="009E1946" w:rsidRPr="0095252E" w:rsidRDefault="009E1946" w:rsidP="009E1946">
            <w:pPr>
              <w:rPr>
                <w:rFonts w:eastAsia="Calibri"/>
                <w:b/>
                <w:color w:val="000000"/>
                <w:lang w:val="en-US"/>
              </w:rPr>
            </w:pPr>
            <w:r w:rsidRPr="0095252E">
              <w:rPr>
                <w:rFonts w:ascii="Calibri" w:eastAsia="Calibri" w:hAnsi="Calibri" w:cs="Times New Roman"/>
                <w:b/>
                <w:lang w:val="en-US"/>
              </w:rPr>
              <w:t>Secretariat/Ministry in charge</w:t>
            </w:r>
          </w:p>
        </w:tc>
        <w:tc>
          <w:tcPr>
            <w:tcW w:w="4820" w:type="dxa"/>
            <w:gridSpan w:val="3"/>
          </w:tcPr>
          <w:p w:rsidR="009E1946" w:rsidRPr="0095252E" w:rsidRDefault="009E1946" w:rsidP="009E1946">
            <w:pPr>
              <w:jc w:val="both"/>
              <w:rPr>
                <w:rFonts w:eastAsia="Calibri"/>
                <w:color w:val="000000"/>
                <w:lang w:val="en-US"/>
              </w:rPr>
            </w:pPr>
            <w:r w:rsidRPr="0095252E">
              <w:rPr>
                <w:rFonts w:eastAsia="Calibri"/>
                <w:color w:val="000000"/>
                <w:lang w:val="en-US"/>
              </w:rPr>
              <w:t>Presidency of the Cabinet (PCM), through Public Administration Secretariat</w:t>
            </w:r>
          </w:p>
        </w:tc>
      </w:tr>
      <w:tr w:rsidR="009E1946" w:rsidRPr="0095252E" w:rsidTr="009E1946">
        <w:tc>
          <w:tcPr>
            <w:tcW w:w="4219" w:type="dxa"/>
            <w:gridSpan w:val="3"/>
            <w:shd w:val="clear" w:color="auto" w:fill="C6D9F1"/>
            <w:vAlign w:val="center"/>
          </w:tcPr>
          <w:p w:rsidR="009E1946" w:rsidRPr="0095252E" w:rsidRDefault="009E1946" w:rsidP="009E1946">
            <w:pPr>
              <w:autoSpaceDE w:val="0"/>
              <w:autoSpaceDN w:val="0"/>
              <w:adjustRightInd w:val="0"/>
              <w:rPr>
                <w:rFonts w:eastAsia="Calibri" w:cs="Gotham-Book"/>
                <w:b/>
                <w:color w:val="000000"/>
                <w:lang w:val="en-US"/>
              </w:rPr>
            </w:pPr>
            <w:r w:rsidRPr="0095252E">
              <w:rPr>
                <w:rFonts w:ascii="Calibri" w:eastAsia="Calibri" w:hAnsi="Calibri" w:cs="Times New Roman"/>
                <w:b/>
                <w:lang w:val="en-US"/>
              </w:rPr>
              <w:t>Name of the person in charge</w:t>
            </w:r>
          </w:p>
        </w:tc>
        <w:tc>
          <w:tcPr>
            <w:tcW w:w="4820" w:type="dxa"/>
            <w:gridSpan w:val="3"/>
          </w:tcPr>
          <w:p w:rsidR="009E1946" w:rsidRPr="0095252E" w:rsidRDefault="009E1946" w:rsidP="009E1946">
            <w:pPr>
              <w:jc w:val="both"/>
              <w:rPr>
                <w:rFonts w:eastAsia="Calibri"/>
                <w:color w:val="000000"/>
                <w:lang w:val="en-US"/>
              </w:rPr>
            </w:pPr>
            <w:r w:rsidRPr="0095252E">
              <w:rPr>
                <w:rFonts w:eastAsia="Calibri"/>
                <w:color w:val="000000"/>
                <w:lang w:val="en-US"/>
              </w:rPr>
              <w:t>Fernando Zavala Lombardi</w:t>
            </w:r>
          </w:p>
        </w:tc>
      </w:tr>
      <w:tr w:rsidR="009E1946" w:rsidRPr="0095252E" w:rsidTr="009E1946">
        <w:tc>
          <w:tcPr>
            <w:tcW w:w="4219" w:type="dxa"/>
            <w:gridSpan w:val="3"/>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Position</w:t>
            </w:r>
          </w:p>
        </w:tc>
        <w:tc>
          <w:tcPr>
            <w:tcW w:w="4820" w:type="dxa"/>
            <w:gridSpan w:val="3"/>
          </w:tcPr>
          <w:p w:rsidR="009E1946" w:rsidRPr="0095252E" w:rsidRDefault="009E1946" w:rsidP="009E1946">
            <w:pPr>
              <w:jc w:val="both"/>
              <w:rPr>
                <w:rFonts w:eastAsia="Calibri"/>
                <w:color w:val="000000"/>
                <w:lang w:val="en-US"/>
              </w:rPr>
            </w:pPr>
            <w:r w:rsidRPr="0095252E">
              <w:rPr>
                <w:rFonts w:eastAsia="Calibri"/>
                <w:color w:val="000000"/>
                <w:lang w:val="en-US"/>
              </w:rPr>
              <w:t>Chairman of the Cabinet</w:t>
            </w:r>
          </w:p>
        </w:tc>
      </w:tr>
      <w:tr w:rsidR="009E1946" w:rsidRPr="0095252E" w:rsidTr="009E1946">
        <w:tc>
          <w:tcPr>
            <w:tcW w:w="4219" w:type="dxa"/>
            <w:gridSpan w:val="3"/>
            <w:shd w:val="clear" w:color="auto" w:fill="C6D9F1"/>
            <w:vAlign w:val="center"/>
          </w:tcPr>
          <w:p w:rsidR="009E1946" w:rsidRPr="0095252E" w:rsidRDefault="009E1946" w:rsidP="009E1946">
            <w:pPr>
              <w:autoSpaceDE w:val="0"/>
              <w:autoSpaceDN w:val="0"/>
              <w:adjustRightInd w:val="0"/>
              <w:rPr>
                <w:rFonts w:eastAsia="Calibri" w:cs="Gotham-Book"/>
                <w:b/>
                <w:color w:val="000000"/>
                <w:lang w:val="en-US"/>
              </w:rPr>
            </w:pPr>
            <w:r w:rsidRPr="0095252E">
              <w:rPr>
                <w:rFonts w:eastAsia="Calibri" w:cs="Gotham-Book"/>
                <w:b/>
                <w:color w:val="000000"/>
                <w:lang w:val="en-US"/>
              </w:rPr>
              <w:t>E-mail</w:t>
            </w:r>
          </w:p>
        </w:tc>
        <w:tc>
          <w:tcPr>
            <w:tcW w:w="4820" w:type="dxa"/>
            <w:gridSpan w:val="3"/>
          </w:tcPr>
          <w:p w:rsidR="009E1946" w:rsidRPr="0095252E" w:rsidRDefault="002C33FD" w:rsidP="009E1946">
            <w:pPr>
              <w:jc w:val="both"/>
              <w:rPr>
                <w:rFonts w:eastAsia="Calibri"/>
                <w:color w:val="0000FF"/>
                <w:u w:val="single"/>
                <w:lang w:val="en-US"/>
              </w:rPr>
            </w:pPr>
            <w:hyperlink r:id="rId27" w:history="1">
              <w:r w:rsidR="009E1946" w:rsidRPr="0095252E">
                <w:rPr>
                  <w:rFonts w:eastAsia="Calibri"/>
                  <w:color w:val="0000FF"/>
                  <w:u w:val="single"/>
                  <w:lang w:val="en-US"/>
                </w:rPr>
                <w:t>fzavala@pcm.gob.pe</w:t>
              </w:r>
            </w:hyperlink>
          </w:p>
        </w:tc>
      </w:tr>
      <w:tr w:rsidR="009E1946" w:rsidRPr="0095252E" w:rsidTr="009E1946">
        <w:tc>
          <w:tcPr>
            <w:tcW w:w="4219" w:type="dxa"/>
            <w:gridSpan w:val="3"/>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Telephone</w:t>
            </w:r>
          </w:p>
        </w:tc>
        <w:tc>
          <w:tcPr>
            <w:tcW w:w="4820" w:type="dxa"/>
            <w:gridSpan w:val="3"/>
          </w:tcPr>
          <w:p w:rsidR="009E1946" w:rsidRPr="0095252E" w:rsidRDefault="009E1946" w:rsidP="009E1946">
            <w:pPr>
              <w:jc w:val="both"/>
              <w:rPr>
                <w:rFonts w:eastAsia="Calibri"/>
                <w:color w:val="000000"/>
                <w:lang w:val="en-US"/>
              </w:rPr>
            </w:pPr>
            <w:r w:rsidRPr="0095252E">
              <w:rPr>
                <w:rFonts w:eastAsia="Calibri"/>
                <w:color w:val="000000"/>
                <w:lang w:val="en-US"/>
              </w:rPr>
              <w:t>51-1-2197000</w:t>
            </w:r>
          </w:p>
        </w:tc>
      </w:tr>
      <w:tr w:rsidR="009E1946" w:rsidRPr="00003DBC" w:rsidTr="009E1946">
        <w:tc>
          <w:tcPr>
            <w:tcW w:w="2109" w:type="dxa"/>
            <w:vMerge w:val="restart"/>
            <w:shd w:val="clear" w:color="auto" w:fill="C6D9F1"/>
            <w:vAlign w:val="center"/>
          </w:tcPr>
          <w:p w:rsidR="009E1946" w:rsidRPr="0095252E" w:rsidRDefault="00596BF3" w:rsidP="009E1946">
            <w:pPr>
              <w:rPr>
                <w:rFonts w:eastAsia="Calibri" w:cs="Gotham-Book"/>
                <w:b/>
                <w:color w:val="000000"/>
                <w:lang w:val="en-US"/>
              </w:rPr>
            </w:pPr>
            <w:r>
              <w:rPr>
                <w:rFonts w:eastAsia="Calibri" w:cs="Gotham-Book"/>
                <w:b/>
                <w:color w:val="000000"/>
                <w:lang w:val="en-US"/>
              </w:rPr>
              <w:t>Other parties involved</w:t>
            </w:r>
          </w:p>
        </w:tc>
        <w:tc>
          <w:tcPr>
            <w:tcW w:w="2110" w:type="dxa"/>
            <w:gridSpan w:val="2"/>
            <w:shd w:val="clear" w:color="auto" w:fill="C6D9F1"/>
            <w:vAlign w:val="center"/>
          </w:tcPr>
          <w:p w:rsidR="009E1946" w:rsidRPr="0095252E" w:rsidRDefault="009E1946" w:rsidP="009E1946">
            <w:pPr>
              <w:rPr>
                <w:rFonts w:eastAsia="Calibri" w:cs="Gotham-Book"/>
                <w:b/>
                <w:color w:val="000000"/>
                <w:lang w:val="en-US"/>
              </w:rPr>
            </w:pPr>
            <w:r w:rsidRPr="0095252E">
              <w:rPr>
                <w:rFonts w:eastAsia="Calibri" w:cs="Gotham-Book"/>
                <w:b/>
                <w:color w:val="000000"/>
                <w:lang w:val="en-US"/>
              </w:rPr>
              <w:t>Government</w:t>
            </w:r>
          </w:p>
        </w:tc>
        <w:tc>
          <w:tcPr>
            <w:tcW w:w="4820" w:type="dxa"/>
            <w:gridSpan w:val="3"/>
          </w:tcPr>
          <w:p w:rsidR="009E1946" w:rsidRPr="0095252E" w:rsidRDefault="009E1946" w:rsidP="009E1946">
            <w:pPr>
              <w:jc w:val="both"/>
              <w:rPr>
                <w:rFonts w:eastAsia="Calibri"/>
                <w:color w:val="000000"/>
                <w:lang w:val="en-US"/>
              </w:rPr>
            </w:pPr>
            <w:r w:rsidRPr="0095252E">
              <w:rPr>
                <w:rFonts w:eastAsia="Calibri"/>
                <w:color w:val="000000"/>
                <w:lang w:val="en-US"/>
              </w:rPr>
              <w:t>Ombudsman’s Office, Decentralization Secretariat of PCM and Regional and Local Governments</w:t>
            </w:r>
          </w:p>
        </w:tc>
      </w:tr>
      <w:tr w:rsidR="009E1946" w:rsidRPr="00003DBC" w:rsidTr="009E1946">
        <w:tc>
          <w:tcPr>
            <w:tcW w:w="2109" w:type="dxa"/>
            <w:vMerge/>
            <w:shd w:val="clear" w:color="auto" w:fill="C6D9F1"/>
            <w:vAlign w:val="center"/>
          </w:tcPr>
          <w:p w:rsidR="009E1946" w:rsidRPr="0095252E" w:rsidRDefault="009E1946" w:rsidP="009E1946">
            <w:pPr>
              <w:rPr>
                <w:rFonts w:eastAsia="Calibri" w:cs="Gotham-Book"/>
                <w:b/>
                <w:color w:val="000000"/>
                <w:lang w:val="en-US"/>
              </w:rPr>
            </w:pPr>
          </w:p>
        </w:tc>
        <w:tc>
          <w:tcPr>
            <w:tcW w:w="2110" w:type="dxa"/>
            <w:gridSpan w:val="2"/>
            <w:shd w:val="clear" w:color="auto" w:fill="C6D9F1"/>
            <w:vAlign w:val="center"/>
          </w:tcPr>
          <w:p w:rsidR="009E1946" w:rsidRPr="0095252E" w:rsidRDefault="009E1946" w:rsidP="009E1946">
            <w:pPr>
              <w:rPr>
                <w:rFonts w:eastAsia="Calibri" w:cs="Gotham-Book"/>
                <w:b/>
                <w:color w:val="000000"/>
                <w:lang w:val="en-US"/>
              </w:rPr>
            </w:pPr>
            <w:r w:rsidRPr="0095252E">
              <w:rPr>
                <w:rFonts w:eastAsia="Calibri" w:cs="Gotham-Book"/>
                <w:b/>
                <w:color w:val="000000"/>
                <w:lang w:val="en-US"/>
              </w:rPr>
              <w:t>Civil Society, private initiative, multilateral or work groups</w:t>
            </w:r>
          </w:p>
        </w:tc>
        <w:tc>
          <w:tcPr>
            <w:tcW w:w="4820" w:type="dxa"/>
            <w:gridSpan w:val="3"/>
          </w:tcPr>
          <w:p w:rsidR="009E1946" w:rsidRPr="0095252E" w:rsidRDefault="009E1946" w:rsidP="009E1946">
            <w:pPr>
              <w:jc w:val="both"/>
              <w:rPr>
                <w:rFonts w:eastAsia="Calibri"/>
                <w:color w:val="000000"/>
                <w:lang w:val="en-US"/>
              </w:rPr>
            </w:pPr>
            <w:r w:rsidRPr="0095252E">
              <w:rPr>
                <w:rFonts w:eastAsia="Calibri"/>
                <w:color w:val="000000"/>
                <w:lang w:val="en-US"/>
              </w:rPr>
              <w:t>Citizen Proposal Group, Up-to-date Citizens</w:t>
            </w:r>
          </w:p>
        </w:tc>
      </w:tr>
      <w:tr w:rsidR="009E1946" w:rsidRPr="00003DBC" w:rsidTr="009E1946">
        <w:tc>
          <w:tcPr>
            <w:tcW w:w="4219" w:type="dxa"/>
            <w:gridSpan w:val="3"/>
            <w:shd w:val="clear" w:color="auto" w:fill="C6D9F1"/>
            <w:vAlign w:val="center"/>
          </w:tcPr>
          <w:p w:rsidR="009E1946" w:rsidRPr="0095252E" w:rsidRDefault="009E1946" w:rsidP="009E1946">
            <w:pPr>
              <w:rPr>
                <w:rFonts w:eastAsia="Calibri" w:cs="Gotham-Book"/>
                <w:b/>
                <w:color w:val="000000"/>
                <w:lang w:val="en-US"/>
              </w:rPr>
            </w:pPr>
            <w:r w:rsidRPr="0095252E">
              <w:rPr>
                <w:rFonts w:eastAsia="Calibri" w:cs="Gotham-Book"/>
                <w:b/>
                <w:color w:val="000000"/>
                <w:lang w:val="en-US"/>
              </w:rPr>
              <w:t>Status quo or problem/</w:t>
            </w:r>
            <w:r w:rsidRPr="0095252E">
              <w:rPr>
                <w:rFonts w:eastAsia="Calibri" w:cs="Gotham-Book"/>
                <w:b/>
                <w:color w:val="000000"/>
                <w:lang w:val="en-US"/>
              </w:rPr>
              <w:br/>
              <w:t>challenge to be attended</w:t>
            </w:r>
          </w:p>
        </w:tc>
        <w:tc>
          <w:tcPr>
            <w:tcW w:w="4820" w:type="dxa"/>
            <w:gridSpan w:val="3"/>
          </w:tcPr>
          <w:p w:rsidR="009E1946" w:rsidRPr="0095252E" w:rsidRDefault="009E1946" w:rsidP="009E1946">
            <w:pPr>
              <w:jc w:val="both"/>
              <w:rPr>
                <w:rFonts w:eastAsia="Calibri"/>
                <w:color w:val="000000"/>
                <w:lang w:val="en-US"/>
              </w:rPr>
            </w:pPr>
            <w:r w:rsidRPr="0095252E">
              <w:rPr>
                <w:rFonts w:eastAsia="Calibri"/>
                <w:color w:val="000000"/>
                <w:lang w:val="en-US"/>
              </w:rPr>
              <w:t>Pursuant to a research of Ombudsman’s Office, there are the following difficulties in hearings of reporting made by subnational governments:</w:t>
            </w:r>
          </w:p>
          <w:p w:rsidR="009E1946" w:rsidRPr="0095252E" w:rsidRDefault="009E1946" w:rsidP="009E1946">
            <w:pPr>
              <w:numPr>
                <w:ilvl w:val="0"/>
                <w:numId w:val="31"/>
              </w:numPr>
              <w:ind w:left="204" w:hanging="141"/>
              <w:contextualSpacing/>
              <w:jc w:val="both"/>
              <w:rPr>
                <w:rFonts w:eastAsia="Calibri"/>
                <w:color w:val="000000"/>
                <w:lang w:val="en-US"/>
              </w:rPr>
            </w:pPr>
            <w:r w:rsidRPr="0095252E">
              <w:rPr>
                <w:rFonts w:eastAsia="Calibri"/>
                <w:color w:val="000000"/>
                <w:lang w:val="en-US"/>
              </w:rPr>
              <w:t>The regional and local governments use different criteria to define the place where public hearings of reporting are held.</w:t>
            </w:r>
          </w:p>
          <w:p w:rsidR="009E1946" w:rsidRPr="0095252E" w:rsidRDefault="009E1946" w:rsidP="009E1946">
            <w:pPr>
              <w:numPr>
                <w:ilvl w:val="0"/>
                <w:numId w:val="31"/>
              </w:numPr>
              <w:ind w:left="204" w:hanging="141"/>
              <w:contextualSpacing/>
              <w:jc w:val="both"/>
              <w:rPr>
                <w:rFonts w:eastAsia="Calibri"/>
                <w:color w:val="000000"/>
                <w:lang w:val="en-US"/>
              </w:rPr>
            </w:pPr>
            <w:r w:rsidRPr="0095252E">
              <w:rPr>
                <w:rFonts w:eastAsia="Calibri"/>
                <w:color w:val="000000"/>
                <w:lang w:val="en-US"/>
              </w:rPr>
              <w:t>Regarding the call, only 10 regional governments and 4 provincial municipalities called the public hearing of reporting at least 30 days in advance.</w:t>
            </w:r>
          </w:p>
          <w:p w:rsidR="009E1946" w:rsidRPr="0095252E" w:rsidRDefault="009E1946" w:rsidP="009E1946">
            <w:pPr>
              <w:numPr>
                <w:ilvl w:val="0"/>
                <w:numId w:val="31"/>
              </w:numPr>
              <w:ind w:left="204" w:hanging="141"/>
              <w:contextualSpacing/>
              <w:jc w:val="both"/>
              <w:rPr>
                <w:rFonts w:eastAsia="Calibri"/>
                <w:color w:val="000000"/>
                <w:lang w:val="en-US"/>
              </w:rPr>
            </w:pPr>
            <w:r w:rsidRPr="0095252E">
              <w:rPr>
                <w:rFonts w:eastAsia="Calibri"/>
                <w:color w:val="000000"/>
                <w:lang w:val="en-US"/>
              </w:rPr>
              <w:t>Most regional governments and provincial municipalities indicated as agenda items: the achievements, progress and difficulties of the administration; however, they did not give more information about these points in the reporting.</w:t>
            </w:r>
          </w:p>
          <w:p w:rsidR="009E1946" w:rsidRPr="0095252E" w:rsidRDefault="009E1946" w:rsidP="009E1946">
            <w:pPr>
              <w:numPr>
                <w:ilvl w:val="0"/>
                <w:numId w:val="31"/>
              </w:numPr>
              <w:ind w:left="204" w:hanging="141"/>
              <w:contextualSpacing/>
              <w:jc w:val="both"/>
              <w:rPr>
                <w:rFonts w:eastAsia="Calibri"/>
                <w:color w:val="000000"/>
                <w:lang w:val="en-US"/>
              </w:rPr>
            </w:pPr>
            <w:r w:rsidRPr="0095252E">
              <w:rPr>
                <w:rFonts w:eastAsia="Calibri"/>
                <w:color w:val="000000"/>
                <w:lang w:val="en-US"/>
              </w:rPr>
              <w:t>At regional and local level, the reporting were not based on the achievements and progress of administration in accordance with the provisions of Concerted Regional and Provincial Development Plan.</w:t>
            </w:r>
          </w:p>
        </w:tc>
      </w:tr>
      <w:tr w:rsidR="009E1946" w:rsidRPr="00003DBC" w:rsidTr="009E1946">
        <w:tc>
          <w:tcPr>
            <w:tcW w:w="4219" w:type="dxa"/>
            <w:gridSpan w:val="3"/>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Main objective</w:t>
            </w:r>
          </w:p>
        </w:tc>
        <w:tc>
          <w:tcPr>
            <w:tcW w:w="4820" w:type="dxa"/>
            <w:gridSpan w:val="3"/>
          </w:tcPr>
          <w:p w:rsidR="009E1946" w:rsidRPr="0095252E" w:rsidRDefault="009E1946" w:rsidP="009E1946">
            <w:pPr>
              <w:jc w:val="both"/>
              <w:rPr>
                <w:rFonts w:eastAsia="Calibri"/>
                <w:bCs/>
                <w:lang w:val="en-US"/>
              </w:rPr>
            </w:pPr>
            <w:r w:rsidRPr="0095252E">
              <w:rPr>
                <w:rFonts w:eastAsia="Calibri"/>
                <w:bCs/>
                <w:lang w:val="en-US"/>
              </w:rPr>
              <w:t>Regional and local governments report performances, in accordance with the general contents developed for that purpose.</w:t>
            </w:r>
          </w:p>
        </w:tc>
      </w:tr>
      <w:tr w:rsidR="009E1946" w:rsidRPr="00003DBC" w:rsidTr="009E1946">
        <w:tc>
          <w:tcPr>
            <w:tcW w:w="4219" w:type="dxa"/>
            <w:gridSpan w:val="3"/>
            <w:shd w:val="clear" w:color="auto" w:fill="C6D9F1"/>
            <w:vAlign w:val="center"/>
          </w:tcPr>
          <w:p w:rsidR="009E1946" w:rsidRPr="0095252E" w:rsidRDefault="009E1946" w:rsidP="009E1946">
            <w:pPr>
              <w:autoSpaceDE w:val="0"/>
              <w:autoSpaceDN w:val="0"/>
              <w:adjustRightInd w:val="0"/>
              <w:rPr>
                <w:rFonts w:eastAsia="Calibri" w:cs="Gotham-Book"/>
                <w:b/>
                <w:color w:val="000000"/>
                <w:lang w:val="en-US"/>
              </w:rPr>
            </w:pPr>
            <w:r w:rsidRPr="0095252E">
              <w:rPr>
                <w:rFonts w:eastAsia="Calibri" w:cs="Gotham-Book"/>
                <w:b/>
                <w:color w:val="000000"/>
                <w:lang w:val="en-US"/>
              </w:rPr>
              <w:t>Brief description of</w:t>
            </w:r>
          </w:p>
          <w:p w:rsidR="009E1946" w:rsidRPr="0095252E" w:rsidRDefault="009E1946" w:rsidP="009E1946">
            <w:pPr>
              <w:autoSpaceDE w:val="0"/>
              <w:autoSpaceDN w:val="0"/>
              <w:adjustRightInd w:val="0"/>
              <w:rPr>
                <w:rFonts w:eastAsia="Calibri" w:cs="Gotham-Book"/>
                <w:b/>
                <w:color w:val="000000"/>
                <w:lang w:val="en-US"/>
              </w:rPr>
            </w:pPr>
            <w:r w:rsidRPr="0095252E">
              <w:rPr>
                <w:rFonts w:eastAsia="Calibri" w:cs="Gotham-Book"/>
                <w:b/>
                <w:color w:val="000000"/>
                <w:lang w:val="en-US"/>
              </w:rPr>
              <w:t xml:space="preserve"> Agreement</w:t>
            </w:r>
          </w:p>
        </w:tc>
        <w:tc>
          <w:tcPr>
            <w:tcW w:w="4820" w:type="dxa"/>
            <w:gridSpan w:val="3"/>
          </w:tcPr>
          <w:p w:rsidR="009E1946" w:rsidRPr="0095252E" w:rsidRDefault="009E1946" w:rsidP="009E1946">
            <w:pPr>
              <w:jc w:val="both"/>
              <w:rPr>
                <w:rFonts w:eastAsia="Calibri"/>
                <w:color w:val="FF0000"/>
                <w:szCs w:val="20"/>
                <w:lang w:val="en-US"/>
              </w:rPr>
            </w:pPr>
            <w:r w:rsidRPr="0095252E">
              <w:rPr>
                <w:rFonts w:eastAsia="Calibri"/>
                <w:szCs w:val="20"/>
                <w:lang w:val="en-US"/>
              </w:rPr>
              <w:t>Improving the hearings quality of reporting of regional and local governments.</w:t>
            </w:r>
          </w:p>
        </w:tc>
      </w:tr>
      <w:tr w:rsidR="009E1946" w:rsidRPr="00003DBC" w:rsidTr="009E1946">
        <w:tc>
          <w:tcPr>
            <w:tcW w:w="4219" w:type="dxa"/>
            <w:gridSpan w:val="3"/>
            <w:shd w:val="clear" w:color="auto" w:fill="C6D9F1"/>
            <w:vAlign w:val="center"/>
          </w:tcPr>
          <w:p w:rsidR="009E1946" w:rsidRPr="0095252E" w:rsidRDefault="009E1946" w:rsidP="009E1946">
            <w:pPr>
              <w:autoSpaceDE w:val="0"/>
              <w:autoSpaceDN w:val="0"/>
              <w:adjustRightInd w:val="0"/>
              <w:rPr>
                <w:rFonts w:eastAsia="Calibri" w:cs="Gotham-Book"/>
                <w:b/>
                <w:lang w:val="en-US"/>
              </w:rPr>
            </w:pPr>
            <w:r w:rsidRPr="0095252E">
              <w:rPr>
                <w:rFonts w:eastAsia="Calibri" w:cs="Gotham-Book"/>
                <w:b/>
                <w:lang w:val="en-US"/>
              </w:rPr>
              <w:t>Relevance</w:t>
            </w:r>
          </w:p>
          <w:p w:rsidR="009E1946" w:rsidRPr="0095252E" w:rsidRDefault="009E1946" w:rsidP="009E1946">
            <w:pPr>
              <w:autoSpaceDE w:val="0"/>
              <w:autoSpaceDN w:val="0"/>
              <w:adjustRightInd w:val="0"/>
              <w:rPr>
                <w:rFonts w:eastAsia="Calibri"/>
                <w:b/>
                <w:color w:val="000000"/>
                <w:lang w:val="en-US"/>
              </w:rPr>
            </w:pPr>
          </w:p>
        </w:tc>
        <w:tc>
          <w:tcPr>
            <w:tcW w:w="4820" w:type="dxa"/>
            <w:gridSpan w:val="3"/>
          </w:tcPr>
          <w:p w:rsidR="009E1946" w:rsidRPr="0095252E" w:rsidRDefault="009E1946" w:rsidP="009E1946">
            <w:pPr>
              <w:jc w:val="both"/>
              <w:rPr>
                <w:rFonts w:eastAsia="Calibri"/>
                <w:szCs w:val="20"/>
                <w:lang w:val="en-US"/>
              </w:rPr>
            </w:pPr>
            <w:r w:rsidRPr="0095252E">
              <w:rPr>
                <w:rFonts w:eastAsia="Calibri"/>
                <w:szCs w:val="20"/>
                <w:lang w:val="en-US"/>
              </w:rPr>
              <w:t>The commitment contributes to strengthen the reporting mechanism through an effective-application mechanism for the identified problematic, strengthening the OGP values.</w:t>
            </w:r>
          </w:p>
        </w:tc>
      </w:tr>
      <w:tr w:rsidR="009E1946" w:rsidRPr="00003DBC" w:rsidTr="009E1946">
        <w:tc>
          <w:tcPr>
            <w:tcW w:w="4219" w:type="dxa"/>
            <w:gridSpan w:val="3"/>
            <w:shd w:val="clear" w:color="auto" w:fill="C6D9F1"/>
            <w:vAlign w:val="center"/>
          </w:tcPr>
          <w:p w:rsidR="009E1946" w:rsidRPr="0095252E" w:rsidRDefault="009E1946" w:rsidP="009E1946">
            <w:pPr>
              <w:autoSpaceDE w:val="0"/>
              <w:autoSpaceDN w:val="0"/>
              <w:adjustRightInd w:val="0"/>
              <w:rPr>
                <w:rFonts w:eastAsia="Calibri" w:cs="Gotham-Book"/>
                <w:b/>
                <w:lang w:val="en-US"/>
              </w:rPr>
            </w:pPr>
            <w:r w:rsidRPr="0095252E">
              <w:rPr>
                <w:rFonts w:eastAsia="Calibri" w:cs="Gotham-Book"/>
                <w:b/>
                <w:lang w:val="en-US"/>
              </w:rPr>
              <w:t>Ambition</w:t>
            </w:r>
          </w:p>
          <w:p w:rsidR="009E1946" w:rsidRPr="0095252E" w:rsidRDefault="009E1946" w:rsidP="009E1946">
            <w:pPr>
              <w:autoSpaceDE w:val="0"/>
              <w:autoSpaceDN w:val="0"/>
              <w:adjustRightInd w:val="0"/>
              <w:rPr>
                <w:rFonts w:eastAsia="Calibri" w:cs="Gotham-BookItalic"/>
                <w:b/>
                <w:iCs/>
                <w:color w:val="000000"/>
                <w:lang w:val="en-US"/>
              </w:rPr>
            </w:pPr>
          </w:p>
        </w:tc>
        <w:tc>
          <w:tcPr>
            <w:tcW w:w="4820" w:type="dxa"/>
            <w:gridSpan w:val="3"/>
          </w:tcPr>
          <w:p w:rsidR="009E1946" w:rsidRPr="0095252E" w:rsidRDefault="009E1946" w:rsidP="009E1946">
            <w:pPr>
              <w:jc w:val="both"/>
              <w:rPr>
                <w:rFonts w:eastAsia="Calibri"/>
                <w:szCs w:val="20"/>
                <w:lang w:val="en-US"/>
              </w:rPr>
            </w:pPr>
            <w:r w:rsidRPr="0095252E">
              <w:rPr>
                <w:rFonts w:eastAsia="Calibri"/>
                <w:szCs w:val="20"/>
                <w:lang w:val="en-US"/>
              </w:rPr>
              <w:t xml:space="preserve">It is expected a policy that clarify criteria for an effective reporting taking into account the place, terms stipulated in the reporting, issues that will make the government more open to take care of the civil claim. </w:t>
            </w:r>
          </w:p>
        </w:tc>
      </w:tr>
      <w:tr w:rsidR="009E1946" w:rsidRPr="0095252E" w:rsidTr="009E1946">
        <w:tc>
          <w:tcPr>
            <w:tcW w:w="2518" w:type="dxa"/>
            <w:gridSpan w:val="2"/>
            <w:vMerge w:val="restart"/>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Compliance</w:t>
            </w:r>
          </w:p>
        </w:tc>
        <w:tc>
          <w:tcPr>
            <w:tcW w:w="1701" w:type="dxa"/>
            <w:shd w:val="clear" w:color="auto" w:fill="C6D9F1"/>
          </w:tcPr>
          <w:p w:rsidR="009E1946" w:rsidRPr="0095252E" w:rsidRDefault="00596BF3" w:rsidP="009E1946">
            <w:pPr>
              <w:jc w:val="center"/>
              <w:rPr>
                <w:rFonts w:eastAsia="Calibri"/>
                <w:b/>
                <w:color w:val="000000"/>
                <w:lang w:val="en-US"/>
              </w:rPr>
            </w:pPr>
            <w:r>
              <w:rPr>
                <w:rFonts w:eastAsia="Calibri" w:cs="Gotham-Book"/>
                <w:b/>
                <w:color w:val="000000"/>
                <w:lang w:val="en-US"/>
              </w:rPr>
              <w:t>Uninitiated</w:t>
            </w:r>
          </w:p>
        </w:tc>
        <w:tc>
          <w:tcPr>
            <w:tcW w:w="1729" w:type="dxa"/>
            <w:shd w:val="clear" w:color="auto" w:fill="C6D9F1"/>
          </w:tcPr>
          <w:p w:rsidR="009E1946" w:rsidRPr="0095252E" w:rsidRDefault="009E1946" w:rsidP="009E1946">
            <w:pPr>
              <w:jc w:val="center"/>
              <w:rPr>
                <w:rFonts w:eastAsia="Calibri"/>
                <w:b/>
                <w:color w:val="000000"/>
                <w:lang w:val="en-US"/>
              </w:rPr>
            </w:pPr>
            <w:r w:rsidRPr="0095252E">
              <w:rPr>
                <w:rFonts w:eastAsia="Calibri" w:cs="Gotham-Book"/>
                <w:b/>
                <w:color w:val="000000"/>
                <w:lang w:val="en-US"/>
              </w:rPr>
              <w:t>Limited</w:t>
            </w:r>
          </w:p>
        </w:tc>
        <w:tc>
          <w:tcPr>
            <w:tcW w:w="1644" w:type="dxa"/>
            <w:shd w:val="clear" w:color="auto" w:fill="C6D9F1"/>
          </w:tcPr>
          <w:p w:rsidR="009E1946" w:rsidRPr="0095252E" w:rsidRDefault="009E1946" w:rsidP="009E1946">
            <w:pPr>
              <w:jc w:val="center"/>
              <w:rPr>
                <w:rFonts w:eastAsia="Calibri"/>
                <w:b/>
                <w:color w:val="000000"/>
                <w:lang w:val="en-US"/>
              </w:rPr>
            </w:pPr>
            <w:r w:rsidRPr="0095252E">
              <w:rPr>
                <w:rFonts w:eastAsia="Calibri" w:cs="Gotham-Book"/>
                <w:b/>
                <w:color w:val="000000"/>
                <w:lang w:val="en-US"/>
              </w:rPr>
              <w:t>Substantial</w:t>
            </w:r>
          </w:p>
        </w:tc>
        <w:tc>
          <w:tcPr>
            <w:tcW w:w="1447" w:type="dxa"/>
            <w:shd w:val="clear" w:color="auto" w:fill="C6D9F1"/>
          </w:tcPr>
          <w:p w:rsidR="009E1946" w:rsidRPr="0095252E" w:rsidRDefault="009E1946" w:rsidP="009E1946">
            <w:pPr>
              <w:jc w:val="center"/>
              <w:rPr>
                <w:rFonts w:eastAsia="Calibri"/>
                <w:b/>
                <w:color w:val="000000"/>
                <w:lang w:val="en-US"/>
              </w:rPr>
            </w:pPr>
            <w:r w:rsidRPr="0095252E">
              <w:rPr>
                <w:rFonts w:eastAsia="Calibri" w:cs="Gotham-Book"/>
                <w:b/>
                <w:color w:val="000000"/>
                <w:lang w:val="en-US"/>
              </w:rPr>
              <w:t>Complete</w:t>
            </w:r>
          </w:p>
        </w:tc>
      </w:tr>
      <w:tr w:rsidR="009E1946" w:rsidRPr="0095252E" w:rsidTr="009E1946">
        <w:tc>
          <w:tcPr>
            <w:tcW w:w="2518" w:type="dxa"/>
            <w:gridSpan w:val="2"/>
            <w:vMerge/>
            <w:shd w:val="clear" w:color="auto" w:fill="C6D9F1"/>
            <w:vAlign w:val="center"/>
          </w:tcPr>
          <w:p w:rsidR="009E1946" w:rsidRPr="0095252E" w:rsidRDefault="009E1946" w:rsidP="009E1946">
            <w:pPr>
              <w:rPr>
                <w:rFonts w:eastAsia="Calibri"/>
                <w:b/>
                <w:color w:val="000000"/>
                <w:lang w:val="en-US"/>
              </w:rPr>
            </w:pPr>
          </w:p>
        </w:tc>
        <w:tc>
          <w:tcPr>
            <w:tcW w:w="1701" w:type="dxa"/>
          </w:tcPr>
          <w:p w:rsidR="009E1946" w:rsidRPr="0095252E" w:rsidRDefault="009E1946" w:rsidP="009E1946">
            <w:pPr>
              <w:jc w:val="center"/>
              <w:rPr>
                <w:rFonts w:eastAsia="Calibri"/>
                <w:b/>
                <w:color w:val="000000"/>
                <w:lang w:val="en-US"/>
              </w:rPr>
            </w:pPr>
            <w:r w:rsidRPr="0095252E">
              <w:rPr>
                <w:rFonts w:eastAsia="Calibri"/>
                <w:b/>
                <w:color w:val="000000"/>
                <w:lang w:val="en-US"/>
              </w:rPr>
              <w:t>X</w:t>
            </w:r>
          </w:p>
        </w:tc>
        <w:tc>
          <w:tcPr>
            <w:tcW w:w="1729" w:type="dxa"/>
          </w:tcPr>
          <w:p w:rsidR="009E1946" w:rsidRPr="0095252E" w:rsidRDefault="009E1946" w:rsidP="009E1946">
            <w:pPr>
              <w:jc w:val="center"/>
              <w:rPr>
                <w:rFonts w:eastAsia="Calibri"/>
                <w:b/>
                <w:color w:val="000000"/>
                <w:lang w:val="en-US"/>
              </w:rPr>
            </w:pPr>
          </w:p>
        </w:tc>
        <w:tc>
          <w:tcPr>
            <w:tcW w:w="1644" w:type="dxa"/>
          </w:tcPr>
          <w:p w:rsidR="009E1946" w:rsidRPr="0095252E" w:rsidRDefault="009E1946" w:rsidP="009E1946">
            <w:pPr>
              <w:jc w:val="center"/>
              <w:rPr>
                <w:rFonts w:eastAsia="Calibri"/>
                <w:b/>
                <w:color w:val="000000"/>
                <w:lang w:val="en-US"/>
              </w:rPr>
            </w:pPr>
          </w:p>
        </w:tc>
        <w:tc>
          <w:tcPr>
            <w:tcW w:w="1447" w:type="dxa"/>
            <w:shd w:val="clear" w:color="auto" w:fill="FFFFFF"/>
          </w:tcPr>
          <w:p w:rsidR="009E1946" w:rsidRPr="0095252E" w:rsidRDefault="009E1946" w:rsidP="009E1946">
            <w:pPr>
              <w:jc w:val="center"/>
              <w:rPr>
                <w:rFonts w:eastAsia="Calibri"/>
                <w:b/>
                <w:color w:val="000000"/>
                <w:lang w:val="en-US"/>
              </w:rPr>
            </w:pPr>
          </w:p>
        </w:tc>
      </w:tr>
      <w:tr w:rsidR="009E1946" w:rsidRPr="00003DBC" w:rsidTr="009E1946">
        <w:tc>
          <w:tcPr>
            <w:tcW w:w="2518" w:type="dxa"/>
            <w:gridSpan w:val="2"/>
            <w:shd w:val="clear" w:color="auto" w:fill="C6D9F1"/>
            <w:vAlign w:val="center"/>
          </w:tcPr>
          <w:p w:rsidR="009E1946" w:rsidRPr="0095252E" w:rsidRDefault="009E1946" w:rsidP="009E1946">
            <w:pPr>
              <w:autoSpaceDE w:val="0"/>
              <w:autoSpaceDN w:val="0"/>
              <w:adjustRightInd w:val="0"/>
              <w:rPr>
                <w:rFonts w:eastAsia="Calibri" w:cs="Gotham-Book"/>
                <w:b/>
                <w:color w:val="000000"/>
                <w:lang w:val="en-US"/>
              </w:rPr>
            </w:pPr>
          </w:p>
          <w:p w:rsidR="009E1946" w:rsidRPr="0095252E" w:rsidRDefault="00DA118E" w:rsidP="009E1946">
            <w:pPr>
              <w:autoSpaceDE w:val="0"/>
              <w:autoSpaceDN w:val="0"/>
              <w:adjustRightInd w:val="0"/>
              <w:rPr>
                <w:rFonts w:eastAsia="Calibri" w:cs="Gotham-Book"/>
                <w:b/>
                <w:color w:val="000000"/>
                <w:lang w:val="en-US"/>
              </w:rPr>
            </w:pPr>
            <w:r>
              <w:rPr>
                <w:rFonts w:eastAsia="Calibri" w:cs="Gotham-Book"/>
                <w:b/>
                <w:color w:val="000000"/>
                <w:lang w:val="en-US"/>
              </w:rPr>
              <w:t>Result description</w:t>
            </w:r>
          </w:p>
          <w:p w:rsidR="009E1946" w:rsidRPr="0095252E" w:rsidRDefault="009E1946" w:rsidP="009E1946">
            <w:pPr>
              <w:autoSpaceDE w:val="0"/>
              <w:autoSpaceDN w:val="0"/>
              <w:adjustRightInd w:val="0"/>
              <w:rPr>
                <w:rFonts w:eastAsia="Calibri" w:cs="Gotham-BookItalic"/>
                <w:b/>
                <w:iCs/>
                <w:color w:val="000000"/>
                <w:lang w:val="en-US"/>
              </w:rPr>
            </w:pPr>
          </w:p>
        </w:tc>
        <w:tc>
          <w:tcPr>
            <w:tcW w:w="6521" w:type="dxa"/>
            <w:gridSpan w:val="4"/>
          </w:tcPr>
          <w:p w:rsidR="009E1946" w:rsidRPr="0095252E" w:rsidRDefault="009E1946" w:rsidP="009E1946">
            <w:pPr>
              <w:jc w:val="both"/>
              <w:rPr>
                <w:rFonts w:eastAsia="Calibri"/>
                <w:szCs w:val="20"/>
                <w:lang w:val="en-US"/>
              </w:rPr>
            </w:pPr>
            <w:r w:rsidRPr="0095252E">
              <w:rPr>
                <w:rFonts w:eastAsia="Calibri"/>
                <w:szCs w:val="20"/>
                <w:lang w:val="en-US"/>
              </w:rPr>
              <w:t>The following activities were considered:</w:t>
            </w:r>
          </w:p>
          <w:p w:rsidR="009E1946" w:rsidRPr="0095252E" w:rsidRDefault="009E1946" w:rsidP="009E1946">
            <w:pPr>
              <w:jc w:val="both"/>
              <w:rPr>
                <w:rFonts w:eastAsia="Calibri"/>
                <w:b/>
                <w:i/>
                <w:szCs w:val="20"/>
                <w:lang w:val="en-US"/>
              </w:rPr>
            </w:pPr>
            <w:r w:rsidRPr="0095252E">
              <w:rPr>
                <w:rFonts w:eastAsia="Calibri"/>
                <w:b/>
                <w:i/>
                <w:szCs w:val="20"/>
                <w:lang w:val="en-US"/>
              </w:rPr>
              <w:t>1. Formation of a work group conformed by public entities and civil society to make a proposal of general contents for reporting hearings.</w:t>
            </w:r>
          </w:p>
          <w:p w:rsidR="009E1946" w:rsidRPr="0095252E" w:rsidRDefault="009E1946" w:rsidP="009E1946">
            <w:pPr>
              <w:jc w:val="both"/>
              <w:rPr>
                <w:rFonts w:eastAsia="Calibri"/>
                <w:b/>
                <w:i/>
                <w:szCs w:val="20"/>
                <w:lang w:val="en-US"/>
              </w:rPr>
            </w:pPr>
            <w:r w:rsidRPr="0095252E">
              <w:rPr>
                <w:rFonts w:eastAsia="Calibri"/>
                <w:b/>
                <w:i/>
                <w:szCs w:val="20"/>
                <w:lang w:val="en-US"/>
              </w:rPr>
              <w:t>2. Prepared and approved general contents for reporting hearings.</w:t>
            </w:r>
          </w:p>
          <w:p w:rsidR="009E1946" w:rsidRPr="0095252E" w:rsidRDefault="009E1946" w:rsidP="009E1946">
            <w:pPr>
              <w:jc w:val="both"/>
              <w:rPr>
                <w:rFonts w:eastAsia="Calibri"/>
                <w:b/>
                <w:i/>
                <w:szCs w:val="20"/>
                <w:lang w:val="en-US"/>
              </w:rPr>
            </w:pPr>
            <w:r w:rsidRPr="0095252E">
              <w:rPr>
                <w:rFonts w:eastAsia="Calibri"/>
                <w:b/>
                <w:i/>
                <w:szCs w:val="20"/>
                <w:lang w:val="en-US"/>
              </w:rPr>
              <w:t>3. Dissemination and training to officers on general contents in selected regional and local governments.</w:t>
            </w:r>
          </w:p>
          <w:p w:rsidR="009E1946" w:rsidRPr="0095252E" w:rsidRDefault="009E1946" w:rsidP="009E1946">
            <w:pPr>
              <w:jc w:val="both"/>
              <w:rPr>
                <w:rFonts w:eastAsia="Calibri"/>
                <w:b/>
                <w:i/>
                <w:szCs w:val="20"/>
                <w:lang w:val="en-US"/>
              </w:rPr>
            </w:pPr>
            <w:r w:rsidRPr="0095252E">
              <w:rPr>
                <w:rFonts w:eastAsia="Calibri"/>
                <w:b/>
                <w:i/>
                <w:szCs w:val="20"/>
                <w:lang w:val="en-US"/>
              </w:rPr>
              <w:t>4. Report on the improvements in the reporting hearings.</w:t>
            </w:r>
          </w:p>
          <w:p w:rsidR="009E1946" w:rsidRPr="0095252E" w:rsidRDefault="009E1946" w:rsidP="009E1946">
            <w:pPr>
              <w:jc w:val="both"/>
              <w:rPr>
                <w:rFonts w:eastAsia="Calibri"/>
                <w:color w:val="000000"/>
                <w:lang w:val="en-US"/>
              </w:rPr>
            </w:pPr>
            <w:r w:rsidRPr="0095252E">
              <w:rPr>
                <w:rFonts w:eastAsia="Calibri"/>
                <w:color w:val="000000"/>
                <w:lang w:val="en-US"/>
              </w:rPr>
              <w:t>The implementation of commitment has been considered to be rescheduled for the first semester of 2017</w:t>
            </w:r>
          </w:p>
        </w:tc>
      </w:tr>
      <w:tr w:rsidR="009E1946" w:rsidRPr="0095252E" w:rsidTr="009E1946">
        <w:tc>
          <w:tcPr>
            <w:tcW w:w="2518" w:type="dxa"/>
            <w:gridSpan w:val="2"/>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lastRenderedPageBreak/>
              <w:t>Conclusion Date</w:t>
            </w:r>
          </w:p>
        </w:tc>
        <w:tc>
          <w:tcPr>
            <w:tcW w:w="6521" w:type="dxa"/>
            <w:gridSpan w:val="4"/>
          </w:tcPr>
          <w:p w:rsidR="009E1946" w:rsidRPr="0095252E" w:rsidRDefault="009E1946" w:rsidP="009E1946">
            <w:pPr>
              <w:jc w:val="both"/>
              <w:rPr>
                <w:rFonts w:eastAsia="Calibri"/>
                <w:color w:val="000000"/>
                <w:lang w:val="en-US"/>
              </w:rPr>
            </w:pPr>
            <w:r w:rsidRPr="0095252E">
              <w:rPr>
                <w:rFonts w:eastAsia="Calibri"/>
                <w:color w:val="000000"/>
                <w:lang w:val="en-US"/>
              </w:rPr>
              <w:t>June 2017</w:t>
            </w:r>
          </w:p>
        </w:tc>
      </w:tr>
      <w:tr w:rsidR="009E1946" w:rsidRPr="00003DBC" w:rsidTr="009E1946">
        <w:tc>
          <w:tcPr>
            <w:tcW w:w="2518" w:type="dxa"/>
            <w:gridSpan w:val="2"/>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Next steps</w:t>
            </w:r>
          </w:p>
        </w:tc>
        <w:tc>
          <w:tcPr>
            <w:tcW w:w="6521" w:type="dxa"/>
            <w:gridSpan w:val="4"/>
          </w:tcPr>
          <w:p w:rsidR="009E1946" w:rsidRPr="0095252E" w:rsidRDefault="009E1946" w:rsidP="009E1946">
            <w:pPr>
              <w:jc w:val="both"/>
              <w:rPr>
                <w:rFonts w:eastAsia="Calibri"/>
                <w:color w:val="000000"/>
                <w:lang w:val="en-US"/>
              </w:rPr>
            </w:pPr>
            <w:r w:rsidRPr="0095252E">
              <w:rPr>
                <w:rFonts w:eastAsia="Calibri"/>
                <w:color w:val="000000"/>
                <w:lang w:val="en-US"/>
              </w:rPr>
              <w:t>To start activities for the implementation of the commitment.</w:t>
            </w:r>
          </w:p>
        </w:tc>
      </w:tr>
      <w:tr w:rsidR="009E1946" w:rsidRPr="0095252E" w:rsidTr="009E1946">
        <w:tc>
          <w:tcPr>
            <w:tcW w:w="9039" w:type="dxa"/>
            <w:gridSpan w:val="6"/>
          </w:tcPr>
          <w:p w:rsidR="009E1946" w:rsidRPr="0095252E" w:rsidRDefault="009E1946" w:rsidP="009E1946">
            <w:pPr>
              <w:jc w:val="both"/>
              <w:rPr>
                <w:rFonts w:eastAsia="Calibri" w:cs="Gotham-Book"/>
                <w:b/>
                <w:color w:val="000000"/>
                <w:lang w:val="en-US"/>
              </w:rPr>
            </w:pPr>
          </w:p>
          <w:p w:rsidR="009E1946" w:rsidRPr="0095252E" w:rsidRDefault="009E1946" w:rsidP="009E1946">
            <w:pPr>
              <w:jc w:val="both"/>
              <w:rPr>
                <w:rFonts w:eastAsia="Calibri"/>
                <w:color w:val="000000"/>
                <w:lang w:val="en-US"/>
              </w:rPr>
            </w:pPr>
            <w:r w:rsidRPr="0095252E">
              <w:rPr>
                <w:rFonts w:eastAsia="Calibri" w:cs="Gotham-Book"/>
                <w:b/>
                <w:color w:val="000000"/>
                <w:lang w:val="en-US"/>
              </w:rPr>
              <w:t>Additional information</w:t>
            </w:r>
          </w:p>
        </w:tc>
      </w:tr>
      <w:tr w:rsidR="009E1946" w:rsidRPr="0095252E" w:rsidTr="009E1946">
        <w:tc>
          <w:tcPr>
            <w:tcW w:w="9039" w:type="dxa"/>
            <w:gridSpan w:val="6"/>
          </w:tcPr>
          <w:p w:rsidR="009E1946" w:rsidRPr="0095252E" w:rsidRDefault="009E1946" w:rsidP="009E1946">
            <w:pPr>
              <w:jc w:val="both"/>
              <w:rPr>
                <w:rFonts w:eastAsia="Calibri" w:cs="Gotham-Book"/>
                <w:b/>
                <w:color w:val="000000"/>
                <w:lang w:val="en-US"/>
              </w:rPr>
            </w:pPr>
          </w:p>
        </w:tc>
      </w:tr>
    </w:tbl>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tbl>
      <w:tblPr>
        <w:tblStyle w:val="Tablaconcuadrcula"/>
        <w:tblW w:w="9039" w:type="dxa"/>
        <w:tblLayout w:type="fixed"/>
        <w:tblLook w:val="04A0" w:firstRow="1" w:lastRow="0" w:firstColumn="1" w:lastColumn="0" w:noHBand="0" w:noVBand="1"/>
      </w:tblPr>
      <w:tblGrid>
        <w:gridCol w:w="2109"/>
        <w:gridCol w:w="409"/>
        <w:gridCol w:w="1701"/>
        <w:gridCol w:w="19"/>
        <w:gridCol w:w="1710"/>
        <w:gridCol w:w="1644"/>
        <w:gridCol w:w="1447"/>
      </w:tblGrid>
      <w:tr w:rsidR="009E1946" w:rsidRPr="0095252E" w:rsidTr="009E1946">
        <w:tc>
          <w:tcPr>
            <w:tcW w:w="9039" w:type="dxa"/>
            <w:gridSpan w:val="7"/>
            <w:shd w:val="clear" w:color="auto" w:fill="548DD4"/>
          </w:tcPr>
          <w:p w:rsidR="009E1946" w:rsidRPr="0095252E" w:rsidRDefault="009E1946" w:rsidP="009E1946">
            <w:pPr>
              <w:ind w:left="720"/>
              <w:jc w:val="center"/>
              <w:rPr>
                <w:rFonts w:eastAsia="Calibri"/>
                <w:b/>
                <w:lang w:val="en-US"/>
              </w:rPr>
            </w:pPr>
            <w:r w:rsidRPr="0095252E">
              <w:rPr>
                <w:rFonts w:eastAsia="Calibri"/>
                <w:b/>
                <w:lang w:val="en-US"/>
              </w:rPr>
              <w:t>Component: Reporting</w:t>
            </w:r>
          </w:p>
        </w:tc>
      </w:tr>
      <w:tr w:rsidR="009E1946" w:rsidRPr="00003DBC" w:rsidTr="009E1946">
        <w:tc>
          <w:tcPr>
            <w:tcW w:w="9039" w:type="dxa"/>
            <w:gridSpan w:val="7"/>
            <w:shd w:val="clear" w:color="auto" w:fill="548DD4"/>
          </w:tcPr>
          <w:p w:rsidR="009E1946" w:rsidRPr="0095252E" w:rsidRDefault="009E1946" w:rsidP="009E1946">
            <w:pPr>
              <w:ind w:left="720"/>
              <w:jc w:val="center"/>
              <w:rPr>
                <w:rFonts w:eastAsia="Calibri"/>
                <w:b/>
                <w:lang w:val="en-US"/>
              </w:rPr>
            </w:pPr>
            <w:r w:rsidRPr="0095252E">
              <w:rPr>
                <w:rFonts w:eastAsia="Calibri"/>
                <w:b/>
                <w:u w:val="single"/>
                <w:lang w:val="en-US"/>
              </w:rPr>
              <w:t>Commitment 13</w:t>
            </w:r>
            <w:r w:rsidRPr="0095252E">
              <w:rPr>
                <w:rFonts w:eastAsia="Calibri"/>
                <w:b/>
                <w:lang w:val="en-US"/>
              </w:rPr>
              <w:t>. Setting up mechanisms to report public expenditure on politics, programs and projects for childhood</w:t>
            </w:r>
          </w:p>
        </w:tc>
      </w:tr>
      <w:tr w:rsidR="009E1946" w:rsidRPr="00003DBC" w:rsidTr="009E1946">
        <w:tc>
          <w:tcPr>
            <w:tcW w:w="4219" w:type="dxa"/>
            <w:gridSpan w:val="3"/>
            <w:shd w:val="clear" w:color="auto" w:fill="C6D9F1"/>
            <w:vAlign w:val="center"/>
          </w:tcPr>
          <w:p w:rsidR="009E1946" w:rsidRPr="0095252E" w:rsidRDefault="009E1946" w:rsidP="009E1946">
            <w:pPr>
              <w:rPr>
                <w:rFonts w:eastAsia="Calibri"/>
                <w:b/>
                <w:color w:val="000000"/>
                <w:lang w:val="en-US"/>
              </w:rPr>
            </w:pPr>
            <w:r w:rsidRPr="0095252E">
              <w:rPr>
                <w:rFonts w:ascii="Calibri" w:eastAsia="Calibri" w:hAnsi="Calibri" w:cs="Times New Roman"/>
                <w:b/>
                <w:lang w:val="en-US"/>
              </w:rPr>
              <w:t>Secretariat/Ministry in charge</w:t>
            </w:r>
          </w:p>
        </w:tc>
        <w:tc>
          <w:tcPr>
            <w:tcW w:w="4820" w:type="dxa"/>
            <w:gridSpan w:val="4"/>
          </w:tcPr>
          <w:p w:rsidR="009E1946" w:rsidRPr="0095252E" w:rsidRDefault="009E1946" w:rsidP="009E1946">
            <w:pPr>
              <w:jc w:val="both"/>
              <w:rPr>
                <w:rFonts w:eastAsia="Calibri"/>
                <w:color w:val="000000"/>
                <w:lang w:val="en-US"/>
              </w:rPr>
            </w:pPr>
            <w:r w:rsidRPr="0095252E">
              <w:rPr>
                <w:rFonts w:eastAsia="Calibri"/>
                <w:color w:val="000000"/>
                <w:lang w:val="en-US"/>
              </w:rPr>
              <w:t xml:space="preserve">Ministry of Development and Social Inclusion (MIDIS), </w:t>
            </w:r>
          </w:p>
          <w:p w:rsidR="009E1946" w:rsidRPr="0095252E" w:rsidRDefault="009E1946" w:rsidP="009E1946">
            <w:pPr>
              <w:jc w:val="both"/>
              <w:rPr>
                <w:rFonts w:eastAsia="Calibri"/>
                <w:color w:val="000000"/>
                <w:lang w:val="en-US"/>
              </w:rPr>
            </w:pPr>
            <w:r w:rsidRPr="0095252E">
              <w:rPr>
                <w:rFonts w:eastAsia="Calibri"/>
                <w:color w:val="000000"/>
                <w:lang w:val="en-US"/>
              </w:rPr>
              <w:lastRenderedPageBreak/>
              <w:t xml:space="preserve">Ministry of Women and Vulnerable Populations (MIMP), </w:t>
            </w:r>
          </w:p>
          <w:p w:rsidR="009E1946" w:rsidRPr="0095252E" w:rsidRDefault="009E1946" w:rsidP="009E1946">
            <w:pPr>
              <w:jc w:val="both"/>
              <w:rPr>
                <w:rFonts w:eastAsia="Calibri"/>
                <w:color w:val="000000"/>
                <w:lang w:val="en-US"/>
              </w:rPr>
            </w:pPr>
            <w:r w:rsidRPr="0095252E">
              <w:rPr>
                <w:rFonts w:eastAsia="Calibri"/>
                <w:color w:val="000000"/>
                <w:lang w:val="en-US"/>
              </w:rPr>
              <w:t>and Ministry of Economy and Finance (MEF)</w:t>
            </w:r>
          </w:p>
        </w:tc>
      </w:tr>
      <w:tr w:rsidR="009E1946" w:rsidRPr="0095252E" w:rsidTr="009E1946">
        <w:tc>
          <w:tcPr>
            <w:tcW w:w="4238" w:type="dxa"/>
            <w:gridSpan w:val="4"/>
            <w:shd w:val="clear" w:color="auto" w:fill="C6D9F1"/>
            <w:vAlign w:val="center"/>
          </w:tcPr>
          <w:p w:rsidR="009E1946" w:rsidRPr="0095252E" w:rsidRDefault="009E1946" w:rsidP="009E1946">
            <w:pPr>
              <w:autoSpaceDE w:val="0"/>
              <w:autoSpaceDN w:val="0"/>
              <w:adjustRightInd w:val="0"/>
              <w:rPr>
                <w:rFonts w:eastAsia="Calibri" w:cs="Gotham-Book"/>
                <w:b/>
                <w:color w:val="000000"/>
                <w:lang w:val="en-US"/>
              </w:rPr>
            </w:pPr>
            <w:r w:rsidRPr="0095252E">
              <w:rPr>
                <w:rFonts w:ascii="Calibri" w:eastAsia="Calibri" w:hAnsi="Calibri" w:cs="Times New Roman"/>
                <w:b/>
                <w:lang w:val="en-US"/>
              </w:rPr>
              <w:lastRenderedPageBreak/>
              <w:t>Name of the person in charge</w:t>
            </w:r>
          </w:p>
        </w:tc>
        <w:tc>
          <w:tcPr>
            <w:tcW w:w="4801" w:type="dxa"/>
            <w:gridSpan w:val="3"/>
          </w:tcPr>
          <w:p w:rsidR="009E1946" w:rsidRPr="00E975F8" w:rsidRDefault="009E1946" w:rsidP="009E1946">
            <w:pPr>
              <w:jc w:val="both"/>
              <w:rPr>
                <w:rFonts w:eastAsia="Calibri"/>
                <w:color w:val="000000"/>
                <w:lang w:val="es-PE"/>
              </w:rPr>
            </w:pPr>
            <w:r w:rsidRPr="00E975F8">
              <w:rPr>
                <w:rFonts w:eastAsia="Calibri"/>
                <w:color w:val="000000"/>
                <w:lang w:val="es-PE"/>
              </w:rPr>
              <w:t xml:space="preserve">Lucia Cayetana </w:t>
            </w:r>
            <w:proofErr w:type="spellStart"/>
            <w:r w:rsidRPr="00E975F8">
              <w:rPr>
                <w:rFonts w:eastAsia="Calibri"/>
                <w:color w:val="000000"/>
                <w:lang w:val="es-PE"/>
              </w:rPr>
              <w:t>Aljovin</w:t>
            </w:r>
            <w:proofErr w:type="spellEnd"/>
            <w:r w:rsidRPr="00E975F8">
              <w:rPr>
                <w:rFonts w:eastAsia="Calibri"/>
                <w:color w:val="000000"/>
                <w:lang w:val="es-PE"/>
              </w:rPr>
              <w:t xml:space="preserve"> </w:t>
            </w:r>
            <w:proofErr w:type="spellStart"/>
            <w:r w:rsidRPr="00E975F8">
              <w:rPr>
                <w:rFonts w:eastAsia="Calibri"/>
                <w:color w:val="000000"/>
                <w:lang w:val="es-PE"/>
              </w:rPr>
              <w:t>Gazzani</w:t>
            </w:r>
            <w:proofErr w:type="spellEnd"/>
          </w:p>
          <w:p w:rsidR="009E1946" w:rsidRPr="00E975F8" w:rsidRDefault="009E1946" w:rsidP="009E1946">
            <w:pPr>
              <w:jc w:val="both"/>
              <w:rPr>
                <w:rFonts w:eastAsia="Calibri"/>
                <w:color w:val="000000"/>
                <w:lang w:val="es-PE"/>
              </w:rPr>
            </w:pPr>
            <w:r w:rsidRPr="00E975F8">
              <w:rPr>
                <w:rFonts w:eastAsia="Calibri"/>
                <w:color w:val="000000"/>
                <w:lang w:val="es-PE"/>
              </w:rPr>
              <w:t xml:space="preserve">Ana </w:t>
            </w:r>
            <w:proofErr w:type="spellStart"/>
            <w:r w:rsidRPr="00E975F8">
              <w:rPr>
                <w:rFonts w:eastAsia="Calibri"/>
                <w:color w:val="000000"/>
                <w:lang w:val="es-PE"/>
              </w:rPr>
              <w:t>Maria</w:t>
            </w:r>
            <w:proofErr w:type="spellEnd"/>
            <w:r w:rsidRPr="00E975F8">
              <w:rPr>
                <w:rFonts w:eastAsia="Calibri"/>
                <w:color w:val="000000"/>
                <w:lang w:val="es-PE"/>
              </w:rPr>
              <w:t xml:space="preserve"> Romero-Lozada </w:t>
            </w:r>
            <w:proofErr w:type="spellStart"/>
            <w:r w:rsidRPr="00E975F8">
              <w:rPr>
                <w:rFonts w:eastAsia="Calibri"/>
                <w:color w:val="000000"/>
                <w:lang w:val="es-PE"/>
              </w:rPr>
              <w:t>Laurezzari</w:t>
            </w:r>
            <w:proofErr w:type="spellEnd"/>
            <w:r w:rsidRPr="00E975F8">
              <w:rPr>
                <w:rFonts w:eastAsia="Calibri"/>
                <w:color w:val="000000"/>
                <w:lang w:val="es-PE"/>
              </w:rPr>
              <w:t xml:space="preserve">, </w:t>
            </w:r>
          </w:p>
          <w:p w:rsidR="009E1946" w:rsidRPr="0095252E" w:rsidRDefault="009E1946" w:rsidP="009E1946">
            <w:pPr>
              <w:jc w:val="both"/>
              <w:rPr>
                <w:rFonts w:eastAsia="Calibri"/>
                <w:color w:val="000000"/>
                <w:lang w:val="en-US"/>
              </w:rPr>
            </w:pPr>
            <w:r w:rsidRPr="0095252E">
              <w:rPr>
                <w:rFonts w:eastAsia="Calibri"/>
                <w:color w:val="000000"/>
                <w:lang w:val="en-US"/>
              </w:rPr>
              <w:t>Alfredo Eduardo Thorne Vetter</w:t>
            </w:r>
          </w:p>
        </w:tc>
      </w:tr>
      <w:tr w:rsidR="009E1946" w:rsidRPr="0095252E" w:rsidTr="009E1946">
        <w:tc>
          <w:tcPr>
            <w:tcW w:w="4238" w:type="dxa"/>
            <w:gridSpan w:val="4"/>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Position</w:t>
            </w:r>
          </w:p>
        </w:tc>
        <w:tc>
          <w:tcPr>
            <w:tcW w:w="4801" w:type="dxa"/>
            <w:gridSpan w:val="3"/>
          </w:tcPr>
          <w:p w:rsidR="009E1946" w:rsidRPr="0095252E" w:rsidRDefault="009E1946" w:rsidP="009E1946">
            <w:pPr>
              <w:jc w:val="both"/>
              <w:rPr>
                <w:rFonts w:eastAsia="Calibri"/>
                <w:color w:val="000000"/>
                <w:lang w:val="en-US"/>
              </w:rPr>
            </w:pPr>
            <w:r w:rsidRPr="0095252E">
              <w:rPr>
                <w:rFonts w:eastAsia="Calibri"/>
                <w:color w:val="000000"/>
                <w:lang w:val="en-US"/>
              </w:rPr>
              <w:t>Ministers</w:t>
            </w:r>
          </w:p>
        </w:tc>
      </w:tr>
      <w:tr w:rsidR="009E1946" w:rsidRPr="0095252E" w:rsidTr="009E1946">
        <w:tc>
          <w:tcPr>
            <w:tcW w:w="4238" w:type="dxa"/>
            <w:gridSpan w:val="4"/>
            <w:shd w:val="clear" w:color="auto" w:fill="C6D9F1"/>
            <w:vAlign w:val="center"/>
          </w:tcPr>
          <w:p w:rsidR="009E1946" w:rsidRPr="0095252E" w:rsidRDefault="009E1946" w:rsidP="009E1946">
            <w:pPr>
              <w:autoSpaceDE w:val="0"/>
              <w:autoSpaceDN w:val="0"/>
              <w:adjustRightInd w:val="0"/>
              <w:rPr>
                <w:rFonts w:eastAsia="Calibri" w:cs="Gotham-Book"/>
                <w:b/>
                <w:color w:val="000000"/>
                <w:lang w:val="en-US"/>
              </w:rPr>
            </w:pPr>
            <w:r w:rsidRPr="0095252E">
              <w:rPr>
                <w:rFonts w:eastAsia="Calibri" w:cs="Gotham-Book"/>
                <w:b/>
                <w:color w:val="000000"/>
                <w:lang w:val="en-US"/>
              </w:rPr>
              <w:t>E-mail</w:t>
            </w:r>
          </w:p>
        </w:tc>
        <w:tc>
          <w:tcPr>
            <w:tcW w:w="4801" w:type="dxa"/>
            <w:gridSpan w:val="3"/>
          </w:tcPr>
          <w:p w:rsidR="009E1946" w:rsidRPr="0095252E" w:rsidRDefault="009E1946" w:rsidP="009E1946">
            <w:pPr>
              <w:jc w:val="both"/>
              <w:rPr>
                <w:rFonts w:eastAsia="Calibri"/>
                <w:lang w:val="en-US"/>
              </w:rPr>
            </w:pPr>
            <w:r w:rsidRPr="0095252E">
              <w:rPr>
                <w:rFonts w:eastAsia="Calibri"/>
                <w:color w:val="0000FF"/>
                <w:u w:val="single"/>
                <w:lang w:val="en-US"/>
              </w:rPr>
              <w:t>despachoministerial1@midis.gob.pe</w:t>
            </w:r>
          </w:p>
          <w:p w:rsidR="009E1946" w:rsidRPr="0095252E" w:rsidRDefault="002C33FD" w:rsidP="009E1946">
            <w:pPr>
              <w:jc w:val="both"/>
              <w:rPr>
                <w:rFonts w:eastAsia="Calibri"/>
                <w:lang w:val="en-US"/>
              </w:rPr>
            </w:pPr>
            <w:hyperlink r:id="rId28" w:history="1">
              <w:r w:rsidR="009E1946" w:rsidRPr="0095252E">
                <w:rPr>
                  <w:rFonts w:eastAsia="Calibri"/>
                  <w:color w:val="0000FF"/>
                  <w:u w:val="single"/>
                  <w:lang w:val="en-US"/>
                </w:rPr>
                <w:t>amromero@mimp.gob.pe</w:t>
              </w:r>
            </w:hyperlink>
          </w:p>
          <w:p w:rsidR="009E1946" w:rsidRPr="0095252E" w:rsidRDefault="002C33FD" w:rsidP="009E1946">
            <w:pPr>
              <w:jc w:val="both"/>
              <w:rPr>
                <w:rFonts w:eastAsia="Calibri"/>
                <w:color w:val="0000FF"/>
                <w:u w:val="single"/>
                <w:lang w:val="en-US"/>
              </w:rPr>
            </w:pPr>
            <w:hyperlink r:id="rId29" w:history="1">
              <w:r w:rsidR="009E1946" w:rsidRPr="0095252E">
                <w:rPr>
                  <w:rFonts w:eastAsia="Calibri"/>
                  <w:color w:val="0000FF"/>
                  <w:u w:val="single"/>
                  <w:lang w:val="en-US"/>
                </w:rPr>
                <w:t>ministro@mef.gob.pe</w:t>
              </w:r>
            </w:hyperlink>
          </w:p>
        </w:tc>
      </w:tr>
      <w:tr w:rsidR="009E1946" w:rsidRPr="0095252E" w:rsidTr="009E1946">
        <w:tc>
          <w:tcPr>
            <w:tcW w:w="4238" w:type="dxa"/>
            <w:gridSpan w:val="4"/>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Telephone</w:t>
            </w:r>
          </w:p>
        </w:tc>
        <w:tc>
          <w:tcPr>
            <w:tcW w:w="4801" w:type="dxa"/>
            <w:gridSpan w:val="3"/>
          </w:tcPr>
          <w:p w:rsidR="009E1946" w:rsidRPr="0095252E" w:rsidRDefault="009E1946" w:rsidP="009E1946">
            <w:pPr>
              <w:jc w:val="both"/>
              <w:rPr>
                <w:rFonts w:eastAsia="Calibri"/>
                <w:color w:val="000000"/>
                <w:lang w:val="en-US"/>
              </w:rPr>
            </w:pPr>
            <w:r w:rsidRPr="0095252E">
              <w:rPr>
                <w:rFonts w:eastAsia="Calibri"/>
                <w:color w:val="000000"/>
                <w:lang w:val="en-US"/>
              </w:rPr>
              <w:t>51-1-6318000 Ax. 1561 (MIDIS)</w:t>
            </w:r>
          </w:p>
          <w:p w:rsidR="009E1946" w:rsidRPr="0095252E" w:rsidRDefault="009E1946" w:rsidP="009E1946">
            <w:pPr>
              <w:jc w:val="both"/>
              <w:rPr>
                <w:rFonts w:eastAsia="Calibri"/>
                <w:color w:val="000000"/>
                <w:lang w:val="en-US"/>
              </w:rPr>
            </w:pPr>
            <w:r w:rsidRPr="0095252E">
              <w:rPr>
                <w:rFonts w:eastAsia="Calibri"/>
                <w:color w:val="000000"/>
                <w:lang w:val="en-US"/>
              </w:rPr>
              <w:t>51-1-626-1600 (MIMP)</w:t>
            </w:r>
          </w:p>
          <w:p w:rsidR="009E1946" w:rsidRPr="0095252E" w:rsidRDefault="009E1946" w:rsidP="009E1946">
            <w:pPr>
              <w:jc w:val="both"/>
              <w:rPr>
                <w:rFonts w:eastAsia="Calibri"/>
                <w:color w:val="000000"/>
                <w:lang w:val="en-US"/>
              </w:rPr>
            </w:pPr>
            <w:r w:rsidRPr="0095252E">
              <w:rPr>
                <w:rFonts w:eastAsia="Calibri"/>
                <w:color w:val="000000"/>
                <w:lang w:val="en-US"/>
              </w:rPr>
              <w:t>51-1-311-9901 /51-1-4284664 (MEF)</w:t>
            </w:r>
          </w:p>
        </w:tc>
      </w:tr>
      <w:tr w:rsidR="009E1946" w:rsidRPr="00003DBC" w:rsidTr="009E1946">
        <w:tc>
          <w:tcPr>
            <w:tcW w:w="2109" w:type="dxa"/>
            <w:vMerge w:val="restart"/>
            <w:shd w:val="clear" w:color="auto" w:fill="C6D9F1"/>
            <w:vAlign w:val="center"/>
          </w:tcPr>
          <w:p w:rsidR="009E1946" w:rsidRPr="0095252E" w:rsidRDefault="00596BF3" w:rsidP="009E1946">
            <w:pPr>
              <w:rPr>
                <w:rFonts w:eastAsia="Calibri" w:cs="Gotham-Book"/>
                <w:b/>
                <w:color w:val="000000"/>
                <w:lang w:val="en-US"/>
              </w:rPr>
            </w:pPr>
            <w:r>
              <w:rPr>
                <w:rFonts w:eastAsia="Calibri" w:cs="Gotham-Book"/>
                <w:b/>
                <w:color w:val="000000"/>
                <w:lang w:val="en-US"/>
              </w:rPr>
              <w:t>Other parties involved</w:t>
            </w:r>
          </w:p>
        </w:tc>
        <w:tc>
          <w:tcPr>
            <w:tcW w:w="2129" w:type="dxa"/>
            <w:gridSpan w:val="3"/>
            <w:shd w:val="clear" w:color="auto" w:fill="C6D9F1"/>
            <w:vAlign w:val="center"/>
          </w:tcPr>
          <w:p w:rsidR="009E1946" w:rsidRPr="0095252E" w:rsidRDefault="009E1946" w:rsidP="009E1946">
            <w:pPr>
              <w:rPr>
                <w:rFonts w:eastAsia="Calibri" w:cs="Gotham-Book"/>
                <w:b/>
                <w:color w:val="000000"/>
                <w:lang w:val="en-US"/>
              </w:rPr>
            </w:pPr>
            <w:r w:rsidRPr="0095252E">
              <w:rPr>
                <w:rFonts w:eastAsia="Calibri" w:cs="Gotham-Book"/>
                <w:b/>
                <w:color w:val="000000"/>
                <w:lang w:val="en-US"/>
              </w:rPr>
              <w:t>Government</w:t>
            </w:r>
          </w:p>
        </w:tc>
        <w:tc>
          <w:tcPr>
            <w:tcW w:w="4801" w:type="dxa"/>
            <w:gridSpan w:val="3"/>
          </w:tcPr>
          <w:p w:rsidR="009E1946" w:rsidRPr="0095252E" w:rsidRDefault="009E1946" w:rsidP="009E1946">
            <w:pPr>
              <w:jc w:val="both"/>
              <w:rPr>
                <w:rFonts w:eastAsia="Calibri"/>
                <w:color w:val="000000"/>
                <w:lang w:val="en-US"/>
              </w:rPr>
            </w:pPr>
            <w:r w:rsidRPr="0095252E">
              <w:rPr>
                <w:rFonts w:eastAsia="Calibri"/>
                <w:color w:val="000000"/>
                <w:lang w:val="en-US"/>
              </w:rPr>
              <w:t xml:space="preserve">Concertation board for poverty reduction </w:t>
            </w:r>
          </w:p>
        </w:tc>
      </w:tr>
      <w:tr w:rsidR="009E1946" w:rsidRPr="00003DBC" w:rsidTr="009E1946">
        <w:tc>
          <w:tcPr>
            <w:tcW w:w="2109" w:type="dxa"/>
            <w:vMerge/>
            <w:shd w:val="clear" w:color="auto" w:fill="C6D9F1"/>
            <w:vAlign w:val="center"/>
          </w:tcPr>
          <w:p w:rsidR="009E1946" w:rsidRPr="0095252E" w:rsidRDefault="009E1946" w:rsidP="009E1946">
            <w:pPr>
              <w:rPr>
                <w:rFonts w:eastAsia="Calibri" w:cs="Gotham-Book"/>
                <w:b/>
                <w:color w:val="000000"/>
                <w:lang w:val="en-US"/>
              </w:rPr>
            </w:pPr>
          </w:p>
        </w:tc>
        <w:tc>
          <w:tcPr>
            <w:tcW w:w="2129" w:type="dxa"/>
            <w:gridSpan w:val="3"/>
            <w:shd w:val="clear" w:color="auto" w:fill="C6D9F1"/>
            <w:vAlign w:val="center"/>
          </w:tcPr>
          <w:p w:rsidR="009E1946" w:rsidRPr="0095252E" w:rsidRDefault="009E1946" w:rsidP="009E1946">
            <w:pPr>
              <w:rPr>
                <w:rFonts w:eastAsia="Calibri" w:cs="Gotham-Book"/>
                <w:b/>
                <w:color w:val="000000"/>
                <w:lang w:val="en-US"/>
              </w:rPr>
            </w:pPr>
            <w:r w:rsidRPr="0095252E">
              <w:rPr>
                <w:rFonts w:eastAsia="Calibri" w:cs="Gotham-Book"/>
                <w:b/>
                <w:color w:val="000000"/>
                <w:lang w:val="en-US"/>
              </w:rPr>
              <w:t>Civil Society, private initiative, multilateral or work groups</w:t>
            </w:r>
          </w:p>
        </w:tc>
        <w:tc>
          <w:tcPr>
            <w:tcW w:w="4801" w:type="dxa"/>
            <w:gridSpan w:val="3"/>
          </w:tcPr>
          <w:p w:rsidR="009E1946" w:rsidRPr="0095252E" w:rsidRDefault="009E1946" w:rsidP="009E1946">
            <w:pPr>
              <w:jc w:val="both"/>
              <w:rPr>
                <w:rFonts w:eastAsia="Calibri"/>
                <w:color w:val="000000"/>
                <w:lang w:val="en-US"/>
              </w:rPr>
            </w:pPr>
            <w:r w:rsidRPr="0095252E">
              <w:rPr>
                <w:rFonts w:eastAsia="Calibri"/>
                <w:color w:val="000000"/>
                <w:lang w:val="en-US"/>
              </w:rPr>
              <w:t>The United Nations Children’s Fund (UNICEF)</w:t>
            </w:r>
          </w:p>
        </w:tc>
      </w:tr>
      <w:tr w:rsidR="009E1946" w:rsidRPr="00003DBC" w:rsidTr="009E1946">
        <w:tc>
          <w:tcPr>
            <w:tcW w:w="4219" w:type="dxa"/>
            <w:gridSpan w:val="3"/>
            <w:shd w:val="clear" w:color="auto" w:fill="C6D9F1"/>
            <w:vAlign w:val="center"/>
          </w:tcPr>
          <w:p w:rsidR="009E1946" w:rsidRPr="0095252E" w:rsidRDefault="009E1946" w:rsidP="009E1946">
            <w:pPr>
              <w:rPr>
                <w:rFonts w:eastAsia="Calibri" w:cs="Gotham-Book"/>
                <w:b/>
                <w:color w:val="000000"/>
                <w:lang w:val="en-US"/>
              </w:rPr>
            </w:pPr>
            <w:r w:rsidRPr="0095252E">
              <w:rPr>
                <w:rFonts w:eastAsia="Calibri" w:cs="Gotham-Book"/>
                <w:b/>
                <w:color w:val="000000"/>
                <w:lang w:val="en-US"/>
              </w:rPr>
              <w:t>Status quo or problem/</w:t>
            </w:r>
            <w:r w:rsidRPr="0095252E">
              <w:rPr>
                <w:rFonts w:eastAsia="Calibri" w:cs="Gotham-Book"/>
                <w:b/>
                <w:color w:val="000000"/>
                <w:lang w:val="en-US"/>
              </w:rPr>
              <w:br/>
              <w:t>challenge to be attended</w:t>
            </w:r>
          </w:p>
        </w:tc>
        <w:tc>
          <w:tcPr>
            <w:tcW w:w="4820" w:type="dxa"/>
            <w:gridSpan w:val="4"/>
          </w:tcPr>
          <w:p w:rsidR="009E1946" w:rsidRPr="0095252E" w:rsidRDefault="009E1946" w:rsidP="009E1946">
            <w:pPr>
              <w:jc w:val="both"/>
              <w:rPr>
                <w:rFonts w:eastAsia="Calibri"/>
                <w:color w:val="000000"/>
                <w:lang w:val="en-US"/>
              </w:rPr>
            </w:pPr>
            <w:r w:rsidRPr="0095252E">
              <w:rPr>
                <w:rFonts w:eastAsia="Calibri"/>
                <w:color w:val="000000"/>
                <w:lang w:val="en-US"/>
              </w:rPr>
              <w:t>It is required an systematized, updated and focused information on the resources that the State designates to the implementation of policies, programs and projects for childhood, in order to make an appropriate monitoring and reporting.</w:t>
            </w:r>
          </w:p>
        </w:tc>
      </w:tr>
      <w:tr w:rsidR="009E1946" w:rsidRPr="00003DBC" w:rsidTr="009E1946">
        <w:tc>
          <w:tcPr>
            <w:tcW w:w="4219" w:type="dxa"/>
            <w:gridSpan w:val="3"/>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Main objective</w:t>
            </w:r>
          </w:p>
        </w:tc>
        <w:tc>
          <w:tcPr>
            <w:tcW w:w="4820" w:type="dxa"/>
            <w:gridSpan w:val="4"/>
          </w:tcPr>
          <w:p w:rsidR="009E1946" w:rsidRPr="0095252E" w:rsidRDefault="009E1946" w:rsidP="009E1946">
            <w:pPr>
              <w:jc w:val="both"/>
              <w:rPr>
                <w:rFonts w:eastAsia="Calibri"/>
                <w:bCs/>
                <w:lang w:val="en-US"/>
              </w:rPr>
            </w:pPr>
            <w:r w:rsidRPr="0095252E">
              <w:rPr>
                <w:rFonts w:eastAsia="Calibri"/>
                <w:bCs/>
                <w:lang w:val="en-US"/>
              </w:rPr>
              <w:t>To have an instrument that allows the identification of the public expenditure for childhood (directly or indirectly), the interinstitutional consensus and the and the disposal of the updated information for the monitoring and decision making in favor of this population group.</w:t>
            </w:r>
          </w:p>
        </w:tc>
      </w:tr>
      <w:tr w:rsidR="009E1946" w:rsidRPr="00003DBC" w:rsidTr="009E1946">
        <w:tc>
          <w:tcPr>
            <w:tcW w:w="4219" w:type="dxa"/>
            <w:gridSpan w:val="3"/>
            <w:shd w:val="clear" w:color="auto" w:fill="C6D9F1"/>
            <w:vAlign w:val="center"/>
          </w:tcPr>
          <w:p w:rsidR="009E1946" w:rsidRPr="0095252E" w:rsidRDefault="009E1946" w:rsidP="009E1946">
            <w:pPr>
              <w:autoSpaceDE w:val="0"/>
              <w:autoSpaceDN w:val="0"/>
              <w:adjustRightInd w:val="0"/>
              <w:rPr>
                <w:rFonts w:eastAsia="Calibri" w:cs="Gotham-Book"/>
                <w:b/>
                <w:color w:val="000000"/>
                <w:lang w:val="en-US"/>
              </w:rPr>
            </w:pPr>
            <w:r w:rsidRPr="0095252E">
              <w:rPr>
                <w:rFonts w:eastAsia="Calibri" w:cs="Gotham-Book"/>
                <w:b/>
                <w:color w:val="000000"/>
                <w:lang w:val="en-US"/>
              </w:rPr>
              <w:t>Brief description of the commitment</w:t>
            </w:r>
          </w:p>
        </w:tc>
        <w:tc>
          <w:tcPr>
            <w:tcW w:w="4820" w:type="dxa"/>
            <w:gridSpan w:val="4"/>
          </w:tcPr>
          <w:p w:rsidR="009E1946" w:rsidRPr="0095252E" w:rsidRDefault="009E1946" w:rsidP="009E1946">
            <w:pPr>
              <w:jc w:val="both"/>
              <w:rPr>
                <w:rFonts w:eastAsia="Calibri"/>
                <w:color w:val="FF0000"/>
                <w:szCs w:val="20"/>
                <w:lang w:val="en-US"/>
              </w:rPr>
            </w:pPr>
            <w:r w:rsidRPr="0095252E">
              <w:rPr>
                <w:rFonts w:eastAsia="Calibri"/>
                <w:szCs w:val="20"/>
                <w:lang w:val="en-US"/>
              </w:rPr>
              <w:t xml:space="preserve">Implementing mechanisms to disclose and report performances on the public expenditure of entities with competence and roles in the formulation and implementation of policies, programs and projects for childhood. </w:t>
            </w:r>
          </w:p>
        </w:tc>
      </w:tr>
      <w:tr w:rsidR="009E1946" w:rsidRPr="00003DBC" w:rsidTr="009E1946">
        <w:tc>
          <w:tcPr>
            <w:tcW w:w="4219" w:type="dxa"/>
            <w:gridSpan w:val="3"/>
            <w:shd w:val="clear" w:color="auto" w:fill="C6D9F1"/>
            <w:vAlign w:val="center"/>
          </w:tcPr>
          <w:p w:rsidR="009E1946" w:rsidRPr="0095252E" w:rsidRDefault="009E1946" w:rsidP="009E1946">
            <w:pPr>
              <w:autoSpaceDE w:val="0"/>
              <w:autoSpaceDN w:val="0"/>
              <w:adjustRightInd w:val="0"/>
              <w:rPr>
                <w:rFonts w:eastAsia="Calibri" w:cs="Gotham-Book"/>
                <w:b/>
                <w:lang w:val="en-US"/>
              </w:rPr>
            </w:pPr>
            <w:r w:rsidRPr="0095252E">
              <w:rPr>
                <w:rFonts w:eastAsia="Calibri" w:cs="Gotham-Book"/>
                <w:b/>
                <w:lang w:val="en-US"/>
              </w:rPr>
              <w:t>Relevance</w:t>
            </w:r>
          </w:p>
          <w:p w:rsidR="009E1946" w:rsidRPr="0095252E" w:rsidRDefault="009E1946" w:rsidP="009E1946">
            <w:pPr>
              <w:autoSpaceDE w:val="0"/>
              <w:autoSpaceDN w:val="0"/>
              <w:adjustRightInd w:val="0"/>
              <w:rPr>
                <w:rFonts w:eastAsia="Calibri"/>
                <w:b/>
                <w:color w:val="000000"/>
                <w:lang w:val="en-US"/>
              </w:rPr>
            </w:pPr>
          </w:p>
        </w:tc>
        <w:tc>
          <w:tcPr>
            <w:tcW w:w="4820" w:type="dxa"/>
            <w:gridSpan w:val="4"/>
          </w:tcPr>
          <w:p w:rsidR="009E1946" w:rsidRPr="0095252E" w:rsidRDefault="009E1946" w:rsidP="009E1946">
            <w:pPr>
              <w:jc w:val="both"/>
              <w:rPr>
                <w:rFonts w:eastAsia="Calibri"/>
                <w:color w:val="FF0000"/>
                <w:szCs w:val="20"/>
                <w:lang w:val="en-US"/>
              </w:rPr>
            </w:pPr>
            <w:r w:rsidRPr="0095252E">
              <w:rPr>
                <w:rFonts w:eastAsia="Calibri"/>
                <w:szCs w:val="20"/>
                <w:lang w:val="en-US"/>
              </w:rPr>
              <w:t xml:space="preserve">The commitment allows optimizing the reporting on public expenditure for vulnerable population as childhood, and contributes to strengthen the OGP values. </w:t>
            </w:r>
          </w:p>
        </w:tc>
      </w:tr>
      <w:tr w:rsidR="009E1946" w:rsidRPr="00003DBC" w:rsidTr="009E1946">
        <w:tc>
          <w:tcPr>
            <w:tcW w:w="4219" w:type="dxa"/>
            <w:gridSpan w:val="3"/>
            <w:shd w:val="clear" w:color="auto" w:fill="C6D9F1"/>
            <w:vAlign w:val="center"/>
          </w:tcPr>
          <w:p w:rsidR="009E1946" w:rsidRPr="0095252E" w:rsidRDefault="009E1946" w:rsidP="009E1946">
            <w:pPr>
              <w:autoSpaceDE w:val="0"/>
              <w:autoSpaceDN w:val="0"/>
              <w:adjustRightInd w:val="0"/>
              <w:rPr>
                <w:rFonts w:eastAsia="Calibri" w:cs="Gotham-Book"/>
                <w:b/>
                <w:lang w:val="en-US"/>
              </w:rPr>
            </w:pPr>
            <w:r w:rsidRPr="0095252E">
              <w:rPr>
                <w:rFonts w:eastAsia="Calibri" w:cs="Gotham-Book"/>
                <w:b/>
                <w:lang w:val="en-US"/>
              </w:rPr>
              <w:t>Ambition</w:t>
            </w:r>
          </w:p>
          <w:p w:rsidR="009E1946" w:rsidRPr="0095252E" w:rsidRDefault="009E1946" w:rsidP="009E1946">
            <w:pPr>
              <w:autoSpaceDE w:val="0"/>
              <w:autoSpaceDN w:val="0"/>
              <w:adjustRightInd w:val="0"/>
              <w:rPr>
                <w:rFonts w:eastAsia="Calibri" w:cs="Gotham-BookItalic"/>
                <w:b/>
                <w:iCs/>
                <w:color w:val="000000"/>
                <w:lang w:val="en-US"/>
              </w:rPr>
            </w:pPr>
          </w:p>
        </w:tc>
        <w:tc>
          <w:tcPr>
            <w:tcW w:w="4820" w:type="dxa"/>
            <w:gridSpan w:val="4"/>
          </w:tcPr>
          <w:p w:rsidR="009E1946" w:rsidRPr="0095252E" w:rsidRDefault="009E1946" w:rsidP="009E1946">
            <w:pPr>
              <w:jc w:val="both"/>
              <w:rPr>
                <w:rFonts w:eastAsia="Calibri"/>
                <w:color w:val="FF0000"/>
                <w:szCs w:val="20"/>
                <w:lang w:val="en-US"/>
              </w:rPr>
            </w:pPr>
            <w:r w:rsidRPr="0095252E">
              <w:rPr>
                <w:rFonts w:eastAsia="Calibri"/>
                <w:szCs w:val="20"/>
                <w:lang w:val="en-US"/>
              </w:rPr>
              <w:t>The continuation and sustainability of the commitment that has been concluded is expected.</w:t>
            </w:r>
            <w:r w:rsidRPr="0095252E">
              <w:rPr>
                <w:rFonts w:eastAsia="Calibri"/>
                <w:color w:val="FF0000"/>
                <w:szCs w:val="20"/>
                <w:lang w:val="en-US"/>
              </w:rPr>
              <w:t xml:space="preserve"> </w:t>
            </w:r>
          </w:p>
        </w:tc>
      </w:tr>
      <w:tr w:rsidR="009E1946" w:rsidRPr="0095252E" w:rsidTr="009E1946">
        <w:tc>
          <w:tcPr>
            <w:tcW w:w="2518" w:type="dxa"/>
            <w:gridSpan w:val="2"/>
            <w:vMerge w:val="restart"/>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Compliance</w:t>
            </w:r>
          </w:p>
        </w:tc>
        <w:tc>
          <w:tcPr>
            <w:tcW w:w="1701" w:type="dxa"/>
            <w:shd w:val="clear" w:color="auto" w:fill="C6D9F1"/>
          </w:tcPr>
          <w:p w:rsidR="009E1946" w:rsidRPr="0095252E" w:rsidRDefault="00596BF3" w:rsidP="009E1946">
            <w:pPr>
              <w:jc w:val="center"/>
              <w:rPr>
                <w:rFonts w:eastAsia="Calibri"/>
                <w:b/>
                <w:color w:val="000000"/>
                <w:lang w:val="en-US"/>
              </w:rPr>
            </w:pPr>
            <w:r>
              <w:rPr>
                <w:rFonts w:eastAsia="Calibri" w:cs="Gotham-Book"/>
                <w:b/>
                <w:color w:val="000000"/>
                <w:lang w:val="en-US"/>
              </w:rPr>
              <w:t>Uninitiated</w:t>
            </w:r>
          </w:p>
        </w:tc>
        <w:tc>
          <w:tcPr>
            <w:tcW w:w="1729" w:type="dxa"/>
            <w:gridSpan w:val="2"/>
            <w:shd w:val="clear" w:color="auto" w:fill="C6D9F1"/>
          </w:tcPr>
          <w:p w:rsidR="009E1946" w:rsidRPr="0095252E" w:rsidRDefault="009E1946" w:rsidP="009E1946">
            <w:pPr>
              <w:jc w:val="center"/>
              <w:rPr>
                <w:rFonts w:eastAsia="Calibri"/>
                <w:b/>
                <w:color w:val="000000"/>
                <w:lang w:val="en-US"/>
              </w:rPr>
            </w:pPr>
            <w:r w:rsidRPr="0095252E">
              <w:rPr>
                <w:rFonts w:eastAsia="Calibri" w:cs="Gotham-Book"/>
                <w:b/>
                <w:color w:val="000000"/>
                <w:lang w:val="en-US"/>
              </w:rPr>
              <w:t>Limited</w:t>
            </w:r>
          </w:p>
        </w:tc>
        <w:tc>
          <w:tcPr>
            <w:tcW w:w="1644" w:type="dxa"/>
            <w:shd w:val="clear" w:color="auto" w:fill="C6D9F1"/>
          </w:tcPr>
          <w:p w:rsidR="009E1946" w:rsidRPr="0095252E" w:rsidRDefault="009E1946" w:rsidP="009E1946">
            <w:pPr>
              <w:jc w:val="center"/>
              <w:rPr>
                <w:rFonts w:eastAsia="Calibri"/>
                <w:b/>
                <w:color w:val="000000"/>
                <w:lang w:val="en-US"/>
              </w:rPr>
            </w:pPr>
            <w:r w:rsidRPr="0095252E">
              <w:rPr>
                <w:rFonts w:eastAsia="Calibri" w:cs="Gotham-Book"/>
                <w:b/>
                <w:color w:val="000000"/>
                <w:lang w:val="en-US"/>
              </w:rPr>
              <w:t>Substantial</w:t>
            </w:r>
          </w:p>
        </w:tc>
        <w:tc>
          <w:tcPr>
            <w:tcW w:w="1447" w:type="dxa"/>
            <w:shd w:val="clear" w:color="auto" w:fill="C6D9F1"/>
          </w:tcPr>
          <w:p w:rsidR="009E1946" w:rsidRPr="0095252E" w:rsidRDefault="009E1946" w:rsidP="009E1946">
            <w:pPr>
              <w:jc w:val="center"/>
              <w:rPr>
                <w:rFonts w:eastAsia="Calibri"/>
                <w:b/>
                <w:color w:val="000000"/>
                <w:lang w:val="en-US"/>
              </w:rPr>
            </w:pPr>
            <w:r w:rsidRPr="0095252E">
              <w:rPr>
                <w:rFonts w:eastAsia="Calibri" w:cs="Gotham-Book"/>
                <w:b/>
                <w:color w:val="000000"/>
                <w:lang w:val="en-US"/>
              </w:rPr>
              <w:t>Complete</w:t>
            </w:r>
          </w:p>
        </w:tc>
      </w:tr>
      <w:tr w:rsidR="009E1946" w:rsidRPr="0095252E" w:rsidTr="009E1946">
        <w:tc>
          <w:tcPr>
            <w:tcW w:w="2518" w:type="dxa"/>
            <w:gridSpan w:val="2"/>
            <w:vMerge/>
            <w:shd w:val="clear" w:color="auto" w:fill="C6D9F1"/>
            <w:vAlign w:val="center"/>
          </w:tcPr>
          <w:p w:rsidR="009E1946" w:rsidRPr="0095252E" w:rsidRDefault="009E1946" w:rsidP="009E1946">
            <w:pPr>
              <w:rPr>
                <w:rFonts w:eastAsia="Calibri"/>
                <w:b/>
                <w:color w:val="000000"/>
                <w:lang w:val="en-US"/>
              </w:rPr>
            </w:pPr>
          </w:p>
        </w:tc>
        <w:tc>
          <w:tcPr>
            <w:tcW w:w="1701" w:type="dxa"/>
          </w:tcPr>
          <w:p w:rsidR="009E1946" w:rsidRPr="0095252E" w:rsidRDefault="009E1946" w:rsidP="009E1946">
            <w:pPr>
              <w:jc w:val="center"/>
              <w:rPr>
                <w:rFonts w:eastAsia="Calibri"/>
                <w:b/>
                <w:color w:val="000000"/>
                <w:lang w:val="en-US"/>
              </w:rPr>
            </w:pPr>
          </w:p>
        </w:tc>
        <w:tc>
          <w:tcPr>
            <w:tcW w:w="1729" w:type="dxa"/>
            <w:gridSpan w:val="2"/>
          </w:tcPr>
          <w:p w:rsidR="009E1946" w:rsidRPr="0095252E" w:rsidRDefault="009E1946" w:rsidP="009E1946">
            <w:pPr>
              <w:jc w:val="center"/>
              <w:rPr>
                <w:rFonts w:eastAsia="Calibri"/>
                <w:b/>
                <w:color w:val="000000"/>
                <w:lang w:val="en-US"/>
              </w:rPr>
            </w:pPr>
          </w:p>
        </w:tc>
        <w:tc>
          <w:tcPr>
            <w:tcW w:w="1644" w:type="dxa"/>
          </w:tcPr>
          <w:p w:rsidR="009E1946" w:rsidRPr="0095252E" w:rsidRDefault="009E1946" w:rsidP="009E1946">
            <w:pPr>
              <w:jc w:val="center"/>
              <w:rPr>
                <w:rFonts w:eastAsia="Calibri"/>
                <w:b/>
                <w:color w:val="000000"/>
                <w:lang w:val="en-US"/>
              </w:rPr>
            </w:pPr>
          </w:p>
        </w:tc>
        <w:tc>
          <w:tcPr>
            <w:tcW w:w="1447" w:type="dxa"/>
            <w:shd w:val="clear" w:color="auto" w:fill="FFFFFF"/>
          </w:tcPr>
          <w:p w:rsidR="009E1946" w:rsidRPr="0095252E" w:rsidRDefault="009E1946" w:rsidP="009E1946">
            <w:pPr>
              <w:jc w:val="center"/>
              <w:rPr>
                <w:rFonts w:eastAsia="Calibri"/>
                <w:b/>
                <w:color w:val="000000"/>
                <w:lang w:val="en-US"/>
              </w:rPr>
            </w:pPr>
            <w:r w:rsidRPr="0095252E">
              <w:rPr>
                <w:rFonts w:eastAsia="Calibri"/>
                <w:b/>
                <w:color w:val="000000"/>
                <w:lang w:val="en-US"/>
              </w:rPr>
              <w:t>X</w:t>
            </w:r>
          </w:p>
        </w:tc>
      </w:tr>
      <w:tr w:rsidR="009E1946" w:rsidRPr="00003DBC" w:rsidTr="009E1946">
        <w:tc>
          <w:tcPr>
            <w:tcW w:w="2518" w:type="dxa"/>
            <w:gridSpan w:val="2"/>
            <w:shd w:val="clear" w:color="auto" w:fill="C6D9F1"/>
            <w:vAlign w:val="center"/>
          </w:tcPr>
          <w:p w:rsidR="009E1946" w:rsidRPr="0095252E" w:rsidRDefault="00DA118E" w:rsidP="009E1946">
            <w:pPr>
              <w:autoSpaceDE w:val="0"/>
              <w:autoSpaceDN w:val="0"/>
              <w:adjustRightInd w:val="0"/>
              <w:rPr>
                <w:rFonts w:eastAsia="Calibri" w:cs="Gotham-Book"/>
                <w:b/>
                <w:color w:val="000000"/>
                <w:lang w:val="en-US"/>
              </w:rPr>
            </w:pPr>
            <w:r>
              <w:rPr>
                <w:rFonts w:eastAsia="Calibri" w:cs="Gotham-Book"/>
                <w:b/>
                <w:color w:val="000000"/>
                <w:lang w:val="en-US"/>
              </w:rPr>
              <w:t>Result description</w:t>
            </w:r>
          </w:p>
          <w:p w:rsidR="009E1946" w:rsidRPr="0095252E" w:rsidRDefault="009E1946" w:rsidP="009E1946">
            <w:pPr>
              <w:autoSpaceDE w:val="0"/>
              <w:autoSpaceDN w:val="0"/>
              <w:adjustRightInd w:val="0"/>
              <w:rPr>
                <w:rFonts w:eastAsia="Calibri" w:cs="Gotham-BookItalic"/>
                <w:b/>
                <w:iCs/>
                <w:color w:val="000000"/>
                <w:lang w:val="en-US"/>
              </w:rPr>
            </w:pPr>
          </w:p>
        </w:tc>
        <w:tc>
          <w:tcPr>
            <w:tcW w:w="6521" w:type="dxa"/>
            <w:gridSpan w:val="5"/>
          </w:tcPr>
          <w:p w:rsidR="009E1946" w:rsidRPr="0095252E" w:rsidRDefault="009E1946" w:rsidP="009E1946">
            <w:pPr>
              <w:jc w:val="both"/>
              <w:rPr>
                <w:rFonts w:eastAsia="Calibri"/>
                <w:szCs w:val="20"/>
                <w:lang w:val="en-US"/>
              </w:rPr>
            </w:pPr>
            <w:r w:rsidRPr="0095252E">
              <w:rPr>
                <w:rFonts w:eastAsia="Calibri"/>
                <w:szCs w:val="20"/>
                <w:lang w:val="en-US"/>
              </w:rPr>
              <w:t>The following actions were considered:</w:t>
            </w:r>
          </w:p>
          <w:p w:rsidR="009E1946" w:rsidRPr="0095252E" w:rsidRDefault="009E1946" w:rsidP="009E1946">
            <w:pPr>
              <w:numPr>
                <w:ilvl w:val="0"/>
                <w:numId w:val="32"/>
              </w:numPr>
              <w:ind w:left="204" w:hanging="204"/>
              <w:contextualSpacing/>
              <w:jc w:val="both"/>
              <w:rPr>
                <w:rFonts w:eastAsia="Calibri"/>
                <w:szCs w:val="20"/>
                <w:lang w:val="en-US"/>
              </w:rPr>
            </w:pPr>
            <w:r w:rsidRPr="0095252E">
              <w:rPr>
                <w:rFonts w:eastAsia="Calibri"/>
                <w:szCs w:val="20"/>
                <w:lang w:val="en-US"/>
              </w:rPr>
              <w:t xml:space="preserve">Publication, by the interinstitutional group, of the taxonomy document and monitoring proposal of public expenditure for </w:t>
            </w:r>
            <w:r w:rsidR="00E975F8">
              <w:rPr>
                <w:rFonts w:eastAsia="Calibri"/>
                <w:szCs w:val="20"/>
                <w:lang w:val="en-US"/>
              </w:rPr>
              <w:t>children and adolescents</w:t>
            </w:r>
            <w:r w:rsidRPr="0095252E">
              <w:rPr>
                <w:rFonts w:eastAsia="Calibri"/>
                <w:szCs w:val="20"/>
                <w:lang w:val="en-US"/>
              </w:rPr>
              <w:t xml:space="preserve"> in Peru. Such group is </w:t>
            </w:r>
            <w:proofErr w:type="spellStart"/>
            <w:r w:rsidRPr="0095252E">
              <w:rPr>
                <w:rFonts w:eastAsia="Calibri"/>
                <w:szCs w:val="20"/>
                <w:lang w:val="en-US"/>
              </w:rPr>
              <w:t>conformed</w:t>
            </w:r>
            <w:proofErr w:type="spellEnd"/>
            <w:r w:rsidRPr="0095252E">
              <w:rPr>
                <w:rFonts w:eastAsia="Calibri"/>
                <w:szCs w:val="20"/>
                <w:lang w:val="en-US"/>
              </w:rPr>
              <w:t xml:space="preserve"> by the Ministry of Development and Social Inclusion, the Ministry of </w:t>
            </w:r>
            <w:r w:rsidRPr="0095252E">
              <w:rPr>
                <w:rFonts w:eastAsia="Calibri"/>
                <w:szCs w:val="20"/>
                <w:lang w:val="en-US"/>
              </w:rPr>
              <w:lastRenderedPageBreak/>
              <w:t>Women and Vulnerable Populations, the Ministry of Economy and Finance, the Concertation Board for poverty reduction and UNICEF. It should be specified that from January 27</w:t>
            </w:r>
            <w:proofErr w:type="gramStart"/>
            <w:r w:rsidRPr="0095252E">
              <w:rPr>
                <w:rFonts w:eastAsia="Calibri"/>
                <w:szCs w:val="20"/>
                <w:lang w:val="en-US"/>
              </w:rPr>
              <w:t>,2014</w:t>
            </w:r>
            <w:proofErr w:type="gramEnd"/>
            <w:r w:rsidRPr="0095252E">
              <w:rPr>
                <w:rFonts w:eastAsia="Calibri"/>
                <w:szCs w:val="20"/>
                <w:lang w:val="en-US"/>
              </w:rPr>
              <w:t xml:space="preserve">, the Ministry of Health and the Ministry of Education have been joined as members. </w:t>
            </w:r>
          </w:p>
          <w:p w:rsidR="009E1946" w:rsidRPr="0095252E" w:rsidRDefault="009E1946" w:rsidP="009E1946">
            <w:pPr>
              <w:ind w:left="204"/>
              <w:contextualSpacing/>
              <w:jc w:val="both"/>
              <w:rPr>
                <w:rFonts w:eastAsia="Calibri"/>
                <w:szCs w:val="20"/>
                <w:lang w:val="en-US"/>
              </w:rPr>
            </w:pPr>
            <w:r w:rsidRPr="0095252E">
              <w:rPr>
                <w:rFonts w:eastAsia="Calibri"/>
                <w:szCs w:val="20"/>
                <w:lang w:val="en-US"/>
              </w:rPr>
              <w:t>On the other hand, in 2014, the document “Public Expenditure on children and adolescents in Peru: Methodology and Monitoring” was published on the MEF website, containing the taxonomy. In this document, results of 2013 are also included, which are part of the biannual monitoring brochure.</w:t>
            </w:r>
          </w:p>
          <w:p w:rsidR="009E1946" w:rsidRPr="0095252E" w:rsidRDefault="009E1946" w:rsidP="009E1946">
            <w:pPr>
              <w:ind w:left="204"/>
              <w:contextualSpacing/>
              <w:jc w:val="both"/>
              <w:rPr>
                <w:rFonts w:eastAsia="Calibri"/>
                <w:szCs w:val="20"/>
                <w:lang w:val="en-US"/>
              </w:rPr>
            </w:pPr>
            <w:r w:rsidRPr="0095252E">
              <w:rPr>
                <w:rFonts w:eastAsia="Calibri"/>
                <w:szCs w:val="20"/>
                <w:lang w:val="en-US"/>
              </w:rPr>
              <w:t>Concerning the progress in 2015:</w:t>
            </w:r>
          </w:p>
          <w:p w:rsidR="009E1946" w:rsidRPr="0095252E" w:rsidRDefault="009E1946" w:rsidP="009E1946">
            <w:pPr>
              <w:ind w:left="204"/>
              <w:contextualSpacing/>
              <w:jc w:val="both"/>
              <w:rPr>
                <w:rFonts w:eastAsia="Calibri"/>
                <w:szCs w:val="20"/>
                <w:lang w:val="en-US"/>
              </w:rPr>
            </w:pPr>
            <w:r w:rsidRPr="0095252E">
              <w:rPr>
                <w:rFonts w:eastAsia="Calibri"/>
                <w:szCs w:val="20"/>
                <w:lang w:val="en-US"/>
              </w:rPr>
              <w:t xml:space="preserve">-As reported by General Management of Monitoring Policies and Strategies (DGPE), the submission of this monitoring document of public expenditure for </w:t>
            </w:r>
            <w:r w:rsidR="00E975F8">
              <w:rPr>
                <w:rFonts w:eastAsia="Calibri"/>
                <w:szCs w:val="20"/>
                <w:lang w:val="en-US"/>
              </w:rPr>
              <w:t>children and adolescents</w:t>
            </w:r>
            <w:r w:rsidRPr="0095252E">
              <w:rPr>
                <w:rFonts w:eastAsia="Calibri"/>
                <w:szCs w:val="20"/>
                <w:lang w:val="en-US"/>
              </w:rPr>
              <w:t xml:space="preserve"> for 2014 was carried out in November 2015, at an event organized by MIMP-UNICEF.</w:t>
            </w:r>
          </w:p>
          <w:p w:rsidR="009E1946" w:rsidRPr="0095252E" w:rsidRDefault="009E1946" w:rsidP="009E1946">
            <w:pPr>
              <w:ind w:left="204"/>
              <w:contextualSpacing/>
              <w:jc w:val="both"/>
              <w:rPr>
                <w:rFonts w:eastAsia="Calibri"/>
                <w:szCs w:val="20"/>
                <w:lang w:val="en-US"/>
              </w:rPr>
            </w:pPr>
            <w:r w:rsidRPr="0095252E">
              <w:rPr>
                <w:rFonts w:eastAsia="Calibri"/>
                <w:szCs w:val="20"/>
                <w:lang w:val="en-US"/>
              </w:rPr>
              <w:t xml:space="preserve">The document is available at the following link: </w:t>
            </w:r>
            <w:hyperlink r:id="rId30" w:history="1">
              <w:r w:rsidRPr="0095252E">
                <w:rPr>
                  <w:rFonts w:eastAsia="Calibri"/>
                  <w:color w:val="0000FF"/>
                  <w:szCs w:val="20"/>
                  <w:u w:val="single"/>
                  <w:lang w:val="en-US"/>
                </w:rPr>
                <w:t>http://www.unicef.org/peruspanish/gasto-publico-ninos-ninas-adolescentes-2014.pdf</w:t>
              </w:r>
            </w:hyperlink>
            <w:r w:rsidRPr="0095252E">
              <w:rPr>
                <w:rFonts w:eastAsia="Calibri"/>
                <w:szCs w:val="20"/>
                <w:lang w:val="en-US"/>
              </w:rPr>
              <w:t>.</w:t>
            </w:r>
          </w:p>
          <w:p w:rsidR="009E1946" w:rsidRPr="0095252E" w:rsidRDefault="009E1946" w:rsidP="009E1946">
            <w:pPr>
              <w:numPr>
                <w:ilvl w:val="0"/>
                <w:numId w:val="32"/>
              </w:numPr>
              <w:ind w:left="204" w:hanging="204"/>
              <w:contextualSpacing/>
              <w:jc w:val="both"/>
              <w:rPr>
                <w:rFonts w:eastAsia="Calibri"/>
                <w:szCs w:val="20"/>
                <w:lang w:val="en-US"/>
              </w:rPr>
            </w:pPr>
            <w:r w:rsidRPr="0095252E">
              <w:rPr>
                <w:rFonts w:eastAsia="Calibri"/>
                <w:szCs w:val="20"/>
                <w:lang w:val="en-US"/>
              </w:rPr>
              <w:t xml:space="preserve">Elaboration, by the interinstitutional group (the coordinator is the MEF) of biannual monitoring brochures public expenditure for </w:t>
            </w:r>
            <w:r w:rsidR="00E975F8">
              <w:rPr>
                <w:rFonts w:eastAsia="Calibri"/>
                <w:szCs w:val="20"/>
                <w:lang w:val="en-US"/>
              </w:rPr>
              <w:t>children and adolescents</w:t>
            </w:r>
            <w:r w:rsidRPr="0095252E">
              <w:rPr>
                <w:rFonts w:eastAsia="Calibri"/>
                <w:szCs w:val="20"/>
                <w:lang w:val="en-US"/>
              </w:rPr>
              <w:t xml:space="preserve"> in Peru.</w:t>
            </w:r>
          </w:p>
          <w:p w:rsidR="009E1946" w:rsidRPr="0095252E" w:rsidRDefault="009E1946" w:rsidP="009E1946">
            <w:pPr>
              <w:ind w:left="204"/>
              <w:contextualSpacing/>
              <w:jc w:val="both"/>
              <w:rPr>
                <w:rFonts w:eastAsia="Calibri"/>
                <w:szCs w:val="20"/>
                <w:lang w:val="en-US"/>
              </w:rPr>
            </w:pPr>
            <w:r w:rsidRPr="0095252E">
              <w:rPr>
                <w:rFonts w:eastAsia="Calibri"/>
                <w:szCs w:val="20"/>
                <w:lang w:val="en-US"/>
              </w:rPr>
              <w:t>The brochures corresponding to the first semester of 2014, second semester 2015, respectively, were published on the MEF website. Currently, the year-end closing report is being developed.</w:t>
            </w:r>
          </w:p>
          <w:p w:rsidR="009E1946" w:rsidRPr="0095252E" w:rsidRDefault="009E1946" w:rsidP="009E1946">
            <w:pPr>
              <w:ind w:left="204"/>
              <w:contextualSpacing/>
              <w:jc w:val="both"/>
              <w:rPr>
                <w:rFonts w:eastAsia="Calibri"/>
                <w:szCs w:val="20"/>
                <w:lang w:val="en-US"/>
              </w:rPr>
            </w:pPr>
            <w:r w:rsidRPr="0095252E">
              <w:rPr>
                <w:rFonts w:eastAsia="Calibri"/>
                <w:szCs w:val="20"/>
                <w:lang w:val="en-US"/>
              </w:rPr>
              <w:t xml:space="preserve">According to DGPE, the MIDIS is actively involved in the elaboration of publications made in the area </w:t>
            </w:r>
            <w:proofErr w:type="spellStart"/>
            <w:r w:rsidRPr="0095252E">
              <w:rPr>
                <w:rFonts w:eastAsia="Calibri"/>
                <w:szCs w:val="20"/>
                <w:lang w:val="en-US"/>
              </w:rPr>
              <w:t>runned</w:t>
            </w:r>
            <w:proofErr w:type="spellEnd"/>
            <w:r w:rsidRPr="0095252E">
              <w:rPr>
                <w:rFonts w:eastAsia="Calibri"/>
                <w:szCs w:val="20"/>
                <w:lang w:val="en-US"/>
              </w:rPr>
              <w:t xml:space="preserve"> by the MEF. Such reports are available in the following links: </w:t>
            </w:r>
            <w:hyperlink r:id="rId31" w:history="1">
              <w:r w:rsidRPr="0095252E">
                <w:rPr>
                  <w:rFonts w:eastAsia="Calibri"/>
                  <w:color w:val="0000FF"/>
                  <w:szCs w:val="20"/>
                  <w:u w:val="single"/>
                  <w:lang w:val="en-US"/>
                </w:rPr>
                <w:t>http://www.mef.gob.pe/index.php?option=com_content&amp;view=article&amp;id=3849&amp;Itemid=101531&amp;lang=es</w:t>
              </w:r>
            </w:hyperlink>
          </w:p>
          <w:p w:rsidR="009E1946" w:rsidRPr="0095252E" w:rsidRDefault="002C33FD" w:rsidP="009E1946">
            <w:pPr>
              <w:ind w:left="204"/>
              <w:contextualSpacing/>
              <w:jc w:val="both"/>
              <w:rPr>
                <w:rFonts w:eastAsia="Calibri"/>
                <w:szCs w:val="20"/>
                <w:lang w:val="en-US"/>
              </w:rPr>
            </w:pPr>
            <w:hyperlink r:id="rId32" w:history="1">
              <w:r w:rsidR="009E1946" w:rsidRPr="0095252E">
                <w:rPr>
                  <w:rFonts w:eastAsia="Calibri"/>
                  <w:color w:val="0000FF"/>
                  <w:szCs w:val="20"/>
                  <w:u w:val="single"/>
                  <w:lang w:val="en-US"/>
                </w:rPr>
                <w:t>http://www.unicef.org/peru/spanish/GastoPublico-en-ninos-ninas-adolescentes-en-Peru-1erSemestre2015.pdf</w:t>
              </w:r>
            </w:hyperlink>
          </w:p>
          <w:p w:rsidR="009E1946" w:rsidRPr="0095252E" w:rsidRDefault="002C33FD" w:rsidP="009E1946">
            <w:pPr>
              <w:ind w:left="204"/>
              <w:contextualSpacing/>
              <w:jc w:val="both"/>
              <w:rPr>
                <w:rFonts w:eastAsia="Calibri"/>
                <w:szCs w:val="20"/>
                <w:lang w:val="en-US"/>
              </w:rPr>
            </w:pPr>
            <w:hyperlink r:id="rId33" w:history="1">
              <w:r w:rsidR="009E1946" w:rsidRPr="0095252E">
                <w:rPr>
                  <w:rFonts w:eastAsia="Calibri"/>
                  <w:color w:val="0000FF"/>
                  <w:szCs w:val="20"/>
                  <w:u w:val="single"/>
                  <w:lang w:val="en-US"/>
                </w:rPr>
                <w:t>http://www.mimp.gob.pe/webs/mimp/pnaia/pdf/ppto/gasto-publico-en-ninos-ninas-adolescentesNov2015.pdf</w:t>
              </w:r>
            </w:hyperlink>
          </w:p>
          <w:p w:rsidR="009E1946" w:rsidRPr="0095252E" w:rsidRDefault="009E1946" w:rsidP="009E1946">
            <w:pPr>
              <w:numPr>
                <w:ilvl w:val="0"/>
                <w:numId w:val="32"/>
              </w:numPr>
              <w:ind w:left="204" w:hanging="204"/>
              <w:contextualSpacing/>
              <w:jc w:val="both"/>
              <w:rPr>
                <w:rFonts w:eastAsia="Calibri"/>
                <w:szCs w:val="20"/>
                <w:lang w:val="en-US"/>
              </w:rPr>
            </w:pPr>
            <w:r w:rsidRPr="0095252E">
              <w:rPr>
                <w:rFonts w:eastAsia="Calibri"/>
                <w:szCs w:val="20"/>
                <w:lang w:val="en-US"/>
              </w:rPr>
              <w:t>Incorporation of instruments into the indicators annual report of National Action Plan for chil</w:t>
            </w:r>
            <w:r w:rsidR="00E975F8">
              <w:rPr>
                <w:rFonts w:eastAsia="Calibri"/>
                <w:szCs w:val="20"/>
                <w:lang w:val="en-US"/>
              </w:rPr>
              <w:t>dren</w:t>
            </w:r>
            <w:r w:rsidRPr="0095252E">
              <w:rPr>
                <w:rFonts w:eastAsia="Calibri"/>
                <w:szCs w:val="20"/>
                <w:lang w:val="en-US"/>
              </w:rPr>
              <w:t xml:space="preserve"> and adolescen</w:t>
            </w:r>
            <w:r w:rsidR="00E975F8">
              <w:rPr>
                <w:rFonts w:eastAsia="Calibri"/>
                <w:szCs w:val="20"/>
                <w:lang w:val="en-US"/>
              </w:rPr>
              <w:t>ts</w:t>
            </w:r>
            <w:r w:rsidRPr="0095252E">
              <w:rPr>
                <w:rFonts w:eastAsia="Calibri"/>
                <w:szCs w:val="20"/>
                <w:lang w:val="en-US"/>
              </w:rPr>
              <w:t xml:space="preserve"> (PNAIA):</w:t>
            </w:r>
          </w:p>
          <w:p w:rsidR="009E1946" w:rsidRPr="0095252E" w:rsidRDefault="009E1946" w:rsidP="009E1946">
            <w:pPr>
              <w:ind w:left="204"/>
              <w:contextualSpacing/>
              <w:jc w:val="both"/>
              <w:rPr>
                <w:rFonts w:eastAsia="Calibri"/>
                <w:szCs w:val="20"/>
                <w:lang w:val="en-US"/>
              </w:rPr>
            </w:pPr>
            <w:r w:rsidRPr="0095252E">
              <w:rPr>
                <w:rFonts w:eastAsia="Calibri"/>
                <w:szCs w:val="20"/>
                <w:lang w:val="en-US"/>
              </w:rPr>
              <w:t xml:space="preserve">The taxonomy was included in the PNAIA monitoring, in June 2014, through minutes of the extraordinary eleventh meeting of the permanent </w:t>
            </w:r>
            <w:r w:rsidR="00E975F8">
              <w:rPr>
                <w:rFonts w:eastAsia="Calibri"/>
                <w:szCs w:val="20"/>
                <w:lang w:val="en-US"/>
              </w:rPr>
              <w:t>Multisector</w:t>
            </w:r>
            <w:r w:rsidRPr="0095252E">
              <w:rPr>
                <w:rFonts w:eastAsia="Calibri"/>
                <w:szCs w:val="20"/>
                <w:lang w:val="en-US"/>
              </w:rPr>
              <w:t xml:space="preserve"> Committee charged of the implementation of such plan. </w:t>
            </w:r>
          </w:p>
          <w:p w:rsidR="009E1946" w:rsidRPr="0095252E" w:rsidRDefault="009E1946" w:rsidP="009E1946">
            <w:pPr>
              <w:ind w:left="204"/>
              <w:contextualSpacing/>
              <w:jc w:val="both"/>
              <w:rPr>
                <w:rFonts w:eastAsia="Calibri"/>
                <w:szCs w:val="20"/>
                <w:lang w:val="en-US"/>
              </w:rPr>
            </w:pPr>
            <w:r w:rsidRPr="0095252E">
              <w:rPr>
                <w:rFonts w:eastAsia="Calibri"/>
                <w:szCs w:val="20"/>
                <w:lang w:val="en-US"/>
              </w:rPr>
              <w:t>Concerning the progress in 2015:</w:t>
            </w:r>
          </w:p>
          <w:p w:rsidR="009E1946" w:rsidRPr="0095252E" w:rsidRDefault="009E1946" w:rsidP="009E1946">
            <w:pPr>
              <w:ind w:left="204"/>
              <w:contextualSpacing/>
              <w:jc w:val="both"/>
              <w:rPr>
                <w:rFonts w:eastAsia="Calibri"/>
                <w:szCs w:val="20"/>
                <w:lang w:val="en-US"/>
              </w:rPr>
            </w:pPr>
            <w:r w:rsidRPr="0095252E">
              <w:rPr>
                <w:rFonts w:eastAsia="Calibri"/>
                <w:szCs w:val="20"/>
                <w:lang w:val="en-US"/>
              </w:rPr>
              <w:t xml:space="preserve">As informed by DGPE, the appropriate report was made, in the framework of </w:t>
            </w:r>
            <w:r w:rsidR="00E975F8">
              <w:rPr>
                <w:rFonts w:eastAsia="Calibri"/>
                <w:szCs w:val="20"/>
                <w:lang w:val="en-US"/>
              </w:rPr>
              <w:t>multisector</w:t>
            </w:r>
            <w:r w:rsidRPr="0095252E">
              <w:rPr>
                <w:rFonts w:eastAsia="Calibri"/>
                <w:szCs w:val="20"/>
                <w:lang w:val="en-US"/>
              </w:rPr>
              <w:t xml:space="preserve"> committee charged of the PNAIA implementation and monitoring (corresponds to MIMP in its capacity as Technical Presidency of Committee.)</w:t>
            </w:r>
          </w:p>
          <w:p w:rsidR="009E1946" w:rsidRPr="0095252E" w:rsidRDefault="009E1946" w:rsidP="009E1946">
            <w:pPr>
              <w:jc w:val="both"/>
              <w:rPr>
                <w:rFonts w:eastAsia="Calibri"/>
                <w:szCs w:val="20"/>
                <w:lang w:val="en-US"/>
              </w:rPr>
            </w:pPr>
            <w:r w:rsidRPr="0095252E">
              <w:rPr>
                <w:rFonts w:eastAsia="Calibri"/>
                <w:szCs w:val="20"/>
                <w:lang w:val="en-US"/>
              </w:rPr>
              <w:t>Source: Official letter No. 1275-2016-EF/13.01, from 04.27.16</w:t>
            </w:r>
          </w:p>
          <w:p w:rsidR="009E1946" w:rsidRPr="0095252E" w:rsidRDefault="009E1946" w:rsidP="009E1946">
            <w:pPr>
              <w:jc w:val="both"/>
              <w:rPr>
                <w:rFonts w:eastAsia="Calibri"/>
                <w:szCs w:val="20"/>
                <w:lang w:val="en-US"/>
              </w:rPr>
            </w:pPr>
            <w:r w:rsidRPr="0095252E">
              <w:rPr>
                <w:rFonts w:eastAsia="Calibri"/>
                <w:szCs w:val="20"/>
                <w:lang w:val="en-US"/>
              </w:rPr>
              <w:t xml:space="preserve">               Official letter No. 711-2016-MIMP-SG, from 05.02.16 </w:t>
            </w:r>
          </w:p>
        </w:tc>
      </w:tr>
      <w:tr w:rsidR="009E1946" w:rsidRPr="0095252E" w:rsidTr="009E1946">
        <w:tc>
          <w:tcPr>
            <w:tcW w:w="2518" w:type="dxa"/>
            <w:gridSpan w:val="2"/>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Conclusion Date</w:t>
            </w:r>
          </w:p>
        </w:tc>
        <w:tc>
          <w:tcPr>
            <w:tcW w:w="6521" w:type="dxa"/>
            <w:gridSpan w:val="5"/>
          </w:tcPr>
          <w:p w:rsidR="009E1946" w:rsidRPr="0095252E" w:rsidRDefault="009E1946" w:rsidP="009E1946">
            <w:pPr>
              <w:jc w:val="both"/>
              <w:rPr>
                <w:rFonts w:eastAsia="Calibri"/>
                <w:color w:val="000000"/>
                <w:lang w:val="en-US"/>
              </w:rPr>
            </w:pPr>
            <w:r w:rsidRPr="0095252E">
              <w:rPr>
                <w:rFonts w:eastAsia="Calibri"/>
                <w:color w:val="000000"/>
                <w:lang w:val="en-US"/>
              </w:rPr>
              <w:t>Completed</w:t>
            </w:r>
          </w:p>
        </w:tc>
      </w:tr>
      <w:tr w:rsidR="009E1946" w:rsidRPr="00003DBC" w:rsidTr="009E1946">
        <w:tc>
          <w:tcPr>
            <w:tcW w:w="2518" w:type="dxa"/>
            <w:gridSpan w:val="2"/>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Next steps</w:t>
            </w:r>
          </w:p>
        </w:tc>
        <w:tc>
          <w:tcPr>
            <w:tcW w:w="6521" w:type="dxa"/>
            <w:gridSpan w:val="5"/>
          </w:tcPr>
          <w:p w:rsidR="009E1946" w:rsidRPr="0095252E" w:rsidRDefault="009E1946" w:rsidP="009C4483">
            <w:pPr>
              <w:jc w:val="both"/>
              <w:rPr>
                <w:rFonts w:eastAsia="Calibri"/>
                <w:color w:val="000000"/>
                <w:lang w:val="en-US"/>
              </w:rPr>
            </w:pPr>
            <w:r w:rsidRPr="0095252E">
              <w:rPr>
                <w:rFonts w:eastAsia="Calibri"/>
                <w:color w:val="000000"/>
                <w:lang w:val="en-US"/>
              </w:rPr>
              <w:t xml:space="preserve">The elaboration </w:t>
            </w:r>
            <w:r w:rsidR="009C4483">
              <w:rPr>
                <w:rFonts w:eastAsia="Calibri"/>
                <w:color w:val="000000"/>
                <w:lang w:val="en-US"/>
              </w:rPr>
              <w:t xml:space="preserve">of </w:t>
            </w:r>
            <w:r w:rsidR="009C4483" w:rsidRPr="0095252E">
              <w:rPr>
                <w:rFonts w:eastAsia="Calibri"/>
                <w:color w:val="000000"/>
                <w:lang w:val="en-US"/>
              </w:rPr>
              <w:t>biannual b</w:t>
            </w:r>
            <w:r w:rsidR="009C4483">
              <w:rPr>
                <w:rFonts w:eastAsia="Calibri"/>
                <w:color w:val="000000"/>
                <w:lang w:val="en-US"/>
              </w:rPr>
              <w:t>ulletins</w:t>
            </w:r>
            <w:r w:rsidR="009C4483" w:rsidRPr="0095252E">
              <w:rPr>
                <w:rFonts w:eastAsia="Calibri"/>
                <w:color w:val="000000"/>
                <w:lang w:val="en-US"/>
              </w:rPr>
              <w:t xml:space="preserve"> </w:t>
            </w:r>
            <w:r w:rsidR="009C4483">
              <w:rPr>
                <w:rFonts w:eastAsia="Calibri"/>
                <w:color w:val="000000"/>
                <w:lang w:val="en-US"/>
              </w:rPr>
              <w:t>on</w:t>
            </w:r>
            <w:r w:rsidRPr="0095252E">
              <w:rPr>
                <w:rFonts w:eastAsia="Calibri"/>
                <w:color w:val="000000"/>
                <w:lang w:val="en-US"/>
              </w:rPr>
              <w:t xml:space="preserve"> public expenditure monitoring is an activity of permanent and periodic execution.</w:t>
            </w:r>
          </w:p>
        </w:tc>
      </w:tr>
      <w:tr w:rsidR="009E1946" w:rsidRPr="0095252E" w:rsidTr="009E1946">
        <w:tc>
          <w:tcPr>
            <w:tcW w:w="9039" w:type="dxa"/>
            <w:gridSpan w:val="7"/>
          </w:tcPr>
          <w:p w:rsidR="009E1946" w:rsidRPr="0095252E" w:rsidRDefault="009E1946" w:rsidP="009E1946">
            <w:pPr>
              <w:jc w:val="both"/>
              <w:rPr>
                <w:rFonts w:eastAsia="Calibri" w:cs="Gotham-Book"/>
                <w:b/>
                <w:color w:val="000000"/>
                <w:lang w:val="en-US"/>
              </w:rPr>
            </w:pPr>
          </w:p>
          <w:p w:rsidR="009E1946" w:rsidRPr="0095252E" w:rsidRDefault="009E1946" w:rsidP="009E1946">
            <w:pPr>
              <w:jc w:val="both"/>
              <w:rPr>
                <w:rFonts w:eastAsia="Calibri"/>
                <w:color w:val="000000"/>
                <w:lang w:val="en-US"/>
              </w:rPr>
            </w:pPr>
            <w:r w:rsidRPr="0095252E">
              <w:rPr>
                <w:rFonts w:eastAsia="Calibri" w:cs="Gotham-Book"/>
                <w:b/>
                <w:color w:val="000000"/>
                <w:lang w:val="en-US"/>
              </w:rPr>
              <w:t>Additional information</w:t>
            </w:r>
          </w:p>
        </w:tc>
      </w:tr>
      <w:tr w:rsidR="009E1946" w:rsidRPr="0095252E" w:rsidTr="009E1946">
        <w:tc>
          <w:tcPr>
            <w:tcW w:w="9039" w:type="dxa"/>
            <w:gridSpan w:val="7"/>
          </w:tcPr>
          <w:p w:rsidR="009E1946" w:rsidRPr="0095252E" w:rsidRDefault="009E1946" w:rsidP="009E1946">
            <w:pPr>
              <w:jc w:val="both"/>
              <w:rPr>
                <w:rFonts w:eastAsia="Calibri" w:cs="Gotham-Book"/>
                <w:b/>
                <w:color w:val="000000"/>
                <w:lang w:val="en-US"/>
              </w:rPr>
            </w:pPr>
          </w:p>
        </w:tc>
      </w:tr>
    </w:tbl>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p w:rsidR="009E1946" w:rsidRPr="0095252E" w:rsidRDefault="009E1946" w:rsidP="009E1946">
      <w:pPr>
        <w:rPr>
          <w:rFonts w:ascii="Calibri" w:eastAsia="Calibri" w:hAnsi="Calibri" w:cs="Times New Roman"/>
          <w:lang w:val="en-US"/>
        </w:rPr>
      </w:pPr>
    </w:p>
    <w:tbl>
      <w:tblPr>
        <w:tblStyle w:val="Tablaconcuadrcula"/>
        <w:tblW w:w="9066" w:type="dxa"/>
        <w:tblInd w:w="6" w:type="dxa"/>
        <w:tblLayout w:type="fixed"/>
        <w:tblLook w:val="04A0" w:firstRow="1" w:lastRow="0" w:firstColumn="1" w:lastColumn="0" w:noHBand="0" w:noVBand="1"/>
      </w:tblPr>
      <w:tblGrid>
        <w:gridCol w:w="2081"/>
        <w:gridCol w:w="403"/>
        <w:gridCol w:w="1679"/>
        <w:gridCol w:w="1707"/>
        <w:gridCol w:w="1623"/>
        <w:gridCol w:w="1573"/>
      </w:tblGrid>
      <w:tr w:rsidR="009E1946" w:rsidRPr="00003DBC" w:rsidTr="009E1946">
        <w:tc>
          <w:tcPr>
            <w:tcW w:w="9066" w:type="dxa"/>
            <w:gridSpan w:val="6"/>
            <w:shd w:val="clear" w:color="auto" w:fill="548DD4"/>
          </w:tcPr>
          <w:p w:rsidR="009E1946" w:rsidRPr="0095252E" w:rsidRDefault="009E1946" w:rsidP="009E1946">
            <w:pPr>
              <w:ind w:left="360"/>
              <w:jc w:val="center"/>
              <w:rPr>
                <w:rFonts w:eastAsia="Calibri"/>
                <w:b/>
                <w:lang w:val="en-US"/>
              </w:rPr>
            </w:pPr>
            <w:r w:rsidRPr="0095252E">
              <w:rPr>
                <w:rFonts w:eastAsia="Calibri"/>
                <w:b/>
                <w:lang w:val="en-US"/>
              </w:rPr>
              <w:t>Component: Improvement of Government Services</w:t>
            </w:r>
          </w:p>
        </w:tc>
      </w:tr>
      <w:tr w:rsidR="009E1946" w:rsidRPr="00003DBC" w:rsidTr="009E1946">
        <w:tc>
          <w:tcPr>
            <w:tcW w:w="9066" w:type="dxa"/>
            <w:gridSpan w:val="6"/>
            <w:shd w:val="clear" w:color="auto" w:fill="548DD4"/>
          </w:tcPr>
          <w:p w:rsidR="009E1946" w:rsidRPr="0095252E" w:rsidRDefault="009E1946" w:rsidP="009E1946">
            <w:pPr>
              <w:ind w:left="360"/>
              <w:jc w:val="center"/>
              <w:rPr>
                <w:rFonts w:eastAsia="Calibri"/>
                <w:b/>
                <w:color w:val="000000"/>
                <w:lang w:val="en-US"/>
              </w:rPr>
            </w:pPr>
            <w:r w:rsidRPr="0095252E">
              <w:rPr>
                <w:rFonts w:eastAsia="Calibri"/>
                <w:b/>
                <w:color w:val="000000"/>
                <w:u w:val="single"/>
                <w:lang w:val="en-US"/>
              </w:rPr>
              <w:t>Commitment 14</w:t>
            </w:r>
            <w:r w:rsidRPr="0095252E">
              <w:rPr>
                <w:rFonts w:eastAsia="Calibri"/>
                <w:b/>
                <w:color w:val="000000"/>
                <w:lang w:val="en-US"/>
              </w:rPr>
              <w:t>. Promoting the clear publication of open data by using open and interoperable standards</w:t>
            </w:r>
          </w:p>
        </w:tc>
      </w:tr>
      <w:tr w:rsidR="009E1946" w:rsidRPr="00003DBC" w:rsidTr="009E1946">
        <w:tc>
          <w:tcPr>
            <w:tcW w:w="4163" w:type="dxa"/>
            <w:gridSpan w:val="3"/>
            <w:shd w:val="clear" w:color="auto" w:fill="C6D9F1"/>
            <w:vAlign w:val="center"/>
          </w:tcPr>
          <w:p w:rsidR="009E1946" w:rsidRPr="0095252E" w:rsidRDefault="009E1946" w:rsidP="009E1946">
            <w:pPr>
              <w:rPr>
                <w:rFonts w:eastAsia="Calibri"/>
                <w:b/>
                <w:color w:val="000000"/>
                <w:lang w:val="en-US"/>
              </w:rPr>
            </w:pPr>
            <w:r w:rsidRPr="0095252E">
              <w:rPr>
                <w:rFonts w:ascii="Calibri" w:eastAsia="Calibri" w:hAnsi="Calibri" w:cs="Times New Roman"/>
                <w:b/>
                <w:lang w:val="en-US"/>
              </w:rPr>
              <w:t>Secretariat/Ministry in charge</w:t>
            </w:r>
          </w:p>
        </w:tc>
        <w:tc>
          <w:tcPr>
            <w:tcW w:w="4903" w:type="dxa"/>
            <w:gridSpan w:val="3"/>
          </w:tcPr>
          <w:p w:rsidR="009E1946" w:rsidRPr="0095252E" w:rsidRDefault="009E1946" w:rsidP="009E1946">
            <w:pPr>
              <w:jc w:val="both"/>
              <w:rPr>
                <w:rFonts w:eastAsia="Calibri"/>
                <w:color w:val="000000"/>
                <w:highlight w:val="yellow"/>
                <w:lang w:val="en-US"/>
              </w:rPr>
            </w:pPr>
            <w:r w:rsidRPr="0095252E">
              <w:rPr>
                <w:rFonts w:eastAsia="Calibri"/>
                <w:color w:val="000000"/>
                <w:lang w:val="en-US"/>
              </w:rPr>
              <w:t>Presidency of the Cabinet, through Public Administration Secretariat (SGP) and the National Office of Electronic Government (ONGEI)</w:t>
            </w:r>
          </w:p>
        </w:tc>
      </w:tr>
      <w:tr w:rsidR="009E1946" w:rsidRPr="0095252E" w:rsidTr="009E1946">
        <w:tc>
          <w:tcPr>
            <w:tcW w:w="4163" w:type="dxa"/>
            <w:gridSpan w:val="3"/>
            <w:shd w:val="clear" w:color="auto" w:fill="C6D9F1"/>
            <w:vAlign w:val="center"/>
          </w:tcPr>
          <w:p w:rsidR="009E1946" w:rsidRPr="0095252E" w:rsidRDefault="009E1946" w:rsidP="009E1946">
            <w:pPr>
              <w:autoSpaceDE w:val="0"/>
              <w:autoSpaceDN w:val="0"/>
              <w:adjustRightInd w:val="0"/>
              <w:rPr>
                <w:rFonts w:eastAsia="Calibri" w:cs="Gotham-Book"/>
                <w:b/>
                <w:color w:val="000000"/>
                <w:lang w:val="en-US"/>
              </w:rPr>
            </w:pPr>
            <w:r w:rsidRPr="0095252E">
              <w:rPr>
                <w:rFonts w:ascii="Calibri" w:eastAsia="Calibri" w:hAnsi="Calibri" w:cs="Times New Roman"/>
                <w:b/>
                <w:lang w:val="en-US"/>
              </w:rPr>
              <w:t>Name of the person in charge</w:t>
            </w:r>
          </w:p>
        </w:tc>
        <w:tc>
          <w:tcPr>
            <w:tcW w:w="4903" w:type="dxa"/>
            <w:gridSpan w:val="3"/>
          </w:tcPr>
          <w:p w:rsidR="009E1946" w:rsidRPr="0095252E" w:rsidRDefault="009E1946" w:rsidP="009E1946">
            <w:pPr>
              <w:jc w:val="both"/>
              <w:rPr>
                <w:rFonts w:eastAsia="Calibri"/>
                <w:color w:val="000000"/>
                <w:lang w:val="en-US"/>
              </w:rPr>
            </w:pPr>
            <w:r w:rsidRPr="0095252E">
              <w:rPr>
                <w:rFonts w:eastAsia="Calibri"/>
                <w:color w:val="000000"/>
                <w:lang w:val="en-US"/>
              </w:rPr>
              <w:t>Fernando Zavala Lombardi</w:t>
            </w:r>
          </w:p>
        </w:tc>
      </w:tr>
      <w:tr w:rsidR="009E1946" w:rsidRPr="0095252E" w:rsidTr="009E1946">
        <w:tc>
          <w:tcPr>
            <w:tcW w:w="4163" w:type="dxa"/>
            <w:gridSpan w:val="3"/>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Position</w:t>
            </w:r>
          </w:p>
        </w:tc>
        <w:tc>
          <w:tcPr>
            <w:tcW w:w="4903" w:type="dxa"/>
            <w:gridSpan w:val="3"/>
          </w:tcPr>
          <w:p w:rsidR="009E1946" w:rsidRPr="0095252E" w:rsidRDefault="009E1946" w:rsidP="009E1946">
            <w:pPr>
              <w:jc w:val="both"/>
              <w:rPr>
                <w:rFonts w:eastAsia="Calibri"/>
                <w:color w:val="000000"/>
                <w:lang w:val="en-US"/>
              </w:rPr>
            </w:pPr>
            <w:r w:rsidRPr="0095252E">
              <w:rPr>
                <w:rFonts w:eastAsia="Calibri"/>
                <w:color w:val="000000"/>
                <w:lang w:val="en-US"/>
              </w:rPr>
              <w:t>Chairman of Cabinet</w:t>
            </w:r>
          </w:p>
        </w:tc>
      </w:tr>
      <w:tr w:rsidR="009E1946" w:rsidRPr="0095252E" w:rsidTr="009E1946">
        <w:tc>
          <w:tcPr>
            <w:tcW w:w="4163" w:type="dxa"/>
            <w:gridSpan w:val="3"/>
            <w:shd w:val="clear" w:color="auto" w:fill="C6D9F1"/>
            <w:vAlign w:val="center"/>
          </w:tcPr>
          <w:p w:rsidR="009E1946" w:rsidRPr="0095252E" w:rsidRDefault="009E1946" w:rsidP="009E1946">
            <w:pPr>
              <w:autoSpaceDE w:val="0"/>
              <w:autoSpaceDN w:val="0"/>
              <w:adjustRightInd w:val="0"/>
              <w:rPr>
                <w:rFonts w:eastAsia="Calibri" w:cs="Gotham-Book"/>
                <w:b/>
                <w:color w:val="000000"/>
                <w:lang w:val="en-US"/>
              </w:rPr>
            </w:pPr>
            <w:r w:rsidRPr="0095252E">
              <w:rPr>
                <w:rFonts w:eastAsia="Calibri" w:cs="Gotham-Book"/>
                <w:b/>
                <w:color w:val="000000"/>
                <w:lang w:val="en-US"/>
              </w:rPr>
              <w:t>E-mail</w:t>
            </w:r>
          </w:p>
        </w:tc>
        <w:tc>
          <w:tcPr>
            <w:tcW w:w="4903" w:type="dxa"/>
            <w:gridSpan w:val="3"/>
          </w:tcPr>
          <w:p w:rsidR="009E1946" w:rsidRPr="0095252E" w:rsidRDefault="002C33FD" w:rsidP="009E1946">
            <w:pPr>
              <w:jc w:val="both"/>
              <w:rPr>
                <w:rFonts w:eastAsia="Calibri"/>
                <w:color w:val="0000FF"/>
                <w:u w:val="single"/>
                <w:lang w:val="en-US"/>
              </w:rPr>
            </w:pPr>
            <w:hyperlink r:id="rId34" w:history="1">
              <w:r w:rsidR="009E1946" w:rsidRPr="0095252E">
                <w:rPr>
                  <w:rFonts w:eastAsia="Calibri"/>
                  <w:color w:val="0000FF"/>
                  <w:u w:val="single"/>
                  <w:lang w:val="en-US"/>
                </w:rPr>
                <w:t>fzavala@pcm.gob.pe</w:t>
              </w:r>
            </w:hyperlink>
          </w:p>
        </w:tc>
      </w:tr>
      <w:tr w:rsidR="009E1946" w:rsidRPr="0095252E" w:rsidTr="009E1946">
        <w:tc>
          <w:tcPr>
            <w:tcW w:w="4163" w:type="dxa"/>
            <w:gridSpan w:val="3"/>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Telephone</w:t>
            </w:r>
          </w:p>
        </w:tc>
        <w:tc>
          <w:tcPr>
            <w:tcW w:w="4903" w:type="dxa"/>
            <w:gridSpan w:val="3"/>
          </w:tcPr>
          <w:p w:rsidR="009E1946" w:rsidRPr="0095252E" w:rsidRDefault="009E1946" w:rsidP="009E1946">
            <w:pPr>
              <w:jc w:val="both"/>
              <w:rPr>
                <w:rFonts w:eastAsia="Calibri"/>
                <w:color w:val="000000"/>
                <w:lang w:val="en-US"/>
              </w:rPr>
            </w:pPr>
            <w:r w:rsidRPr="0095252E">
              <w:rPr>
                <w:rFonts w:eastAsia="Calibri"/>
                <w:color w:val="000000"/>
                <w:lang w:val="en-US"/>
              </w:rPr>
              <w:t>51-1-2197000</w:t>
            </w:r>
          </w:p>
        </w:tc>
      </w:tr>
      <w:tr w:rsidR="009E1946" w:rsidRPr="0095252E" w:rsidTr="009E1946">
        <w:tc>
          <w:tcPr>
            <w:tcW w:w="2081" w:type="dxa"/>
            <w:vMerge w:val="restart"/>
            <w:shd w:val="clear" w:color="auto" w:fill="C6D9F1"/>
            <w:vAlign w:val="center"/>
          </w:tcPr>
          <w:p w:rsidR="009E1946" w:rsidRPr="0095252E" w:rsidRDefault="00596BF3" w:rsidP="009E1946">
            <w:pPr>
              <w:rPr>
                <w:rFonts w:eastAsia="Calibri" w:cs="Gotham-Book"/>
                <w:b/>
                <w:color w:val="000000"/>
                <w:lang w:val="en-US"/>
              </w:rPr>
            </w:pPr>
            <w:r>
              <w:rPr>
                <w:rFonts w:eastAsia="Calibri" w:cs="Gotham-Book"/>
                <w:b/>
                <w:color w:val="000000"/>
                <w:lang w:val="en-US"/>
              </w:rPr>
              <w:t>Other parties involved</w:t>
            </w:r>
          </w:p>
        </w:tc>
        <w:tc>
          <w:tcPr>
            <w:tcW w:w="2082" w:type="dxa"/>
            <w:gridSpan w:val="2"/>
            <w:shd w:val="clear" w:color="auto" w:fill="C6D9F1"/>
            <w:vAlign w:val="center"/>
          </w:tcPr>
          <w:p w:rsidR="009E1946" w:rsidRPr="0095252E" w:rsidRDefault="009E1946" w:rsidP="009E1946">
            <w:pPr>
              <w:rPr>
                <w:rFonts w:eastAsia="Calibri" w:cs="Gotham-Book"/>
                <w:b/>
                <w:color w:val="000000"/>
                <w:lang w:val="en-US"/>
              </w:rPr>
            </w:pPr>
            <w:r w:rsidRPr="0095252E">
              <w:rPr>
                <w:rFonts w:eastAsia="Calibri" w:cs="Gotham-Book"/>
                <w:b/>
                <w:color w:val="000000"/>
                <w:lang w:val="en-US"/>
              </w:rPr>
              <w:t>Government</w:t>
            </w:r>
          </w:p>
        </w:tc>
        <w:tc>
          <w:tcPr>
            <w:tcW w:w="4903" w:type="dxa"/>
            <w:gridSpan w:val="3"/>
          </w:tcPr>
          <w:p w:rsidR="009E1946" w:rsidRPr="0095252E" w:rsidRDefault="009E1946" w:rsidP="009E1946">
            <w:pPr>
              <w:jc w:val="both"/>
              <w:rPr>
                <w:rFonts w:eastAsia="Calibri"/>
                <w:color w:val="000000"/>
                <w:lang w:val="en-US"/>
              </w:rPr>
            </w:pPr>
            <w:r w:rsidRPr="0095252E">
              <w:rPr>
                <w:rFonts w:eastAsia="Calibri"/>
                <w:color w:val="000000"/>
                <w:lang w:val="en-US"/>
              </w:rPr>
              <w:t>NOT APPLICABLE</w:t>
            </w:r>
          </w:p>
        </w:tc>
      </w:tr>
      <w:tr w:rsidR="009E1946" w:rsidRPr="00003DBC" w:rsidTr="009E1946">
        <w:tc>
          <w:tcPr>
            <w:tcW w:w="2081" w:type="dxa"/>
            <w:vMerge/>
            <w:shd w:val="clear" w:color="auto" w:fill="C6D9F1"/>
            <w:vAlign w:val="center"/>
          </w:tcPr>
          <w:p w:rsidR="009E1946" w:rsidRPr="0095252E" w:rsidRDefault="009E1946" w:rsidP="009E1946">
            <w:pPr>
              <w:rPr>
                <w:rFonts w:eastAsia="Calibri" w:cs="Gotham-Book"/>
                <w:b/>
                <w:color w:val="000000"/>
                <w:lang w:val="en-US"/>
              </w:rPr>
            </w:pPr>
          </w:p>
        </w:tc>
        <w:tc>
          <w:tcPr>
            <w:tcW w:w="2082" w:type="dxa"/>
            <w:gridSpan w:val="2"/>
            <w:shd w:val="clear" w:color="auto" w:fill="C6D9F1"/>
            <w:vAlign w:val="center"/>
          </w:tcPr>
          <w:p w:rsidR="009E1946" w:rsidRPr="0095252E" w:rsidRDefault="009E1946" w:rsidP="009E1946">
            <w:pPr>
              <w:rPr>
                <w:rFonts w:eastAsia="Calibri" w:cs="Gotham-Book"/>
                <w:b/>
                <w:color w:val="000000"/>
                <w:lang w:val="en-US"/>
              </w:rPr>
            </w:pPr>
            <w:r w:rsidRPr="0095252E">
              <w:rPr>
                <w:rFonts w:eastAsia="Calibri" w:cs="Gotham-Book"/>
                <w:b/>
                <w:color w:val="000000"/>
                <w:lang w:val="en-US"/>
              </w:rPr>
              <w:t xml:space="preserve">Civil Society, private initiative, </w:t>
            </w:r>
            <w:r w:rsidRPr="0095252E">
              <w:rPr>
                <w:rFonts w:eastAsia="Calibri" w:cs="Gotham-Book"/>
                <w:b/>
                <w:color w:val="000000"/>
                <w:lang w:val="en-US"/>
              </w:rPr>
              <w:lastRenderedPageBreak/>
              <w:t>multilateral or work groups</w:t>
            </w:r>
          </w:p>
        </w:tc>
        <w:tc>
          <w:tcPr>
            <w:tcW w:w="4903" w:type="dxa"/>
            <w:gridSpan w:val="3"/>
          </w:tcPr>
          <w:p w:rsidR="009E1946" w:rsidRPr="0095252E" w:rsidRDefault="009E1946" w:rsidP="009E1946">
            <w:pPr>
              <w:jc w:val="both"/>
              <w:rPr>
                <w:rFonts w:eastAsia="Calibri"/>
                <w:color w:val="000000"/>
                <w:lang w:val="en-US"/>
              </w:rPr>
            </w:pPr>
          </w:p>
        </w:tc>
      </w:tr>
      <w:tr w:rsidR="009E1946" w:rsidRPr="00003DBC" w:rsidTr="009E1946">
        <w:tc>
          <w:tcPr>
            <w:tcW w:w="4163" w:type="dxa"/>
            <w:gridSpan w:val="3"/>
            <w:shd w:val="clear" w:color="auto" w:fill="C6D9F1"/>
            <w:vAlign w:val="center"/>
          </w:tcPr>
          <w:p w:rsidR="009E1946" w:rsidRPr="0095252E" w:rsidRDefault="009E1946" w:rsidP="009E1946">
            <w:pPr>
              <w:rPr>
                <w:rFonts w:eastAsia="Calibri" w:cs="Gotham-Book"/>
                <w:b/>
                <w:color w:val="000000"/>
                <w:lang w:val="en-US"/>
              </w:rPr>
            </w:pPr>
            <w:r w:rsidRPr="0095252E">
              <w:rPr>
                <w:rFonts w:eastAsia="Calibri" w:cs="Gotham-Book"/>
                <w:b/>
                <w:color w:val="000000"/>
                <w:lang w:val="en-US"/>
              </w:rPr>
              <w:t>Status quo or problem/</w:t>
            </w:r>
            <w:r w:rsidRPr="0095252E">
              <w:rPr>
                <w:rFonts w:eastAsia="Calibri" w:cs="Gotham-Book"/>
                <w:b/>
                <w:color w:val="000000"/>
                <w:lang w:val="en-US"/>
              </w:rPr>
              <w:br/>
              <w:t>challenge to be attended</w:t>
            </w:r>
          </w:p>
        </w:tc>
        <w:tc>
          <w:tcPr>
            <w:tcW w:w="4903" w:type="dxa"/>
            <w:gridSpan w:val="3"/>
          </w:tcPr>
          <w:p w:rsidR="009E1946" w:rsidRPr="0095252E" w:rsidRDefault="009E1946" w:rsidP="009E1946">
            <w:pPr>
              <w:autoSpaceDE w:val="0"/>
              <w:autoSpaceDN w:val="0"/>
              <w:adjustRightInd w:val="0"/>
              <w:jc w:val="both"/>
              <w:rPr>
                <w:rFonts w:eastAsia="Calibri" w:cs="Calibri"/>
                <w:color w:val="000000"/>
                <w:lang w:val="en-US"/>
              </w:rPr>
            </w:pPr>
            <w:r w:rsidRPr="0095252E">
              <w:rPr>
                <w:rFonts w:eastAsia="Calibri" w:cs="Calibri"/>
                <w:color w:val="000000"/>
                <w:lang w:val="en-US"/>
              </w:rPr>
              <w:t xml:space="preserve">The Peruvian State has several websites in which various public information is published and disseminated, however, it is necessary to promote that application of formats that allow their reuse by citizens and companies. Therefore, it must be transferred from the basic information publication to the open data, facilitating the development of applications which are becoming new services for citizens.  </w:t>
            </w:r>
          </w:p>
        </w:tc>
      </w:tr>
      <w:tr w:rsidR="009E1946" w:rsidRPr="00003DBC" w:rsidTr="009E1946">
        <w:tc>
          <w:tcPr>
            <w:tcW w:w="4163" w:type="dxa"/>
            <w:gridSpan w:val="3"/>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Main objective</w:t>
            </w:r>
          </w:p>
        </w:tc>
        <w:tc>
          <w:tcPr>
            <w:tcW w:w="4903" w:type="dxa"/>
            <w:gridSpan w:val="3"/>
          </w:tcPr>
          <w:p w:rsidR="009E1946" w:rsidRPr="0095252E" w:rsidRDefault="009E1946" w:rsidP="009E1946">
            <w:pPr>
              <w:jc w:val="both"/>
              <w:rPr>
                <w:rFonts w:eastAsia="Calibri"/>
                <w:bCs/>
                <w:lang w:val="en-US"/>
              </w:rPr>
            </w:pPr>
            <w:r w:rsidRPr="0095252E">
              <w:rPr>
                <w:rFonts w:eastAsia="Calibri"/>
                <w:bCs/>
                <w:lang w:val="en-US"/>
              </w:rPr>
              <w:t xml:space="preserve">To make available to citizens the database that various institutions publish or have published on an Open Data Website and on their Institutional Websites, in order to the citizens have completed, accessible, free and not restricted information, to increase the transparency and the reporting of the Public Administration and generate the government and private innovation, as well as better and new products and services for citizens.  </w:t>
            </w:r>
          </w:p>
        </w:tc>
      </w:tr>
      <w:tr w:rsidR="009E1946" w:rsidRPr="00003DBC" w:rsidTr="009E1946">
        <w:tc>
          <w:tcPr>
            <w:tcW w:w="4163" w:type="dxa"/>
            <w:gridSpan w:val="3"/>
            <w:shd w:val="clear" w:color="auto" w:fill="C6D9F1"/>
            <w:vAlign w:val="center"/>
          </w:tcPr>
          <w:p w:rsidR="009E1946" w:rsidRPr="0095252E" w:rsidRDefault="009E1946" w:rsidP="009E1946">
            <w:pPr>
              <w:autoSpaceDE w:val="0"/>
              <w:autoSpaceDN w:val="0"/>
              <w:adjustRightInd w:val="0"/>
              <w:rPr>
                <w:rFonts w:eastAsia="Calibri" w:cs="Gotham-Book"/>
                <w:b/>
                <w:color w:val="000000"/>
                <w:lang w:val="en-US"/>
              </w:rPr>
            </w:pPr>
            <w:r w:rsidRPr="0095252E">
              <w:rPr>
                <w:rFonts w:eastAsia="Calibri" w:cs="Gotham-Book"/>
                <w:b/>
                <w:color w:val="000000"/>
                <w:lang w:val="en-US"/>
              </w:rPr>
              <w:t>Brief description of the commitment</w:t>
            </w:r>
          </w:p>
        </w:tc>
        <w:tc>
          <w:tcPr>
            <w:tcW w:w="4903" w:type="dxa"/>
            <w:gridSpan w:val="3"/>
          </w:tcPr>
          <w:p w:rsidR="009E1946" w:rsidRPr="0095252E" w:rsidRDefault="009E1946" w:rsidP="009E1946">
            <w:pPr>
              <w:jc w:val="both"/>
              <w:rPr>
                <w:rFonts w:eastAsia="Calibri"/>
                <w:color w:val="FF0000"/>
                <w:szCs w:val="20"/>
                <w:lang w:val="en-US"/>
              </w:rPr>
            </w:pPr>
            <w:r w:rsidRPr="0095252E">
              <w:rPr>
                <w:rFonts w:eastAsia="Calibri"/>
                <w:color w:val="000000"/>
                <w:lang w:val="en-US"/>
              </w:rPr>
              <w:t xml:space="preserve">To promote clearly the open data publication through open and interoperable standards, in order to allow that the citizens have unrestricted access of use to a set of government data, in structured formats, stored in an Open Data Website and in various institutional websites of the public administration, thus allowing its reuse. </w:t>
            </w:r>
          </w:p>
        </w:tc>
      </w:tr>
      <w:tr w:rsidR="009E1946" w:rsidRPr="00003DBC" w:rsidTr="009E1946">
        <w:tc>
          <w:tcPr>
            <w:tcW w:w="4163" w:type="dxa"/>
            <w:gridSpan w:val="3"/>
            <w:shd w:val="clear" w:color="auto" w:fill="C6D9F1"/>
            <w:vAlign w:val="center"/>
          </w:tcPr>
          <w:p w:rsidR="009E1946" w:rsidRPr="0095252E" w:rsidRDefault="009E1946" w:rsidP="009E1946">
            <w:pPr>
              <w:autoSpaceDE w:val="0"/>
              <w:autoSpaceDN w:val="0"/>
              <w:adjustRightInd w:val="0"/>
              <w:rPr>
                <w:rFonts w:eastAsia="Calibri" w:cs="Gotham-Book"/>
                <w:b/>
                <w:color w:val="000000"/>
                <w:lang w:val="en-US"/>
              </w:rPr>
            </w:pPr>
            <w:r w:rsidRPr="0095252E">
              <w:rPr>
                <w:rFonts w:eastAsia="Calibri" w:cs="Gotham-Book"/>
                <w:b/>
                <w:color w:val="000000"/>
                <w:lang w:val="en-US"/>
              </w:rPr>
              <w:t>Relevance</w:t>
            </w:r>
          </w:p>
          <w:p w:rsidR="009E1946" w:rsidRPr="0095252E" w:rsidRDefault="009E1946" w:rsidP="009E1946">
            <w:pPr>
              <w:autoSpaceDE w:val="0"/>
              <w:autoSpaceDN w:val="0"/>
              <w:adjustRightInd w:val="0"/>
              <w:rPr>
                <w:rFonts w:eastAsia="Calibri"/>
                <w:b/>
                <w:color w:val="000000"/>
                <w:lang w:val="en-US"/>
              </w:rPr>
            </w:pPr>
          </w:p>
        </w:tc>
        <w:tc>
          <w:tcPr>
            <w:tcW w:w="4903" w:type="dxa"/>
            <w:gridSpan w:val="3"/>
          </w:tcPr>
          <w:p w:rsidR="009E1946" w:rsidRPr="0095252E" w:rsidRDefault="009E1946" w:rsidP="009E1946">
            <w:pPr>
              <w:jc w:val="both"/>
              <w:rPr>
                <w:rFonts w:eastAsia="Calibri"/>
                <w:szCs w:val="20"/>
                <w:lang w:val="en-US"/>
              </w:rPr>
            </w:pPr>
            <w:r w:rsidRPr="0095252E">
              <w:rPr>
                <w:rFonts w:eastAsia="Calibri"/>
                <w:szCs w:val="20"/>
                <w:lang w:val="en-US"/>
              </w:rPr>
              <w:t xml:space="preserve">The commitment contributes to strengthen the transparency as OGP value because new mechanism are promoted producing a greater data openness. The experience has been very enriching in the elaboration process of Strategy because the civic activism and the collaboration were promoted in the validation process of instruments making possible an effective implementation of these.     </w:t>
            </w:r>
          </w:p>
        </w:tc>
      </w:tr>
      <w:tr w:rsidR="009E1946" w:rsidRPr="00003DBC" w:rsidTr="009E1946">
        <w:tc>
          <w:tcPr>
            <w:tcW w:w="4163" w:type="dxa"/>
            <w:gridSpan w:val="3"/>
            <w:shd w:val="clear" w:color="auto" w:fill="C6D9F1"/>
            <w:vAlign w:val="center"/>
          </w:tcPr>
          <w:p w:rsidR="009E1946" w:rsidRPr="0095252E" w:rsidRDefault="009E1946" w:rsidP="009E1946">
            <w:pPr>
              <w:autoSpaceDE w:val="0"/>
              <w:autoSpaceDN w:val="0"/>
              <w:adjustRightInd w:val="0"/>
              <w:rPr>
                <w:rFonts w:eastAsia="Calibri" w:cs="Gotham-Book"/>
                <w:b/>
                <w:color w:val="000000"/>
                <w:lang w:val="en-US"/>
              </w:rPr>
            </w:pPr>
            <w:r w:rsidRPr="0095252E">
              <w:rPr>
                <w:rFonts w:eastAsia="Calibri" w:cs="Gotham-Book"/>
                <w:b/>
                <w:color w:val="000000"/>
                <w:lang w:val="en-US"/>
              </w:rPr>
              <w:t>Ambition</w:t>
            </w:r>
          </w:p>
          <w:p w:rsidR="009E1946" w:rsidRPr="0095252E" w:rsidRDefault="009E1946" w:rsidP="009E1946">
            <w:pPr>
              <w:autoSpaceDE w:val="0"/>
              <w:autoSpaceDN w:val="0"/>
              <w:adjustRightInd w:val="0"/>
              <w:rPr>
                <w:rFonts w:eastAsia="Calibri" w:cs="Gotham-BookItalic"/>
                <w:b/>
                <w:iCs/>
                <w:color w:val="000000"/>
                <w:lang w:val="en-US"/>
              </w:rPr>
            </w:pPr>
          </w:p>
        </w:tc>
        <w:tc>
          <w:tcPr>
            <w:tcW w:w="4903" w:type="dxa"/>
            <w:gridSpan w:val="3"/>
          </w:tcPr>
          <w:p w:rsidR="009E1946" w:rsidRPr="0095252E" w:rsidRDefault="009E1946" w:rsidP="009E1946">
            <w:pPr>
              <w:jc w:val="both"/>
              <w:rPr>
                <w:rFonts w:eastAsia="Calibri"/>
                <w:szCs w:val="20"/>
                <w:lang w:val="en-US"/>
              </w:rPr>
            </w:pPr>
            <w:r w:rsidRPr="0095252E">
              <w:rPr>
                <w:rFonts w:eastAsia="Calibri"/>
                <w:szCs w:val="20"/>
                <w:lang w:val="en-US"/>
              </w:rPr>
              <w:t>It is expected the approval of the standard approving the implementation of the National Strategy of Government Open Data and that it can be completed with the formulation of technical standard of open data.</w:t>
            </w:r>
          </w:p>
        </w:tc>
      </w:tr>
      <w:tr w:rsidR="009E1946" w:rsidRPr="0095252E" w:rsidTr="009E1946">
        <w:tc>
          <w:tcPr>
            <w:tcW w:w="2484" w:type="dxa"/>
            <w:gridSpan w:val="2"/>
            <w:vMerge w:val="restart"/>
            <w:shd w:val="clear" w:color="auto" w:fill="C6D9F1"/>
            <w:vAlign w:val="center"/>
          </w:tcPr>
          <w:p w:rsidR="009E1946" w:rsidRPr="0095252E" w:rsidRDefault="009E1946" w:rsidP="009E1946">
            <w:pPr>
              <w:rPr>
                <w:rFonts w:eastAsia="Calibri"/>
                <w:b/>
                <w:color w:val="000000"/>
                <w:lang w:val="en-US"/>
              </w:rPr>
            </w:pPr>
            <w:r w:rsidRPr="0095252E">
              <w:rPr>
                <w:rFonts w:eastAsia="Calibri" w:cs="Gotham-Book"/>
                <w:b/>
                <w:color w:val="000000"/>
                <w:lang w:val="en-US"/>
              </w:rPr>
              <w:t>Compliance</w:t>
            </w:r>
          </w:p>
        </w:tc>
        <w:tc>
          <w:tcPr>
            <w:tcW w:w="1679" w:type="dxa"/>
            <w:shd w:val="clear" w:color="auto" w:fill="C6D9F1"/>
          </w:tcPr>
          <w:p w:rsidR="009E1946" w:rsidRPr="0095252E" w:rsidRDefault="00596BF3" w:rsidP="009E1946">
            <w:pPr>
              <w:jc w:val="center"/>
              <w:rPr>
                <w:rFonts w:eastAsia="Calibri"/>
                <w:b/>
                <w:color w:val="000000"/>
                <w:lang w:val="en-US"/>
              </w:rPr>
            </w:pPr>
            <w:r>
              <w:rPr>
                <w:rFonts w:eastAsia="Calibri" w:cs="Gotham-Book"/>
                <w:b/>
                <w:color w:val="000000"/>
                <w:lang w:val="en-US"/>
              </w:rPr>
              <w:t>Uninitiated</w:t>
            </w:r>
          </w:p>
        </w:tc>
        <w:tc>
          <w:tcPr>
            <w:tcW w:w="1707" w:type="dxa"/>
            <w:shd w:val="clear" w:color="auto" w:fill="C6D9F1"/>
          </w:tcPr>
          <w:p w:rsidR="009E1946" w:rsidRPr="0095252E" w:rsidRDefault="009E1946" w:rsidP="009E1946">
            <w:pPr>
              <w:jc w:val="center"/>
              <w:rPr>
                <w:rFonts w:eastAsia="Calibri"/>
                <w:b/>
                <w:color w:val="000000"/>
                <w:lang w:val="en-US"/>
              </w:rPr>
            </w:pPr>
            <w:r w:rsidRPr="0095252E">
              <w:rPr>
                <w:rFonts w:eastAsia="Calibri" w:cs="Gotham-Book"/>
                <w:b/>
                <w:color w:val="000000"/>
                <w:lang w:val="en-US"/>
              </w:rPr>
              <w:t>Limited</w:t>
            </w:r>
          </w:p>
        </w:tc>
        <w:tc>
          <w:tcPr>
            <w:tcW w:w="1623" w:type="dxa"/>
            <w:shd w:val="clear" w:color="auto" w:fill="C6D9F1"/>
          </w:tcPr>
          <w:p w:rsidR="009E1946" w:rsidRPr="0095252E" w:rsidRDefault="009E1946" w:rsidP="009E1946">
            <w:pPr>
              <w:jc w:val="center"/>
              <w:rPr>
                <w:rFonts w:eastAsia="Calibri"/>
                <w:b/>
                <w:color w:val="000000"/>
                <w:lang w:val="en-US"/>
              </w:rPr>
            </w:pPr>
            <w:r w:rsidRPr="0095252E">
              <w:rPr>
                <w:rFonts w:eastAsia="Calibri" w:cs="Gotham-Book"/>
                <w:b/>
                <w:color w:val="000000"/>
                <w:lang w:val="en-US"/>
              </w:rPr>
              <w:t>Substantial</w:t>
            </w:r>
          </w:p>
        </w:tc>
        <w:tc>
          <w:tcPr>
            <w:tcW w:w="1573" w:type="dxa"/>
            <w:shd w:val="clear" w:color="auto" w:fill="C6D9F1"/>
          </w:tcPr>
          <w:p w:rsidR="009E1946" w:rsidRPr="0095252E" w:rsidRDefault="009E1946" w:rsidP="009E1946">
            <w:pPr>
              <w:jc w:val="center"/>
              <w:rPr>
                <w:rFonts w:eastAsia="Calibri"/>
                <w:b/>
                <w:color w:val="000000"/>
                <w:lang w:val="en-US"/>
              </w:rPr>
            </w:pPr>
            <w:r w:rsidRPr="0095252E">
              <w:rPr>
                <w:rFonts w:eastAsia="Calibri" w:cs="Gotham-Book"/>
                <w:b/>
                <w:color w:val="000000"/>
                <w:lang w:val="en-US"/>
              </w:rPr>
              <w:t>Complete</w:t>
            </w:r>
          </w:p>
        </w:tc>
      </w:tr>
      <w:tr w:rsidR="009E1946" w:rsidRPr="0095252E" w:rsidTr="009E1946">
        <w:tc>
          <w:tcPr>
            <w:tcW w:w="2484" w:type="dxa"/>
            <w:gridSpan w:val="2"/>
            <w:vMerge/>
            <w:shd w:val="clear" w:color="auto" w:fill="C6D9F1"/>
            <w:vAlign w:val="center"/>
          </w:tcPr>
          <w:p w:rsidR="009E1946" w:rsidRPr="0095252E" w:rsidRDefault="009E1946" w:rsidP="009E1946">
            <w:pPr>
              <w:rPr>
                <w:rFonts w:eastAsia="Calibri"/>
                <w:b/>
                <w:color w:val="000000"/>
                <w:lang w:val="en-US"/>
              </w:rPr>
            </w:pPr>
          </w:p>
        </w:tc>
        <w:tc>
          <w:tcPr>
            <w:tcW w:w="1679" w:type="dxa"/>
          </w:tcPr>
          <w:p w:rsidR="009E1946" w:rsidRPr="0095252E" w:rsidRDefault="009E1946" w:rsidP="009E1946">
            <w:pPr>
              <w:jc w:val="center"/>
              <w:rPr>
                <w:rFonts w:eastAsia="Calibri"/>
                <w:b/>
                <w:color w:val="000000"/>
                <w:lang w:val="en-US"/>
              </w:rPr>
            </w:pPr>
          </w:p>
        </w:tc>
        <w:tc>
          <w:tcPr>
            <w:tcW w:w="1707" w:type="dxa"/>
          </w:tcPr>
          <w:p w:rsidR="009E1946" w:rsidRPr="0095252E" w:rsidRDefault="009E1946" w:rsidP="009E1946">
            <w:pPr>
              <w:jc w:val="center"/>
              <w:rPr>
                <w:rFonts w:eastAsia="Calibri"/>
                <w:b/>
                <w:color w:val="000000"/>
                <w:lang w:val="en-US"/>
              </w:rPr>
            </w:pPr>
          </w:p>
        </w:tc>
        <w:tc>
          <w:tcPr>
            <w:tcW w:w="1623" w:type="dxa"/>
          </w:tcPr>
          <w:p w:rsidR="009E1946" w:rsidRPr="0095252E" w:rsidRDefault="009E1946" w:rsidP="009E1946">
            <w:pPr>
              <w:jc w:val="center"/>
              <w:rPr>
                <w:rFonts w:eastAsia="Calibri"/>
                <w:b/>
                <w:color w:val="000000"/>
                <w:lang w:val="en-US"/>
              </w:rPr>
            </w:pPr>
            <w:r w:rsidRPr="0095252E">
              <w:rPr>
                <w:rFonts w:eastAsia="Calibri"/>
                <w:b/>
                <w:color w:val="000000"/>
                <w:lang w:val="en-US"/>
              </w:rPr>
              <w:t>X</w:t>
            </w:r>
          </w:p>
        </w:tc>
        <w:tc>
          <w:tcPr>
            <w:tcW w:w="1573" w:type="dxa"/>
            <w:shd w:val="clear" w:color="auto" w:fill="FFFFFF"/>
          </w:tcPr>
          <w:p w:rsidR="009E1946" w:rsidRPr="0095252E" w:rsidRDefault="009E1946" w:rsidP="009E1946">
            <w:pPr>
              <w:jc w:val="center"/>
              <w:rPr>
                <w:rFonts w:eastAsia="Calibri"/>
                <w:b/>
                <w:color w:val="000000"/>
                <w:lang w:val="en-US"/>
              </w:rPr>
            </w:pPr>
          </w:p>
        </w:tc>
      </w:tr>
      <w:tr w:rsidR="009E1946" w:rsidRPr="00003DBC" w:rsidTr="009E1946">
        <w:tc>
          <w:tcPr>
            <w:tcW w:w="2484" w:type="dxa"/>
            <w:gridSpan w:val="2"/>
            <w:shd w:val="clear" w:color="auto" w:fill="C6D9F1"/>
            <w:vAlign w:val="center"/>
          </w:tcPr>
          <w:p w:rsidR="009E1946" w:rsidRPr="0095252E" w:rsidRDefault="00DA118E" w:rsidP="009E1946">
            <w:pPr>
              <w:autoSpaceDE w:val="0"/>
              <w:autoSpaceDN w:val="0"/>
              <w:adjustRightInd w:val="0"/>
              <w:rPr>
                <w:rFonts w:eastAsia="Calibri" w:cs="Gotham-BookItalic"/>
                <w:b/>
                <w:iCs/>
                <w:color w:val="000000"/>
                <w:lang w:val="en-US"/>
              </w:rPr>
            </w:pPr>
            <w:r>
              <w:rPr>
                <w:rFonts w:eastAsia="Calibri" w:cs="Gotham-Book"/>
                <w:b/>
                <w:color w:val="000000"/>
                <w:lang w:val="en-US"/>
              </w:rPr>
              <w:t>Result description</w:t>
            </w:r>
          </w:p>
        </w:tc>
        <w:tc>
          <w:tcPr>
            <w:tcW w:w="6582" w:type="dxa"/>
            <w:gridSpan w:val="4"/>
          </w:tcPr>
          <w:p w:rsidR="009E1946" w:rsidRPr="0095252E" w:rsidRDefault="009E1946" w:rsidP="009E1946">
            <w:pPr>
              <w:contextualSpacing/>
              <w:jc w:val="both"/>
              <w:rPr>
                <w:rFonts w:eastAsia="Calibri"/>
                <w:bCs/>
                <w:color w:val="000000"/>
                <w:lang w:val="en-US"/>
              </w:rPr>
            </w:pPr>
            <w:r w:rsidRPr="0095252E">
              <w:rPr>
                <w:rFonts w:eastAsia="Calibri"/>
                <w:bCs/>
                <w:color w:val="000000"/>
                <w:lang w:val="en-US"/>
              </w:rPr>
              <w:t>The following activities are considered:</w:t>
            </w:r>
          </w:p>
          <w:p w:rsidR="009E1946" w:rsidRPr="0095252E" w:rsidRDefault="009E1946" w:rsidP="009E1946">
            <w:pPr>
              <w:numPr>
                <w:ilvl w:val="0"/>
                <w:numId w:val="24"/>
              </w:numPr>
              <w:contextualSpacing/>
              <w:jc w:val="both"/>
              <w:rPr>
                <w:rFonts w:eastAsia="Calibri"/>
                <w:b/>
                <w:bCs/>
                <w:i/>
                <w:color w:val="000000"/>
                <w:lang w:val="en-US"/>
              </w:rPr>
            </w:pPr>
            <w:r w:rsidRPr="0095252E">
              <w:rPr>
                <w:rFonts w:eastAsia="Calibri"/>
                <w:b/>
                <w:i/>
                <w:color w:val="000000"/>
                <w:lang w:val="en-US"/>
              </w:rPr>
              <w:t>Development a defined Strategy and methodology for the data opening of State</w:t>
            </w:r>
          </w:p>
          <w:p w:rsidR="009E1946" w:rsidRPr="0095252E" w:rsidRDefault="009E1946" w:rsidP="009E1946">
            <w:pPr>
              <w:ind w:left="720"/>
              <w:contextualSpacing/>
              <w:jc w:val="both"/>
              <w:rPr>
                <w:rFonts w:eastAsia="Calibri"/>
                <w:bCs/>
                <w:color w:val="000000"/>
                <w:lang w:val="en-US"/>
              </w:rPr>
            </w:pPr>
            <w:r w:rsidRPr="0095252E">
              <w:rPr>
                <w:rFonts w:eastAsia="Calibri"/>
                <w:bCs/>
                <w:color w:val="000000"/>
                <w:lang w:val="en-US"/>
              </w:rPr>
              <w:t xml:space="preserve">Concerning this activity, the project elaboration of Supreme </w:t>
            </w:r>
            <w:proofErr w:type="spellStart"/>
            <w:r w:rsidRPr="0095252E">
              <w:rPr>
                <w:rFonts w:eastAsia="Calibri"/>
                <w:bCs/>
                <w:color w:val="000000"/>
                <w:lang w:val="en-US"/>
              </w:rPr>
              <w:t>Decret</w:t>
            </w:r>
            <w:proofErr w:type="spellEnd"/>
            <w:r w:rsidRPr="0095252E">
              <w:rPr>
                <w:rFonts w:eastAsia="Calibri"/>
                <w:bCs/>
                <w:color w:val="000000"/>
                <w:lang w:val="en-US"/>
              </w:rPr>
              <w:t xml:space="preserve"> approving the conceptual model and the National </w:t>
            </w:r>
            <w:r w:rsidRPr="0095252E">
              <w:rPr>
                <w:rFonts w:eastAsia="Calibri"/>
                <w:bCs/>
                <w:color w:val="000000"/>
                <w:lang w:val="en-US"/>
              </w:rPr>
              <w:lastRenderedPageBreak/>
              <w:t>Strategy of Government Open Data has been completed, the normative project is subject to review process for approval.</w:t>
            </w:r>
          </w:p>
          <w:p w:rsidR="009E1946" w:rsidRPr="0095252E" w:rsidRDefault="009E1946" w:rsidP="009E1946">
            <w:pPr>
              <w:numPr>
                <w:ilvl w:val="0"/>
                <w:numId w:val="24"/>
              </w:numPr>
              <w:contextualSpacing/>
              <w:jc w:val="both"/>
              <w:rPr>
                <w:rFonts w:eastAsia="Calibri"/>
                <w:b/>
                <w:bCs/>
                <w:i/>
                <w:color w:val="000000"/>
                <w:lang w:val="en-US"/>
              </w:rPr>
            </w:pPr>
            <w:r w:rsidRPr="0095252E">
              <w:rPr>
                <w:rFonts w:eastAsia="Calibri"/>
                <w:b/>
                <w:i/>
                <w:color w:val="000000"/>
                <w:lang w:val="en-US"/>
              </w:rPr>
              <w:t>Creation of Open Data Website of Peruvian State</w:t>
            </w:r>
          </w:p>
          <w:p w:rsidR="009E1946" w:rsidRPr="0095252E" w:rsidRDefault="009E1946" w:rsidP="009E1946">
            <w:pPr>
              <w:ind w:left="720"/>
              <w:contextualSpacing/>
              <w:jc w:val="both"/>
              <w:rPr>
                <w:rFonts w:eastAsia="Calibri"/>
                <w:bCs/>
                <w:color w:val="000000"/>
                <w:lang w:val="en-US"/>
              </w:rPr>
            </w:pPr>
            <w:r w:rsidRPr="0095252E">
              <w:rPr>
                <w:rFonts w:eastAsia="Calibri"/>
                <w:color w:val="000000"/>
                <w:lang w:val="en-US"/>
              </w:rPr>
              <w:t>The National Office of Electronic Government (ONGEI) has launched a beta version of Open Data Website into operation that can be displayed through the following link:</w:t>
            </w:r>
            <w:r w:rsidRPr="0095252E">
              <w:rPr>
                <w:rFonts w:eastAsia="Calibri"/>
                <w:lang w:val="en-US"/>
              </w:rPr>
              <w:t xml:space="preserve"> </w:t>
            </w:r>
            <w:hyperlink r:id="rId35" w:history="1">
              <w:r w:rsidRPr="0095252E">
                <w:rPr>
                  <w:rFonts w:eastAsia="Calibri"/>
                  <w:color w:val="0000FF"/>
                  <w:u w:val="single"/>
                  <w:lang w:val="en-US"/>
                </w:rPr>
                <w:t>http://www.datosabiertos.gob.pe</w:t>
              </w:r>
            </w:hyperlink>
            <w:r w:rsidRPr="0095252E">
              <w:rPr>
                <w:rFonts w:eastAsia="Calibri"/>
                <w:color w:val="000000"/>
                <w:lang w:val="en-US"/>
              </w:rPr>
              <w:t>, the development of a new version is being working up to date.</w:t>
            </w:r>
          </w:p>
          <w:p w:rsidR="009E1946" w:rsidRPr="0095252E" w:rsidRDefault="009E1946" w:rsidP="009E1946">
            <w:pPr>
              <w:numPr>
                <w:ilvl w:val="0"/>
                <w:numId w:val="24"/>
              </w:numPr>
              <w:contextualSpacing/>
              <w:jc w:val="both"/>
              <w:rPr>
                <w:rFonts w:eastAsia="Calibri"/>
                <w:b/>
                <w:bCs/>
                <w:i/>
                <w:color w:val="000000"/>
                <w:lang w:val="en-US"/>
              </w:rPr>
            </w:pPr>
            <w:r w:rsidRPr="0095252E">
              <w:rPr>
                <w:rFonts w:eastAsia="Calibri"/>
                <w:b/>
                <w:i/>
                <w:color w:val="000000"/>
                <w:lang w:val="en-US"/>
              </w:rPr>
              <w:t>Approved technical Standard of Open Data</w:t>
            </w:r>
          </w:p>
          <w:p w:rsidR="009E1946" w:rsidRPr="0095252E" w:rsidRDefault="009E1946" w:rsidP="009E1946">
            <w:pPr>
              <w:ind w:left="720"/>
              <w:contextualSpacing/>
              <w:jc w:val="both"/>
              <w:rPr>
                <w:rFonts w:eastAsia="Calibri"/>
                <w:color w:val="000000"/>
                <w:lang w:val="en-US"/>
              </w:rPr>
            </w:pPr>
            <w:r w:rsidRPr="0095252E">
              <w:rPr>
                <w:rFonts w:eastAsia="Calibri"/>
                <w:color w:val="000000"/>
                <w:lang w:val="en-US"/>
              </w:rPr>
              <w:t>The implementation of commitment for first semester 2017 has been rescheduled.</w:t>
            </w:r>
          </w:p>
          <w:p w:rsidR="009E1946" w:rsidRPr="0095252E" w:rsidRDefault="009E1946" w:rsidP="009E1946">
            <w:pPr>
              <w:jc w:val="both"/>
              <w:rPr>
                <w:rFonts w:eastAsia="Cambria" w:cs="Cambria"/>
                <w:color w:val="000000"/>
                <w:szCs w:val="20"/>
                <w:lang w:val="en-US" w:eastAsia="es-ES"/>
              </w:rPr>
            </w:pPr>
            <w:r w:rsidRPr="0095252E">
              <w:rPr>
                <w:rFonts w:eastAsia="Cambria" w:cs="Cambria"/>
                <w:szCs w:val="20"/>
                <w:lang w:val="en-US" w:eastAsia="es-ES"/>
              </w:rPr>
              <w:t>Notwithstanding the approval of a normative framework implementing the commitment, we have progress in the data opening of various government entities and levels, such as:</w:t>
            </w:r>
          </w:p>
          <w:p w:rsidR="009E1946" w:rsidRPr="0095252E" w:rsidRDefault="009E1946" w:rsidP="009E1946">
            <w:pPr>
              <w:jc w:val="both"/>
              <w:rPr>
                <w:rFonts w:eastAsia="Cambria" w:cs="Cambria"/>
                <w:b/>
                <w:color w:val="000000"/>
                <w:lang w:val="en-US" w:eastAsia="es-ES"/>
              </w:rPr>
            </w:pPr>
            <w:r w:rsidRPr="0095252E">
              <w:rPr>
                <w:rFonts w:eastAsia="Cambria" w:cs="Cambria"/>
                <w:b/>
                <w:color w:val="000000"/>
                <w:lang w:val="en-US" w:eastAsia="es-ES"/>
              </w:rPr>
              <w:t>National Government:</w:t>
            </w:r>
          </w:p>
          <w:p w:rsidR="009E1946" w:rsidRPr="0095252E" w:rsidRDefault="009E1946" w:rsidP="009E1946">
            <w:pPr>
              <w:jc w:val="both"/>
              <w:rPr>
                <w:rFonts w:eastAsia="Cambria" w:cs="Cambria"/>
                <w:color w:val="000000"/>
                <w:lang w:val="en-US" w:eastAsia="es-ES"/>
              </w:rPr>
            </w:pPr>
            <w:r w:rsidRPr="0095252E">
              <w:rPr>
                <w:rFonts w:eastAsia="Calibri"/>
                <w:color w:val="000000"/>
                <w:lang w:val="en-US"/>
              </w:rPr>
              <w:t xml:space="preserve">National Office of Electronic Government and Information Technology </w:t>
            </w:r>
            <w:hyperlink r:id="rId36" w:history="1">
              <w:r w:rsidRPr="0095252E">
                <w:rPr>
                  <w:rFonts w:eastAsia="Cambria" w:cs="Cambria"/>
                  <w:color w:val="0000FF"/>
                  <w:u w:val="single"/>
                  <w:lang w:val="en-US" w:eastAsia="es-ES"/>
                </w:rPr>
                <w:t>http://www.datosabiertos.gob.pe</w:t>
              </w:r>
            </w:hyperlink>
          </w:p>
          <w:p w:rsidR="009E1946" w:rsidRPr="0095252E" w:rsidRDefault="009E1946" w:rsidP="009E1946">
            <w:pPr>
              <w:jc w:val="both"/>
              <w:rPr>
                <w:rFonts w:eastAsia="Cambria" w:cs="Cambria"/>
                <w:color w:val="000000"/>
                <w:lang w:val="en-US" w:eastAsia="es-ES"/>
              </w:rPr>
            </w:pPr>
            <w:r w:rsidRPr="0095252E">
              <w:rPr>
                <w:rFonts w:eastAsia="Cambria" w:cs="Cambria"/>
                <w:color w:val="000000"/>
                <w:lang w:val="en-US" w:eastAsia="es-ES"/>
              </w:rPr>
              <w:t xml:space="preserve">National Jury of Elections : </w:t>
            </w:r>
            <w:hyperlink r:id="rId37" w:history="1">
              <w:r w:rsidRPr="0095252E">
                <w:rPr>
                  <w:rFonts w:eastAsia="Cambria" w:cs="Cambria"/>
                  <w:color w:val="0000FF"/>
                  <w:u w:val="single"/>
                  <w:lang w:val="en-US" w:eastAsia="es-ES"/>
                </w:rPr>
                <w:t>http://jnedatosabiertos.pe/</w:t>
              </w:r>
            </w:hyperlink>
          </w:p>
          <w:p w:rsidR="009E1946" w:rsidRPr="0095252E" w:rsidRDefault="009E1946" w:rsidP="009E1946">
            <w:pPr>
              <w:jc w:val="both"/>
              <w:rPr>
                <w:rFonts w:eastAsia="Cambria" w:cs="Cambria"/>
                <w:color w:val="000000"/>
                <w:lang w:val="en-US" w:eastAsia="es-ES"/>
              </w:rPr>
            </w:pPr>
            <w:r w:rsidRPr="0095252E">
              <w:rPr>
                <w:rFonts w:eastAsia="Cambria" w:cs="Cambria"/>
                <w:color w:val="000000"/>
                <w:lang w:val="en-US" w:eastAsia="es-ES"/>
              </w:rPr>
              <w:t xml:space="preserve">Ministry of Health </w:t>
            </w:r>
            <w:hyperlink r:id="rId38" w:history="1">
              <w:r w:rsidRPr="0095252E">
                <w:rPr>
                  <w:rFonts w:eastAsia="Cambria" w:cs="Cambria"/>
                  <w:color w:val="0000FF"/>
                  <w:u w:val="single"/>
                  <w:lang w:val="en-US" w:eastAsia="es-ES"/>
                </w:rPr>
                <w:t>http://datos.minsa.gob.pe/</w:t>
              </w:r>
            </w:hyperlink>
          </w:p>
          <w:p w:rsidR="009E1946" w:rsidRPr="0095252E" w:rsidRDefault="009E1946" w:rsidP="009E1946">
            <w:pPr>
              <w:jc w:val="both"/>
              <w:rPr>
                <w:rFonts w:eastAsia="Cambria" w:cs="Cambria"/>
                <w:color w:val="000000"/>
                <w:lang w:val="en-US" w:eastAsia="es-ES"/>
              </w:rPr>
            </w:pPr>
            <w:r w:rsidRPr="0095252E">
              <w:rPr>
                <w:rFonts w:eastAsia="Cambria" w:cs="Cambria"/>
                <w:color w:val="000000"/>
                <w:lang w:val="en-US" w:eastAsia="es-ES"/>
              </w:rPr>
              <w:t xml:space="preserve">Ministry of Education: </w:t>
            </w:r>
            <w:hyperlink r:id="rId39" w:history="1">
              <w:r w:rsidRPr="0095252E">
                <w:rPr>
                  <w:rFonts w:eastAsia="Cambria" w:cs="Cambria"/>
                  <w:color w:val="0000FF"/>
                  <w:u w:val="single"/>
                  <w:lang w:val="en-US" w:eastAsia="es-ES"/>
                </w:rPr>
                <w:t>http://datos.minedu.gob.pe/</w:t>
              </w:r>
            </w:hyperlink>
          </w:p>
          <w:p w:rsidR="009E1946" w:rsidRPr="0095252E" w:rsidRDefault="009E1946" w:rsidP="009E1946">
            <w:pPr>
              <w:jc w:val="both"/>
              <w:rPr>
                <w:rFonts w:eastAsia="Cambria" w:cs="Cambria"/>
                <w:color w:val="0000FF"/>
                <w:u w:val="single"/>
                <w:lang w:val="en-US" w:eastAsia="es-ES"/>
              </w:rPr>
            </w:pPr>
            <w:r w:rsidRPr="0095252E">
              <w:rPr>
                <w:rFonts w:eastAsia="Cambria" w:cs="Cambria"/>
                <w:color w:val="000000"/>
                <w:lang w:val="en-US" w:eastAsia="es-ES"/>
              </w:rPr>
              <w:t xml:space="preserve">National Council for Science, Technology and Technological Innovation: </w:t>
            </w:r>
            <w:hyperlink r:id="rId40" w:history="1">
              <w:r w:rsidRPr="0095252E">
                <w:rPr>
                  <w:rFonts w:eastAsia="Cambria" w:cs="Cambria"/>
                  <w:color w:val="0000FF"/>
                  <w:u w:val="single"/>
                  <w:lang w:val="en-US" w:eastAsia="es-ES"/>
                </w:rPr>
                <w:t>http://datos.concytec.gob.pe/</w:t>
              </w:r>
            </w:hyperlink>
          </w:p>
          <w:p w:rsidR="009E1946" w:rsidRPr="0095252E" w:rsidRDefault="009E1946" w:rsidP="009E1946">
            <w:pPr>
              <w:contextualSpacing/>
              <w:jc w:val="both"/>
              <w:rPr>
                <w:rFonts w:eastAsia="Cambria" w:cs="Cambria"/>
                <w:color w:val="000000"/>
                <w:lang w:val="en-US" w:eastAsia="es-ES"/>
              </w:rPr>
            </w:pPr>
            <w:r w:rsidRPr="0095252E">
              <w:rPr>
                <w:rFonts w:eastAsia="Cambria" w:cs="Cambria"/>
                <w:color w:val="000000"/>
                <w:lang w:val="en-US" w:eastAsia="es-ES"/>
              </w:rPr>
              <w:t xml:space="preserve">Rural Agricultural Productive Program: </w:t>
            </w:r>
            <w:r w:rsidRPr="0095252E">
              <w:rPr>
                <w:rFonts w:eastAsia="Cambria" w:cs="Cambria"/>
                <w:color w:val="0000FF"/>
                <w:u w:val="single"/>
                <w:lang w:val="en-US" w:eastAsia="es-ES"/>
              </w:rPr>
              <w:t xml:space="preserve"> http://datos.agrorural.gob.pe/</w:t>
            </w:r>
          </w:p>
          <w:p w:rsidR="009E1946" w:rsidRPr="0095252E" w:rsidRDefault="009E1946" w:rsidP="009E1946">
            <w:pPr>
              <w:spacing w:before="360" w:after="240"/>
              <w:contextualSpacing/>
              <w:jc w:val="both"/>
              <w:rPr>
                <w:rFonts w:eastAsia="Cambria" w:cs="Cambria"/>
                <w:b/>
                <w:color w:val="000000"/>
                <w:lang w:val="en-US" w:eastAsia="es-ES"/>
              </w:rPr>
            </w:pPr>
            <w:r w:rsidRPr="0095252E">
              <w:rPr>
                <w:rFonts w:eastAsia="Cambria" w:cs="Cambria"/>
                <w:b/>
                <w:color w:val="000000"/>
                <w:lang w:val="en-US" w:eastAsia="es-ES"/>
              </w:rPr>
              <w:t>Local Governments:</w:t>
            </w:r>
          </w:p>
          <w:p w:rsidR="009E1946" w:rsidRPr="0095252E" w:rsidRDefault="009E1946" w:rsidP="009E1946">
            <w:pPr>
              <w:contextualSpacing/>
              <w:jc w:val="both"/>
              <w:rPr>
                <w:rFonts w:eastAsia="Cambria" w:cs="Cambria"/>
                <w:color w:val="000000"/>
                <w:lang w:val="en-US" w:eastAsia="es-ES"/>
              </w:rPr>
            </w:pPr>
            <w:r w:rsidRPr="0095252E">
              <w:rPr>
                <w:rFonts w:eastAsia="Cambria" w:cs="Cambria"/>
                <w:color w:val="000000"/>
                <w:lang w:val="en-US" w:eastAsia="es-ES"/>
              </w:rPr>
              <w:t xml:space="preserve">Metropolitan Municipality of Lima: </w:t>
            </w:r>
            <w:hyperlink r:id="rId41" w:history="1">
              <w:r w:rsidRPr="0095252E">
                <w:rPr>
                  <w:rFonts w:eastAsia="Cambria" w:cs="Cambria"/>
                  <w:color w:val="0000FF"/>
                  <w:u w:val="single"/>
                  <w:lang w:val="en-US" w:eastAsia="es-ES"/>
                </w:rPr>
                <w:t>http://datosabiertos.munlima.gob.pe/</w:t>
              </w:r>
            </w:hyperlink>
          </w:p>
          <w:p w:rsidR="009E1946" w:rsidRPr="0095252E" w:rsidRDefault="009E1946" w:rsidP="009E1946">
            <w:pPr>
              <w:jc w:val="both"/>
              <w:rPr>
                <w:rFonts w:eastAsia="Cambria" w:cs="Cambria"/>
                <w:color w:val="000000"/>
                <w:lang w:val="en-US" w:eastAsia="es-ES"/>
              </w:rPr>
            </w:pPr>
            <w:r w:rsidRPr="0095252E">
              <w:rPr>
                <w:rFonts w:eastAsia="Cambria" w:cs="Cambria"/>
                <w:color w:val="000000"/>
                <w:lang w:val="en-US" w:eastAsia="es-ES"/>
              </w:rPr>
              <w:t>Tax Administration Service of Lima:</w:t>
            </w:r>
          </w:p>
          <w:p w:rsidR="009E1946" w:rsidRPr="0095252E" w:rsidRDefault="009E1946" w:rsidP="009E1946">
            <w:pPr>
              <w:jc w:val="both"/>
              <w:rPr>
                <w:rFonts w:eastAsia="Cambria" w:cs="Cambria"/>
                <w:color w:val="000000"/>
                <w:lang w:val="en-US" w:eastAsia="es-ES"/>
              </w:rPr>
            </w:pPr>
            <w:r w:rsidRPr="0095252E">
              <w:rPr>
                <w:rFonts w:eastAsia="Cambria" w:cs="Cambria"/>
                <w:color w:val="000000"/>
                <w:lang w:val="en-US" w:eastAsia="es-ES"/>
              </w:rPr>
              <w:t xml:space="preserve"> </w:t>
            </w:r>
            <w:hyperlink r:id="rId42" w:history="1">
              <w:r w:rsidRPr="0095252E">
                <w:rPr>
                  <w:rFonts w:eastAsia="Cambria" w:cs="Cambria"/>
                  <w:color w:val="0000FF"/>
                  <w:u w:val="single"/>
                  <w:lang w:val="en-US" w:eastAsia="es-ES"/>
                </w:rPr>
                <w:t>http://www.sat.gob.pe/websitev9/Inicio/DatosAbiertos</w:t>
              </w:r>
            </w:hyperlink>
          </w:p>
          <w:p w:rsidR="009E1946" w:rsidRPr="0095252E" w:rsidRDefault="009E1946" w:rsidP="009E1946">
            <w:pPr>
              <w:jc w:val="both"/>
              <w:rPr>
                <w:rFonts w:eastAsia="Cambria" w:cs="Cambria"/>
                <w:color w:val="000000"/>
                <w:lang w:val="en-US" w:eastAsia="es-ES"/>
              </w:rPr>
            </w:pPr>
            <w:r w:rsidRPr="0095252E">
              <w:rPr>
                <w:rFonts w:eastAsia="Cambria" w:cs="Cambria"/>
                <w:color w:val="000000"/>
                <w:lang w:val="en-US" w:eastAsia="es-ES"/>
              </w:rPr>
              <w:t xml:space="preserve">District Municipality of </w:t>
            </w:r>
            <w:proofErr w:type="spellStart"/>
            <w:r w:rsidRPr="0095252E">
              <w:rPr>
                <w:rFonts w:eastAsia="Cambria" w:cs="Cambria"/>
                <w:color w:val="000000"/>
                <w:lang w:val="en-US" w:eastAsia="es-ES"/>
              </w:rPr>
              <w:t>Miraflores</w:t>
            </w:r>
            <w:proofErr w:type="spellEnd"/>
            <w:r w:rsidRPr="0095252E">
              <w:rPr>
                <w:rFonts w:eastAsia="Cambria" w:cs="Cambria"/>
                <w:color w:val="000000"/>
                <w:lang w:val="en-US" w:eastAsia="es-ES"/>
              </w:rPr>
              <w:t xml:space="preserve">: </w:t>
            </w:r>
            <w:hyperlink r:id="rId43" w:history="1">
              <w:r w:rsidRPr="0095252E">
                <w:rPr>
                  <w:rFonts w:eastAsia="Cambria" w:cs="Cambria"/>
                  <w:color w:val="0000FF"/>
                  <w:u w:val="single"/>
                  <w:lang w:val="en-US" w:eastAsia="es-ES"/>
                </w:rPr>
                <w:t>http://datosabiertos.miraflores.gob.pe/home</w:t>
              </w:r>
            </w:hyperlink>
          </w:p>
          <w:p w:rsidR="009E1946" w:rsidRPr="0095252E" w:rsidRDefault="009E1946" w:rsidP="009E1946">
            <w:pPr>
              <w:jc w:val="both"/>
              <w:rPr>
                <w:rFonts w:eastAsia="Cambria" w:cs="Cambria"/>
                <w:color w:val="000000"/>
                <w:lang w:val="en-US" w:eastAsia="es-ES"/>
              </w:rPr>
            </w:pPr>
            <w:r w:rsidRPr="0095252E">
              <w:rPr>
                <w:rFonts w:eastAsia="Cambria" w:cs="Cambria"/>
                <w:color w:val="000000"/>
                <w:lang w:val="en-US" w:eastAsia="es-ES"/>
              </w:rPr>
              <w:t xml:space="preserve">District Municipality of San Isidro: </w:t>
            </w:r>
            <w:hyperlink r:id="rId44" w:history="1">
              <w:r w:rsidRPr="0095252E">
                <w:rPr>
                  <w:rFonts w:eastAsia="Cambria" w:cs="Cambria"/>
                  <w:color w:val="0000FF"/>
                  <w:u w:val="single"/>
                  <w:lang w:val="en-US" w:eastAsia="es-ES"/>
                </w:rPr>
                <w:t>http://datosabiertos.msi.gob.pe/home/</w:t>
              </w:r>
            </w:hyperlink>
          </w:p>
          <w:p w:rsidR="009E1946" w:rsidRPr="0095252E" w:rsidRDefault="009E1946" w:rsidP="009E1946">
            <w:pPr>
              <w:contextualSpacing/>
              <w:jc w:val="both"/>
              <w:rPr>
                <w:rFonts w:eastAsia="Cambria" w:cs="Cambria"/>
                <w:color w:val="000000"/>
                <w:lang w:val="en-US" w:eastAsia="es-ES"/>
              </w:rPr>
            </w:pPr>
            <w:r w:rsidRPr="0095252E">
              <w:rPr>
                <w:rFonts w:eastAsia="Cambria" w:cs="Cambria"/>
                <w:color w:val="000000"/>
                <w:lang w:val="en-US" w:eastAsia="es-ES"/>
              </w:rPr>
              <w:t xml:space="preserve">District Municipality of San Martin de </w:t>
            </w:r>
            <w:proofErr w:type="spellStart"/>
            <w:r w:rsidRPr="0095252E">
              <w:rPr>
                <w:rFonts w:eastAsia="Cambria" w:cs="Cambria"/>
                <w:color w:val="000000"/>
                <w:lang w:val="en-US" w:eastAsia="es-ES"/>
              </w:rPr>
              <w:t>Porres</w:t>
            </w:r>
            <w:proofErr w:type="spellEnd"/>
            <w:r w:rsidRPr="0095252E">
              <w:rPr>
                <w:rFonts w:eastAsia="Cambria" w:cs="Cambria"/>
                <w:color w:val="000000"/>
                <w:lang w:val="en-US" w:eastAsia="es-ES"/>
              </w:rPr>
              <w:t xml:space="preserve">: </w:t>
            </w:r>
            <w:hyperlink r:id="rId45" w:history="1">
              <w:r w:rsidRPr="0095252E">
                <w:rPr>
                  <w:rFonts w:eastAsia="Cambria" w:cs="Cambria"/>
                  <w:color w:val="0000FF"/>
                  <w:u w:val="single"/>
                  <w:lang w:val="en-US" w:eastAsia="es-ES"/>
                </w:rPr>
                <w:t>http://www.mdsmp.gob.pe/datos/index.php</w:t>
              </w:r>
            </w:hyperlink>
          </w:p>
          <w:p w:rsidR="009E1946" w:rsidRPr="0095252E" w:rsidRDefault="009E1946" w:rsidP="009E1946">
            <w:pPr>
              <w:contextualSpacing/>
              <w:jc w:val="both"/>
              <w:rPr>
                <w:rFonts w:eastAsia="Cambria" w:cs="Cambria"/>
                <w:b/>
                <w:color w:val="000000"/>
                <w:lang w:val="en-US" w:eastAsia="es-ES"/>
              </w:rPr>
            </w:pPr>
            <w:r w:rsidRPr="0095252E">
              <w:rPr>
                <w:rFonts w:eastAsia="Cambria" w:cs="Cambria"/>
                <w:b/>
                <w:color w:val="000000"/>
                <w:lang w:val="en-US" w:eastAsia="es-ES"/>
              </w:rPr>
              <w:t>Regional Government:</w:t>
            </w:r>
          </w:p>
          <w:p w:rsidR="009E1946" w:rsidRPr="0095252E" w:rsidRDefault="009E1946" w:rsidP="009E1946">
            <w:pPr>
              <w:contextualSpacing/>
              <w:jc w:val="both"/>
              <w:rPr>
                <w:rFonts w:eastAsia="Cambria" w:cs="Cambria"/>
                <w:color w:val="000000"/>
                <w:lang w:val="en-US" w:eastAsia="es-ES"/>
              </w:rPr>
            </w:pPr>
            <w:r w:rsidRPr="0095252E">
              <w:rPr>
                <w:rFonts w:eastAsia="Cambria" w:cs="Cambria"/>
                <w:color w:val="000000"/>
                <w:lang w:val="en-US" w:eastAsia="es-ES"/>
              </w:rPr>
              <w:t xml:space="preserve">Regional Government of La Libertad: </w:t>
            </w:r>
            <w:hyperlink r:id="rId46" w:history="1">
              <w:r w:rsidRPr="0095252E">
                <w:rPr>
                  <w:rFonts w:eastAsia="Cambria" w:cs="Cambria"/>
                  <w:color w:val="0000FF"/>
                  <w:u w:val="single"/>
                  <w:lang w:val="en-US" w:eastAsia="es-ES"/>
                </w:rPr>
                <w:t>http://www.regionlalibertad.gob.pe/datosabiertos/</w:t>
              </w:r>
            </w:hyperlink>
          </w:p>
          <w:p w:rsidR="009E1946" w:rsidRPr="0095252E" w:rsidRDefault="009E1946" w:rsidP="009E1946">
            <w:pPr>
              <w:jc w:val="both"/>
              <w:rPr>
                <w:rFonts w:eastAsia="Calibri"/>
                <w:color w:val="000000"/>
                <w:lang w:val="en-US"/>
              </w:rPr>
            </w:pPr>
            <w:r w:rsidRPr="0095252E">
              <w:rPr>
                <w:rFonts w:eastAsia="Calibri"/>
                <w:szCs w:val="20"/>
                <w:lang w:val="en-US"/>
              </w:rPr>
              <w:t>Source: Memorandum No</w:t>
            </w:r>
            <w:r w:rsidR="002C57E1">
              <w:rPr>
                <w:rFonts w:eastAsia="Calibri"/>
                <w:szCs w:val="20"/>
                <w:lang w:val="en-US"/>
              </w:rPr>
              <w:t>.</w:t>
            </w:r>
            <w:r w:rsidRPr="0095252E">
              <w:rPr>
                <w:rFonts w:eastAsia="Calibri"/>
                <w:szCs w:val="20"/>
                <w:lang w:val="en-US"/>
              </w:rPr>
              <w:t xml:space="preserve"> 568-2016-PCM/ONGEI, from 09.15.16</w:t>
            </w:r>
          </w:p>
        </w:tc>
      </w:tr>
      <w:tr w:rsidR="002C57E1" w:rsidRPr="00E975F8" w:rsidTr="009E1946">
        <w:tc>
          <w:tcPr>
            <w:tcW w:w="2484" w:type="dxa"/>
            <w:gridSpan w:val="2"/>
            <w:shd w:val="clear" w:color="auto" w:fill="C6D9F1"/>
            <w:vAlign w:val="center"/>
          </w:tcPr>
          <w:p w:rsidR="002C57E1" w:rsidRPr="0095252E" w:rsidRDefault="002C57E1" w:rsidP="009E1946">
            <w:pPr>
              <w:autoSpaceDE w:val="0"/>
              <w:autoSpaceDN w:val="0"/>
              <w:adjustRightInd w:val="0"/>
              <w:rPr>
                <w:rFonts w:eastAsia="Calibri" w:cs="Gotham-Book"/>
                <w:b/>
                <w:color w:val="000000"/>
                <w:lang w:val="en-US"/>
              </w:rPr>
            </w:pPr>
            <w:r>
              <w:rPr>
                <w:rFonts w:eastAsia="Calibri" w:cs="Gotham-Book"/>
                <w:b/>
                <w:color w:val="000000"/>
                <w:lang w:val="en-US"/>
              </w:rPr>
              <w:t>Conclusion Date</w:t>
            </w:r>
          </w:p>
        </w:tc>
        <w:tc>
          <w:tcPr>
            <w:tcW w:w="6582" w:type="dxa"/>
            <w:gridSpan w:val="4"/>
          </w:tcPr>
          <w:p w:rsidR="002C57E1" w:rsidRPr="0095252E" w:rsidRDefault="002C57E1" w:rsidP="009E1946">
            <w:pPr>
              <w:contextualSpacing/>
              <w:jc w:val="both"/>
              <w:rPr>
                <w:rFonts w:eastAsia="Calibri"/>
                <w:bCs/>
                <w:color w:val="000000"/>
                <w:lang w:val="en-US"/>
              </w:rPr>
            </w:pPr>
            <w:r>
              <w:rPr>
                <w:rFonts w:eastAsia="Calibri"/>
                <w:bCs/>
                <w:color w:val="000000"/>
                <w:lang w:val="en-US"/>
              </w:rPr>
              <w:t>June 2017</w:t>
            </w:r>
          </w:p>
        </w:tc>
      </w:tr>
      <w:tr w:rsidR="009E1946" w:rsidRPr="00003DBC" w:rsidTr="009E1946">
        <w:tc>
          <w:tcPr>
            <w:tcW w:w="2484" w:type="dxa"/>
            <w:gridSpan w:val="2"/>
          </w:tcPr>
          <w:p w:rsidR="009E1946" w:rsidRPr="0095252E" w:rsidRDefault="009E1946" w:rsidP="009E1946">
            <w:pPr>
              <w:rPr>
                <w:b/>
                <w:color w:val="000000" w:themeColor="text1"/>
                <w:lang w:val="en-US"/>
              </w:rPr>
            </w:pPr>
            <w:r w:rsidRPr="0095252E">
              <w:rPr>
                <w:rFonts w:cs="Gotham-Book"/>
                <w:b/>
                <w:color w:val="000000" w:themeColor="text1"/>
                <w:lang w:val="en-US"/>
              </w:rPr>
              <w:t>Next steps</w:t>
            </w:r>
          </w:p>
        </w:tc>
        <w:tc>
          <w:tcPr>
            <w:tcW w:w="6582" w:type="dxa"/>
            <w:gridSpan w:val="4"/>
          </w:tcPr>
          <w:p w:rsidR="009E1946" w:rsidRPr="0095252E" w:rsidRDefault="009E1946" w:rsidP="009E1946">
            <w:pPr>
              <w:jc w:val="both"/>
              <w:rPr>
                <w:color w:val="000000" w:themeColor="text1"/>
                <w:lang w:val="en-US"/>
              </w:rPr>
            </w:pPr>
            <w:r w:rsidRPr="0095252E">
              <w:rPr>
                <w:color w:val="000000" w:themeColor="text1"/>
                <w:lang w:val="en-US"/>
              </w:rPr>
              <w:t xml:space="preserve">These activities have a permanent character and are updated constantly, so their development is considered to be continued. </w:t>
            </w:r>
          </w:p>
        </w:tc>
      </w:tr>
      <w:tr w:rsidR="009E1946" w:rsidRPr="0095252E" w:rsidTr="009E1946">
        <w:tc>
          <w:tcPr>
            <w:tcW w:w="2484" w:type="dxa"/>
            <w:gridSpan w:val="2"/>
          </w:tcPr>
          <w:p w:rsidR="009E1946" w:rsidRPr="0095252E" w:rsidRDefault="009E1946" w:rsidP="009E1946">
            <w:pPr>
              <w:rPr>
                <w:rFonts w:cs="Gotham-Book"/>
                <w:b/>
                <w:color w:val="000000" w:themeColor="text1"/>
                <w:lang w:val="en-US"/>
              </w:rPr>
            </w:pPr>
            <w:r w:rsidRPr="0095252E">
              <w:rPr>
                <w:rFonts w:cs="Gotham-Book"/>
                <w:b/>
                <w:color w:val="000000" w:themeColor="text1"/>
                <w:lang w:val="en-US"/>
              </w:rPr>
              <w:t>Additional information</w:t>
            </w:r>
          </w:p>
        </w:tc>
        <w:tc>
          <w:tcPr>
            <w:tcW w:w="6582" w:type="dxa"/>
            <w:gridSpan w:val="4"/>
          </w:tcPr>
          <w:p w:rsidR="009E1946" w:rsidRPr="0095252E" w:rsidRDefault="009E1946" w:rsidP="009E1946">
            <w:pPr>
              <w:jc w:val="both"/>
              <w:rPr>
                <w:color w:val="000000" w:themeColor="text1"/>
                <w:lang w:val="en-US"/>
              </w:rPr>
            </w:pPr>
          </w:p>
        </w:tc>
      </w:tr>
    </w:tbl>
    <w:p w:rsidR="009E1946" w:rsidRPr="0095252E" w:rsidRDefault="009E1946" w:rsidP="009E1946">
      <w:pPr>
        <w:rPr>
          <w:lang w:val="en-US"/>
        </w:rPr>
      </w:pPr>
    </w:p>
    <w:p w:rsidR="00596BF3" w:rsidRDefault="00596BF3">
      <w:pPr>
        <w:rPr>
          <w:lang w:val="en-US"/>
        </w:rPr>
      </w:pPr>
      <w:r>
        <w:rPr>
          <w:lang w:val="en-US"/>
        </w:rPr>
        <w:br w:type="page"/>
      </w:r>
    </w:p>
    <w:p w:rsidR="0014608C" w:rsidRPr="0014608C" w:rsidRDefault="0014608C" w:rsidP="0014608C">
      <w:pPr>
        <w:numPr>
          <w:ilvl w:val="0"/>
          <w:numId w:val="5"/>
        </w:numPr>
        <w:autoSpaceDE w:val="0"/>
        <w:autoSpaceDN w:val="0"/>
        <w:adjustRightInd w:val="0"/>
        <w:spacing w:after="0" w:line="240" w:lineRule="auto"/>
        <w:ind w:left="284"/>
        <w:rPr>
          <w:rFonts w:ascii="Gotham Bold" w:hAnsi="Gotham Bold"/>
          <w:i/>
          <w:lang w:val="en-US"/>
        </w:rPr>
      </w:pPr>
      <w:r w:rsidRPr="0014608C">
        <w:rPr>
          <w:b/>
          <w:bCs/>
          <w:i/>
          <w:sz w:val="28"/>
          <w:szCs w:val="28"/>
          <w:lang w:val="en-US"/>
        </w:rPr>
        <w:lastRenderedPageBreak/>
        <w:t xml:space="preserve">Progress related to eligibility criteria. </w:t>
      </w:r>
    </w:p>
    <w:p w:rsidR="0014608C" w:rsidRPr="0014608C" w:rsidRDefault="0014608C" w:rsidP="0014608C">
      <w:pPr>
        <w:autoSpaceDE w:val="0"/>
        <w:autoSpaceDN w:val="0"/>
        <w:adjustRightInd w:val="0"/>
        <w:spacing w:after="0" w:line="240" w:lineRule="auto"/>
        <w:rPr>
          <w:sz w:val="20"/>
          <w:szCs w:val="20"/>
          <w:lang w:val="en-US"/>
        </w:rPr>
      </w:pPr>
      <w:r w:rsidRPr="0014608C">
        <w:rPr>
          <w:bCs/>
          <w:lang w:val="en-US"/>
        </w:rPr>
        <w:t>According to the OGP eligibility criteria, the following progress is shown:</w:t>
      </w:r>
    </w:p>
    <w:p w:rsidR="0014608C" w:rsidRPr="0014608C" w:rsidRDefault="0014608C" w:rsidP="0014608C">
      <w:pPr>
        <w:autoSpaceDE w:val="0"/>
        <w:autoSpaceDN w:val="0"/>
        <w:adjustRightInd w:val="0"/>
        <w:spacing w:after="0" w:line="240" w:lineRule="auto"/>
        <w:rPr>
          <w:b/>
          <w:sz w:val="20"/>
          <w:szCs w:val="20"/>
          <w:lang w:val="en-US"/>
        </w:rPr>
      </w:pPr>
      <w:r w:rsidRPr="0014608C">
        <w:rPr>
          <w:b/>
          <w:sz w:val="20"/>
          <w:szCs w:val="20"/>
          <w:lang w:val="en-US"/>
        </w:rPr>
        <w:t>A. Fiscal transparency</w:t>
      </w:r>
    </w:p>
    <w:p w:rsidR="0014608C" w:rsidRPr="0014608C" w:rsidRDefault="0014608C" w:rsidP="0014608C">
      <w:pPr>
        <w:spacing w:after="0" w:line="240" w:lineRule="auto"/>
        <w:ind w:left="284"/>
        <w:jc w:val="both"/>
        <w:rPr>
          <w:rFonts w:cs="Gotham"/>
          <w:sz w:val="20"/>
          <w:szCs w:val="20"/>
          <w:lang w:val="en-US"/>
        </w:rPr>
      </w:pPr>
      <w:r w:rsidRPr="0014608C">
        <w:rPr>
          <w:lang w:val="en-US"/>
        </w:rPr>
        <w:t xml:space="preserve">Peru already has information on this matter through the Economic and Fiscal Transparency Portal of the Ministry of Economy and Finance, a practice that has been sustainable. </w:t>
      </w:r>
      <w:r w:rsidRPr="0014608C">
        <w:rPr>
          <w:color w:val="000000" w:themeColor="text1"/>
          <w:lang w:val="en-US"/>
        </w:rPr>
        <w:t>It can be viewed in the following link</w:t>
      </w:r>
      <w:r w:rsidRPr="0014608C">
        <w:rPr>
          <w:lang w:val="en-US"/>
        </w:rPr>
        <w:t xml:space="preserve">: </w:t>
      </w:r>
      <w:hyperlink r:id="rId47" w:history="1">
        <w:r w:rsidRPr="0014608C">
          <w:rPr>
            <w:rFonts w:cs="Gotham"/>
            <w:color w:val="0000FF" w:themeColor="hyperlink"/>
            <w:sz w:val="20"/>
            <w:szCs w:val="20"/>
            <w:u w:val="single"/>
            <w:lang w:val="en-US"/>
          </w:rPr>
          <w:t>http://www.mef.gob.pe/index.php?option=com_content&amp;view=section&amp;id=37&amp;Itemid=100143&amp;lang=es</w:t>
        </w:r>
      </w:hyperlink>
    </w:p>
    <w:p w:rsidR="0014608C" w:rsidRPr="0014608C" w:rsidRDefault="0014608C" w:rsidP="0014608C">
      <w:pPr>
        <w:spacing w:after="0" w:line="240" w:lineRule="auto"/>
        <w:ind w:left="284"/>
        <w:jc w:val="both"/>
        <w:rPr>
          <w:rFonts w:cs="Gotham"/>
          <w:sz w:val="20"/>
          <w:szCs w:val="20"/>
          <w:lang w:val="en-US"/>
        </w:rPr>
      </w:pPr>
    </w:p>
    <w:p w:rsidR="0014608C" w:rsidRPr="0014608C" w:rsidRDefault="0014608C" w:rsidP="0014608C">
      <w:pPr>
        <w:spacing w:after="0" w:line="240" w:lineRule="auto"/>
        <w:ind w:left="284"/>
        <w:jc w:val="both"/>
        <w:rPr>
          <w:rFonts w:cs="Gotham"/>
          <w:lang w:val="en-US"/>
        </w:rPr>
      </w:pPr>
      <w:r w:rsidRPr="0014608C">
        <w:rPr>
          <w:rFonts w:cs="Gotham"/>
          <w:lang w:val="en-US"/>
        </w:rPr>
        <w:t xml:space="preserve">In addition, the new version of the Standard Transparency Portal has been developed, the same one that is in the test stage for its application, which can be viewed in the following link: </w:t>
      </w:r>
      <w:hyperlink r:id="rId48" w:history="1">
        <w:r w:rsidRPr="0014608C">
          <w:rPr>
            <w:color w:val="0000FF" w:themeColor="hyperlink"/>
            <w:u w:val="single"/>
            <w:lang w:val="en-US"/>
          </w:rPr>
          <w:t>http://peru.gob.pe/Portal_Transparencia_Estandar/(S(j43otqcab31n3ahylscsmxu3))/pte_transparencia_inicio.aspx</w:t>
        </w:r>
      </w:hyperlink>
      <w:r w:rsidRPr="0014608C">
        <w:rPr>
          <w:rFonts w:cs="Gotham"/>
          <w:lang w:val="en-US"/>
        </w:rPr>
        <w:tab/>
      </w:r>
    </w:p>
    <w:p w:rsidR="0014608C" w:rsidRPr="0014608C" w:rsidRDefault="0014608C" w:rsidP="0014608C">
      <w:pPr>
        <w:spacing w:after="0" w:line="240" w:lineRule="auto"/>
        <w:ind w:left="284"/>
        <w:jc w:val="both"/>
        <w:rPr>
          <w:rFonts w:cs="Gotham"/>
          <w:lang w:val="en-US"/>
        </w:rPr>
      </w:pPr>
    </w:p>
    <w:p w:rsidR="0014608C" w:rsidRPr="0014608C" w:rsidRDefault="0014608C" w:rsidP="0014608C">
      <w:pPr>
        <w:spacing w:after="0" w:line="240" w:lineRule="auto"/>
        <w:ind w:left="284" w:hanging="284"/>
        <w:jc w:val="both"/>
        <w:rPr>
          <w:rFonts w:cs="Gotham"/>
          <w:b/>
          <w:lang w:val="en-US"/>
        </w:rPr>
      </w:pPr>
      <w:r w:rsidRPr="0014608C">
        <w:rPr>
          <w:rFonts w:cs="Gotham"/>
          <w:b/>
          <w:lang w:val="en-US"/>
        </w:rPr>
        <w:t xml:space="preserve">B. Access to information </w:t>
      </w:r>
    </w:p>
    <w:p w:rsidR="0014608C" w:rsidRPr="0014608C" w:rsidRDefault="0014608C" w:rsidP="0014608C">
      <w:pPr>
        <w:spacing w:after="0" w:line="240" w:lineRule="auto"/>
        <w:ind w:left="284" w:hanging="284"/>
        <w:jc w:val="both"/>
        <w:rPr>
          <w:rFonts w:cs="Gotham"/>
          <w:lang w:val="en-US"/>
        </w:rPr>
      </w:pPr>
      <w:r w:rsidRPr="0014608C">
        <w:rPr>
          <w:rFonts w:cs="Gotham"/>
          <w:lang w:val="en-US"/>
        </w:rPr>
        <w:tab/>
        <w:t>By means of Supreme Decree No. 070-2013-PCM, the Regulations of the Law on Transparency and Access to Public Information are modified and the obligations of the entities' owners are defined, officials responsible for responding to requests for access to public information and of the holders of the information. It also provides that entities can have a record of requests for access to information. On this last modification, a computer system has been developed to register requests for access to information, in order to systematize the requests that are required of the public administration, as well as follow-up of the procedure, thus facilitating transparency and access to the citizens of the initiated process.</w:t>
      </w:r>
    </w:p>
    <w:p w:rsidR="0014608C" w:rsidRPr="0014608C" w:rsidRDefault="0014608C" w:rsidP="0014608C">
      <w:pPr>
        <w:spacing w:after="0" w:line="240" w:lineRule="auto"/>
        <w:ind w:left="284" w:hanging="284"/>
        <w:jc w:val="both"/>
        <w:rPr>
          <w:rFonts w:cs="Gotham"/>
          <w:b/>
          <w:lang w:val="en-US"/>
        </w:rPr>
      </w:pPr>
    </w:p>
    <w:p w:rsidR="0014608C" w:rsidRPr="0014608C" w:rsidRDefault="0014608C" w:rsidP="0014608C">
      <w:pPr>
        <w:spacing w:after="0" w:line="240" w:lineRule="auto"/>
        <w:ind w:left="284" w:hanging="284"/>
        <w:jc w:val="both"/>
        <w:rPr>
          <w:rFonts w:cs="Gotham"/>
          <w:b/>
          <w:lang w:val="en-US"/>
        </w:rPr>
      </w:pPr>
      <w:r w:rsidRPr="0014608C">
        <w:rPr>
          <w:rFonts w:cs="Gotham"/>
          <w:b/>
          <w:lang w:val="en-US"/>
        </w:rPr>
        <w:t>C. Publication of information related to elected or high-rank public officials</w:t>
      </w:r>
    </w:p>
    <w:p w:rsidR="0014608C" w:rsidRPr="0014608C" w:rsidRDefault="0014608C" w:rsidP="0014608C">
      <w:pPr>
        <w:spacing w:after="0" w:line="240" w:lineRule="auto"/>
        <w:ind w:left="284" w:hanging="284"/>
        <w:jc w:val="both"/>
        <w:rPr>
          <w:rFonts w:cs="Gotham"/>
          <w:lang w:val="en-US"/>
        </w:rPr>
      </w:pPr>
      <w:r w:rsidRPr="0014608C">
        <w:rPr>
          <w:rFonts w:cs="Gotham"/>
          <w:b/>
          <w:lang w:val="en-US"/>
        </w:rPr>
        <w:tab/>
      </w:r>
      <w:r w:rsidRPr="0014608C">
        <w:rPr>
          <w:rFonts w:cs="Gotham"/>
          <w:lang w:val="en-US"/>
        </w:rPr>
        <w:t xml:space="preserve">The General Comptroller of the Republic has a Sworn Statement system, so that the officials can register their respective sworn statements of income and revenues. More information on the following link: </w:t>
      </w:r>
      <w:hyperlink r:id="rId49" w:history="1">
        <w:r w:rsidRPr="0014608C">
          <w:rPr>
            <w:rFonts w:cs="Gotham"/>
            <w:color w:val="0000FF" w:themeColor="hyperlink"/>
            <w:u w:val="single"/>
            <w:lang w:val="en-US"/>
          </w:rPr>
          <w:t>http://doc.contraloria.gob.pe/ddjj/mantenimiento/mensaje.html</w:t>
        </w:r>
      </w:hyperlink>
    </w:p>
    <w:p w:rsidR="0014608C" w:rsidRPr="0014608C" w:rsidRDefault="0014608C" w:rsidP="0014608C">
      <w:pPr>
        <w:spacing w:after="0" w:line="240" w:lineRule="auto"/>
        <w:ind w:left="284" w:hanging="284"/>
        <w:jc w:val="both"/>
        <w:rPr>
          <w:rFonts w:cs="Gotham"/>
          <w:lang w:val="en-US"/>
        </w:rPr>
      </w:pPr>
    </w:p>
    <w:p w:rsidR="0014608C" w:rsidRPr="0014608C" w:rsidRDefault="0014608C" w:rsidP="0014608C">
      <w:pPr>
        <w:spacing w:after="0" w:line="240" w:lineRule="auto"/>
        <w:ind w:left="284" w:hanging="284"/>
        <w:jc w:val="both"/>
        <w:rPr>
          <w:rFonts w:cs="Gotham"/>
          <w:b/>
          <w:lang w:val="en-US"/>
        </w:rPr>
      </w:pPr>
      <w:r w:rsidRPr="0014608C">
        <w:rPr>
          <w:rFonts w:cs="Gotham"/>
          <w:b/>
          <w:lang w:val="en-US"/>
        </w:rPr>
        <w:t xml:space="preserve">D. Citizen participation </w:t>
      </w:r>
    </w:p>
    <w:p w:rsidR="0014608C" w:rsidRPr="0014608C" w:rsidRDefault="0014608C" w:rsidP="0014608C">
      <w:pPr>
        <w:spacing w:after="0" w:line="240" w:lineRule="auto"/>
        <w:ind w:left="284" w:hanging="284"/>
        <w:jc w:val="both"/>
        <w:rPr>
          <w:rFonts w:cs="Gotham"/>
          <w:lang w:val="en-US"/>
        </w:rPr>
      </w:pPr>
      <w:r w:rsidRPr="0014608C">
        <w:rPr>
          <w:rFonts w:cs="Gotham"/>
          <w:b/>
          <w:lang w:val="en-US"/>
        </w:rPr>
        <w:tab/>
      </w:r>
      <w:r w:rsidRPr="0014608C">
        <w:rPr>
          <w:rFonts w:cs="Gotham"/>
          <w:lang w:val="en-US"/>
        </w:rPr>
        <w:t xml:space="preserve">The National Action Plan 2015-2016 has commitments on citizen participation and accountability. Some of them have been fulfilled with, as can be seen in the description of the progress of compliance with this report. In this regard, there is mentioned as example the case of the Ministry of Culture that has concluded the implementation of the commitment related to the previous consultation or the case of the Ministry of Development and Social Inclusion, which has concluded the implementation of the commitment in citizen surveillance on social programs, strengthening transparency to improve targeting. </w:t>
      </w:r>
    </w:p>
    <w:p w:rsidR="0014608C" w:rsidRPr="0014608C" w:rsidRDefault="0014608C" w:rsidP="0014608C">
      <w:pPr>
        <w:spacing w:after="0" w:line="240" w:lineRule="auto"/>
        <w:ind w:left="284" w:hanging="284"/>
        <w:jc w:val="both"/>
        <w:rPr>
          <w:rFonts w:ascii="Gotham" w:hAnsi="Gotham" w:cs="Gotham"/>
          <w:sz w:val="20"/>
          <w:szCs w:val="20"/>
          <w:lang w:val="en-US"/>
        </w:rPr>
      </w:pPr>
    </w:p>
    <w:p w:rsidR="0014608C" w:rsidRPr="0014608C" w:rsidRDefault="0014608C" w:rsidP="0014608C">
      <w:pPr>
        <w:numPr>
          <w:ilvl w:val="0"/>
          <w:numId w:val="5"/>
        </w:numPr>
        <w:autoSpaceDE w:val="0"/>
        <w:autoSpaceDN w:val="0"/>
        <w:adjustRightInd w:val="0"/>
        <w:spacing w:after="0" w:line="240" w:lineRule="auto"/>
        <w:ind w:left="284"/>
        <w:rPr>
          <w:rFonts w:cs="Gotham Bold"/>
          <w:i/>
          <w:sz w:val="28"/>
          <w:szCs w:val="28"/>
          <w:lang w:val="en-US"/>
        </w:rPr>
      </w:pPr>
      <w:r w:rsidRPr="0014608C">
        <w:rPr>
          <w:b/>
          <w:bCs/>
          <w:i/>
          <w:sz w:val="28"/>
          <w:szCs w:val="28"/>
          <w:lang w:val="en-US"/>
        </w:rPr>
        <w:t xml:space="preserve">Conclusions, other initiatives and next steps. </w:t>
      </w:r>
    </w:p>
    <w:p w:rsidR="0014608C" w:rsidRPr="0014608C" w:rsidRDefault="0014608C" w:rsidP="0014608C">
      <w:pPr>
        <w:spacing w:after="0" w:line="240" w:lineRule="auto"/>
        <w:jc w:val="both"/>
        <w:rPr>
          <w:b/>
          <w:i/>
          <w:szCs w:val="20"/>
          <w:lang w:val="en-US"/>
        </w:rPr>
      </w:pPr>
      <w:r w:rsidRPr="0014608C">
        <w:rPr>
          <w:b/>
          <w:i/>
          <w:szCs w:val="20"/>
          <w:lang w:val="en-US"/>
        </w:rPr>
        <w:t>Lessons learned</w:t>
      </w:r>
    </w:p>
    <w:p w:rsidR="0014608C" w:rsidRPr="0014608C" w:rsidRDefault="0014608C" w:rsidP="0014608C">
      <w:pPr>
        <w:spacing w:after="0" w:line="240" w:lineRule="auto"/>
        <w:jc w:val="both"/>
        <w:rPr>
          <w:szCs w:val="20"/>
          <w:lang w:val="en-US"/>
        </w:rPr>
      </w:pPr>
      <w:r w:rsidRPr="0014608C">
        <w:rPr>
          <w:szCs w:val="20"/>
          <w:lang w:val="en-US"/>
        </w:rPr>
        <w:t>The implementation of the Open Government in Peru, as well as in the countries that form part of the Partnership, has been a learning process since the formulation of the action plans as in its subsequent implementation and evaluation.</w:t>
      </w:r>
    </w:p>
    <w:p w:rsidR="0014608C" w:rsidRPr="0014608C" w:rsidRDefault="0014608C" w:rsidP="0014608C">
      <w:pPr>
        <w:spacing w:after="0" w:line="240" w:lineRule="auto"/>
        <w:jc w:val="both"/>
        <w:rPr>
          <w:szCs w:val="20"/>
          <w:lang w:val="en-US"/>
        </w:rPr>
      </w:pPr>
      <w:r w:rsidRPr="0014608C">
        <w:rPr>
          <w:szCs w:val="20"/>
          <w:lang w:val="en-US"/>
        </w:rPr>
        <w:t xml:space="preserve">In our country, there have been identified commitments that guide efforts to improve regulatory frameworks and improve the delivery of public services, based on the use of information technologies. Considering the national reality and the experience of the implementation of the action plans, the lessons learned from this process generate a reflection about the formulation of the commitments of the following action plans, with an open government approach to sustainable </w:t>
      </w:r>
      <w:r w:rsidRPr="0014608C">
        <w:rPr>
          <w:szCs w:val="20"/>
          <w:lang w:val="en-US"/>
        </w:rPr>
        <w:lastRenderedPageBreak/>
        <w:t>development; which makes it possible to meaningfully attend and solve the problems facing the country, focusing on interventions, generating evidence and articulating the actions of the different actors involved to promote a greater impact of the State for the benefit of citizens.</w:t>
      </w:r>
    </w:p>
    <w:p w:rsidR="0014608C" w:rsidRPr="0014608C" w:rsidRDefault="0014608C" w:rsidP="0014608C">
      <w:pPr>
        <w:spacing w:after="0" w:line="240" w:lineRule="auto"/>
        <w:jc w:val="both"/>
        <w:rPr>
          <w:szCs w:val="20"/>
          <w:lang w:val="en-US"/>
        </w:rPr>
      </w:pPr>
    </w:p>
    <w:p w:rsidR="0014608C" w:rsidRPr="0014608C" w:rsidRDefault="0014608C" w:rsidP="0014608C">
      <w:pPr>
        <w:spacing w:after="0" w:line="240" w:lineRule="auto"/>
        <w:jc w:val="both"/>
        <w:rPr>
          <w:szCs w:val="20"/>
          <w:lang w:val="en-US"/>
        </w:rPr>
      </w:pPr>
      <w:r w:rsidRPr="0014608C">
        <w:rPr>
          <w:szCs w:val="20"/>
          <w:lang w:val="en-US"/>
        </w:rPr>
        <w:t>The different experiences of countries that make up the Partnership agree on the close relationship between transparency and citizen participation. The process of formulating the National Action Plan 2015-2016 highlights the need to re-establish and consolidate communication channels to promote open government, aligning common objectives and generating public value with the active participation of citizens.</w:t>
      </w:r>
    </w:p>
    <w:p w:rsidR="0014608C" w:rsidRPr="0014608C" w:rsidRDefault="0014608C" w:rsidP="0014608C">
      <w:pPr>
        <w:spacing w:after="0" w:line="240" w:lineRule="auto"/>
        <w:jc w:val="both"/>
        <w:rPr>
          <w:color w:val="FF0000"/>
          <w:szCs w:val="20"/>
          <w:lang w:val="en-US"/>
        </w:rPr>
      </w:pPr>
    </w:p>
    <w:p w:rsidR="0014608C" w:rsidRPr="0014608C" w:rsidRDefault="0014608C" w:rsidP="0014608C">
      <w:pPr>
        <w:spacing w:after="0" w:line="240" w:lineRule="auto"/>
        <w:jc w:val="both"/>
        <w:rPr>
          <w:b/>
          <w:i/>
          <w:szCs w:val="20"/>
          <w:lang w:val="en-US"/>
        </w:rPr>
      </w:pPr>
      <w:r w:rsidRPr="0014608C">
        <w:rPr>
          <w:b/>
          <w:i/>
          <w:szCs w:val="20"/>
          <w:lang w:val="en-US"/>
        </w:rPr>
        <w:t>Next steps</w:t>
      </w:r>
    </w:p>
    <w:p w:rsidR="0014608C" w:rsidRPr="0014608C" w:rsidRDefault="0014608C" w:rsidP="0014608C">
      <w:pPr>
        <w:spacing w:after="0" w:line="240" w:lineRule="auto"/>
        <w:jc w:val="both"/>
        <w:rPr>
          <w:szCs w:val="20"/>
          <w:lang w:val="en-US"/>
        </w:rPr>
      </w:pPr>
      <w:r w:rsidRPr="0014608C">
        <w:rPr>
          <w:szCs w:val="20"/>
          <w:lang w:val="en-US"/>
        </w:rPr>
        <w:t xml:space="preserve">The demand of civil society for an entity that guarantees compliance with the Law on Transparency and Access to Public Information represents a great milestone in the process of implementing the second plan. Thus, with the implementation of the Working Group, the task of preparing the report has been established with the creation of the Autonomous Authority for Transparency, Access to Public Information and Protection of Personal Data. </w:t>
      </w:r>
    </w:p>
    <w:p w:rsidR="0014608C" w:rsidRPr="0014608C" w:rsidRDefault="0014608C" w:rsidP="0014608C">
      <w:pPr>
        <w:spacing w:after="0" w:line="240" w:lineRule="auto"/>
        <w:jc w:val="both"/>
        <w:rPr>
          <w:color w:val="FF0000"/>
          <w:szCs w:val="20"/>
          <w:lang w:val="en-US"/>
        </w:rPr>
      </w:pPr>
    </w:p>
    <w:p w:rsidR="0014608C" w:rsidRPr="0014608C" w:rsidRDefault="0014608C" w:rsidP="0014608C">
      <w:pPr>
        <w:rPr>
          <w:lang w:val="en-US"/>
        </w:rPr>
      </w:pPr>
      <w:r w:rsidRPr="0014608C">
        <w:rPr>
          <w:lang w:val="en-US"/>
        </w:rPr>
        <w:t>The following summary table is presented as a result of the Action Plan</w:t>
      </w:r>
      <w:r>
        <w:rPr>
          <w:lang w:val="en-US"/>
        </w:rPr>
        <w:t xml:space="preserve"> implementation</w:t>
      </w:r>
      <w:r w:rsidRPr="0014608C">
        <w:rPr>
          <w:lang w:val="en-US"/>
        </w:rPr>
        <w:t>:</w:t>
      </w:r>
    </w:p>
    <w:tbl>
      <w:tblPr>
        <w:tblStyle w:val="Tablaconcuadrcula8"/>
        <w:tblW w:w="8491" w:type="dxa"/>
        <w:tblLook w:val="04A0" w:firstRow="1" w:lastRow="0" w:firstColumn="1" w:lastColumn="0" w:noHBand="0" w:noVBand="1"/>
      </w:tblPr>
      <w:tblGrid>
        <w:gridCol w:w="502"/>
        <w:gridCol w:w="6239"/>
        <w:gridCol w:w="1750"/>
      </w:tblGrid>
      <w:tr w:rsidR="0014608C" w:rsidRPr="0014608C" w:rsidTr="003118C0">
        <w:trPr>
          <w:trHeight w:val="156"/>
        </w:trPr>
        <w:tc>
          <w:tcPr>
            <w:tcW w:w="470" w:type="dxa"/>
            <w:shd w:val="clear" w:color="auto" w:fill="B8CCE4" w:themeFill="accent1" w:themeFillTint="66"/>
          </w:tcPr>
          <w:p w:rsidR="0014608C" w:rsidRPr="0014608C" w:rsidRDefault="0014608C" w:rsidP="0014608C">
            <w:pPr>
              <w:rPr>
                <w:sz w:val="20"/>
                <w:szCs w:val="20"/>
                <w:lang w:val="en-US"/>
              </w:rPr>
            </w:pPr>
            <w:r w:rsidRPr="0014608C">
              <w:rPr>
                <w:sz w:val="20"/>
                <w:szCs w:val="20"/>
                <w:lang w:val="en-US"/>
              </w:rPr>
              <w:t>No.</w:t>
            </w:r>
          </w:p>
        </w:tc>
        <w:tc>
          <w:tcPr>
            <w:tcW w:w="6267" w:type="dxa"/>
            <w:shd w:val="clear" w:color="auto" w:fill="B8CCE4" w:themeFill="accent1" w:themeFillTint="66"/>
          </w:tcPr>
          <w:p w:rsidR="0014608C" w:rsidRPr="0014608C" w:rsidRDefault="0014608C" w:rsidP="0014608C">
            <w:pPr>
              <w:rPr>
                <w:sz w:val="20"/>
                <w:szCs w:val="20"/>
                <w:lang w:val="en-US"/>
              </w:rPr>
            </w:pPr>
            <w:r w:rsidRPr="0014608C">
              <w:rPr>
                <w:sz w:val="20"/>
                <w:szCs w:val="20"/>
                <w:lang w:val="en-US"/>
              </w:rPr>
              <w:t xml:space="preserve">Commitment </w:t>
            </w:r>
          </w:p>
        </w:tc>
        <w:tc>
          <w:tcPr>
            <w:tcW w:w="1754" w:type="dxa"/>
            <w:shd w:val="clear" w:color="auto" w:fill="B8CCE4" w:themeFill="accent1" w:themeFillTint="66"/>
          </w:tcPr>
          <w:p w:rsidR="0014608C" w:rsidRPr="0014608C" w:rsidRDefault="0014608C" w:rsidP="0014608C">
            <w:pPr>
              <w:jc w:val="center"/>
              <w:rPr>
                <w:sz w:val="20"/>
                <w:szCs w:val="20"/>
                <w:lang w:val="en-US"/>
              </w:rPr>
            </w:pPr>
            <w:r w:rsidRPr="0014608C">
              <w:rPr>
                <w:sz w:val="20"/>
                <w:szCs w:val="20"/>
                <w:lang w:val="en-US"/>
              </w:rPr>
              <w:t>Compliance status</w:t>
            </w:r>
          </w:p>
        </w:tc>
      </w:tr>
      <w:tr w:rsidR="0014608C" w:rsidRPr="0014608C" w:rsidTr="003118C0">
        <w:trPr>
          <w:trHeight w:val="319"/>
        </w:trPr>
        <w:tc>
          <w:tcPr>
            <w:tcW w:w="470" w:type="dxa"/>
          </w:tcPr>
          <w:p w:rsidR="0014608C" w:rsidRPr="0014608C" w:rsidRDefault="0014608C" w:rsidP="0014608C">
            <w:pPr>
              <w:rPr>
                <w:sz w:val="20"/>
                <w:szCs w:val="20"/>
                <w:lang w:val="en-US"/>
              </w:rPr>
            </w:pPr>
            <w:r w:rsidRPr="0014608C">
              <w:rPr>
                <w:sz w:val="20"/>
                <w:szCs w:val="20"/>
                <w:lang w:val="en-US"/>
              </w:rPr>
              <w:t>1.</w:t>
            </w:r>
          </w:p>
        </w:tc>
        <w:tc>
          <w:tcPr>
            <w:tcW w:w="6267" w:type="dxa"/>
          </w:tcPr>
          <w:p w:rsidR="0014608C" w:rsidRPr="0014608C" w:rsidRDefault="0014608C" w:rsidP="0014608C">
            <w:pPr>
              <w:rPr>
                <w:sz w:val="20"/>
                <w:szCs w:val="20"/>
                <w:lang w:val="en-US"/>
              </w:rPr>
            </w:pPr>
            <w:r w:rsidRPr="0014608C">
              <w:rPr>
                <w:sz w:val="20"/>
                <w:szCs w:val="20"/>
                <w:lang w:val="en-US"/>
              </w:rPr>
              <w:t xml:space="preserve">Modification of the Transparency Law and Public Information Access </w:t>
            </w:r>
          </w:p>
        </w:tc>
        <w:tc>
          <w:tcPr>
            <w:tcW w:w="1754" w:type="dxa"/>
          </w:tcPr>
          <w:p w:rsidR="0014608C" w:rsidRPr="0014608C" w:rsidRDefault="0014608C" w:rsidP="0014608C">
            <w:pPr>
              <w:jc w:val="center"/>
              <w:rPr>
                <w:sz w:val="20"/>
                <w:szCs w:val="20"/>
                <w:lang w:val="en-US"/>
              </w:rPr>
            </w:pPr>
            <w:r w:rsidRPr="0014608C">
              <w:rPr>
                <w:sz w:val="20"/>
                <w:szCs w:val="20"/>
                <w:lang w:val="en-US"/>
              </w:rPr>
              <w:t>Uninitiated</w:t>
            </w:r>
          </w:p>
        </w:tc>
      </w:tr>
      <w:tr w:rsidR="0014608C" w:rsidRPr="0014608C" w:rsidTr="003118C0">
        <w:trPr>
          <w:trHeight w:val="156"/>
        </w:trPr>
        <w:tc>
          <w:tcPr>
            <w:tcW w:w="470" w:type="dxa"/>
          </w:tcPr>
          <w:p w:rsidR="0014608C" w:rsidRPr="0014608C" w:rsidRDefault="0014608C" w:rsidP="0014608C">
            <w:pPr>
              <w:rPr>
                <w:sz w:val="20"/>
                <w:szCs w:val="20"/>
                <w:lang w:val="en-US"/>
              </w:rPr>
            </w:pPr>
            <w:r w:rsidRPr="0014608C">
              <w:rPr>
                <w:sz w:val="20"/>
                <w:szCs w:val="20"/>
                <w:lang w:val="en-US"/>
              </w:rPr>
              <w:t>2.</w:t>
            </w:r>
          </w:p>
        </w:tc>
        <w:tc>
          <w:tcPr>
            <w:tcW w:w="6267" w:type="dxa"/>
          </w:tcPr>
          <w:p w:rsidR="0014608C" w:rsidRPr="0014608C" w:rsidRDefault="0014608C" w:rsidP="0014608C">
            <w:pPr>
              <w:rPr>
                <w:sz w:val="20"/>
                <w:szCs w:val="20"/>
                <w:lang w:val="en-US"/>
              </w:rPr>
            </w:pPr>
            <w:r w:rsidRPr="0014608C">
              <w:rPr>
                <w:sz w:val="20"/>
                <w:szCs w:val="20"/>
                <w:lang w:val="en-US"/>
              </w:rPr>
              <w:t xml:space="preserve">Standard Transparency Portal Improvement </w:t>
            </w:r>
          </w:p>
        </w:tc>
        <w:tc>
          <w:tcPr>
            <w:tcW w:w="1754" w:type="dxa"/>
          </w:tcPr>
          <w:p w:rsidR="0014608C" w:rsidRPr="0014608C" w:rsidRDefault="0014608C" w:rsidP="0014608C">
            <w:pPr>
              <w:jc w:val="center"/>
              <w:rPr>
                <w:sz w:val="20"/>
                <w:szCs w:val="20"/>
                <w:lang w:val="en-US"/>
              </w:rPr>
            </w:pPr>
            <w:r w:rsidRPr="0014608C">
              <w:rPr>
                <w:sz w:val="20"/>
                <w:szCs w:val="20"/>
                <w:lang w:val="en-US"/>
              </w:rPr>
              <w:t>Substantial</w:t>
            </w:r>
          </w:p>
        </w:tc>
      </w:tr>
      <w:tr w:rsidR="0014608C" w:rsidRPr="0014608C" w:rsidTr="003118C0">
        <w:trPr>
          <w:trHeight w:val="313"/>
        </w:trPr>
        <w:tc>
          <w:tcPr>
            <w:tcW w:w="470" w:type="dxa"/>
          </w:tcPr>
          <w:p w:rsidR="0014608C" w:rsidRPr="0014608C" w:rsidRDefault="0014608C" w:rsidP="0014608C">
            <w:pPr>
              <w:rPr>
                <w:sz w:val="20"/>
                <w:szCs w:val="20"/>
                <w:lang w:val="en-US"/>
              </w:rPr>
            </w:pPr>
            <w:r w:rsidRPr="0014608C">
              <w:rPr>
                <w:sz w:val="20"/>
                <w:szCs w:val="20"/>
                <w:lang w:val="en-US"/>
              </w:rPr>
              <w:t>3.</w:t>
            </w:r>
          </w:p>
        </w:tc>
        <w:tc>
          <w:tcPr>
            <w:tcW w:w="6267" w:type="dxa"/>
          </w:tcPr>
          <w:p w:rsidR="0014608C" w:rsidRPr="0014608C" w:rsidRDefault="0014608C" w:rsidP="0014608C">
            <w:pPr>
              <w:rPr>
                <w:sz w:val="20"/>
                <w:szCs w:val="20"/>
                <w:lang w:val="en-US"/>
              </w:rPr>
            </w:pPr>
            <w:r w:rsidRPr="0014608C">
              <w:rPr>
                <w:sz w:val="20"/>
                <w:szCs w:val="20"/>
                <w:lang w:val="en-US"/>
              </w:rPr>
              <w:t xml:space="preserve">Improving knowledge to public officials and servers in transparency and public information access </w:t>
            </w:r>
          </w:p>
        </w:tc>
        <w:tc>
          <w:tcPr>
            <w:tcW w:w="1754" w:type="dxa"/>
          </w:tcPr>
          <w:p w:rsidR="0014608C" w:rsidRPr="0014608C" w:rsidRDefault="0014608C" w:rsidP="0014608C">
            <w:pPr>
              <w:jc w:val="center"/>
              <w:rPr>
                <w:sz w:val="20"/>
                <w:szCs w:val="20"/>
                <w:lang w:val="en-US"/>
              </w:rPr>
            </w:pPr>
            <w:r w:rsidRPr="0014608C">
              <w:rPr>
                <w:sz w:val="20"/>
                <w:szCs w:val="20"/>
                <w:lang w:val="en-US"/>
              </w:rPr>
              <w:t>Substantial</w:t>
            </w:r>
          </w:p>
        </w:tc>
      </w:tr>
      <w:tr w:rsidR="0014608C" w:rsidRPr="0014608C" w:rsidTr="003118C0">
        <w:trPr>
          <w:trHeight w:val="319"/>
        </w:trPr>
        <w:tc>
          <w:tcPr>
            <w:tcW w:w="470" w:type="dxa"/>
          </w:tcPr>
          <w:p w:rsidR="0014608C" w:rsidRPr="0014608C" w:rsidRDefault="0014608C" w:rsidP="0014608C">
            <w:pPr>
              <w:rPr>
                <w:sz w:val="20"/>
                <w:szCs w:val="20"/>
                <w:lang w:val="en-US"/>
              </w:rPr>
            </w:pPr>
            <w:r w:rsidRPr="0014608C">
              <w:rPr>
                <w:sz w:val="20"/>
                <w:szCs w:val="20"/>
                <w:lang w:val="en-US"/>
              </w:rPr>
              <w:t>4.</w:t>
            </w:r>
          </w:p>
        </w:tc>
        <w:tc>
          <w:tcPr>
            <w:tcW w:w="6267" w:type="dxa"/>
          </w:tcPr>
          <w:p w:rsidR="0014608C" w:rsidRPr="0014608C" w:rsidRDefault="0014608C" w:rsidP="0014608C">
            <w:pPr>
              <w:rPr>
                <w:sz w:val="20"/>
                <w:szCs w:val="20"/>
                <w:lang w:val="en-US"/>
              </w:rPr>
            </w:pPr>
            <w:r w:rsidRPr="0014608C">
              <w:rPr>
                <w:sz w:val="20"/>
                <w:szCs w:val="20"/>
                <w:lang w:val="en-US"/>
              </w:rPr>
              <w:t>Promoting more information about users and coverage of social programs</w:t>
            </w:r>
          </w:p>
        </w:tc>
        <w:tc>
          <w:tcPr>
            <w:tcW w:w="1754" w:type="dxa"/>
          </w:tcPr>
          <w:p w:rsidR="0014608C" w:rsidRPr="0014608C" w:rsidRDefault="0014608C" w:rsidP="0014608C">
            <w:pPr>
              <w:jc w:val="center"/>
              <w:rPr>
                <w:sz w:val="20"/>
                <w:szCs w:val="20"/>
                <w:lang w:val="en-US"/>
              </w:rPr>
            </w:pPr>
            <w:r w:rsidRPr="0014608C">
              <w:rPr>
                <w:sz w:val="20"/>
                <w:szCs w:val="20"/>
                <w:lang w:val="en-US"/>
              </w:rPr>
              <w:t>Substantial</w:t>
            </w:r>
          </w:p>
        </w:tc>
      </w:tr>
      <w:tr w:rsidR="0014608C" w:rsidRPr="0014608C" w:rsidTr="003118C0">
        <w:trPr>
          <w:trHeight w:val="313"/>
        </w:trPr>
        <w:tc>
          <w:tcPr>
            <w:tcW w:w="470" w:type="dxa"/>
          </w:tcPr>
          <w:p w:rsidR="0014608C" w:rsidRPr="0014608C" w:rsidRDefault="0014608C" w:rsidP="0014608C">
            <w:pPr>
              <w:rPr>
                <w:sz w:val="20"/>
                <w:szCs w:val="20"/>
                <w:lang w:val="en-US"/>
              </w:rPr>
            </w:pPr>
            <w:r w:rsidRPr="0014608C">
              <w:rPr>
                <w:sz w:val="20"/>
                <w:szCs w:val="20"/>
                <w:lang w:val="en-US"/>
              </w:rPr>
              <w:t>5.</w:t>
            </w:r>
          </w:p>
        </w:tc>
        <w:tc>
          <w:tcPr>
            <w:tcW w:w="6267" w:type="dxa"/>
          </w:tcPr>
          <w:p w:rsidR="0014608C" w:rsidRPr="0014608C" w:rsidRDefault="0014608C" w:rsidP="0014608C">
            <w:pPr>
              <w:rPr>
                <w:sz w:val="20"/>
                <w:szCs w:val="20"/>
                <w:lang w:val="en-US"/>
              </w:rPr>
            </w:pPr>
            <w:r w:rsidRPr="0014608C">
              <w:rPr>
                <w:sz w:val="20"/>
                <w:szCs w:val="20"/>
                <w:lang w:val="en-US"/>
              </w:rPr>
              <w:t>Improving the Government Electronic Procurement System (GEPS)</w:t>
            </w:r>
          </w:p>
        </w:tc>
        <w:tc>
          <w:tcPr>
            <w:tcW w:w="1754" w:type="dxa"/>
          </w:tcPr>
          <w:p w:rsidR="0014608C" w:rsidRPr="0014608C" w:rsidRDefault="0014608C" w:rsidP="0014608C">
            <w:pPr>
              <w:jc w:val="center"/>
              <w:rPr>
                <w:sz w:val="20"/>
                <w:szCs w:val="20"/>
                <w:lang w:val="en-US"/>
              </w:rPr>
            </w:pPr>
            <w:r w:rsidRPr="0014608C">
              <w:rPr>
                <w:sz w:val="20"/>
                <w:szCs w:val="20"/>
                <w:lang w:val="en-US"/>
              </w:rPr>
              <w:t>Limited</w:t>
            </w:r>
          </w:p>
        </w:tc>
      </w:tr>
      <w:tr w:rsidR="0014608C" w:rsidRPr="0014608C" w:rsidTr="003118C0">
        <w:trPr>
          <w:trHeight w:val="319"/>
        </w:trPr>
        <w:tc>
          <w:tcPr>
            <w:tcW w:w="470" w:type="dxa"/>
          </w:tcPr>
          <w:p w:rsidR="0014608C" w:rsidRPr="0014608C" w:rsidRDefault="0014608C" w:rsidP="0014608C">
            <w:pPr>
              <w:rPr>
                <w:sz w:val="20"/>
                <w:szCs w:val="20"/>
                <w:lang w:val="en-US"/>
              </w:rPr>
            </w:pPr>
            <w:r w:rsidRPr="0014608C">
              <w:rPr>
                <w:sz w:val="20"/>
                <w:szCs w:val="20"/>
                <w:lang w:val="en-US"/>
              </w:rPr>
              <w:t>6.</w:t>
            </w:r>
          </w:p>
        </w:tc>
        <w:tc>
          <w:tcPr>
            <w:tcW w:w="6267" w:type="dxa"/>
          </w:tcPr>
          <w:p w:rsidR="0014608C" w:rsidRPr="0014608C" w:rsidRDefault="0014608C" w:rsidP="0014608C">
            <w:pPr>
              <w:rPr>
                <w:sz w:val="20"/>
                <w:szCs w:val="20"/>
                <w:lang w:val="en-US"/>
              </w:rPr>
            </w:pPr>
            <w:r w:rsidRPr="0014608C">
              <w:rPr>
                <w:sz w:val="20"/>
                <w:szCs w:val="20"/>
                <w:lang w:val="en-US"/>
              </w:rPr>
              <w:t xml:space="preserve">Implementing Commissions for the Extractive Industry Transparency </w:t>
            </w:r>
          </w:p>
        </w:tc>
        <w:tc>
          <w:tcPr>
            <w:tcW w:w="1754" w:type="dxa"/>
          </w:tcPr>
          <w:p w:rsidR="0014608C" w:rsidRPr="0014608C" w:rsidRDefault="0014608C" w:rsidP="0014608C">
            <w:pPr>
              <w:jc w:val="center"/>
              <w:rPr>
                <w:sz w:val="20"/>
                <w:szCs w:val="20"/>
                <w:lang w:val="en-US"/>
              </w:rPr>
            </w:pPr>
            <w:r w:rsidRPr="0014608C">
              <w:rPr>
                <w:sz w:val="20"/>
                <w:szCs w:val="20"/>
                <w:lang w:val="en-US"/>
              </w:rPr>
              <w:t>Complete</w:t>
            </w:r>
          </w:p>
        </w:tc>
      </w:tr>
      <w:tr w:rsidR="0014608C" w:rsidRPr="0014608C" w:rsidTr="003118C0">
        <w:trPr>
          <w:trHeight w:val="156"/>
        </w:trPr>
        <w:tc>
          <w:tcPr>
            <w:tcW w:w="470" w:type="dxa"/>
          </w:tcPr>
          <w:p w:rsidR="0014608C" w:rsidRPr="0014608C" w:rsidRDefault="0014608C" w:rsidP="0014608C">
            <w:pPr>
              <w:rPr>
                <w:sz w:val="20"/>
                <w:szCs w:val="20"/>
                <w:lang w:val="en-US"/>
              </w:rPr>
            </w:pPr>
            <w:r w:rsidRPr="0014608C">
              <w:rPr>
                <w:sz w:val="20"/>
                <w:szCs w:val="20"/>
                <w:lang w:val="en-US"/>
              </w:rPr>
              <w:t>7.</w:t>
            </w:r>
          </w:p>
        </w:tc>
        <w:tc>
          <w:tcPr>
            <w:tcW w:w="6267" w:type="dxa"/>
          </w:tcPr>
          <w:p w:rsidR="0014608C" w:rsidRPr="0014608C" w:rsidRDefault="0014608C" w:rsidP="0014608C">
            <w:pPr>
              <w:rPr>
                <w:sz w:val="20"/>
                <w:szCs w:val="20"/>
                <w:lang w:val="en-US"/>
              </w:rPr>
            </w:pPr>
            <w:r w:rsidRPr="0014608C">
              <w:rPr>
                <w:sz w:val="20"/>
                <w:szCs w:val="20"/>
                <w:lang w:val="en-US"/>
              </w:rPr>
              <w:t>Strengthening the administration of citizen participation</w:t>
            </w:r>
          </w:p>
        </w:tc>
        <w:tc>
          <w:tcPr>
            <w:tcW w:w="1754" w:type="dxa"/>
          </w:tcPr>
          <w:p w:rsidR="0014608C" w:rsidRPr="0014608C" w:rsidRDefault="0014608C" w:rsidP="0014608C">
            <w:pPr>
              <w:jc w:val="center"/>
              <w:rPr>
                <w:sz w:val="20"/>
                <w:szCs w:val="20"/>
                <w:lang w:val="en-US"/>
              </w:rPr>
            </w:pPr>
            <w:r w:rsidRPr="0014608C">
              <w:rPr>
                <w:sz w:val="20"/>
                <w:szCs w:val="20"/>
                <w:lang w:val="en-US"/>
              </w:rPr>
              <w:t>Uninitiated</w:t>
            </w:r>
          </w:p>
        </w:tc>
      </w:tr>
      <w:tr w:rsidR="0014608C" w:rsidRPr="0014608C" w:rsidTr="003118C0">
        <w:trPr>
          <w:trHeight w:val="476"/>
        </w:trPr>
        <w:tc>
          <w:tcPr>
            <w:tcW w:w="470" w:type="dxa"/>
          </w:tcPr>
          <w:p w:rsidR="0014608C" w:rsidRPr="0014608C" w:rsidRDefault="0014608C" w:rsidP="0014608C">
            <w:pPr>
              <w:rPr>
                <w:sz w:val="20"/>
                <w:szCs w:val="20"/>
                <w:lang w:val="en-US"/>
              </w:rPr>
            </w:pPr>
            <w:r w:rsidRPr="0014608C">
              <w:rPr>
                <w:sz w:val="20"/>
                <w:szCs w:val="20"/>
                <w:lang w:val="en-US"/>
              </w:rPr>
              <w:t>8.</w:t>
            </w:r>
          </w:p>
        </w:tc>
        <w:tc>
          <w:tcPr>
            <w:tcW w:w="6267" w:type="dxa"/>
          </w:tcPr>
          <w:p w:rsidR="0014608C" w:rsidRPr="0014608C" w:rsidRDefault="0014608C" w:rsidP="0014608C">
            <w:pPr>
              <w:rPr>
                <w:sz w:val="20"/>
                <w:szCs w:val="20"/>
                <w:lang w:val="en-US"/>
              </w:rPr>
            </w:pPr>
            <w:r w:rsidRPr="0014608C">
              <w:rPr>
                <w:sz w:val="20"/>
                <w:szCs w:val="20"/>
                <w:lang w:val="en-US"/>
              </w:rPr>
              <w:t xml:space="preserve">Improving the knowledge and skills of the public officials and servers and of indigenous people for the implementation of the Law of Prior Consultation </w:t>
            </w:r>
          </w:p>
        </w:tc>
        <w:tc>
          <w:tcPr>
            <w:tcW w:w="1754" w:type="dxa"/>
          </w:tcPr>
          <w:p w:rsidR="0014608C" w:rsidRPr="0014608C" w:rsidRDefault="0014608C" w:rsidP="0014608C">
            <w:pPr>
              <w:jc w:val="center"/>
              <w:rPr>
                <w:sz w:val="20"/>
                <w:szCs w:val="20"/>
                <w:lang w:val="en-US"/>
              </w:rPr>
            </w:pPr>
            <w:r w:rsidRPr="0014608C">
              <w:rPr>
                <w:sz w:val="20"/>
                <w:szCs w:val="20"/>
                <w:lang w:val="en-US"/>
              </w:rPr>
              <w:t>Complete</w:t>
            </w:r>
          </w:p>
          <w:p w:rsidR="0014608C" w:rsidRPr="0014608C" w:rsidRDefault="0014608C" w:rsidP="0014608C">
            <w:pPr>
              <w:jc w:val="center"/>
              <w:rPr>
                <w:sz w:val="20"/>
                <w:szCs w:val="20"/>
                <w:lang w:val="en-US"/>
              </w:rPr>
            </w:pPr>
          </w:p>
          <w:p w:rsidR="0014608C" w:rsidRPr="0014608C" w:rsidRDefault="0014608C" w:rsidP="0014608C">
            <w:pPr>
              <w:jc w:val="center"/>
              <w:rPr>
                <w:sz w:val="20"/>
                <w:szCs w:val="20"/>
                <w:lang w:val="en-US"/>
              </w:rPr>
            </w:pPr>
          </w:p>
        </w:tc>
      </w:tr>
      <w:tr w:rsidR="0014608C" w:rsidRPr="0014608C" w:rsidTr="003118C0">
        <w:trPr>
          <w:trHeight w:val="476"/>
        </w:trPr>
        <w:tc>
          <w:tcPr>
            <w:tcW w:w="470" w:type="dxa"/>
          </w:tcPr>
          <w:p w:rsidR="0014608C" w:rsidRPr="0014608C" w:rsidRDefault="0014608C" w:rsidP="0014608C">
            <w:pPr>
              <w:rPr>
                <w:sz w:val="20"/>
                <w:szCs w:val="20"/>
                <w:lang w:val="en-US"/>
              </w:rPr>
            </w:pPr>
            <w:r w:rsidRPr="0014608C">
              <w:rPr>
                <w:sz w:val="20"/>
                <w:szCs w:val="20"/>
                <w:lang w:val="en-US"/>
              </w:rPr>
              <w:t>9.</w:t>
            </w:r>
          </w:p>
        </w:tc>
        <w:tc>
          <w:tcPr>
            <w:tcW w:w="6267" w:type="dxa"/>
          </w:tcPr>
          <w:p w:rsidR="0014608C" w:rsidRPr="0014608C" w:rsidRDefault="0014608C" w:rsidP="0014608C">
            <w:pPr>
              <w:rPr>
                <w:sz w:val="20"/>
                <w:szCs w:val="20"/>
                <w:lang w:val="en-US"/>
              </w:rPr>
            </w:pPr>
            <w:r w:rsidRPr="0014608C">
              <w:rPr>
                <w:sz w:val="20"/>
                <w:szCs w:val="20"/>
                <w:lang w:val="en-US"/>
              </w:rPr>
              <w:t>Institutionalizing the citizen participation through mechanisms of social surveillance to the processes of the National School Feeding Program (PNAE, in Spanish) - “</w:t>
            </w:r>
            <w:proofErr w:type="spellStart"/>
            <w:r w:rsidRPr="0014608C">
              <w:rPr>
                <w:sz w:val="20"/>
                <w:szCs w:val="20"/>
                <w:lang w:val="en-US"/>
              </w:rPr>
              <w:t>Qali</w:t>
            </w:r>
            <w:proofErr w:type="spellEnd"/>
            <w:r w:rsidRPr="0014608C">
              <w:rPr>
                <w:sz w:val="20"/>
                <w:szCs w:val="20"/>
                <w:lang w:val="en-US"/>
              </w:rPr>
              <w:t xml:space="preserve"> </w:t>
            </w:r>
            <w:proofErr w:type="spellStart"/>
            <w:r w:rsidRPr="0014608C">
              <w:rPr>
                <w:sz w:val="20"/>
                <w:szCs w:val="20"/>
                <w:lang w:val="en-US"/>
              </w:rPr>
              <w:t>Warma</w:t>
            </w:r>
            <w:proofErr w:type="spellEnd"/>
            <w:r w:rsidRPr="0014608C">
              <w:rPr>
                <w:sz w:val="20"/>
                <w:szCs w:val="20"/>
                <w:lang w:val="en-US"/>
              </w:rPr>
              <w:t>”</w:t>
            </w:r>
          </w:p>
        </w:tc>
        <w:tc>
          <w:tcPr>
            <w:tcW w:w="1754" w:type="dxa"/>
          </w:tcPr>
          <w:p w:rsidR="0014608C" w:rsidRPr="0014608C" w:rsidRDefault="0014608C" w:rsidP="0014608C">
            <w:pPr>
              <w:jc w:val="center"/>
              <w:rPr>
                <w:sz w:val="20"/>
                <w:szCs w:val="20"/>
                <w:lang w:val="en-US"/>
              </w:rPr>
            </w:pPr>
            <w:r w:rsidRPr="0014608C">
              <w:rPr>
                <w:sz w:val="20"/>
                <w:szCs w:val="20"/>
                <w:lang w:val="en-US"/>
              </w:rPr>
              <w:t>Substantial</w:t>
            </w:r>
          </w:p>
        </w:tc>
      </w:tr>
      <w:tr w:rsidR="0014608C" w:rsidRPr="0014608C" w:rsidTr="003118C0">
        <w:trPr>
          <w:trHeight w:val="313"/>
        </w:trPr>
        <w:tc>
          <w:tcPr>
            <w:tcW w:w="470" w:type="dxa"/>
          </w:tcPr>
          <w:p w:rsidR="0014608C" w:rsidRPr="0014608C" w:rsidRDefault="0014608C" w:rsidP="0014608C">
            <w:pPr>
              <w:rPr>
                <w:sz w:val="20"/>
                <w:szCs w:val="20"/>
                <w:lang w:val="en-US"/>
              </w:rPr>
            </w:pPr>
            <w:r w:rsidRPr="0014608C">
              <w:rPr>
                <w:sz w:val="20"/>
                <w:szCs w:val="20"/>
                <w:lang w:val="en-US"/>
              </w:rPr>
              <w:t>10.</w:t>
            </w:r>
          </w:p>
        </w:tc>
        <w:tc>
          <w:tcPr>
            <w:tcW w:w="6267" w:type="dxa"/>
          </w:tcPr>
          <w:p w:rsidR="0014608C" w:rsidRPr="0014608C" w:rsidRDefault="0014608C" w:rsidP="0014608C">
            <w:pPr>
              <w:rPr>
                <w:sz w:val="20"/>
                <w:szCs w:val="20"/>
                <w:lang w:val="en-US"/>
              </w:rPr>
            </w:pPr>
            <w:r w:rsidRPr="0014608C">
              <w:rPr>
                <w:sz w:val="20"/>
                <w:szCs w:val="20"/>
                <w:lang w:val="en-US"/>
              </w:rPr>
              <w:t xml:space="preserve">Promoting the citizen participation in the Plenary Agreements of the Republic Supreme Court </w:t>
            </w:r>
          </w:p>
        </w:tc>
        <w:tc>
          <w:tcPr>
            <w:tcW w:w="1754" w:type="dxa"/>
          </w:tcPr>
          <w:p w:rsidR="0014608C" w:rsidRPr="0014608C" w:rsidRDefault="0014608C" w:rsidP="0014608C">
            <w:pPr>
              <w:jc w:val="center"/>
              <w:rPr>
                <w:sz w:val="20"/>
                <w:szCs w:val="20"/>
                <w:lang w:val="en-US"/>
              </w:rPr>
            </w:pPr>
            <w:r w:rsidRPr="0014608C">
              <w:rPr>
                <w:sz w:val="20"/>
                <w:szCs w:val="20"/>
                <w:lang w:val="en-US"/>
              </w:rPr>
              <w:t>Uninitiated</w:t>
            </w:r>
          </w:p>
        </w:tc>
      </w:tr>
      <w:tr w:rsidR="0014608C" w:rsidRPr="0014608C" w:rsidTr="003118C0">
        <w:trPr>
          <w:trHeight w:val="319"/>
        </w:trPr>
        <w:tc>
          <w:tcPr>
            <w:tcW w:w="470" w:type="dxa"/>
          </w:tcPr>
          <w:p w:rsidR="0014608C" w:rsidRPr="0014608C" w:rsidRDefault="0014608C" w:rsidP="0014608C">
            <w:pPr>
              <w:rPr>
                <w:sz w:val="20"/>
                <w:szCs w:val="20"/>
                <w:lang w:val="en-US"/>
              </w:rPr>
            </w:pPr>
            <w:r w:rsidRPr="0014608C">
              <w:rPr>
                <w:sz w:val="20"/>
                <w:szCs w:val="20"/>
                <w:lang w:val="en-US"/>
              </w:rPr>
              <w:t>11.</w:t>
            </w:r>
          </w:p>
        </w:tc>
        <w:tc>
          <w:tcPr>
            <w:tcW w:w="6267" w:type="dxa"/>
          </w:tcPr>
          <w:p w:rsidR="0014608C" w:rsidRPr="0014608C" w:rsidRDefault="0014608C" w:rsidP="0014608C">
            <w:pPr>
              <w:rPr>
                <w:sz w:val="20"/>
                <w:szCs w:val="20"/>
                <w:lang w:val="en-US"/>
              </w:rPr>
            </w:pPr>
            <w:r w:rsidRPr="0014608C">
              <w:rPr>
                <w:rFonts w:ascii="Calibri" w:hAnsi="Calibri"/>
                <w:color w:val="000000"/>
                <w:sz w:val="20"/>
                <w:szCs w:val="20"/>
                <w:lang w:val="en-US"/>
              </w:rPr>
              <w:t>Comprehensive information on Reporting Accountability of Public Entities Holders</w:t>
            </w:r>
          </w:p>
        </w:tc>
        <w:tc>
          <w:tcPr>
            <w:tcW w:w="1754" w:type="dxa"/>
          </w:tcPr>
          <w:p w:rsidR="0014608C" w:rsidRPr="0014608C" w:rsidRDefault="0014608C" w:rsidP="0014608C">
            <w:pPr>
              <w:jc w:val="center"/>
              <w:rPr>
                <w:sz w:val="20"/>
                <w:szCs w:val="20"/>
                <w:lang w:val="en-US"/>
              </w:rPr>
            </w:pPr>
            <w:r w:rsidRPr="0014608C">
              <w:rPr>
                <w:sz w:val="20"/>
                <w:szCs w:val="20"/>
                <w:lang w:val="en-US"/>
              </w:rPr>
              <w:t>Substantial</w:t>
            </w:r>
          </w:p>
        </w:tc>
      </w:tr>
      <w:tr w:rsidR="0014608C" w:rsidRPr="0014608C" w:rsidTr="003118C0">
        <w:trPr>
          <w:trHeight w:val="156"/>
        </w:trPr>
        <w:tc>
          <w:tcPr>
            <w:tcW w:w="470" w:type="dxa"/>
          </w:tcPr>
          <w:p w:rsidR="0014608C" w:rsidRPr="0014608C" w:rsidRDefault="0014608C" w:rsidP="0014608C">
            <w:pPr>
              <w:rPr>
                <w:sz w:val="20"/>
                <w:szCs w:val="20"/>
                <w:lang w:val="en-US"/>
              </w:rPr>
            </w:pPr>
            <w:r w:rsidRPr="0014608C">
              <w:rPr>
                <w:sz w:val="20"/>
                <w:szCs w:val="20"/>
                <w:lang w:val="en-US"/>
              </w:rPr>
              <w:t>12.</w:t>
            </w:r>
          </w:p>
        </w:tc>
        <w:tc>
          <w:tcPr>
            <w:tcW w:w="6267" w:type="dxa"/>
          </w:tcPr>
          <w:p w:rsidR="0014608C" w:rsidRPr="0014608C" w:rsidRDefault="0014608C" w:rsidP="0014608C">
            <w:pPr>
              <w:rPr>
                <w:rFonts w:ascii="Calibri" w:hAnsi="Calibri"/>
                <w:color w:val="000000"/>
                <w:sz w:val="20"/>
                <w:szCs w:val="20"/>
                <w:lang w:val="en-US"/>
              </w:rPr>
            </w:pPr>
            <w:r w:rsidRPr="0014608C">
              <w:rPr>
                <w:sz w:val="20"/>
                <w:szCs w:val="20"/>
                <w:lang w:val="en-US"/>
              </w:rPr>
              <w:t>Improving the quality of accountability hearings</w:t>
            </w:r>
          </w:p>
        </w:tc>
        <w:tc>
          <w:tcPr>
            <w:tcW w:w="1754" w:type="dxa"/>
          </w:tcPr>
          <w:p w:rsidR="0014608C" w:rsidRPr="0014608C" w:rsidRDefault="0014608C" w:rsidP="0014608C">
            <w:pPr>
              <w:jc w:val="center"/>
              <w:rPr>
                <w:sz w:val="20"/>
                <w:szCs w:val="20"/>
                <w:lang w:val="en-US"/>
              </w:rPr>
            </w:pPr>
            <w:r w:rsidRPr="0014608C">
              <w:rPr>
                <w:sz w:val="20"/>
                <w:szCs w:val="20"/>
                <w:lang w:val="en-US"/>
              </w:rPr>
              <w:t xml:space="preserve">Uninitiated </w:t>
            </w:r>
          </w:p>
        </w:tc>
      </w:tr>
      <w:tr w:rsidR="0014608C" w:rsidRPr="0014608C" w:rsidTr="003118C0">
        <w:trPr>
          <w:trHeight w:val="476"/>
        </w:trPr>
        <w:tc>
          <w:tcPr>
            <w:tcW w:w="470" w:type="dxa"/>
          </w:tcPr>
          <w:p w:rsidR="0014608C" w:rsidRPr="0014608C" w:rsidRDefault="0014608C" w:rsidP="0014608C">
            <w:pPr>
              <w:rPr>
                <w:sz w:val="20"/>
                <w:szCs w:val="20"/>
                <w:lang w:val="en-US"/>
              </w:rPr>
            </w:pPr>
            <w:r w:rsidRPr="0014608C">
              <w:rPr>
                <w:sz w:val="20"/>
                <w:szCs w:val="20"/>
                <w:lang w:val="en-US"/>
              </w:rPr>
              <w:t>13.</w:t>
            </w:r>
          </w:p>
        </w:tc>
        <w:tc>
          <w:tcPr>
            <w:tcW w:w="6267" w:type="dxa"/>
          </w:tcPr>
          <w:p w:rsidR="0014608C" w:rsidRPr="0014608C" w:rsidRDefault="0014608C" w:rsidP="0014608C">
            <w:pPr>
              <w:rPr>
                <w:sz w:val="20"/>
                <w:szCs w:val="20"/>
                <w:lang w:val="en-US"/>
              </w:rPr>
            </w:pPr>
            <w:r w:rsidRPr="0014608C">
              <w:rPr>
                <w:sz w:val="20"/>
                <w:szCs w:val="20"/>
                <w:lang w:val="en-US"/>
              </w:rPr>
              <w:t>Implementing mechanisms to account for public spending on policies, programs and projects aimed at children</w:t>
            </w:r>
          </w:p>
        </w:tc>
        <w:tc>
          <w:tcPr>
            <w:tcW w:w="1754" w:type="dxa"/>
          </w:tcPr>
          <w:p w:rsidR="0014608C" w:rsidRPr="0014608C" w:rsidRDefault="0014608C" w:rsidP="0014608C">
            <w:pPr>
              <w:jc w:val="center"/>
              <w:rPr>
                <w:sz w:val="20"/>
                <w:szCs w:val="20"/>
                <w:lang w:val="en-US"/>
              </w:rPr>
            </w:pPr>
            <w:r w:rsidRPr="0014608C">
              <w:rPr>
                <w:sz w:val="20"/>
                <w:szCs w:val="20"/>
                <w:lang w:val="en-US"/>
              </w:rPr>
              <w:t>Complete</w:t>
            </w:r>
          </w:p>
        </w:tc>
      </w:tr>
      <w:tr w:rsidR="0014608C" w:rsidRPr="0014608C" w:rsidTr="003118C0">
        <w:trPr>
          <w:trHeight w:val="313"/>
        </w:trPr>
        <w:tc>
          <w:tcPr>
            <w:tcW w:w="470" w:type="dxa"/>
          </w:tcPr>
          <w:p w:rsidR="0014608C" w:rsidRPr="0014608C" w:rsidRDefault="0014608C" w:rsidP="0014608C">
            <w:pPr>
              <w:rPr>
                <w:sz w:val="20"/>
                <w:szCs w:val="20"/>
                <w:lang w:val="en-US"/>
              </w:rPr>
            </w:pPr>
            <w:r w:rsidRPr="0014608C">
              <w:rPr>
                <w:sz w:val="20"/>
                <w:szCs w:val="20"/>
                <w:lang w:val="en-US"/>
              </w:rPr>
              <w:t>14.</w:t>
            </w:r>
          </w:p>
        </w:tc>
        <w:tc>
          <w:tcPr>
            <w:tcW w:w="6267" w:type="dxa"/>
          </w:tcPr>
          <w:p w:rsidR="0014608C" w:rsidRPr="0014608C" w:rsidRDefault="0014608C" w:rsidP="0014608C">
            <w:pPr>
              <w:rPr>
                <w:sz w:val="20"/>
                <w:szCs w:val="20"/>
                <w:lang w:val="en-US"/>
              </w:rPr>
            </w:pPr>
            <w:r w:rsidRPr="0014608C">
              <w:rPr>
                <w:rFonts w:ascii="Calibri" w:hAnsi="Calibri"/>
                <w:color w:val="000000"/>
                <w:sz w:val="20"/>
                <w:szCs w:val="20"/>
                <w:lang w:val="en-US"/>
              </w:rPr>
              <w:t>Promoting the clear publication of open data using open and interoperable standards</w:t>
            </w:r>
          </w:p>
        </w:tc>
        <w:tc>
          <w:tcPr>
            <w:tcW w:w="1754" w:type="dxa"/>
          </w:tcPr>
          <w:p w:rsidR="0014608C" w:rsidRPr="0014608C" w:rsidRDefault="0014608C" w:rsidP="0014608C">
            <w:pPr>
              <w:jc w:val="center"/>
              <w:rPr>
                <w:sz w:val="20"/>
                <w:szCs w:val="20"/>
                <w:lang w:val="en-US"/>
              </w:rPr>
            </w:pPr>
            <w:r w:rsidRPr="0014608C">
              <w:rPr>
                <w:sz w:val="20"/>
                <w:szCs w:val="20"/>
                <w:lang w:val="en-US"/>
              </w:rPr>
              <w:t>Substantial</w:t>
            </w:r>
          </w:p>
        </w:tc>
      </w:tr>
      <w:tr w:rsidR="0014608C" w:rsidRPr="0014608C" w:rsidTr="003118C0">
        <w:trPr>
          <w:trHeight w:val="156"/>
        </w:trPr>
        <w:tc>
          <w:tcPr>
            <w:tcW w:w="470" w:type="dxa"/>
          </w:tcPr>
          <w:p w:rsidR="0014608C" w:rsidRPr="0014608C" w:rsidRDefault="0014608C" w:rsidP="0014608C">
            <w:pPr>
              <w:rPr>
                <w:sz w:val="20"/>
                <w:szCs w:val="20"/>
                <w:lang w:val="en-US"/>
              </w:rPr>
            </w:pPr>
            <w:r w:rsidRPr="0014608C">
              <w:rPr>
                <w:sz w:val="20"/>
                <w:szCs w:val="20"/>
                <w:lang w:val="en-US"/>
              </w:rPr>
              <w:t>15.</w:t>
            </w:r>
          </w:p>
        </w:tc>
        <w:tc>
          <w:tcPr>
            <w:tcW w:w="6267" w:type="dxa"/>
          </w:tcPr>
          <w:p w:rsidR="0014608C" w:rsidRPr="0014608C" w:rsidRDefault="0014608C" w:rsidP="0014608C">
            <w:pPr>
              <w:rPr>
                <w:rFonts w:ascii="Calibri" w:hAnsi="Calibri"/>
                <w:color w:val="000000"/>
                <w:sz w:val="20"/>
                <w:szCs w:val="20"/>
                <w:lang w:val="en-US"/>
              </w:rPr>
            </w:pPr>
            <w:r w:rsidRPr="0014608C">
              <w:rPr>
                <w:rFonts w:ascii="Calibri" w:hAnsi="Calibri"/>
                <w:color w:val="000000"/>
                <w:sz w:val="20"/>
                <w:szCs w:val="20"/>
                <w:lang w:val="en-US"/>
              </w:rPr>
              <w:t xml:space="preserve">Increasing the number of online services </w:t>
            </w:r>
          </w:p>
        </w:tc>
        <w:tc>
          <w:tcPr>
            <w:tcW w:w="1754" w:type="dxa"/>
          </w:tcPr>
          <w:p w:rsidR="0014608C" w:rsidRPr="0014608C" w:rsidRDefault="0014608C" w:rsidP="0014608C">
            <w:pPr>
              <w:jc w:val="center"/>
              <w:rPr>
                <w:sz w:val="20"/>
                <w:szCs w:val="20"/>
                <w:lang w:val="en-US"/>
              </w:rPr>
            </w:pPr>
            <w:r w:rsidRPr="0014608C">
              <w:rPr>
                <w:sz w:val="20"/>
                <w:szCs w:val="20"/>
                <w:lang w:val="en-US"/>
              </w:rPr>
              <w:t>Complete</w:t>
            </w:r>
          </w:p>
        </w:tc>
      </w:tr>
      <w:tr w:rsidR="0014608C" w:rsidRPr="0014608C" w:rsidTr="003118C0">
        <w:trPr>
          <w:trHeight w:val="476"/>
        </w:trPr>
        <w:tc>
          <w:tcPr>
            <w:tcW w:w="470" w:type="dxa"/>
          </w:tcPr>
          <w:p w:rsidR="0014608C" w:rsidRPr="0014608C" w:rsidRDefault="0014608C" w:rsidP="0014608C">
            <w:pPr>
              <w:rPr>
                <w:sz w:val="20"/>
                <w:szCs w:val="20"/>
                <w:lang w:val="en-US"/>
              </w:rPr>
            </w:pPr>
            <w:r w:rsidRPr="0014608C">
              <w:rPr>
                <w:sz w:val="20"/>
                <w:szCs w:val="20"/>
                <w:lang w:val="en-US"/>
              </w:rPr>
              <w:t>16.</w:t>
            </w:r>
          </w:p>
        </w:tc>
        <w:tc>
          <w:tcPr>
            <w:tcW w:w="6267" w:type="dxa"/>
          </w:tcPr>
          <w:p w:rsidR="0014608C" w:rsidRPr="0014608C" w:rsidRDefault="0014608C" w:rsidP="0014608C">
            <w:pPr>
              <w:rPr>
                <w:rFonts w:ascii="Calibri" w:hAnsi="Calibri"/>
                <w:color w:val="000000"/>
                <w:sz w:val="20"/>
                <w:szCs w:val="20"/>
                <w:lang w:val="en-US"/>
              </w:rPr>
            </w:pPr>
            <w:r w:rsidRPr="0014608C">
              <w:rPr>
                <w:rFonts w:ascii="Calibri" w:hAnsi="Calibri"/>
                <w:color w:val="000000"/>
                <w:sz w:val="20"/>
                <w:szCs w:val="20"/>
                <w:lang w:val="en-US"/>
              </w:rPr>
              <w:t xml:space="preserve">Improving the knowledge of public officials and servers to develop and provide public online services </w:t>
            </w:r>
          </w:p>
        </w:tc>
        <w:tc>
          <w:tcPr>
            <w:tcW w:w="1754" w:type="dxa"/>
          </w:tcPr>
          <w:p w:rsidR="0014608C" w:rsidRPr="0014608C" w:rsidRDefault="0014608C" w:rsidP="0014608C">
            <w:pPr>
              <w:jc w:val="center"/>
              <w:rPr>
                <w:sz w:val="20"/>
                <w:szCs w:val="20"/>
                <w:lang w:val="en-US"/>
              </w:rPr>
            </w:pPr>
            <w:r w:rsidRPr="0014608C">
              <w:rPr>
                <w:sz w:val="20"/>
                <w:szCs w:val="20"/>
                <w:lang w:val="en-US"/>
              </w:rPr>
              <w:t>Complete</w:t>
            </w:r>
          </w:p>
        </w:tc>
      </w:tr>
      <w:tr w:rsidR="0014608C" w:rsidRPr="0014608C" w:rsidTr="003118C0">
        <w:trPr>
          <w:trHeight w:val="476"/>
        </w:trPr>
        <w:tc>
          <w:tcPr>
            <w:tcW w:w="470" w:type="dxa"/>
          </w:tcPr>
          <w:p w:rsidR="0014608C" w:rsidRPr="0014608C" w:rsidRDefault="0014608C" w:rsidP="0014608C">
            <w:pPr>
              <w:rPr>
                <w:sz w:val="20"/>
                <w:szCs w:val="20"/>
                <w:lang w:val="en-US"/>
              </w:rPr>
            </w:pPr>
            <w:r w:rsidRPr="0014608C">
              <w:rPr>
                <w:sz w:val="20"/>
                <w:szCs w:val="20"/>
                <w:lang w:val="en-US"/>
              </w:rPr>
              <w:t>17.</w:t>
            </w:r>
          </w:p>
        </w:tc>
        <w:tc>
          <w:tcPr>
            <w:tcW w:w="6267" w:type="dxa"/>
          </w:tcPr>
          <w:p w:rsidR="0014608C" w:rsidRPr="0014608C" w:rsidRDefault="0014608C" w:rsidP="0014608C">
            <w:pPr>
              <w:rPr>
                <w:rFonts w:ascii="Calibri" w:hAnsi="Calibri"/>
                <w:color w:val="000000"/>
                <w:sz w:val="20"/>
                <w:szCs w:val="20"/>
                <w:lang w:val="en-US"/>
              </w:rPr>
            </w:pPr>
            <w:r w:rsidRPr="0014608C">
              <w:rPr>
                <w:rFonts w:ascii="Calibri" w:hAnsi="Calibri"/>
                <w:color w:val="000000"/>
                <w:sz w:val="20"/>
                <w:szCs w:val="20"/>
                <w:lang w:val="en-US"/>
              </w:rPr>
              <w:t>Promoting an accurate administration of  Social Networks in entities of the Public Administration as tools to communicate the actions of those entities</w:t>
            </w:r>
          </w:p>
        </w:tc>
        <w:tc>
          <w:tcPr>
            <w:tcW w:w="1754" w:type="dxa"/>
          </w:tcPr>
          <w:p w:rsidR="0014608C" w:rsidRPr="0014608C" w:rsidRDefault="0014608C" w:rsidP="0014608C">
            <w:pPr>
              <w:jc w:val="center"/>
              <w:rPr>
                <w:sz w:val="20"/>
                <w:szCs w:val="20"/>
                <w:lang w:val="en-US"/>
              </w:rPr>
            </w:pPr>
            <w:r w:rsidRPr="0014608C">
              <w:rPr>
                <w:sz w:val="20"/>
                <w:szCs w:val="20"/>
                <w:lang w:val="en-US"/>
              </w:rPr>
              <w:t>Substantial</w:t>
            </w:r>
          </w:p>
        </w:tc>
      </w:tr>
    </w:tbl>
    <w:p w:rsidR="0014608C" w:rsidRPr="0014608C" w:rsidRDefault="0014608C" w:rsidP="0014608C">
      <w:pPr>
        <w:jc w:val="both"/>
        <w:rPr>
          <w:lang w:val="en-US"/>
        </w:rPr>
      </w:pPr>
    </w:p>
    <w:tbl>
      <w:tblPr>
        <w:tblStyle w:val="Tablaconcuadrcula8"/>
        <w:tblW w:w="0" w:type="auto"/>
        <w:tblInd w:w="2628" w:type="dxa"/>
        <w:tblLook w:val="04A0" w:firstRow="1" w:lastRow="0" w:firstColumn="1" w:lastColumn="0" w:noHBand="0" w:noVBand="1"/>
      </w:tblPr>
      <w:tblGrid>
        <w:gridCol w:w="2547"/>
        <w:gridCol w:w="1016"/>
      </w:tblGrid>
      <w:tr w:rsidR="0014608C" w:rsidRPr="0014608C" w:rsidTr="003118C0">
        <w:tc>
          <w:tcPr>
            <w:tcW w:w="2547" w:type="dxa"/>
            <w:shd w:val="clear" w:color="auto" w:fill="B8CCE4" w:themeFill="accent1" w:themeFillTint="66"/>
          </w:tcPr>
          <w:p w:rsidR="0014608C" w:rsidRPr="0014608C" w:rsidRDefault="0014608C" w:rsidP="0014608C">
            <w:pPr>
              <w:rPr>
                <w:lang w:val="en-US"/>
              </w:rPr>
            </w:pPr>
            <w:r w:rsidRPr="0014608C">
              <w:rPr>
                <w:lang w:val="en-US"/>
              </w:rPr>
              <w:t>Compliance status</w:t>
            </w:r>
          </w:p>
        </w:tc>
        <w:tc>
          <w:tcPr>
            <w:tcW w:w="1016" w:type="dxa"/>
            <w:shd w:val="clear" w:color="auto" w:fill="B8CCE4" w:themeFill="accent1" w:themeFillTint="66"/>
          </w:tcPr>
          <w:p w:rsidR="0014608C" w:rsidRPr="0014608C" w:rsidRDefault="000B613B" w:rsidP="0014608C">
            <w:pPr>
              <w:rPr>
                <w:lang w:val="en-US"/>
              </w:rPr>
            </w:pPr>
            <w:r w:rsidRPr="0014608C">
              <w:rPr>
                <w:lang w:val="en-US"/>
              </w:rPr>
              <w:t>Number</w:t>
            </w:r>
          </w:p>
        </w:tc>
      </w:tr>
      <w:tr w:rsidR="0014608C" w:rsidRPr="0014608C" w:rsidTr="003118C0">
        <w:tc>
          <w:tcPr>
            <w:tcW w:w="2547" w:type="dxa"/>
          </w:tcPr>
          <w:p w:rsidR="0014608C" w:rsidRPr="0014608C" w:rsidRDefault="0014608C" w:rsidP="0014608C">
            <w:pPr>
              <w:rPr>
                <w:lang w:val="en-US"/>
              </w:rPr>
            </w:pPr>
            <w:r w:rsidRPr="0014608C">
              <w:rPr>
                <w:lang w:val="en-US"/>
              </w:rPr>
              <w:t xml:space="preserve">Uninitiated </w:t>
            </w:r>
          </w:p>
        </w:tc>
        <w:tc>
          <w:tcPr>
            <w:tcW w:w="1016" w:type="dxa"/>
          </w:tcPr>
          <w:p w:rsidR="0014608C" w:rsidRPr="0014608C" w:rsidRDefault="0014608C" w:rsidP="0014608C">
            <w:pPr>
              <w:jc w:val="center"/>
              <w:rPr>
                <w:lang w:val="en-US"/>
              </w:rPr>
            </w:pPr>
            <w:r w:rsidRPr="0014608C">
              <w:rPr>
                <w:lang w:val="en-US"/>
              </w:rPr>
              <w:t>4</w:t>
            </w:r>
          </w:p>
        </w:tc>
      </w:tr>
      <w:tr w:rsidR="0014608C" w:rsidRPr="0014608C" w:rsidTr="003118C0">
        <w:tc>
          <w:tcPr>
            <w:tcW w:w="2547" w:type="dxa"/>
          </w:tcPr>
          <w:p w:rsidR="0014608C" w:rsidRPr="0014608C" w:rsidRDefault="0014608C" w:rsidP="0014608C">
            <w:pPr>
              <w:rPr>
                <w:lang w:val="en-US"/>
              </w:rPr>
            </w:pPr>
            <w:r w:rsidRPr="0014608C">
              <w:rPr>
                <w:lang w:val="en-US"/>
              </w:rPr>
              <w:t xml:space="preserve">Limited </w:t>
            </w:r>
          </w:p>
        </w:tc>
        <w:tc>
          <w:tcPr>
            <w:tcW w:w="1016" w:type="dxa"/>
          </w:tcPr>
          <w:p w:rsidR="0014608C" w:rsidRPr="0014608C" w:rsidRDefault="0014608C" w:rsidP="0014608C">
            <w:pPr>
              <w:jc w:val="center"/>
              <w:rPr>
                <w:lang w:val="en-US"/>
              </w:rPr>
            </w:pPr>
            <w:r w:rsidRPr="0014608C">
              <w:rPr>
                <w:lang w:val="en-US"/>
              </w:rPr>
              <w:t>1</w:t>
            </w:r>
          </w:p>
        </w:tc>
      </w:tr>
      <w:tr w:rsidR="0014608C" w:rsidRPr="0014608C" w:rsidTr="003118C0">
        <w:tc>
          <w:tcPr>
            <w:tcW w:w="2547" w:type="dxa"/>
          </w:tcPr>
          <w:p w:rsidR="0014608C" w:rsidRPr="0014608C" w:rsidRDefault="0014608C" w:rsidP="0014608C">
            <w:pPr>
              <w:rPr>
                <w:lang w:val="en-US"/>
              </w:rPr>
            </w:pPr>
            <w:r w:rsidRPr="0014608C">
              <w:rPr>
                <w:lang w:val="en-US"/>
              </w:rPr>
              <w:t xml:space="preserve">Substantial </w:t>
            </w:r>
          </w:p>
        </w:tc>
        <w:tc>
          <w:tcPr>
            <w:tcW w:w="1016" w:type="dxa"/>
          </w:tcPr>
          <w:p w:rsidR="0014608C" w:rsidRPr="0014608C" w:rsidRDefault="0014608C" w:rsidP="0014608C">
            <w:pPr>
              <w:jc w:val="center"/>
              <w:rPr>
                <w:lang w:val="en-US"/>
              </w:rPr>
            </w:pPr>
            <w:r w:rsidRPr="0014608C">
              <w:rPr>
                <w:lang w:val="en-US"/>
              </w:rPr>
              <w:t>7</w:t>
            </w:r>
          </w:p>
        </w:tc>
      </w:tr>
      <w:tr w:rsidR="0014608C" w:rsidRPr="0014608C" w:rsidTr="003118C0">
        <w:tc>
          <w:tcPr>
            <w:tcW w:w="2547" w:type="dxa"/>
          </w:tcPr>
          <w:p w:rsidR="0014608C" w:rsidRPr="0014608C" w:rsidRDefault="0014608C" w:rsidP="0014608C">
            <w:pPr>
              <w:rPr>
                <w:lang w:val="en-US"/>
              </w:rPr>
            </w:pPr>
            <w:r w:rsidRPr="0014608C">
              <w:rPr>
                <w:lang w:val="en-US"/>
              </w:rPr>
              <w:t xml:space="preserve">Complete </w:t>
            </w:r>
          </w:p>
        </w:tc>
        <w:tc>
          <w:tcPr>
            <w:tcW w:w="1016" w:type="dxa"/>
          </w:tcPr>
          <w:p w:rsidR="0014608C" w:rsidRPr="0014608C" w:rsidRDefault="0014608C" w:rsidP="0014608C">
            <w:pPr>
              <w:jc w:val="center"/>
              <w:rPr>
                <w:lang w:val="en-US"/>
              </w:rPr>
            </w:pPr>
            <w:r w:rsidRPr="0014608C">
              <w:rPr>
                <w:lang w:val="en-US"/>
              </w:rPr>
              <w:t>5</w:t>
            </w:r>
          </w:p>
        </w:tc>
      </w:tr>
      <w:tr w:rsidR="0014608C" w:rsidRPr="0014608C" w:rsidTr="003118C0">
        <w:tc>
          <w:tcPr>
            <w:tcW w:w="2547" w:type="dxa"/>
            <w:shd w:val="clear" w:color="auto" w:fill="B8CCE4" w:themeFill="accent1" w:themeFillTint="66"/>
          </w:tcPr>
          <w:p w:rsidR="0014608C" w:rsidRPr="0014608C" w:rsidRDefault="0014608C" w:rsidP="0014608C">
            <w:pPr>
              <w:rPr>
                <w:lang w:val="en-US"/>
              </w:rPr>
            </w:pPr>
            <w:r w:rsidRPr="0014608C">
              <w:rPr>
                <w:lang w:val="en-US"/>
              </w:rPr>
              <w:t>Total</w:t>
            </w:r>
          </w:p>
        </w:tc>
        <w:tc>
          <w:tcPr>
            <w:tcW w:w="1016" w:type="dxa"/>
            <w:shd w:val="clear" w:color="auto" w:fill="B8CCE4" w:themeFill="accent1" w:themeFillTint="66"/>
          </w:tcPr>
          <w:p w:rsidR="0014608C" w:rsidRPr="0014608C" w:rsidRDefault="0014608C" w:rsidP="0014608C">
            <w:pPr>
              <w:jc w:val="center"/>
              <w:rPr>
                <w:lang w:val="en-US"/>
              </w:rPr>
            </w:pPr>
            <w:r w:rsidRPr="0014608C">
              <w:rPr>
                <w:lang w:val="en-US"/>
              </w:rPr>
              <w:t>17</w:t>
            </w:r>
          </w:p>
        </w:tc>
      </w:tr>
    </w:tbl>
    <w:p w:rsidR="00A14B06" w:rsidRPr="0095252E" w:rsidRDefault="00A14B06" w:rsidP="00EF33B6">
      <w:pPr>
        <w:jc w:val="both"/>
        <w:rPr>
          <w:lang w:val="en-US"/>
        </w:rPr>
      </w:pPr>
    </w:p>
    <w:sectPr w:rsidR="00A14B06" w:rsidRPr="0095252E" w:rsidSect="001E7FBA">
      <w:footerReference w:type="default" r:id="rId50"/>
      <w:headerReference w:type="first" r:id="rId51"/>
      <w:footerReference w:type="first" r:id="rId52"/>
      <w:pgSz w:w="12240" w:h="15840"/>
      <w:pgMar w:top="1519" w:right="1701" w:bottom="1276"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3FD" w:rsidRDefault="002C33FD" w:rsidP="00BC42E0">
      <w:pPr>
        <w:spacing w:after="0" w:line="240" w:lineRule="auto"/>
      </w:pPr>
      <w:r>
        <w:separator/>
      </w:r>
    </w:p>
  </w:endnote>
  <w:endnote w:type="continuationSeparator" w:id="0">
    <w:p w:rsidR="002C33FD" w:rsidRDefault="002C33FD" w:rsidP="00BC4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otham Bold">
    <w:altName w:val="Gotham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m">
    <w:altName w:val="Gotham"/>
    <w:panose1 w:val="00000000000000000000"/>
    <w:charset w:val="00"/>
    <w:family w:val="swiss"/>
    <w:notTrueType/>
    <w:pitch w:val="default"/>
    <w:sig w:usb0="00000003" w:usb1="00000000" w:usb2="00000000" w:usb3="00000000" w:csb0="00000001" w:csb1="00000000"/>
  </w:font>
  <w:font w:name="Gotham-Book">
    <w:panose1 w:val="00000000000000000000"/>
    <w:charset w:val="00"/>
    <w:family w:val="auto"/>
    <w:notTrueType/>
    <w:pitch w:val="default"/>
    <w:sig w:usb0="00000003" w:usb1="00000000" w:usb2="00000000" w:usb3="00000000" w:csb0="00000001" w:csb1="00000000"/>
  </w:font>
  <w:font w:name="Gotham-Book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8C0" w:rsidRPr="001E7FBA" w:rsidRDefault="003118C0" w:rsidP="001E7FBA">
    <w:pPr>
      <w:pStyle w:val="Piedepgina"/>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8C0" w:rsidRPr="001E7FBA" w:rsidRDefault="003118C0" w:rsidP="001E7FBA">
    <w:pPr>
      <w:tabs>
        <w:tab w:val="center" w:pos="4419"/>
        <w:tab w:val="right" w:pos="8838"/>
      </w:tabs>
      <w:spacing w:after="0" w:line="240" w:lineRule="auto"/>
      <w:rPr>
        <w:rFonts w:ascii="Arial" w:eastAsia="Times New Roman" w:hAnsi="Arial" w:cs="Times New Roman"/>
        <w:lang w:val="en-US" w:eastAsia="es-ES"/>
      </w:rPr>
    </w:pPr>
  </w:p>
  <w:p w:rsidR="003118C0" w:rsidRPr="001E7FBA" w:rsidRDefault="003118C0" w:rsidP="001E7FBA">
    <w:pPr>
      <w:spacing w:after="0" w:line="240" w:lineRule="auto"/>
      <w:rPr>
        <w:rFonts w:ascii="Arial" w:eastAsia="Times New Roman" w:hAnsi="Arial" w:cs="Times New Roman"/>
        <w:lang w:val="en-US" w:eastAsia="es-ES"/>
      </w:rPr>
    </w:pPr>
  </w:p>
  <w:p w:rsidR="003118C0" w:rsidRPr="001E7FBA" w:rsidRDefault="003118C0" w:rsidP="001E7FBA">
    <w:pPr>
      <w:tabs>
        <w:tab w:val="center" w:pos="4419"/>
        <w:tab w:val="right" w:pos="8838"/>
      </w:tabs>
      <w:spacing w:after="0" w:line="240" w:lineRule="auto"/>
      <w:rPr>
        <w:rFonts w:ascii="Arial" w:eastAsia="Times New Roman" w:hAnsi="Arial" w:cs="Times New Roman"/>
        <w:lang w:val="en-US" w:eastAsia="es-ES"/>
      </w:rPr>
    </w:pPr>
  </w:p>
  <w:p w:rsidR="003118C0" w:rsidRPr="001E7FBA" w:rsidRDefault="003118C0" w:rsidP="001E7FBA">
    <w:pPr>
      <w:spacing w:after="0" w:line="240" w:lineRule="auto"/>
      <w:rPr>
        <w:rFonts w:ascii="Arial" w:eastAsia="Times New Roman" w:hAnsi="Arial" w:cs="Times New Roman"/>
        <w:lang w:val="en-US" w:eastAsia="es-ES"/>
      </w:rPr>
    </w:pPr>
  </w:p>
  <w:p w:rsidR="003118C0" w:rsidRPr="001E7FBA" w:rsidRDefault="003118C0" w:rsidP="001E7FBA">
    <w:pPr>
      <w:tabs>
        <w:tab w:val="center" w:pos="4419"/>
        <w:tab w:val="right" w:pos="8838"/>
      </w:tabs>
      <w:spacing w:after="0" w:line="240" w:lineRule="auto"/>
      <w:jc w:val="center"/>
      <w:rPr>
        <w:rFonts w:ascii="Arial" w:eastAsia="Times New Roman" w:hAnsi="Arial" w:cs="Arial"/>
        <w:sz w:val="16"/>
        <w:szCs w:val="18"/>
        <w:lang w:val="es-PE" w:eastAsia="es-ES"/>
      </w:rPr>
    </w:pPr>
    <w:r w:rsidRPr="001E7FBA">
      <w:rPr>
        <w:rFonts w:ascii="Arial" w:eastAsia="Times New Roman" w:hAnsi="Arial" w:cs="Arial"/>
        <w:sz w:val="16"/>
        <w:szCs w:val="18"/>
        <w:lang w:val="es-PE" w:eastAsia="es-ES"/>
      </w:rPr>
      <w:t>Avenida El Derby 250 Oficina 1226, Santiago de Surco</w:t>
    </w:r>
  </w:p>
  <w:p w:rsidR="003118C0" w:rsidRPr="001E7FBA" w:rsidRDefault="003118C0" w:rsidP="001E7FBA">
    <w:pPr>
      <w:tabs>
        <w:tab w:val="center" w:pos="4419"/>
        <w:tab w:val="right" w:pos="8838"/>
      </w:tabs>
      <w:spacing w:after="0" w:line="240" w:lineRule="auto"/>
      <w:jc w:val="center"/>
      <w:rPr>
        <w:rFonts w:ascii="Arial" w:eastAsia="Times New Roman" w:hAnsi="Arial" w:cs="Arial"/>
        <w:sz w:val="16"/>
        <w:szCs w:val="18"/>
        <w:lang w:val="en-US" w:eastAsia="es-ES"/>
      </w:rPr>
    </w:pPr>
    <w:r w:rsidRPr="001E7FBA">
      <w:rPr>
        <w:rFonts w:ascii="Arial" w:eastAsia="Times New Roman" w:hAnsi="Arial" w:cs="Arial"/>
        <w:sz w:val="16"/>
        <w:szCs w:val="18"/>
        <w:lang w:val="en-US" w:eastAsia="es-ES"/>
      </w:rPr>
      <w:t>Tel. 989726994</w:t>
    </w:r>
  </w:p>
  <w:p w:rsidR="003118C0" w:rsidRPr="001E7FBA" w:rsidRDefault="003118C0" w:rsidP="001E7FBA">
    <w:pPr>
      <w:tabs>
        <w:tab w:val="center" w:pos="4419"/>
        <w:tab w:val="right" w:pos="8838"/>
      </w:tabs>
      <w:spacing w:after="0" w:line="240" w:lineRule="auto"/>
      <w:jc w:val="center"/>
      <w:rPr>
        <w:rFonts w:ascii="Arial" w:eastAsia="Times New Roman" w:hAnsi="Arial" w:cs="Times New Roman"/>
        <w:lang w:val="en-US" w:eastAsia="es-ES"/>
      </w:rPr>
    </w:pPr>
    <w:r w:rsidRPr="001E7FBA">
      <w:rPr>
        <w:rFonts w:ascii="Arial" w:eastAsia="Times New Roman" w:hAnsi="Arial" w:cs="Arial"/>
        <w:sz w:val="16"/>
        <w:szCs w:val="18"/>
        <w:lang w:val="en-US" w:eastAsia="es-ES"/>
      </w:rPr>
      <w:t>lprincipep@hotmail.com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3FD" w:rsidRDefault="002C33FD" w:rsidP="00BC42E0">
      <w:pPr>
        <w:spacing w:after="0" w:line="240" w:lineRule="auto"/>
      </w:pPr>
      <w:r>
        <w:separator/>
      </w:r>
    </w:p>
  </w:footnote>
  <w:footnote w:type="continuationSeparator" w:id="0">
    <w:p w:rsidR="002C33FD" w:rsidRDefault="002C33FD" w:rsidP="00BC4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8C0" w:rsidRPr="001E7FBA" w:rsidRDefault="003118C0" w:rsidP="001E7FBA">
    <w:pPr>
      <w:tabs>
        <w:tab w:val="center" w:pos="4419"/>
        <w:tab w:val="right" w:pos="8838"/>
      </w:tabs>
      <w:spacing w:after="0" w:line="240" w:lineRule="auto"/>
      <w:jc w:val="center"/>
      <w:rPr>
        <w:rFonts w:ascii="Arial" w:eastAsia="Times New Roman" w:hAnsi="Arial" w:cs="Arial"/>
        <w:b/>
        <w:lang w:val="fr-FR" w:eastAsia="es-ES"/>
      </w:rPr>
    </w:pPr>
    <w:r w:rsidRPr="001E7FBA">
      <w:rPr>
        <w:rFonts w:ascii="Arial" w:eastAsia="Times New Roman" w:hAnsi="Arial" w:cs="Arial"/>
        <w:b/>
        <w:lang w:val="fr-FR" w:eastAsia="es-ES"/>
      </w:rPr>
      <w:t>LADY MARJORIE LAURENT PRINCIPE PANTA</w:t>
    </w:r>
  </w:p>
  <w:p w:rsidR="003118C0" w:rsidRPr="001E7FBA" w:rsidRDefault="003118C0" w:rsidP="001E7FBA">
    <w:pPr>
      <w:tabs>
        <w:tab w:val="center" w:pos="4419"/>
        <w:tab w:val="right" w:pos="8838"/>
      </w:tabs>
      <w:spacing w:after="0" w:line="240" w:lineRule="auto"/>
      <w:jc w:val="center"/>
      <w:rPr>
        <w:rFonts w:ascii="Arial" w:eastAsia="Times New Roman" w:hAnsi="Arial" w:cs="Arial"/>
        <w:b/>
        <w:lang w:val="fr-FR" w:eastAsia="es-ES"/>
      </w:rPr>
    </w:pPr>
    <w:r w:rsidRPr="001E7FBA">
      <w:rPr>
        <w:rFonts w:ascii="Arial" w:eastAsia="Times New Roman" w:hAnsi="Arial" w:cs="Arial"/>
        <w:b/>
        <w:lang w:val="fr-FR" w:eastAsia="es-ES"/>
      </w:rPr>
      <w:t>CTP No. 0667</w:t>
    </w:r>
  </w:p>
  <w:p w:rsidR="003118C0" w:rsidRPr="001E7FBA" w:rsidRDefault="003118C0" w:rsidP="001E7FBA">
    <w:pPr>
      <w:tabs>
        <w:tab w:val="center" w:pos="4419"/>
        <w:tab w:val="right" w:pos="8838"/>
      </w:tabs>
      <w:spacing w:after="0" w:line="240" w:lineRule="auto"/>
      <w:jc w:val="center"/>
      <w:rPr>
        <w:rFonts w:ascii="Arial" w:eastAsia="Times New Roman" w:hAnsi="Arial" w:cs="Arial"/>
        <w:b/>
        <w:lang w:val="en-US" w:eastAsia="es-ES"/>
      </w:rPr>
    </w:pPr>
    <w:r w:rsidRPr="001E7FBA">
      <w:rPr>
        <w:rFonts w:ascii="Arial" w:eastAsia="Times New Roman" w:hAnsi="Arial" w:cs="Arial"/>
        <w:b/>
        <w:lang w:val="en-US" w:eastAsia="es-ES"/>
      </w:rPr>
      <w:t>Certified Translator</w:t>
    </w:r>
  </w:p>
  <w:p w:rsidR="003118C0" w:rsidRPr="001E7FBA" w:rsidRDefault="003118C0" w:rsidP="001E7FBA">
    <w:pPr>
      <w:tabs>
        <w:tab w:val="center" w:pos="4419"/>
        <w:tab w:val="right" w:pos="8838"/>
      </w:tabs>
      <w:spacing w:after="0" w:line="240" w:lineRule="auto"/>
      <w:jc w:val="right"/>
      <w:rPr>
        <w:rFonts w:ascii="Arial" w:eastAsia="Times New Roman" w:hAnsi="Arial" w:cs="Arial"/>
        <w:lang w:val="en-US" w:eastAsia="es-ES"/>
      </w:rPr>
    </w:pPr>
  </w:p>
  <w:p w:rsidR="003118C0" w:rsidRPr="001E7FBA" w:rsidRDefault="003118C0" w:rsidP="001E7FBA">
    <w:pPr>
      <w:tabs>
        <w:tab w:val="center" w:pos="4419"/>
        <w:tab w:val="right" w:pos="8838"/>
      </w:tabs>
      <w:spacing w:after="0" w:line="240" w:lineRule="auto"/>
      <w:jc w:val="right"/>
      <w:rPr>
        <w:rFonts w:ascii="Arial" w:eastAsia="Times New Roman" w:hAnsi="Arial" w:cs="Arial"/>
        <w:lang w:val="en-US" w:eastAsia="es-ES"/>
      </w:rPr>
    </w:pPr>
    <w:r>
      <w:rPr>
        <w:rFonts w:ascii="Arial" w:eastAsia="Times New Roman" w:hAnsi="Arial" w:cs="Arial"/>
        <w:lang w:val="en-US" w:eastAsia="es-ES"/>
      </w:rPr>
      <w:t>Certified Translation xxx</w:t>
    </w:r>
    <w:r w:rsidRPr="001E7FBA">
      <w:rPr>
        <w:rFonts w:ascii="Arial" w:eastAsia="Times New Roman" w:hAnsi="Arial" w:cs="Arial"/>
        <w:lang w:val="en-US" w:eastAsia="es-ES"/>
      </w:rPr>
      <w:t>-2016</w:t>
    </w:r>
  </w:p>
  <w:p w:rsidR="003118C0" w:rsidRPr="001E7FBA" w:rsidRDefault="003118C0" w:rsidP="001E7FBA">
    <w:pPr>
      <w:tabs>
        <w:tab w:val="center" w:pos="4419"/>
        <w:tab w:val="right" w:pos="8838"/>
      </w:tabs>
      <w:spacing w:after="0" w:line="240" w:lineRule="auto"/>
      <w:jc w:val="right"/>
      <w:rPr>
        <w:rFonts w:ascii="Arial" w:eastAsia="Times New Roman" w:hAnsi="Arial" w:cs="Arial"/>
        <w:lang w:val="en-US" w:eastAsia="es-ES"/>
      </w:rPr>
    </w:pPr>
    <w:r w:rsidRPr="001E7FBA">
      <w:rPr>
        <w:rFonts w:ascii="Arial" w:eastAsia="Times New Roman" w:hAnsi="Arial" w:cs="Arial"/>
        <w:lang w:val="en-US" w:eastAsia="es-ES"/>
      </w:rPr>
      <w:t xml:space="preserve">Page </w:t>
    </w:r>
    <w:r w:rsidRPr="001E7FBA">
      <w:rPr>
        <w:rFonts w:ascii="Arial" w:eastAsia="Times New Roman" w:hAnsi="Arial" w:cs="Arial"/>
        <w:bCs/>
        <w:lang w:val="en-US" w:eastAsia="es-ES"/>
      </w:rPr>
      <w:fldChar w:fldCharType="begin"/>
    </w:r>
    <w:r w:rsidRPr="001E7FBA">
      <w:rPr>
        <w:rFonts w:ascii="Arial" w:eastAsia="Times New Roman" w:hAnsi="Arial" w:cs="Arial"/>
        <w:bCs/>
        <w:lang w:val="en-US" w:eastAsia="es-ES"/>
      </w:rPr>
      <w:instrText>PAGE</w:instrText>
    </w:r>
    <w:r w:rsidRPr="001E7FBA">
      <w:rPr>
        <w:rFonts w:ascii="Arial" w:eastAsia="Times New Roman" w:hAnsi="Arial" w:cs="Arial"/>
        <w:bCs/>
        <w:lang w:val="en-US" w:eastAsia="es-ES"/>
      </w:rPr>
      <w:fldChar w:fldCharType="separate"/>
    </w:r>
    <w:r>
      <w:rPr>
        <w:rFonts w:ascii="Arial" w:eastAsia="Times New Roman" w:hAnsi="Arial" w:cs="Arial"/>
        <w:bCs/>
        <w:noProof/>
        <w:lang w:val="en-US" w:eastAsia="es-ES"/>
      </w:rPr>
      <w:t>1</w:t>
    </w:r>
    <w:r w:rsidRPr="001E7FBA">
      <w:rPr>
        <w:rFonts w:ascii="Arial" w:eastAsia="Times New Roman" w:hAnsi="Arial" w:cs="Arial"/>
        <w:bCs/>
        <w:lang w:val="en-US" w:eastAsia="es-ES"/>
      </w:rPr>
      <w:fldChar w:fldCharType="end"/>
    </w:r>
    <w:r w:rsidRPr="001E7FBA">
      <w:rPr>
        <w:rFonts w:ascii="Arial" w:eastAsia="Times New Roman" w:hAnsi="Arial" w:cs="Arial"/>
        <w:lang w:val="en-US" w:eastAsia="es-ES"/>
      </w:rPr>
      <w:t xml:space="preserve"> of </w:t>
    </w:r>
    <w:r w:rsidRPr="001E7FBA">
      <w:rPr>
        <w:rFonts w:ascii="Arial" w:eastAsia="Times New Roman" w:hAnsi="Arial" w:cs="Arial"/>
        <w:bCs/>
        <w:lang w:val="en-US" w:eastAsia="es-ES"/>
      </w:rPr>
      <w:fldChar w:fldCharType="begin"/>
    </w:r>
    <w:r w:rsidRPr="001E7FBA">
      <w:rPr>
        <w:rFonts w:ascii="Arial" w:eastAsia="Times New Roman" w:hAnsi="Arial" w:cs="Arial"/>
        <w:bCs/>
        <w:lang w:val="en-US" w:eastAsia="es-ES"/>
      </w:rPr>
      <w:instrText>NUMPAGES</w:instrText>
    </w:r>
    <w:r w:rsidRPr="001E7FBA">
      <w:rPr>
        <w:rFonts w:ascii="Arial" w:eastAsia="Times New Roman" w:hAnsi="Arial" w:cs="Arial"/>
        <w:bCs/>
        <w:lang w:val="en-US" w:eastAsia="es-ES"/>
      </w:rPr>
      <w:fldChar w:fldCharType="separate"/>
    </w:r>
    <w:r>
      <w:rPr>
        <w:rFonts w:ascii="Arial" w:eastAsia="Times New Roman" w:hAnsi="Arial" w:cs="Arial"/>
        <w:bCs/>
        <w:noProof/>
        <w:lang w:val="en-US" w:eastAsia="es-ES"/>
      </w:rPr>
      <w:t>9</w:t>
    </w:r>
    <w:r w:rsidRPr="001E7FBA">
      <w:rPr>
        <w:rFonts w:ascii="Arial" w:eastAsia="Times New Roman" w:hAnsi="Arial" w:cs="Arial"/>
        <w:bCs/>
        <w:lang w:val="en-US" w:eastAsia="es-ES"/>
      </w:rPr>
      <w:fldChar w:fldCharType="end"/>
    </w:r>
  </w:p>
  <w:p w:rsidR="003118C0" w:rsidRPr="001E7FBA" w:rsidRDefault="003118C0">
    <w:pPr>
      <w:pStyle w:val="Encabezad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473B"/>
    <w:multiLevelType w:val="hybridMultilevel"/>
    <w:tmpl w:val="7BFCDB1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EC71D8"/>
    <w:multiLevelType w:val="hybridMultilevel"/>
    <w:tmpl w:val="C248B99A"/>
    <w:lvl w:ilvl="0" w:tplc="C16CFCDC">
      <w:numFmt w:val="bullet"/>
      <w:lvlText w:val="•"/>
      <w:lvlJc w:val="left"/>
      <w:pPr>
        <w:ind w:left="720" w:hanging="360"/>
      </w:pPr>
      <w:rPr>
        <w:rFonts w:ascii="Calibri" w:eastAsiaTheme="minorHAns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3C013DC"/>
    <w:multiLevelType w:val="hybridMultilevel"/>
    <w:tmpl w:val="D0E2EF88"/>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5E71547"/>
    <w:multiLevelType w:val="hybridMultilevel"/>
    <w:tmpl w:val="F71EEFA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0DC6F2E"/>
    <w:multiLevelType w:val="hybridMultilevel"/>
    <w:tmpl w:val="1018A6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13E2878"/>
    <w:multiLevelType w:val="hybridMultilevel"/>
    <w:tmpl w:val="E6B691E2"/>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1505A75"/>
    <w:multiLevelType w:val="multilevel"/>
    <w:tmpl w:val="757EBF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A22587"/>
    <w:multiLevelType w:val="hybridMultilevel"/>
    <w:tmpl w:val="D326EB5E"/>
    <w:lvl w:ilvl="0" w:tplc="4B0446FE">
      <w:start w:val="1"/>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6C40F4E"/>
    <w:multiLevelType w:val="hybridMultilevel"/>
    <w:tmpl w:val="AAD8C7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8D43A68"/>
    <w:multiLevelType w:val="hybridMultilevel"/>
    <w:tmpl w:val="E1AC28D2"/>
    <w:lvl w:ilvl="0" w:tplc="F7D67A0E">
      <w:numFmt w:val="bullet"/>
      <w:lvlText w:val="-"/>
      <w:lvlJc w:val="left"/>
      <w:pPr>
        <w:ind w:left="564" w:hanging="360"/>
      </w:pPr>
      <w:rPr>
        <w:rFonts w:ascii="Calibri" w:eastAsiaTheme="minorHAnsi" w:hAnsi="Calibri" w:cstheme="minorBidi" w:hint="default"/>
      </w:rPr>
    </w:lvl>
    <w:lvl w:ilvl="1" w:tplc="280A0003" w:tentative="1">
      <w:start w:val="1"/>
      <w:numFmt w:val="bullet"/>
      <w:lvlText w:val="o"/>
      <w:lvlJc w:val="left"/>
      <w:pPr>
        <w:ind w:left="1284" w:hanging="360"/>
      </w:pPr>
      <w:rPr>
        <w:rFonts w:ascii="Courier New" w:hAnsi="Courier New" w:cs="Courier New" w:hint="default"/>
      </w:rPr>
    </w:lvl>
    <w:lvl w:ilvl="2" w:tplc="280A0005" w:tentative="1">
      <w:start w:val="1"/>
      <w:numFmt w:val="bullet"/>
      <w:lvlText w:val=""/>
      <w:lvlJc w:val="left"/>
      <w:pPr>
        <w:ind w:left="2004" w:hanging="360"/>
      </w:pPr>
      <w:rPr>
        <w:rFonts w:ascii="Wingdings" w:hAnsi="Wingdings" w:hint="default"/>
      </w:rPr>
    </w:lvl>
    <w:lvl w:ilvl="3" w:tplc="280A0001" w:tentative="1">
      <w:start w:val="1"/>
      <w:numFmt w:val="bullet"/>
      <w:lvlText w:val=""/>
      <w:lvlJc w:val="left"/>
      <w:pPr>
        <w:ind w:left="2724" w:hanging="360"/>
      </w:pPr>
      <w:rPr>
        <w:rFonts w:ascii="Symbol" w:hAnsi="Symbol" w:hint="default"/>
      </w:rPr>
    </w:lvl>
    <w:lvl w:ilvl="4" w:tplc="280A0003" w:tentative="1">
      <w:start w:val="1"/>
      <w:numFmt w:val="bullet"/>
      <w:lvlText w:val="o"/>
      <w:lvlJc w:val="left"/>
      <w:pPr>
        <w:ind w:left="3444" w:hanging="360"/>
      </w:pPr>
      <w:rPr>
        <w:rFonts w:ascii="Courier New" w:hAnsi="Courier New" w:cs="Courier New" w:hint="default"/>
      </w:rPr>
    </w:lvl>
    <w:lvl w:ilvl="5" w:tplc="280A0005" w:tentative="1">
      <w:start w:val="1"/>
      <w:numFmt w:val="bullet"/>
      <w:lvlText w:val=""/>
      <w:lvlJc w:val="left"/>
      <w:pPr>
        <w:ind w:left="4164" w:hanging="360"/>
      </w:pPr>
      <w:rPr>
        <w:rFonts w:ascii="Wingdings" w:hAnsi="Wingdings" w:hint="default"/>
      </w:rPr>
    </w:lvl>
    <w:lvl w:ilvl="6" w:tplc="280A0001" w:tentative="1">
      <w:start w:val="1"/>
      <w:numFmt w:val="bullet"/>
      <w:lvlText w:val=""/>
      <w:lvlJc w:val="left"/>
      <w:pPr>
        <w:ind w:left="4884" w:hanging="360"/>
      </w:pPr>
      <w:rPr>
        <w:rFonts w:ascii="Symbol" w:hAnsi="Symbol" w:hint="default"/>
      </w:rPr>
    </w:lvl>
    <w:lvl w:ilvl="7" w:tplc="280A0003" w:tentative="1">
      <w:start w:val="1"/>
      <w:numFmt w:val="bullet"/>
      <w:lvlText w:val="o"/>
      <w:lvlJc w:val="left"/>
      <w:pPr>
        <w:ind w:left="5604" w:hanging="360"/>
      </w:pPr>
      <w:rPr>
        <w:rFonts w:ascii="Courier New" w:hAnsi="Courier New" w:cs="Courier New" w:hint="default"/>
      </w:rPr>
    </w:lvl>
    <w:lvl w:ilvl="8" w:tplc="280A0005" w:tentative="1">
      <w:start w:val="1"/>
      <w:numFmt w:val="bullet"/>
      <w:lvlText w:val=""/>
      <w:lvlJc w:val="left"/>
      <w:pPr>
        <w:ind w:left="6324" w:hanging="360"/>
      </w:pPr>
      <w:rPr>
        <w:rFonts w:ascii="Wingdings" w:hAnsi="Wingdings" w:hint="default"/>
      </w:rPr>
    </w:lvl>
  </w:abstractNum>
  <w:abstractNum w:abstractNumId="10" w15:restartNumberingAfterBreak="0">
    <w:nsid w:val="19F80019"/>
    <w:multiLevelType w:val="hybridMultilevel"/>
    <w:tmpl w:val="0C58E8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C134EA2"/>
    <w:multiLevelType w:val="hybridMultilevel"/>
    <w:tmpl w:val="051EB2A8"/>
    <w:lvl w:ilvl="0" w:tplc="7F08BCD4">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D4049AF"/>
    <w:multiLevelType w:val="hybridMultilevel"/>
    <w:tmpl w:val="A3DCA64C"/>
    <w:lvl w:ilvl="0" w:tplc="DBBE91F4">
      <w:numFmt w:val="bullet"/>
      <w:lvlText w:val="-"/>
      <w:lvlJc w:val="left"/>
      <w:pPr>
        <w:ind w:left="1211" w:hanging="360"/>
      </w:pPr>
      <w:rPr>
        <w:rFonts w:ascii="Calibri" w:eastAsia="Calibri" w:hAnsi="Calibri" w:cs="Calibri"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3" w15:restartNumberingAfterBreak="0">
    <w:nsid w:val="1F2A573B"/>
    <w:multiLevelType w:val="hybridMultilevel"/>
    <w:tmpl w:val="9B8AA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05510F9"/>
    <w:multiLevelType w:val="hybridMultilevel"/>
    <w:tmpl w:val="B0E6E6E4"/>
    <w:lvl w:ilvl="0" w:tplc="280A0015">
      <w:start w:val="1"/>
      <w:numFmt w:val="upperLetter"/>
      <w:lvlText w:val="%1."/>
      <w:lvlJc w:val="left"/>
      <w:pPr>
        <w:ind w:left="36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2652D3E"/>
    <w:multiLevelType w:val="multilevel"/>
    <w:tmpl w:val="981842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557B2A"/>
    <w:multiLevelType w:val="hybridMultilevel"/>
    <w:tmpl w:val="FBCC8CB6"/>
    <w:lvl w:ilvl="0" w:tplc="10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C9C0F80"/>
    <w:multiLevelType w:val="multilevel"/>
    <w:tmpl w:val="DD20A2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FF627E"/>
    <w:multiLevelType w:val="hybridMultilevel"/>
    <w:tmpl w:val="9D80DC7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0321D1C"/>
    <w:multiLevelType w:val="multilevel"/>
    <w:tmpl w:val="F71EEF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A96EB0"/>
    <w:multiLevelType w:val="hybridMultilevel"/>
    <w:tmpl w:val="67C0A2DE"/>
    <w:lvl w:ilvl="0" w:tplc="B81C8F6A">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8890C49"/>
    <w:multiLevelType w:val="multilevel"/>
    <w:tmpl w:val="892021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CC0E2E"/>
    <w:multiLevelType w:val="multilevel"/>
    <w:tmpl w:val="F71EEF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D0637A"/>
    <w:multiLevelType w:val="hybridMultilevel"/>
    <w:tmpl w:val="1CFE9210"/>
    <w:lvl w:ilvl="0" w:tplc="1E46AE1C">
      <w:start w:val="1"/>
      <w:numFmt w:val="decimal"/>
      <w:lvlText w:val="%1."/>
      <w:lvlJc w:val="left"/>
      <w:pPr>
        <w:ind w:left="720" w:hanging="360"/>
      </w:pPr>
      <w:rPr>
        <w:rFonts w:hint="default"/>
        <w:u w:val="singl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3F961C2A"/>
    <w:multiLevelType w:val="hybridMultilevel"/>
    <w:tmpl w:val="E3C21D7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5C85D6E"/>
    <w:multiLevelType w:val="hybridMultilevel"/>
    <w:tmpl w:val="34F613F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EFB386C"/>
    <w:multiLevelType w:val="hybridMultilevel"/>
    <w:tmpl w:val="EA02064E"/>
    <w:lvl w:ilvl="0" w:tplc="A85ED166">
      <w:start w:val="7"/>
      <w:numFmt w:val="bullet"/>
      <w:lvlText w:val="-"/>
      <w:lvlJc w:val="left"/>
      <w:pPr>
        <w:ind w:left="785" w:hanging="360"/>
      </w:pPr>
      <w:rPr>
        <w:rFonts w:ascii="Calibri" w:eastAsiaTheme="minorHAnsi" w:hAnsi="Calibri" w:cstheme="minorBidi" w:hint="default"/>
      </w:rPr>
    </w:lvl>
    <w:lvl w:ilvl="1" w:tplc="280A0003" w:tentative="1">
      <w:start w:val="1"/>
      <w:numFmt w:val="bullet"/>
      <w:lvlText w:val="o"/>
      <w:lvlJc w:val="left"/>
      <w:pPr>
        <w:ind w:left="1505" w:hanging="360"/>
      </w:pPr>
      <w:rPr>
        <w:rFonts w:ascii="Courier New" w:hAnsi="Courier New" w:cs="Courier New" w:hint="default"/>
      </w:rPr>
    </w:lvl>
    <w:lvl w:ilvl="2" w:tplc="280A0005" w:tentative="1">
      <w:start w:val="1"/>
      <w:numFmt w:val="bullet"/>
      <w:lvlText w:val=""/>
      <w:lvlJc w:val="left"/>
      <w:pPr>
        <w:ind w:left="2225" w:hanging="360"/>
      </w:pPr>
      <w:rPr>
        <w:rFonts w:ascii="Wingdings" w:hAnsi="Wingdings" w:hint="default"/>
      </w:rPr>
    </w:lvl>
    <w:lvl w:ilvl="3" w:tplc="280A0001" w:tentative="1">
      <w:start w:val="1"/>
      <w:numFmt w:val="bullet"/>
      <w:lvlText w:val=""/>
      <w:lvlJc w:val="left"/>
      <w:pPr>
        <w:ind w:left="2945" w:hanging="360"/>
      </w:pPr>
      <w:rPr>
        <w:rFonts w:ascii="Symbol" w:hAnsi="Symbol" w:hint="default"/>
      </w:rPr>
    </w:lvl>
    <w:lvl w:ilvl="4" w:tplc="280A0003" w:tentative="1">
      <w:start w:val="1"/>
      <w:numFmt w:val="bullet"/>
      <w:lvlText w:val="o"/>
      <w:lvlJc w:val="left"/>
      <w:pPr>
        <w:ind w:left="3665" w:hanging="360"/>
      </w:pPr>
      <w:rPr>
        <w:rFonts w:ascii="Courier New" w:hAnsi="Courier New" w:cs="Courier New" w:hint="default"/>
      </w:rPr>
    </w:lvl>
    <w:lvl w:ilvl="5" w:tplc="280A0005" w:tentative="1">
      <w:start w:val="1"/>
      <w:numFmt w:val="bullet"/>
      <w:lvlText w:val=""/>
      <w:lvlJc w:val="left"/>
      <w:pPr>
        <w:ind w:left="4385" w:hanging="360"/>
      </w:pPr>
      <w:rPr>
        <w:rFonts w:ascii="Wingdings" w:hAnsi="Wingdings" w:hint="default"/>
      </w:rPr>
    </w:lvl>
    <w:lvl w:ilvl="6" w:tplc="280A0001" w:tentative="1">
      <w:start w:val="1"/>
      <w:numFmt w:val="bullet"/>
      <w:lvlText w:val=""/>
      <w:lvlJc w:val="left"/>
      <w:pPr>
        <w:ind w:left="5105" w:hanging="360"/>
      </w:pPr>
      <w:rPr>
        <w:rFonts w:ascii="Symbol" w:hAnsi="Symbol" w:hint="default"/>
      </w:rPr>
    </w:lvl>
    <w:lvl w:ilvl="7" w:tplc="280A0003" w:tentative="1">
      <w:start w:val="1"/>
      <w:numFmt w:val="bullet"/>
      <w:lvlText w:val="o"/>
      <w:lvlJc w:val="left"/>
      <w:pPr>
        <w:ind w:left="5825" w:hanging="360"/>
      </w:pPr>
      <w:rPr>
        <w:rFonts w:ascii="Courier New" w:hAnsi="Courier New" w:cs="Courier New" w:hint="default"/>
      </w:rPr>
    </w:lvl>
    <w:lvl w:ilvl="8" w:tplc="280A0005" w:tentative="1">
      <w:start w:val="1"/>
      <w:numFmt w:val="bullet"/>
      <w:lvlText w:val=""/>
      <w:lvlJc w:val="left"/>
      <w:pPr>
        <w:ind w:left="6545" w:hanging="360"/>
      </w:pPr>
      <w:rPr>
        <w:rFonts w:ascii="Wingdings" w:hAnsi="Wingdings" w:hint="default"/>
      </w:rPr>
    </w:lvl>
  </w:abstractNum>
  <w:abstractNum w:abstractNumId="27" w15:restartNumberingAfterBreak="0">
    <w:nsid w:val="518814DD"/>
    <w:multiLevelType w:val="multilevel"/>
    <w:tmpl w:val="981842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8F1ABD"/>
    <w:multiLevelType w:val="hybridMultilevel"/>
    <w:tmpl w:val="D3064DDC"/>
    <w:lvl w:ilvl="0" w:tplc="C16CFCDC">
      <w:numFmt w:val="bullet"/>
      <w:lvlText w:val="•"/>
      <w:lvlJc w:val="left"/>
      <w:pPr>
        <w:ind w:left="360" w:hanging="360"/>
      </w:pPr>
      <w:rPr>
        <w:rFonts w:ascii="Calibri" w:eastAsiaTheme="minorHAnsi" w:hAnsi="Calibri" w:cs="Arial" w:hint="default"/>
      </w:rPr>
    </w:lvl>
    <w:lvl w:ilvl="1" w:tplc="5712AFE8">
      <w:numFmt w:val="bullet"/>
      <w:lvlText w:val=""/>
      <w:lvlJc w:val="left"/>
      <w:pPr>
        <w:ind w:left="1440" w:hanging="360"/>
      </w:pPr>
      <w:rPr>
        <w:rFonts w:ascii="Symbol" w:eastAsiaTheme="minorHAnsi" w:hAnsi="Symbol"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64A2676"/>
    <w:multiLevelType w:val="multilevel"/>
    <w:tmpl w:val="F71EEF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CF7CDE"/>
    <w:multiLevelType w:val="hybridMultilevel"/>
    <w:tmpl w:val="5240E3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EDC6C91"/>
    <w:multiLevelType w:val="hybridMultilevel"/>
    <w:tmpl w:val="B94AF6B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5B932AE"/>
    <w:multiLevelType w:val="hybridMultilevel"/>
    <w:tmpl w:val="E7DA5A26"/>
    <w:lvl w:ilvl="0" w:tplc="E16CA740">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C110A99"/>
    <w:multiLevelType w:val="multilevel"/>
    <w:tmpl w:val="F71EEF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032E9C"/>
    <w:multiLevelType w:val="hybridMultilevel"/>
    <w:tmpl w:val="8996D8B0"/>
    <w:lvl w:ilvl="0" w:tplc="C16CFCDC">
      <w:numFmt w:val="bullet"/>
      <w:lvlText w:val="•"/>
      <w:lvlJc w:val="left"/>
      <w:pPr>
        <w:ind w:left="720" w:hanging="360"/>
      </w:pPr>
      <w:rPr>
        <w:rFonts w:ascii="Calibri" w:eastAsiaTheme="minorHAnsi" w:hAnsi="Calibri" w:cs="Arial" w:hint="default"/>
      </w:rPr>
    </w:lvl>
    <w:lvl w:ilvl="1" w:tplc="280A0003">
      <w:start w:val="1"/>
      <w:numFmt w:val="bullet"/>
      <w:lvlText w:val="o"/>
      <w:lvlJc w:val="left"/>
      <w:pPr>
        <w:ind w:left="1440" w:hanging="360"/>
      </w:pPr>
      <w:rPr>
        <w:rFonts w:ascii="Courier New" w:hAnsi="Courier New" w:cs="Courier New" w:hint="default"/>
      </w:rPr>
    </w:lvl>
    <w:lvl w:ilvl="2" w:tplc="8DD49ACC">
      <w:start w:val="51"/>
      <w:numFmt w:val="bullet"/>
      <w:lvlText w:val="-"/>
      <w:lvlJc w:val="left"/>
      <w:pPr>
        <w:ind w:left="2160" w:hanging="360"/>
      </w:pPr>
      <w:rPr>
        <w:rFonts w:ascii="Calibri" w:eastAsiaTheme="minorHAnsi" w:hAnsi="Calibri" w:cstheme="minorBidi"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4621D26"/>
    <w:multiLevelType w:val="hybridMultilevel"/>
    <w:tmpl w:val="322E5C2C"/>
    <w:lvl w:ilvl="0" w:tplc="6D523E0A">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62C4B90"/>
    <w:multiLevelType w:val="hybridMultilevel"/>
    <w:tmpl w:val="D5A223A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97C6E6B"/>
    <w:multiLevelType w:val="hybridMultilevel"/>
    <w:tmpl w:val="C37A900E"/>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3"/>
  </w:num>
  <w:num w:numId="2">
    <w:abstractNumId w:val="28"/>
  </w:num>
  <w:num w:numId="3">
    <w:abstractNumId w:val="34"/>
  </w:num>
  <w:num w:numId="4">
    <w:abstractNumId w:val="14"/>
  </w:num>
  <w:num w:numId="5">
    <w:abstractNumId w:val="35"/>
  </w:num>
  <w:num w:numId="6">
    <w:abstractNumId w:val="36"/>
  </w:num>
  <w:num w:numId="7">
    <w:abstractNumId w:val="31"/>
  </w:num>
  <w:num w:numId="8">
    <w:abstractNumId w:val="18"/>
  </w:num>
  <w:num w:numId="9">
    <w:abstractNumId w:val="3"/>
  </w:num>
  <w:num w:numId="10">
    <w:abstractNumId w:val="24"/>
  </w:num>
  <w:num w:numId="11">
    <w:abstractNumId w:val="2"/>
  </w:num>
  <w:num w:numId="12">
    <w:abstractNumId w:val="12"/>
  </w:num>
  <w:num w:numId="13">
    <w:abstractNumId w:val="25"/>
  </w:num>
  <w:num w:numId="14">
    <w:abstractNumId w:val="7"/>
  </w:num>
  <w:num w:numId="15">
    <w:abstractNumId w:val="22"/>
  </w:num>
  <w:num w:numId="16">
    <w:abstractNumId w:val="19"/>
  </w:num>
  <w:num w:numId="17">
    <w:abstractNumId w:val="17"/>
  </w:num>
  <w:num w:numId="18">
    <w:abstractNumId w:val="15"/>
  </w:num>
  <w:num w:numId="19">
    <w:abstractNumId w:val="27"/>
  </w:num>
  <w:num w:numId="20">
    <w:abstractNumId w:val="33"/>
  </w:num>
  <w:num w:numId="21">
    <w:abstractNumId w:val="6"/>
  </w:num>
  <w:num w:numId="22">
    <w:abstractNumId w:val="29"/>
  </w:num>
  <w:num w:numId="23">
    <w:abstractNumId w:val="21"/>
  </w:num>
  <w:num w:numId="24">
    <w:abstractNumId w:val="32"/>
  </w:num>
  <w:num w:numId="25">
    <w:abstractNumId w:val="0"/>
  </w:num>
  <w:num w:numId="26">
    <w:abstractNumId w:val="37"/>
  </w:num>
  <w:num w:numId="27">
    <w:abstractNumId w:val="5"/>
  </w:num>
  <w:num w:numId="28">
    <w:abstractNumId w:val="16"/>
  </w:num>
  <w:num w:numId="29">
    <w:abstractNumId w:val="26"/>
  </w:num>
  <w:num w:numId="30">
    <w:abstractNumId w:val="10"/>
  </w:num>
  <w:num w:numId="31">
    <w:abstractNumId w:val="30"/>
  </w:num>
  <w:num w:numId="32">
    <w:abstractNumId w:val="8"/>
  </w:num>
  <w:num w:numId="33">
    <w:abstractNumId w:val="20"/>
  </w:num>
  <w:num w:numId="34">
    <w:abstractNumId w:val="11"/>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3"/>
  </w:num>
  <w:num w:numId="38">
    <w:abstractNumId w:val="9"/>
  </w:num>
  <w:num w:numId="3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69"/>
    <w:rsid w:val="00000388"/>
    <w:rsid w:val="00003D89"/>
    <w:rsid w:val="00003DBC"/>
    <w:rsid w:val="00003FCE"/>
    <w:rsid w:val="00010DC3"/>
    <w:rsid w:val="00011808"/>
    <w:rsid w:val="00013EC0"/>
    <w:rsid w:val="00014A31"/>
    <w:rsid w:val="00016B8B"/>
    <w:rsid w:val="000207D7"/>
    <w:rsid w:val="00026FAD"/>
    <w:rsid w:val="00030ED0"/>
    <w:rsid w:val="000326E9"/>
    <w:rsid w:val="00033088"/>
    <w:rsid w:val="0003553B"/>
    <w:rsid w:val="00040D2C"/>
    <w:rsid w:val="00043689"/>
    <w:rsid w:val="00046F3C"/>
    <w:rsid w:val="00053596"/>
    <w:rsid w:val="0005747A"/>
    <w:rsid w:val="00061951"/>
    <w:rsid w:val="00067EC2"/>
    <w:rsid w:val="00080654"/>
    <w:rsid w:val="000834F6"/>
    <w:rsid w:val="00084A02"/>
    <w:rsid w:val="000921DE"/>
    <w:rsid w:val="00095484"/>
    <w:rsid w:val="000A074A"/>
    <w:rsid w:val="000B16C4"/>
    <w:rsid w:val="000B4CD3"/>
    <w:rsid w:val="000B5217"/>
    <w:rsid w:val="000B613B"/>
    <w:rsid w:val="000C661D"/>
    <w:rsid w:val="000C6B21"/>
    <w:rsid w:val="000D0DF8"/>
    <w:rsid w:val="000D293F"/>
    <w:rsid w:val="000D4A9D"/>
    <w:rsid w:val="000E0488"/>
    <w:rsid w:val="000E0F12"/>
    <w:rsid w:val="000E1EC0"/>
    <w:rsid w:val="000E394A"/>
    <w:rsid w:val="000E5CE1"/>
    <w:rsid w:val="000F7255"/>
    <w:rsid w:val="000F7B44"/>
    <w:rsid w:val="00102519"/>
    <w:rsid w:val="0010384A"/>
    <w:rsid w:val="00105837"/>
    <w:rsid w:val="00131DC0"/>
    <w:rsid w:val="00133B92"/>
    <w:rsid w:val="00137011"/>
    <w:rsid w:val="00137FD3"/>
    <w:rsid w:val="00141D64"/>
    <w:rsid w:val="0014607C"/>
    <w:rsid w:val="0014608C"/>
    <w:rsid w:val="00150479"/>
    <w:rsid w:val="001518A9"/>
    <w:rsid w:val="00155B1D"/>
    <w:rsid w:val="00157F6F"/>
    <w:rsid w:val="00162F34"/>
    <w:rsid w:val="001715DF"/>
    <w:rsid w:val="001754FE"/>
    <w:rsid w:val="001774C1"/>
    <w:rsid w:val="00183EC4"/>
    <w:rsid w:val="0018559B"/>
    <w:rsid w:val="00185A10"/>
    <w:rsid w:val="00187A5D"/>
    <w:rsid w:val="00194361"/>
    <w:rsid w:val="001A0533"/>
    <w:rsid w:val="001A1549"/>
    <w:rsid w:val="001A2EE9"/>
    <w:rsid w:val="001A502B"/>
    <w:rsid w:val="001A62C9"/>
    <w:rsid w:val="001B08C0"/>
    <w:rsid w:val="001B6855"/>
    <w:rsid w:val="001C1CC3"/>
    <w:rsid w:val="001C55F9"/>
    <w:rsid w:val="001C574F"/>
    <w:rsid w:val="001D5B6D"/>
    <w:rsid w:val="001E3564"/>
    <w:rsid w:val="001E67E3"/>
    <w:rsid w:val="001E7B18"/>
    <w:rsid w:val="001E7FBA"/>
    <w:rsid w:val="001F04BA"/>
    <w:rsid w:val="001F057B"/>
    <w:rsid w:val="001F1972"/>
    <w:rsid w:val="001F2A73"/>
    <w:rsid w:val="001F5DE1"/>
    <w:rsid w:val="002052A3"/>
    <w:rsid w:val="00217E5E"/>
    <w:rsid w:val="0022247B"/>
    <w:rsid w:val="00226F50"/>
    <w:rsid w:val="00230A74"/>
    <w:rsid w:val="0023219F"/>
    <w:rsid w:val="00252DAE"/>
    <w:rsid w:val="002536E7"/>
    <w:rsid w:val="00256659"/>
    <w:rsid w:val="002601C3"/>
    <w:rsid w:val="00265D44"/>
    <w:rsid w:val="00272BDF"/>
    <w:rsid w:val="00276384"/>
    <w:rsid w:val="002802A5"/>
    <w:rsid w:val="00283C4F"/>
    <w:rsid w:val="00286327"/>
    <w:rsid w:val="002908C4"/>
    <w:rsid w:val="00291388"/>
    <w:rsid w:val="00292778"/>
    <w:rsid w:val="00292AB2"/>
    <w:rsid w:val="00292C3D"/>
    <w:rsid w:val="0029488C"/>
    <w:rsid w:val="00295641"/>
    <w:rsid w:val="00297BB5"/>
    <w:rsid w:val="002A0A31"/>
    <w:rsid w:val="002A2EC8"/>
    <w:rsid w:val="002A46AD"/>
    <w:rsid w:val="002A768F"/>
    <w:rsid w:val="002B5D82"/>
    <w:rsid w:val="002C2EAC"/>
    <w:rsid w:val="002C33FD"/>
    <w:rsid w:val="002C3498"/>
    <w:rsid w:val="002C57E1"/>
    <w:rsid w:val="002D077F"/>
    <w:rsid w:val="002D1068"/>
    <w:rsid w:val="002D2BFC"/>
    <w:rsid w:val="002D5D75"/>
    <w:rsid w:val="002E020B"/>
    <w:rsid w:val="002E0267"/>
    <w:rsid w:val="002E436B"/>
    <w:rsid w:val="002E6930"/>
    <w:rsid w:val="002F1E3A"/>
    <w:rsid w:val="002F3E0D"/>
    <w:rsid w:val="002F584B"/>
    <w:rsid w:val="002F7763"/>
    <w:rsid w:val="00300607"/>
    <w:rsid w:val="00301F4A"/>
    <w:rsid w:val="00303F9E"/>
    <w:rsid w:val="003068B4"/>
    <w:rsid w:val="003118C0"/>
    <w:rsid w:val="00322D70"/>
    <w:rsid w:val="00332B2C"/>
    <w:rsid w:val="00333322"/>
    <w:rsid w:val="00334F32"/>
    <w:rsid w:val="00342527"/>
    <w:rsid w:val="00354F7F"/>
    <w:rsid w:val="00356DC8"/>
    <w:rsid w:val="00363FBD"/>
    <w:rsid w:val="0036515C"/>
    <w:rsid w:val="00366D3C"/>
    <w:rsid w:val="00370B1F"/>
    <w:rsid w:val="0039116C"/>
    <w:rsid w:val="003965C5"/>
    <w:rsid w:val="00397837"/>
    <w:rsid w:val="003A2D55"/>
    <w:rsid w:val="003A3521"/>
    <w:rsid w:val="003A3ABE"/>
    <w:rsid w:val="003A67F1"/>
    <w:rsid w:val="003B1927"/>
    <w:rsid w:val="003B2A82"/>
    <w:rsid w:val="003B2DEA"/>
    <w:rsid w:val="003B5489"/>
    <w:rsid w:val="003B56D1"/>
    <w:rsid w:val="003B6D32"/>
    <w:rsid w:val="003C3A07"/>
    <w:rsid w:val="003D2BC9"/>
    <w:rsid w:val="003D453C"/>
    <w:rsid w:val="003E084F"/>
    <w:rsid w:val="003E0C45"/>
    <w:rsid w:val="003E230A"/>
    <w:rsid w:val="003E335D"/>
    <w:rsid w:val="003F04D3"/>
    <w:rsid w:val="003F1BBB"/>
    <w:rsid w:val="003F2BBE"/>
    <w:rsid w:val="003F3745"/>
    <w:rsid w:val="003F6EFB"/>
    <w:rsid w:val="004004E4"/>
    <w:rsid w:val="00403384"/>
    <w:rsid w:val="004112EE"/>
    <w:rsid w:val="0041190D"/>
    <w:rsid w:val="0041466B"/>
    <w:rsid w:val="0041534B"/>
    <w:rsid w:val="00416DF6"/>
    <w:rsid w:val="00417497"/>
    <w:rsid w:val="00417D25"/>
    <w:rsid w:val="00420F02"/>
    <w:rsid w:val="00422E97"/>
    <w:rsid w:val="0042693B"/>
    <w:rsid w:val="00432DBA"/>
    <w:rsid w:val="00437A19"/>
    <w:rsid w:val="00437AF4"/>
    <w:rsid w:val="00440A2E"/>
    <w:rsid w:val="0045073C"/>
    <w:rsid w:val="0045087F"/>
    <w:rsid w:val="00451876"/>
    <w:rsid w:val="00453003"/>
    <w:rsid w:val="00462647"/>
    <w:rsid w:val="00464347"/>
    <w:rsid w:val="00465D73"/>
    <w:rsid w:val="00474434"/>
    <w:rsid w:val="00476B1E"/>
    <w:rsid w:val="00477C37"/>
    <w:rsid w:val="004832CD"/>
    <w:rsid w:val="00484745"/>
    <w:rsid w:val="00485BE5"/>
    <w:rsid w:val="004929BF"/>
    <w:rsid w:val="00494E52"/>
    <w:rsid w:val="004A336F"/>
    <w:rsid w:val="004A6FB0"/>
    <w:rsid w:val="004B5C6B"/>
    <w:rsid w:val="004C1255"/>
    <w:rsid w:val="004C59BF"/>
    <w:rsid w:val="004C6192"/>
    <w:rsid w:val="004C6F9D"/>
    <w:rsid w:val="004D1EFB"/>
    <w:rsid w:val="004D2932"/>
    <w:rsid w:val="004D6D70"/>
    <w:rsid w:val="004E710A"/>
    <w:rsid w:val="004F01B9"/>
    <w:rsid w:val="004F0321"/>
    <w:rsid w:val="004F084B"/>
    <w:rsid w:val="004F4B63"/>
    <w:rsid w:val="004F4F72"/>
    <w:rsid w:val="004F73C6"/>
    <w:rsid w:val="004F7FFA"/>
    <w:rsid w:val="0050313B"/>
    <w:rsid w:val="00507ADD"/>
    <w:rsid w:val="00517891"/>
    <w:rsid w:val="00532047"/>
    <w:rsid w:val="005325F5"/>
    <w:rsid w:val="005344FD"/>
    <w:rsid w:val="005345C5"/>
    <w:rsid w:val="0054576D"/>
    <w:rsid w:val="0054597C"/>
    <w:rsid w:val="0054781D"/>
    <w:rsid w:val="00547837"/>
    <w:rsid w:val="00554757"/>
    <w:rsid w:val="00555444"/>
    <w:rsid w:val="0055554C"/>
    <w:rsid w:val="00555583"/>
    <w:rsid w:val="00556F28"/>
    <w:rsid w:val="0056200A"/>
    <w:rsid w:val="0057062F"/>
    <w:rsid w:val="0057286D"/>
    <w:rsid w:val="00577FBE"/>
    <w:rsid w:val="00596BF3"/>
    <w:rsid w:val="005A2F4D"/>
    <w:rsid w:val="005A348E"/>
    <w:rsid w:val="005A56D4"/>
    <w:rsid w:val="005A6487"/>
    <w:rsid w:val="005A7DCF"/>
    <w:rsid w:val="005B48BE"/>
    <w:rsid w:val="005C0EE3"/>
    <w:rsid w:val="005C55C1"/>
    <w:rsid w:val="005D0114"/>
    <w:rsid w:val="005D75C7"/>
    <w:rsid w:val="005E32C3"/>
    <w:rsid w:val="005E6E1A"/>
    <w:rsid w:val="005F1ACA"/>
    <w:rsid w:val="005F46ED"/>
    <w:rsid w:val="006025E0"/>
    <w:rsid w:val="00604687"/>
    <w:rsid w:val="00604C38"/>
    <w:rsid w:val="00606260"/>
    <w:rsid w:val="0061224E"/>
    <w:rsid w:val="00612734"/>
    <w:rsid w:val="00614F58"/>
    <w:rsid w:val="00617CDE"/>
    <w:rsid w:val="00621383"/>
    <w:rsid w:val="0062249D"/>
    <w:rsid w:val="00623C2B"/>
    <w:rsid w:val="00627CC2"/>
    <w:rsid w:val="006312F9"/>
    <w:rsid w:val="006316FC"/>
    <w:rsid w:val="00631E57"/>
    <w:rsid w:val="00634011"/>
    <w:rsid w:val="00635ACD"/>
    <w:rsid w:val="00643370"/>
    <w:rsid w:val="00645431"/>
    <w:rsid w:val="006465DE"/>
    <w:rsid w:val="006466AE"/>
    <w:rsid w:val="00650841"/>
    <w:rsid w:val="006612ED"/>
    <w:rsid w:val="00661842"/>
    <w:rsid w:val="0067247B"/>
    <w:rsid w:val="00672F76"/>
    <w:rsid w:val="006824B0"/>
    <w:rsid w:val="00682653"/>
    <w:rsid w:val="006857C8"/>
    <w:rsid w:val="00686C23"/>
    <w:rsid w:val="00690EE6"/>
    <w:rsid w:val="00693F9E"/>
    <w:rsid w:val="00697D27"/>
    <w:rsid w:val="006A119E"/>
    <w:rsid w:val="006A4DC6"/>
    <w:rsid w:val="006A5CBF"/>
    <w:rsid w:val="006A5EAA"/>
    <w:rsid w:val="006A6F3E"/>
    <w:rsid w:val="006B7435"/>
    <w:rsid w:val="006B7922"/>
    <w:rsid w:val="006C1ECD"/>
    <w:rsid w:val="006C5AC6"/>
    <w:rsid w:val="006C6276"/>
    <w:rsid w:val="006C7870"/>
    <w:rsid w:val="006D20EF"/>
    <w:rsid w:val="006D3389"/>
    <w:rsid w:val="006D7F16"/>
    <w:rsid w:val="006E1C75"/>
    <w:rsid w:val="006E5344"/>
    <w:rsid w:val="006F10D2"/>
    <w:rsid w:val="0070372D"/>
    <w:rsid w:val="00704AD8"/>
    <w:rsid w:val="00707D64"/>
    <w:rsid w:val="00710DDB"/>
    <w:rsid w:val="0071359E"/>
    <w:rsid w:val="00721EAD"/>
    <w:rsid w:val="007253CA"/>
    <w:rsid w:val="00727C09"/>
    <w:rsid w:val="00736DB9"/>
    <w:rsid w:val="00737BCB"/>
    <w:rsid w:val="00740134"/>
    <w:rsid w:val="00740726"/>
    <w:rsid w:val="007408F3"/>
    <w:rsid w:val="0074549C"/>
    <w:rsid w:val="00746982"/>
    <w:rsid w:val="00747136"/>
    <w:rsid w:val="00750D8C"/>
    <w:rsid w:val="00751285"/>
    <w:rsid w:val="007514E6"/>
    <w:rsid w:val="00751688"/>
    <w:rsid w:val="00753DF3"/>
    <w:rsid w:val="00755E9E"/>
    <w:rsid w:val="00760C83"/>
    <w:rsid w:val="00767F8F"/>
    <w:rsid w:val="00771D37"/>
    <w:rsid w:val="00774B23"/>
    <w:rsid w:val="00775C4E"/>
    <w:rsid w:val="00776621"/>
    <w:rsid w:val="0078568C"/>
    <w:rsid w:val="00785DA5"/>
    <w:rsid w:val="00787D24"/>
    <w:rsid w:val="00790122"/>
    <w:rsid w:val="00791090"/>
    <w:rsid w:val="00795B4F"/>
    <w:rsid w:val="0079680E"/>
    <w:rsid w:val="007A27A4"/>
    <w:rsid w:val="007A5847"/>
    <w:rsid w:val="007A713F"/>
    <w:rsid w:val="007B2AA3"/>
    <w:rsid w:val="007B3829"/>
    <w:rsid w:val="007B599E"/>
    <w:rsid w:val="007B6A82"/>
    <w:rsid w:val="007C1FFC"/>
    <w:rsid w:val="007C4C54"/>
    <w:rsid w:val="007C6E9B"/>
    <w:rsid w:val="007D02E0"/>
    <w:rsid w:val="007D3A3A"/>
    <w:rsid w:val="007D5D3D"/>
    <w:rsid w:val="007E51B6"/>
    <w:rsid w:val="007E696A"/>
    <w:rsid w:val="007F1890"/>
    <w:rsid w:val="007F41C6"/>
    <w:rsid w:val="007F57C0"/>
    <w:rsid w:val="007F6FF5"/>
    <w:rsid w:val="0080368D"/>
    <w:rsid w:val="0080510B"/>
    <w:rsid w:val="0081131D"/>
    <w:rsid w:val="00813B02"/>
    <w:rsid w:val="008316A6"/>
    <w:rsid w:val="00836A6F"/>
    <w:rsid w:val="008402F9"/>
    <w:rsid w:val="00846A0F"/>
    <w:rsid w:val="008616E3"/>
    <w:rsid w:val="00863769"/>
    <w:rsid w:val="008637D9"/>
    <w:rsid w:val="00866EFD"/>
    <w:rsid w:val="00872D59"/>
    <w:rsid w:val="00877B2F"/>
    <w:rsid w:val="00880A2F"/>
    <w:rsid w:val="00887082"/>
    <w:rsid w:val="00891F42"/>
    <w:rsid w:val="00892267"/>
    <w:rsid w:val="00895AA1"/>
    <w:rsid w:val="0089632D"/>
    <w:rsid w:val="008A35A2"/>
    <w:rsid w:val="008B16E3"/>
    <w:rsid w:val="008B6C96"/>
    <w:rsid w:val="008B7C56"/>
    <w:rsid w:val="008C7310"/>
    <w:rsid w:val="008D1830"/>
    <w:rsid w:val="008D4D0E"/>
    <w:rsid w:val="008D6E1D"/>
    <w:rsid w:val="008D79F2"/>
    <w:rsid w:val="008E646B"/>
    <w:rsid w:val="008F0795"/>
    <w:rsid w:val="008F1376"/>
    <w:rsid w:val="008F1EC4"/>
    <w:rsid w:val="0091291D"/>
    <w:rsid w:val="009149B9"/>
    <w:rsid w:val="00914CAA"/>
    <w:rsid w:val="009156BE"/>
    <w:rsid w:val="009174F1"/>
    <w:rsid w:val="00917C1E"/>
    <w:rsid w:val="0092101E"/>
    <w:rsid w:val="00922112"/>
    <w:rsid w:val="009247D5"/>
    <w:rsid w:val="00925413"/>
    <w:rsid w:val="00925A15"/>
    <w:rsid w:val="00930A8F"/>
    <w:rsid w:val="00931B30"/>
    <w:rsid w:val="00934932"/>
    <w:rsid w:val="00937E5F"/>
    <w:rsid w:val="00942DA5"/>
    <w:rsid w:val="0094403F"/>
    <w:rsid w:val="00946542"/>
    <w:rsid w:val="009465AB"/>
    <w:rsid w:val="00946AC7"/>
    <w:rsid w:val="00950913"/>
    <w:rsid w:val="0095252E"/>
    <w:rsid w:val="009562AF"/>
    <w:rsid w:val="00957AB1"/>
    <w:rsid w:val="00960F48"/>
    <w:rsid w:val="00961C5B"/>
    <w:rsid w:val="009620B4"/>
    <w:rsid w:val="00965A6F"/>
    <w:rsid w:val="009705A7"/>
    <w:rsid w:val="009708AC"/>
    <w:rsid w:val="009733F1"/>
    <w:rsid w:val="009736B2"/>
    <w:rsid w:val="009764C1"/>
    <w:rsid w:val="009823C9"/>
    <w:rsid w:val="00984751"/>
    <w:rsid w:val="00984797"/>
    <w:rsid w:val="00985BA3"/>
    <w:rsid w:val="00993549"/>
    <w:rsid w:val="009949D8"/>
    <w:rsid w:val="009973E7"/>
    <w:rsid w:val="009A46A0"/>
    <w:rsid w:val="009A6EA8"/>
    <w:rsid w:val="009B09B1"/>
    <w:rsid w:val="009B0ED0"/>
    <w:rsid w:val="009B1E45"/>
    <w:rsid w:val="009B30F8"/>
    <w:rsid w:val="009B4668"/>
    <w:rsid w:val="009B7859"/>
    <w:rsid w:val="009C0345"/>
    <w:rsid w:val="009C4483"/>
    <w:rsid w:val="009C650B"/>
    <w:rsid w:val="009C73B8"/>
    <w:rsid w:val="009C7D2E"/>
    <w:rsid w:val="009E1186"/>
    <w:rsid w:val="009E1946"/>
    <w:rsid w:val="009F43BD"/>
    <w:rsid w:val="009F6616"/>
    <w:rsid w:val="009F7BE1"/>
    <w:rsid w:val="00A01145"/>
    <w:rsid w:val="00A14B06"/>
    <w:rsid w:val="00A227EF"/>
    <w:rsid w:val="00A22DD4"/>
    <w:rsid w:val="00A24BA6"/>
    <w:rsid w:val="00A24D19"/>
    <w:rsid w:val="00A27E2C"/>
    <w:rsid w:val="00A34967"/>
    <w:rsid w:val="00A353C5"/>
    <w:rsid w:val="00A433A8"/>
    <w:rsid w:val="00A44858"/>
    <w:rsid w:val="00A52E5B"/>
    <w:rsid w:val="00A56D20"/>
    <w:rsid w:val="00A6024D"/>
    <w:rsid w:val="00A62313"/>
    <w:rsid w:val="00A659E7"/>
    <w:rsid w:val="00A662B4"/>
    <w:rsid w:val="00A71214"/>
    <w:rsid w:val="00A71EBF"/>
    <w:rsid w:val="00A7226D"/>
    <w:rsid w:val="00A7398B"/>
    <w:rsid w:val="00A73B3E"/>
    <w:rsid w:val="00A76A85"/>
    <w:rsid w:val="00A80FBE"/>
    <w:rsid w:val="00A819C8"/>
    <w:rsid w:val="00A8706E"/>
    <w:rsid w:val="00A87193"/>
    <w:rsid w:val="00A90888"/>
    <w:rsid w:val="00A92ED0"/>
    <w:rsid w:val="00AB01CB"/>
    <w:rsid w:val="00AB1482"/>
    <w:rsid w:val="00AB6865"/>
    <w:rsid w:val="00AD03C5"/>
    <w:rsid w:val="00AD61B0"/>
    <w:rsid w:val="00AD750F"/>
    <w:rsid w:val="00AD77DD"/>
    <w:rsid w:val="00AD7A1F"/>
    <w:rsid w:val="00AE05FA"/>
    <w:rsid w:val="00AE075E"/>
    <w:rsid w:val="00AE2C1B"/>
    <w:rsid w:val="00AF0C03"/>
    <w:rsid w:val="00B020D5"/>
    <w:rsid w:val="00B1053C"/>
    <w:rsid w:val="00B142D6"/>
    <w:rsid w:val="00B23295"/>
    <w:rsid w:val="00B23AE2"/>
    <w:rsid w:val="00B26A08"/>
    <w:rsid w:val="00B26CD5"/>
    <w:rsid w:val="00B26F9C"/>
    <w:rsid w:val="00B3700A"/>
    <w:rsid w:val="00B4434D"/>
    <w:rsid w:val="00B56704"/>
    <w:rsid w:val="00B56E74"/>
    <w:rsid w:val="00B61F0C"/>
    <w:rsid w:val="00B620B0"/>
    <w:rsid w:val="00B621D7"/>
    <w:rsid w:val="00B64C0E"/>
    <w:rsid w:val="00B67CF8"/>
    <w:rsid w:val="00B70722"/>
    <w:rsid w:val="00B743BD"/>
    <w:rsid w:val="00B757AD"/>
    <w:rsid w:val="00B76B11"/>
    <w:rsid w:val="00B77EE6"/>
    <w:rsid w:val="00B8145B"/>
    <w:rsid w:val="00B87CE3"/>
    <w:rsid w:val="00B92A7C"/>
    <w:rsid w:val="00B93A83"/>
    <w:rsid w:val="00B94DA4"/>
    <w:rsid w:val="00B950A6"/>
    <w:rsid w:val="00B9724B"/>
    <w:rsid w:val="00BA0D46"/>
    <w:rsid w:val="00BA10FA"/>
    <w:rsid w:val="00BB53A4"/>
    <w:rsid w:val="00BB53EA"/>
    <w:rsid w:val="00BC0084"/>
    <w:rsid w:val="00BC1A00"/>
    <w:rsid w:val="00BC2C91"/>
    <w:rsid w:val="00BC42E0"/>
    <w:rsid w:val="00BD0A65"/>
    <w:rsid w:val="00BD56A7"/>
    <w:rsid w:val="00BD5764"/>
    <w:rsid w:val="00BD6E05"/>
    <w:rsid w:val="00BE1AF1"/>
    <w:rsid w:val="00BF16CD"/>
    <w:rsid w:val="00BF42B5"/>
    <w:rsid w:val="00BF4CCD"/>
    <w:rsid w:val="00BF5406"/>
    <w:rsid w:val="00BF6F66"/>
    <w:rsid w:val="00BF76DF"/>
    <w:rsid w:val="00C01D66"/>
    <w:rsid w:val="00C06C11"/>
    <w:rsid w:val="00C0701E"/>
    <w:rsid w:val="00C12DAB"/>
    <w:rsid w:val="00C1649A"/>
    <w:rsid w:val="00C1707E"/>
    <w:rsid w:val="00C20BCC"/>
    <w:rsid w:val="00C20F88"/>
    <w:rsid w:val="00C23910"/>
    <w:rsid w:val="00C268A9"/>
    <w:rsid w:val="00C512EA"/>
    <w:rsid w:val="00C5223F"/>
    <w:rsid w:val="00C5666D"/>
    <w:rsid w:val="00C660A0"/>
    <w:rsid w:val="00C67622"/>
    <w:rsid w:val="00C72C76"/>
    <w:rsid w:val="00C76543"/>
    <w:rsid w:val="00C8410F"/>
    <w:rsid w:val="00C91317"/>
    <w:rsid w:val="00C959CD"/>
    <w:rsid w:val="00C95BE9"/>
    <w:rsid w:val="00C96786"/>
    <w:rsid w:val="00C97D72"/>
    <w:rsid w:val="00CA0DBF"/>
    <w:rsid w:val="00CB555B"/>
    <w:rsid w:val="00CB6664"/>
    <w:rsid w:val="00CB7D22"/>
    <w:rsid w:val="00CC2065"/>
    <w:rsid w:val="00CC22B8"/>
    <w:rsid w:val="00CC30F4"/>
    <w:rsid w:val="00CC31D5"/>
    <w:rsid w:val="00CC7C54"/>
    <w:rsid w:val="00CD1969"/>
    <w:rsid w:val="00CE27FC"/>
    <w:rsid w:val="00CE2C4B"/>
    <w:rsid w:val="00CE637F"/>
    <w:rsid w:val="00D0378F"/>
    <w:rsid w:val="00D03B8D"/>
    <w:rsid w:val="00D115B9"/>
    <w:rsid w:val="00D12754"/>
    <w:rsid w:val="00D206DC"/>
    <w:rsid w:val="00D20C0D"/>
    <w:rsid w:val="00D21EEF"/>
    <w:rsid w:val="00D23395"/>
    <w:rsid w:val="00D23D00"/>
    <w:rsid w:val="00D25A90"/>
    <w:rsid w:val="00D316EF"/>
    <w:rsid w:val="00D3201D"/>
    <w:rsid w:val="00D35598"/>
    <w:rsid w:val="00D362B8"/>
    <w:rsid w:val="00D36817"/>
    <w:rsid w:val="00D46851"/>
    <w:rsid w:val="00D50FAE"/>
    <w:rsid w:val="00D5233D"/>
    <w:rsid w:val="00D52AB4"/>
    <w:rsid w:val="00D55406"/>
    <w:rsid w:val="00D55FE7"/>
    <w:rsid w:val="00D5714A"/>
    <w:rsid w:val="00D5726E"/>
    <w:rsid w:val="00D639E1"/>
    <w:rsid w:val="00D74322"/>
    <w:rsid w:val="00D74C8D"/>
    <w:rsid w:val="00D76BF5"/>
    <w:rsid w:val="00D82494"/>
    <w:rsid w:val="00D90726"/>
    <w:rsid w:val="00D92CB3"/>
    <w:rsid w:val="00DA0C25"/>
    <w:rsid w:val="00DA118E"/>
    <w:rsid w:val="00DA4243"/>
    <w:rsid w:val="00DA60C9"/>
    <w:rsid w:val="00DA646D"/>
    <w:rsid w:val="00DB0754"/>
    <w:rsid w:val="00DB16EF"/>
    <w:rsid w:val="00DB32F8"/>
    <w:rsid w:val="00DB6B27"/>
    <w:rsid w:val="00DD0875"/>
    <w:rsid w:val="00DD22FF"/>
    <w:rsid w:val="00DD4540"/>
    <w:rsid w:val="00DD54CA"/>
    <w:rsid w:val="00DD5576"/>
    <w:rsid w:val="00DD6B7C"/>
    <w:rsid w:val="00DE5160"/>
    <w:rsid w:val="00DE54ED"/>
    <w:rsid w:val="00DF077D"/>
    <w:rsid w:val="00DF378C"/>
    <w:rsid w:val="00DF54FD"/>
    <w:rsid w:val="00DF5991"/>
    <w:rsid w:val="00E0319E"/>
    <w:rsid w:val="00E035D9"/>
    <w:rsid w:val="00E05792"/>
    <w:rsid w:val="00E06D1A"/>
    <w:rsid w:val="00E107BA"/>
    <w:rsid w:val="00E11724"/>
    <w:rsid w:val="00E15257"/>
    <w:rsid w:val="00E202F8"/>
    <w:rsid w:val="00E24E47"/>
    <w:rsid w:val="00E3074B"/>
    <w:rsid w:val="00E35A26"/>
    <w:rsid w:val="00E43EE9"/>
    <w:rsid w:val="00E47B58"/>
    <w:rsid w:val="00E521FA"/>
    <w:rsid w:val="00E56170"/>
    <w:rsid w:val="00E57D79"/>
    <w:rsid w:val="00E60C30"/>
    <w:rsid w:val="00E64553"/>
    <w:rsid w:val="00E64984"/>
    <w:rsid w:val="00E815BE"/>
    <w:rsid w:val="00E83EAE"/>
    <w:rsid w:val="00E84EB3"/>
    <w:rsid w:val="00E92126"/>
    <w:rsid w:val="00E93AFD"/>
    <w:rsid w:val="00E9422B"/>
    <w:rsid w:val="00E96152"/>
    <w:rsid w:val="00E975F8"/>
    <w:rsid w:val="00EA115B"/>
    <w:rsid w:val="00EA3DFB"/>
    <w:rsid w:val="00EA6623"/>
    <w:rsid w:val="00EA73DF"/>
    <w:rsid w:val="00EB2A9D"/>
    <w:rsid w:val="00EB3F67"/>
    <w:rsid w:val="00EB66E2"/>
    <w:rsid w:val="00EB7D49"/>
    <w:rsid w:val="00EC093D"/>
    <w:rsid w:val="00EC1DA7"/>
    <w:rsid w:val="00ED2BC8"/>
    <w:rsid w:val="00ED30E7"/>
    <w:rsid w:val="00ED36F3"/>
    <w:rsid w:val="00ED5561"/>
    <w:rsid w:val="00ED6439"/>
    <w:rsid w:val="00EE0E86"/>
    <w:rsid w:val="00EE1316"/>
    <w:rsid w:val="00EE271F"/>
    <w:rsid w:val="00EE2B5D"/>
    <w:rsid w:val="00EE3DCE"/>
    <w:rsid w:val="00EE42C5"/>
    <w:rsid w:val="00EE593E"/>
    <w:rsid w:val="00EE7888"/>
    <w:rsid w:val="00EF33B6"/>
    <w:rsid w:val="00EF4C68"/>
    <w:rsid w:val="00F00205"/>
    <w:rsid w:val="00F0257B"/>
    <w:rsid w:val="00F03BB9"/>
    <w:rsid w:val="00F04869"/>
    <w:rsid w:val="00F06FFF"/>
    <w:rsid w:val="00F10EA2"/>
    <w:rsid w:val="00F165D1"/>
    <w:rsid w:val="00F17075"/>
    <w:rsid w:val="00F201DB"/>
    <w:rsid w:val="00F22552"/>
    <w:rsid w:val="00F25102"/>
    <w:rsid w:val="00F25989"/>
    <w:rsid w:val="00F27589"/>
    <w:rsid w:val="00F33302"/>
    <w:rsid w:val="00F35A90"/>
    <w:rsid w:val="00F40088"/>
    <w:rsid w:val="00F424C2"/>
    <w:rsid w:val="00F46AC6"/>
    <w:rsid w:val="00F4752D"/>
    <w:rsid w:val="00F5091C"/>
    <w:rsid w:val="00F53BB2"/>
    <w:rsid w:val="00F56713"/>
    <w:rsid w:val="00F5712A"/>
    <w:rsid w:val="00F60A46"/>
    <w:rsid w:val="00F71D3E"/>
    <w:rsid w:val="00F72608"/>
    <w:rsid w:val="00F8353E"/>
    <w:rsid w:val="00F85784"/>
    <w:rsid w:val="00FA0AF3"/>
    <w:rsid w:val="00FA34F2"/>
    <w:rsid w:val="00FA5532"/>
    <w:rsid w:val="00FB45DB"/>
    <w:rsid w:val="00FB5841"/>
    <w:rsid w:val="00FC30C6"/>
    <w:rsid w:val="00FC3A70"/>
    <w:rsid w:val="00FC3E8A"/>
    <w:rsid w:val="00FC4007"/>
    <w:rsid w:val="00FD0155"/>
    <w:rsid w:val="00FD1C08"/>
    <w:rsid w:val="00FD258C"/>
    <w:rsid w:val="00FE56E4"/>
    <w:rsid w:val="00FF3EFC"/>
    <w:rsid w:val="00FF60A6"/>
    <w:rsid w:val="00FF644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8A147B-D5E4-4014-8C3E-561B1205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062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61F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56D20"/>
    <w:pPr>
      <w:keepNext/>
      <w:autoSpaceDE w:val="0"/>
      <w:autoSpaceDN w:val="0"/>
      <w:adjustRightInd w:val="0"/>
      <w:spacing w:after="0" w:line="240" w:lineRule="auto"/>
      <w:outlineLvl w:val="2"/>
    </w:pPr>
    <w:rPr>
      <w:rFonts w:ascii="Gotham Bold" w:hAnsi="Gotham Bold" w:cs="Gotham Bold"/>
      <w:b/>
      <w:color w:val="000000"/>
      <w:sz w:val="20"/>
      <w:szCs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20B0"/>
    <w:pPr>
      <w:ind w:left="720"/>
      <w:contextualSpacing/>
    </w:pPr>
  </w:style>
  <w:style w:type="character" w:customStyle="1" w:styleId="Ttulo1Car">
    <w:name w:val="Título 1 Car"/>
    <w:basedOn w:val="Fuentedeprrafopredeter"/>
    <w:link w:val="Ttulo1"/>
    <w:uiPriority w:val="9"/>
    <w:rsid w:val="00606260"/>
    <w:rPr>
      <w:rFonts w:asciiTheme="majorHAnsi" w:eastAsiaTheme="majorEastAsia" w:hAnsiTheme="majorHAnsi" w:cstheme="majorBidi"/>
      <w:b/>
      <w:bCs/>
      <w:color w:val="365F91" w:themeColor="accent1" w:themeShade="BF"/>
      <w:sz w:val="28"/>
      <w:szCs w:val="28"/>
    </w:rPr>
  </w:style>
  <w:style w:type="paragraph" w:styleId="Citadestacada">
    <w:name w:val="Intense Quote"/>
    <w:basedOn w:val="Normal"/>
    <w:next w:val="Normal"/>
    <w:link w:val="CitadestacadaCar"/>
    <w:uiPriority w:val="30"/>
    <w:qFormat/>
    <w:rsid w:val="00606260"/>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606260"/>
    <w:rPr>
      <w:b/>
      <w:bCs/>
      <w:i/>
      <w:iCs/>
      <w:color w:val="4F81BD" w:themeColor="accent1"/>
    </w:rPr>
  </w:style>
  <w:style w:type="character" w:styleId="Hipervnculo">
    <w:name w:val="Hyperlink"/>
    <w:basedOn w:val="Fuentedeprrafopredeter"/>
    <w:uiPriority w:val="99"/>
    <w:unhideWhenUsed/>
    <w:rsid w:val="00A7398B"/>
    <w:rPr>
      <w:color w:val="0000FF" w:themeColor="hyperlink"/>
      <w:u w:val="single"/>
    </w:rPr>
  </w:style>
  <w:style w:type="paragraph" w:styleId="NormalWeb">
    <w:name w:val="Normal (Web)"/>
    <w:basedOn w:val="Normal"/>
    <w:uiPriority w:val="99"/>
    <w:unhideWhenUsed/>
    <w:rsid w:val="00A7398B"/>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Sinespaciado">
    <w:name w:val="No Spacing"/>
    <w:link w:val="SinespaciadoCar"/>
    <w:uiPriority w:val="1"/>
    <w:qFormat/>
    <w:rsid w:val="00F27589"/>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F27589"/>
    <w:rPr>
      <w:rFonts w:eastAsiaTheme="minorEastAsia"/>
      <w:lang w:eastAsia="es-GT"/>
    </w:rPr>
  </w:style>
  <w:style w:type="paragraph" w:styleId="Textodeglobo">
    <w:name w:val="Balloon Text"/>
    <w:basedOn w:val="Normal"/>
    <w:link w:val="TextodegloboCar"/>
    <w:uiPriority w:val="99"/>
    <w:semiHidden/>
    <w:unhideWhenUsed/>
    <w:rsid w:val="00F275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589"/>
    <w:rPr>
      <w:rFonts w:ascii="Tahoma" w:hAnsi="Tahoma" w:cs="Tahoma"/>
      <w:sz w:val="16"/>
      <w:szCs w:val="16"/>
    </w:rPr>
  </w:style>
  <w:style w:type="table" w:styleId="Tablaconcuadrcula">
    <w:name w:val="Table Grid"/>
    <w:basedOn w:val="Tablanormal"/>
    <w:uiPriority w:val="39"/>
    <w:rsid w:val="00C2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C20BC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2-nfasis1">
    <w:name w:val="Medium Grid 2 Accent 1"/>
    <w:basedOn w:val="Tablanormal"/>
    <w:uiPriority w:val="68"/>
    <w:rsid w:val="00EB7D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3-nfasis1">
    <w:name w:val="Medium Grid 3 Accent 1"/>
    <w:basedOn w:val="Tablanormal"/>
    <w:uiPriority w:val="69"/>
    <w:rsid w:val="00E942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Encabezado">
    <w:name w:val="header"/>
    <w:basedOn w:val="Normal"/>
    <w:link w:val="EncabezadoCar"/>
    <w:uiPriority w:val="99"/>
    <w:unhideWhenUsed/>
    <w:rsid w:val="00BC42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2E0"/>
  </w:style>
  <w:style w:type="paragraph" w:styleId="Piedepgina">
    <w:name w:val="footer"/>
    <w:basedOn w:val="Normal"/>
    <w:link w:val="PiedepginaCar"/>
    <w:uiPriority w:val="99"/>
    <w:unhideWhenUsed/>
    <w:rsid w:val="00BC42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2E0"/>
  </w:style>
  <w:style w:type="character" w:styleId="Refdecomentario">
    <w:name w:val="annotation reference"/>
    <w:semiHidden/>
    <w:unhideWhenUsed/>
    <w:rsid w:val="00D362B8"/>
    <w:rPr>
      <w:sz w:val="16"/>
      <w:szCs w:val="16"/>
    </w:rPr>
  </w:style>
  <w:style w:type="character" w:styleId="Hipervnculovisitado">
    <w:name w:val="FollowedHyperlink"/>
    <w:basedOn w:val="Fuentedeprrafopredeter"/>
    <w:uiPriority w:val="99"/>
    <w:semiHidden/>
    <w:unhideWhenUsed/>
    <w:rsid w:val="00D362B8"/>
    <w:rPr>
      <w:color w:val="800080" w:themeColor="followedHyperlink"/>
      <w:u w:val="single"/>
    </w:rPr>
  </w:style>
  <w:style w:type="paragraph" w:customStyle="1" w:styleId="Standard">
    <w:name w:val="Standard"/>
    <w:rsid w:val="00D362B8"/>
    <w:pPr>
      <w:suppressAutoHyphens/>
      <w:autoSpaceDN w:val="0"/>
      <w:textAlignment w:val="baseline"/>
    </w:pPr>
    <w:rPr>
      <w:rFonts w:ascii="Calibri" w:eastAsia="Arial Unicode MS" w:hAnsi="Calibri" w:cs="Calibri"/>
      <w:kern w:val="3"/>
    </w:rPr>
  </w:style>
  <w:style w:type="paragraph" w:customStyle="1" w:styleId="Default">
    <w:name w:val="Default"/>
    <w:rsid w:val="00D362B8"/>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rsid w:val="00B61F0C"/>
    <w:rPr>
      <w:rFonts w:asciiTheme="majorHAnsi" w:eastAsiaTheme="majorEastAsia" w:hAnsiTheme="majorHAnsi" w:cstheme="majorBidi"/>
      <w:b/>
      <w:bCs/>
      <w:color w:val="4F81BD" w:themeColor="accent1"/>
      <w:sz w:val="26"/>
      <w:szCs w:val="26"/>
    </w:rPr>
  </w:style>
  <w:style w:type="paragraph" w:styleId="ndice1">
    <w:name w:val="index 1"/>
    <w:basedOn w:val="Normal"/>
    <w:next w:val="Normal"/>
    <w:autoRedefine/>
    <w:uiPriority w:val="99"/>
    <w:unhideWhenUsed/>
    <w:rsid w:val="001E3564"/>
    <w:pPr>
      <w:spacing w:after="0"/>
      <w:ind w:left="220" w:hanging="220"/>
    </w:pPr>
    <w:rPr>
      <w:sz w:val="24"/>
      <w:szCs w:val="18"/>
    </w:rPr>
  </w:style>
  <w:style w:type="paragraph" w:styleId="ndice2">
    <w:name w:val="index 2"/>
    <w:basedOn w:val="Normal"/>
    <w:next w:val="Normal"/>
    <w:autoRedefine/>
    <w:uiPriority w:val="99"/>
    <w:unhideWhenUsed/>
    <w:rsid w:val="001E3564"/>
    <w:pPr>
      <w:spacing w:after="0"/>
      <w:ind w:left="440" w:hanging="220"/>
    </w:pPr>
    <w:rPr>
      <w:sz w:val="18"/>
      <w:szCs w:val="18"/>
    </w:rPr>
  </w:style>
  <w:style w:type="paragraph" w:styleId="ndice3">
    <w:name w:val="index 3"/>
    <w:basedOn w:val="Normal"/>
    <w:next w:val="Normal"/>
    <w:autoRedefine/>
    <w:uiPriority w:val="99"/>
    <w:unhideWhenUsed/>
    <w:rsid w:val="001E3564"/>
    <w:pPr>
      <w:spacing w:after="0"/>
      <w:ind w:left="660" w:hanging="220"/>
    </w:pPr>
    <w:rPr>
      <w:sz w:val="18"/>
      <w:szCs w:val="18"/>
    </w:rPr>
  </w:style>
  <w:style w:type="paragraph" w:styleId="ndice4">
    <w:name w:val="index 4"/>
    <w:basedOn w:val="Normal"/>
    <w:next w:val="Normal"/>
    <w:autoRedefine/>
    <w:uiPriority w:val="99"/>
    <w:unhideWhenUsed/>
    <w:rsid w:val="001E3564"/>
    <w:pPr>
      <w:spacing w:after="0"/>
      <w:ind w:left="880" w:hanging="220"/>
    </w:pPr>
    <w:rPr>
      <w:sz w:val="18"/>
      <w:szCs w:val="18"/>
    </w:rPr>
  </w:style>
  <w:style w:type="paragraph" w:styleId="ndice5">
    <w:name w:val="index 5"/>
    <w:basedOn w:val="Normal"/>
    <w:next w:val="Normal"/>
    <w:autoRedefine/>
    <w:uiPriority w:val="99"/>
    <w:unhideWhenUsed/>
    <w:rsid w:val="001E3564"/>
    <w:pPr>
      <w:spacing w:after="0"/>
      <w:ind w:left="1100" w:hanging="220"/>
    </w:pPr>
    <w:rPr>
      <w:sz w:val="18"/>
      <w:szCs w:val="18"/>
    </w:rPr>
  </w:style>
  <w:style w:type="paragraph" w:styleId="ndice6">
    <w:name w:val="index 6"/>
    <w:basedOn w:val="Normal"/>
    <w:next w:val="Normal"/>
    <w:autoRedefine/>
    <w:uiPriority w:val="99"/>
    <w:unhideWhenUsed/>
    <w:rsid w:val="001E3564"/>
    <w:pPr>
      <w:spacing w:after="0"/>
      <w:ind w:left="1320" w:hanging="220"/>
    </w:pPr>
    <w:rPr>
      <w:sz w:val="18"/>
      <w:szCs w:val="18"/>
    </w:rPr>
  </w:style>
  <w:style w:type="paragraph" w:styleId="ndice7">
    <w:name w:val="index 7"/>
    <w:basedOn w:val="Normal"/>
    <w:next w:val="Normal"/>
    <w:autoRedefine/>
    <w:uiPriority w:val="99"/>
    <w:unhideWhenUsed/>
    <w:rsid w:val="001E3564"/>
    <w:pPr>
      <w:spacing w:after="0"/>
      <w:ind w:left="1540" w:hanging="220"/>
    </w:pPr>
    <w:rPr>
      <w:sz w:val="18"/>
      <w:szCs w:val="18"/>
    </w:rPr>
  </w:style>
  <w:style w:type="paragraph" w:styleId="ndice8">
    <w:name w:val="index 8"/>
    <w:basedOn w:val="Normal"/>
    <w:next w:val="Normal"/>
    <w:autoRedefine/>
    <w:uiPriority w:val="99"/>
    <w:unhideWhenUsed/>
    <w:rsid w:val="001E3564"/>
    <w:pPr>
      <w:spacing w:after="0"/>
      <w:ind w:left="1760" w:hanging="220"/>
    </w:pPr>
    <w:rPr>
      <w:sz w:val="18"/>
      <w:szCs w:val="18"/>
    </w:rPr>
  </w:style>
  <w:style w:type="paragraph" w:styleId="ndice9">
    <w:name w:val="index 9"/>
    <w:basedOn w:val="Normal"/>
    <w:next w:val="Normal"/>
    <w:autoRedefine/>
    <w:uiPriority w:val="99"/>
    <w:unhideWhenUsed/>
    <w:rsid w:val="001E3564"/>
    <w:pPr>
      <w:spacing w:after="0"/>
      <w:ind w:left="1980" w:hanging="220"/>
    </w:pPr>
    <w:rPr>
      <w:sz w:val="18"/>
      <w:szCs w:val="18"/>
    </w:rPr>
  </w:style>
  <w:style w:type="paragraph" w:styleId="Ttulodendice">
    <w:name w:val="index heading"/>
    <w:basedOn w:val="Normal"/>
    <w:next w:val="ndice1"/>
    <w:uiPriority w:val="99"/>
    <w:unhideWhenUsed/>
    <w:rsid w:val="001E3564"/>
    <w:pPr>
      <w:spacing w:before="240" w:after="120"/>
      <w:ind w:left="140"/>
    </w:pPr>
    <w:rPr>
      <w:rFonts w:asciiTheme="majorHAnsi" w:hAnsiTheme="majorHAnsi"/>
      <w:b/>
      <w:bCs/>
      <w:sz w:val="28"/>
      <w:szCs w:val="28"/>
    </w:rPr>
  </w:style>
  <w:style w:type="paragraph" w:styleId="TtulodeTDC">
    <w:name w:val="TOC Heading"/>
    <w:basedOn w:val="Ttulo1"/>
    <w:next w:val="Normal"/>
    <w:uiPriority w:val="39"/>
    <w:unhideWhenUsed/>
    <w:qFormat/>
    <w:rsid w:val="00946AC7"/>
    <w:pPr>
      <w:outlineLvl w:val="9"/>
    </w:pPr>
    <w:rPr>
      <w:lang w:eastAsia="es-GT"/>
    </w:rPr>
  </w:style>
  <w:style w:type="paragraph" w:styleId="TDC1">
    <w:name w:val="toc 1"/>
    <w:basedOn w:val="Ttulo1"/>
    <w:next w:val="Default"/>
    <w:link w:val="TDC1Car"/>
    <w:autoRedefine/>
    <w:uiPriority w:val="39"/>
    <w:unhideWhenUsed/>
    <w:qFormat/>
    <w:rsid w:val="00BF76DF"/>
    <w:pPr>
      <w:tabs>
        <w:tab w:val="left" w:pos="284"/>
        <w:tab w:val="left" w:pos="660"/>
        <w:tab w:val="right" w:pos="8828"/>
      </w:tabs>
      <w:spacing w:after="100"/>
      <w:jc w:val="both"/>
    </w:pPr>
  </w:style>
  <w:style w:type="paragraph" w:styleId="TDC2">
    <w:name w:val="toc 2"/>
    <w:basedOn w:val="Normal"/>
    <w:next w:val="Normal"/>
    <w:autoRedefine/>
    <w:uiPriority w:val="39"/>
    <w:unhideWhenUsed/>
    <w:qFormat/>
    <w:rsid w:val="004F4F72"/>
    <w:pPr>
      <w:tabs>
        <w:tab w:val="left" w:pos="660"/>
        <w:tab w:val="right" w:leader="dot" w:pos="8828"/>
      </w:tabs>
      <w:spacing w:after="100"/>
      <w:ind w:left="220"/>
    </w:pPr>
    <w:rPr>
      <w:rFonts w:ascii="Calibri" w:hAnsi="Calibri"/>
      <w:b/>
      <w:noProof/>
      <w:color w:val="365F91" w:themeColor="accent1" w:themeShade="BF"/>
      <w:sz w:val="26"/>
      <w:szCs w:val="26"/>
    </w:rPr>
  </w:style>
  <w:style w:type="character" w:customStyle="1" w:styleId="TDC1Car">
    <w:name w:val="TDC 1 Car"/>
    <w:basedOn w:val="Ttulo1Car"/>
    <w:link w:val="TDC1"/>
    <w:uiPriority w:val="39"/>
    <w:rsid w:val="00BF76DF"/>
    <w:rPr>
      <w:rFonts w:asciiTheme="majorHAnsi" w:eastAsiaTheme="majorEastAsia" w:hAnsiTheme="majorHAnsi" w:cstheme="majorBidi"/>
      <w:b/>
      <w:bCs/>
      <w:color w:val="365F91" w:themeColor="accent1" w:themeShade="BF"/>
      <w:sz w:val="28"/>
      <w:szCs w:val="28"/>
    </w:rPr>
  </w:style>
  <w:style w:type="paragraph" w:styleId="TDC3">
    <w:name w:val="toc 3"/>
    <w:basedOn w:val="Normal"/>
    <w:next w:val="Normal"/>
    <w:autoRedefine/>
    <w:uiPriority w:val="39"/>
    <w:semiHidden/>
    <w:unhideWhenUsed/>
    <w:qFormat/>
    <w:rsid w:val="00C67622"/>
    <w:pPr>
      <w:spacing w:after="100"/>
      <w:ind w:left="440"/>
    </w:pPr>
    <w:rPr>
      <w:rFonts w:eastAsiaTheme="minorEastAsia"/>
      <w:lang w:eastAsia="es-GT"/>
    </w:rPr>
  </w:style>
  <w:style w:type="character" w:customStyle="1" w:styleId="apple-converted-space">
    <w:name w:val="apple-converted-space"/>
    <w:basedOn w:val="Fuentedeprrafopredeter"/>
    <w:rsid w:val="0092101E"/>
  </w:style>
  <w:style w:type="paragraph" w:styleId="Textonotaalfinal">
    <w:name w:val="endnote text"/>
    <w:basedOn w:val="Normal"/>
    <w:link w:val="TextonotaalfinalCar"/>
    <w:uiPriority w:val="99"/>
    <w:semiHidden/>
    <w:unhideWhenUsed/>
    <w:rsid w:val="00BC1A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C1A00"/>
    <w:rPr>
      <w:sz w:val="20"/>
      <w:szCs w:val="20"/>
    </w:rPr>
  </w:style>
  <w:style w:type="character" w:styleId="Refdenotaalfinal">
    <w:name w:val="endnote reference"/>
    <w:basedOn w:val="Fuentedeprrafopredeter"/>
    <w:uiPriority w:val="99"/>
    <w:semiHidden/>
    <w:unhideWhenUsed/>
    <w:rsid w:val="00BC1A00"/>
    <w:rPr>
      <w:vertAlign w:val="superscript"/>
    </w:rPr>
  </w:style>
  <w:style w:type="paragraph" w:styleId="Sangradetextonormal">
    <w:name w:val="Body Text Indent"/>
    <w:basedOn w:val="Normal"/>
    <w:link w:val="SangradetextonormalCar"/>
    <w:uiPriority w:val="99"/>
    <w:unhideWhenUsed/>
    <w:rsid w:val="00295641"/>
    <w:pPr>
      <w:spacing w:after="100" w:afterAutospacing="1" w:line="240" w:lineRule="auto"/>
      <w:ind w:firstLine="360"/>
      <w:jc w:val="both"/>
    </w:pPr>
  </w:style>
  <w:style w:type="character" w:customStyle="1" w:styleId="SangradetextonormalCar">
    <w:name w:val="Sangría de texto normal Car"/>
    <w:basedOn w:val="Fuentedeprrafopredeter"/>
    <w:link w:val="Sangradetextonormal"/>
    <w:uiPriority w:val="99"/>
    <w:rsid w:val="00295641"/>
  </w:style>
  <w:style w:type="character" w:customStyle="1" w:styleId="A6">
    <w:name w:val="A6"/>
    <w:uiPriority w:val="99"/>
    <w:rsid w:val="008D79F2"/>
    <w:rPr>
      <w:rFonts w:cs="Gotham"/>
      <w:i/>
      <w:iCs/>
      <w:color w:val="000000"/>
      <w:sz w:val="20"/>
      <w:szCs w:val="20"/>
    </w:rPr>
  </w:style>
  <w:style w:type="paragraph" w:styleId="Textoindependiente">
    <w:name w:val="Body Text"/>
    <w:basedOn w:val="Normal"/>
    <w:link w:val="TextoindependienteCar"/>
    <w:uiPriority w:val="99"/>
    <w:unhideWhenUsed/>
    <w:rsid w:val="008D79F2"/>
    <w:pPr>
      <w:spacing w:after="100" w:afterAutospacing="1" w:line="240" w:lineRule="auto"/>
      <w:jc w:val="both"/>
    </w:pPr>
    <w:rPr>
      <w:rFonts w:ascii="Gotham" w:hAnsi="Gotham"/>
      <w:i/>
      <w:iCs/>
      <w:color w:val="FF0000"/>
      <w:sz w:val="20"/>
      <w:szCs w:val="20"/>
      <w:lang w:val="es-PE"/>
    </w:rPr>
  </w:style>
  <w:style w:type="character" w:customStyle="1" w:styleId="TextoindependienteCar">
    <w:name w:val="Texto independiente Car"/>
    <w:basedOn w:val="Fuentedeprrafopredeter"/>
    <w:link w:val="Textoindependiente"/>
    <w:uiPriority w:val="99"/>
    <w:rsid w:val="008D79F2"/>
    <w:rPr>
      <w:rFonts w:ascii="Gotham" w:hAnsi="Gotham"/>
      <w:i/>
      <w:iCs/>
      <w:color w:val="FF0000"/>
      <w:sz w:val="20"/>
      <w:szCs w:val="20"/>
      <w:lang w:val="es-PE"/>
    </w:rPr>
  </w:style>
  <w:style w:type="paragraph" w:styleId="Textoindependiente2">
    <w:name w:val="Body Text 2"/>
    <w:basedOn w:val="Normal"/>
    <w:link w:val="Textoindependiente2Car"/>
    <w:uiPriority w:val="99"/>
    <w:unhideWhenUsed/>
    <w:rsid w:val="008D79F2"/>
    <w:pPr>
      <w:spacing w:after="100" w:afterAutospacing="1" w:line="240" w:lineRule="auto"/>
      <w:jc w:val="both"/>
    </w:pPr>
    <w:rPr>
      <w:color w:val="FF0000"/>
    </w:rPr>
  </w:style>
  <w:style w:type="character" w:customStyle="1" w:styleId="Textoindependiente2Car">
    <w:name w:val="Texto independiente 2 Car"/>
    <w:basedOn w:val="Fuentedeprrafopredeter"/>
    <w:link w:val="Textoindependiente2"/>
    <w:uiPriority w:val="99"/>
    <w:rsid w:val="008D79F2"/>
    <w:rPr>
      <w:color w:val="FF0000"/>
    </w:rPr>
  </w:style>
  <w:style w:type="character" w:customStyle="1" w:styleId="Ttulo3Car">
    <w:name w:val="Título 3 Car"/>
    <w:basedOn w:val="Fuentedeprrafopredeter"/>
    <w:link w:val="Ttulo3"/>
    <w:uiPriority w:val="9"/>
    <w:rsid w:val="00A56D20"/>
    <w:rPr>
      <w:rFonts w:ascii="Gotham Bold" w:hAnsi="Gotham Bold" w:cs="Gotham Bold"/>
      <w:b/>
      <w:color w:val="000000"/>
      <w:sz w:val="20"/>
      <w:szCs w:val="24"/>
      <w:lang w:val="es-PE"/>
    </w:rPr>
  </w:style>
  <w:style w:type="paragraph" w:customStyle="1" w:styleId="Pa6">
    <w:name w:val="Pa6"/>
    <w:basedOn w:val="Default"/>
    <w:next w:val="Default"/>
    <w:uiPriority w:val="99"/>
    <w:rsid w:val="00D55406"/>
    <w:pPr>
      <w:spacing w:line="201" w:lineRule="atLeast"/>
    </w:pPr>
    <w:rPr>
      <w:rFonts w:ascii="Gotham Bold" w:hAnsi="Gotham Bold" w:cstheme="minorBidi"/>
      <w:color w:val="auto"/>
      <w:lang w:val="es-PE"/>
    </w:rPr>
  </w:style>
  <w:style w:type="paragraph" w:customStyle="1" w:styleId="Pa1">
    <w:name w:val="Pa1"/>
    <w:basedOn w:val="Default"/>
    <w:next w:val="Default"/>
    <w:uiPriority w:val="99"/>
    <w:rsid w:val="00D55406"/>
    <w:pPr>
      <w:spacing w:line="241" w:lineRule="atLeast"/>
    </w:pPr>
    <w:rPr>
      <w:rFonts w:ascii="Gotham Bold" w:hAnsi="Gotham Bold" w:cstheme="minorBidi"/>
      <w:color w:val="auto"/>
      <w:lang w:val="es-PE"/>
    </w:rPr>
  </w:style>
  <w:style w:type="table" w:customStyle="1" w:styleId="Tablaconcuadrcula1">
    <w:name w:val="Tabla con cuadrícula1"/>
    <w:basedOn w:val="Tablanormal"/>
    <w:next w:val="Tablaconcuadrcula"/>
    <w:uiPriority w:val="59"/>
    <w:rsid w:val="009A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65D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5D44"/>
    <w:rPr>
      <w:sz w:val="20"/>
      <w:szCs w:val="20"/>
    </w:rPr>
  </w:style>
  <w:style w:type="character" w:styleId="Refdenotaalpie">
    <w:name w:val="footnote reference"/>
    <w:basedOn w:val="Fuentedeprrafopredeter"/>
    <w:uiPriority w:val="99"/>
    <w:semiHidden/>
    <w:unhideWhenUsed/>
    <w:rsid w:val="00265D44"/>
    <w:rPr>
      <w:vertAlign w:val="superscript"/>
    </w:rPr>
  </w:style>
  <w:style w:type="paragraph" w:customStyle="1" w:styleId="Normal1">
    <w:name w:val="Normal1"/>
    <w:rsid w:val="001F04BA"/>
    <w:rPr>
      <w:rFonts w:ascii="Cambria" w:eastAsia="Cambria" w:hAnsi="Cambria" w:cs="Cambria"/>
      <w:color w:val="000000"/>
      <w:lang w:val="es-ES_tradnl" w:eastAsia="es-ES"/>
    </w:rPr>
  </w:style>
  <w:style w:type="paragraph" w:styleId="Textocomentario">
    <w:name w:val="annotation text"/>
    <w:basedOn w:val="Normal"/>
    <w:link w:val="TextocomentarioCar"/>
    <w:uiPriority w:val="99"/>
    <w:semiHidden/>
    <w:unhideWhenUsed/>
    <w:rsid w:val="007401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0134"/>
    <w:rPr>
      <w:sz w:val="20"/>
      <w:szCs w:val="20"/>
    </w:rPr>
  </w:style>
  <w:style w:type="paragraph" w:styleId="Asuntodelcomentario">
    <w:name w:val="annotation subject"/>
    <w:basedOn w:val="Textocomentario"/>
    <w:next w:val="Textocomentario"/>
    <w:link w:val="AsuntodelcomentarioCar"/>
    <w:uiPriority w:val="99"/>
    <w:semiHidden/>
    <w:unhideWhenUsed/>
    <w:rsid w:val="00740134"/>
    <w:rPr>
      <w:b/>
      <w:bCs/>
    </w:rPr>
  </w:style>
  <w:style w:type="character" w:customStyle="1" w:styleId="AsuntodelcomentarioCar">
    <w:name w:val="Asunto del comentario Car"/>
    <w:basedOn w:val="TextocomentarioCar"/>
    <w:link w:val="Asuntodelcomentario"/>
    <w:uiPriority w:val="99"/>
    <w:semiHidden/>
    <w:rsid w:val="00740134"/>
    <w:rPr>
      <w:b/>
      <w:bCs/>
      <w:sz w:val="20"/>
      <w:szCs w:val="20"/>
    </w:rPr>
  </w:style>
  <w:style w:type="table" w:customStyle="1" w:styleId="Tablaconcuadrcula2">
    <w:name w:val="Tabla con cuadrícula2"/>
    <w:basedOn w:val="Tablanormal"/>
    <w:next w:val="Tablaconcuadrcula"/>
    <w:uiPriority w:val="39"/>
    <w:rsid w:val="0008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08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08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8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8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661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146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141961">
      <w:bodyDiv w:val="1"/>
      <w:marLeft w:val="0"/>
      <w:marRight w:val="0"/>
      <w:marTop w:val="0"/>
      <w:marBottom w:val="0"/>
      <w:divBdr>
        <w:top w:val="none" w:sz="0" w:space="0" w:color="auto"/>
        <w:left w:val="none" w:sz="0" w:space="0" w:color="auto"/>
        <w:bottom w:val="none" w:sz="0" w:space="0" w:color="auto"/>
        <w:right w:val="none" w:sz="0" w:space="0" w:color="auto"/>
      </w:divBdr>
    </w:div>
    <w:div w:id="541862124">
      <w:bodyDiv w:val="1"/>
      <w:marLeft w:val="0"/>
      <w:marRight w:val="0"/>
      <w:marTop w:val="0"/>
      <w:marBottom w:val="0"/>
      <w:divBdr>
        <w:top w:val="none" w:sz="0" w:space="0" w:color="auto"/>
        <w:left w:val="none" w:sz="0" w:space="0" w:color="auto"/>
        <w:bottom w:val="none" w:sz="0" w:space="0" w:color="auto"/>
        <w:right w:val="none" w:sz="0" w:space="0" w:color="auto"/>
      </w:divBdr>
    </w:div>
    <w:div w:id="554389077">
      <w:bodyDiv w:val="1"/>
      <w:marLeft w:val="0"/>
      <w:marRight w:val="0"/>
      <w:marTop w:val="0"/>
      <w:marBottom w:val="0"/>
      <w:divBdr>
        <w:top w:val="none" w:sz="0" w:space="0" w:color="auto"/>
        <w:left w:val="none" w:sz="0" w:space="0" w:color="auto"/>
        <w:bottom w:val="none" w:sz="0" w:space="0" w:color="auto"/>
        <w:right w:val="none" w:sz="0" w:space="0" w:color="auto"/>
      </w:divBdr>
      <w:divsChild>
        <w:div w:id="307974547">
          <w:marLeft w:val="547"/>
          <w:marRight w:val="0"/>
          <w:marTop w:val="115"/>
          <w:marBottom w:val="0"/>
          <w:divBdr>
            <w:top w:val="none" w:sz="0" w:space="0" w:color="auto"/>
            <w:left w:val="none" w:sz="0" w:space="0" w:color="auto"/>
            <w:bottom w:val="none" w:sz="0" w:space="0" w:color="auto"/>
            <w:right w:val="none" w:sz="0" w:space="0" w:color="auto"/>
          </w:divBdr>
        </w:div>
        <w:div w:id="643003104">
          <w:marLeft w:val="547"/>
          <w:marRight w:val="0"/>
          <w:marTop w:val="115"/>
          <w:marBottom w:val="0"/>
          <w:divBdr>
            <w:top w:val="none" w:sz="0" w:space="0" w:color="auto"/>
            <w:left w:val="none" w:sz="0" w:space="0" w:color="auto"/>
            <w:bottom w:val="none" w:sz="0" w:space="0" w:color="auto"/>
            <w:right w:val="none" w:sz="0" w:space="0" w:color="auto"/>
          </w:divBdr>
        </w:div>
        <w:div w:id="1097947785">
          <w:marLeft w:val="547"/>
          <w:marRight w:val="0"/>
          <w:marTop w:val="115"/>
          <w:marBottom w:val="0"/>
          <w:divBdr>
            <w:top w:val="none" w:sz="0" w:space="0" w:color="auto"/>
            <w:left w:val="none" w:sz="0" w:space="0" w:color="auto"/>
            <w:bottom w:val="none" w:sz="0" w:space="0" w:color="auto"/>
            <w:right w:val="none" w:sz="0" w:space="0" w:color="auto"/>
          </w:divBdr>
        </w:div>
        <w:div w:id="1179080575">
          <w:marLeft w:val="547"/>
          <w:marRight w:val="0"/>
          <w:marTop w:val="115"/>
          <w:marBottom w:val="0"/>
          <w:divBdr>
            <w:top w:val="none" w:sz="0" w:space="0" w:color="auto"/>
            <w:left w:val="none" w:sz="0" w:space="0" w:color="auto"/>
            <w:bottom w:val="none" w:sz="0" w:space="0" w:color="auto"/>
            <w:right w:val="none" w:sz="0" w:space="0" w:color="auto"/>
          </w:divBdr>
        </w:div>
        <w:div w:id="1899854330">
          <w:marLeft w:val="547"/>
          <w:marRight w:val="0"/>
          <w:marTop w:val="115"/>
          <w:marBottom w:val="0"/>
          <w:divBdr>
            <w:top w:val="none" w:sz="0" w:space="0" w:color="auto"/>
            <w:left w:val="none" w:sz="0" w:space="0" w:color="auto"/>
            <w:bottom w:val="none" w:sz="0" w:space="0" w:color="auto"/>
            <w:right w:val="none" w:sz="0" w:space="0" w:color="auto"/>
          </w:divBdr>
        </w:div>
      </w:divsChild>
    </w:div>
    <w:div w:id="654840439">
      <w:bodyDiv w:val="1"/>
      <w:marLeft w:val="0"/>
      <w:marRight w:val="0"/>
      <w:marTop w:val="0"/>
      <w:marBottom w:val="0"/>
      <w:divBdr>
        <w:top w:val="none" w:sz="0" w:space="0" w:color="auto"/>
        <w:left w:val="none" w:sz="0" w:space="0" w:color="auto"/>
        <w:bottom w:val="none" w:sz="0" w:space="0" w:color="auto"/>
        <w:right w:val="none" w:sz="0" w:space="0" w:color="auto"/>
      </w:divBdr>
    </w:div>
    <w:div w:id="762382615">
      <w:bodyDiv w:val="1"/>
      <w:marLeft w:val="0"/>
      <w:marRight w:val="0"/>
      <w:marTop w:val="0"/>
      <w:marBottom w:val="0"/>
      <w:divBdr>
        <w:top w:val="none" w:sz="0" w:space="0" w:color="auto"/>
        <w:left w:val="none" w:sz="0" w:space="0" w:color="auto"/>
        <w:bottom w:val="none" w:sz="0" w:space="0" w:color="auto"/>
        <w:right w:val="none" w:sz="0" w:space="0" w:color="auto"/>
      </w:divBdr>
    </w:div>
    <w:div w:id="836579062">
      <w:bodyDiv w:val="1"/>
      <w:marLeft w:val="0"/>
      <w:marRight w:val="0"/>
      <w:marTop w:val="0"/>
      <w:marBottom w:val="0"/>
      <w:divBdr>
        <w:top w:val="none" w:sz="0" w:space="0" w:color="auto"/>
        <w:left w:val="none" w:sz="0" w:space="0" w:color="auto"/>
        <w:bottom w:val="none" w:sz="0" w:space="0" w:color="auto"/>
        <w:right w:val="none" w:sz="0" w:space="0" w:color="auto"/>
      </w:divBdr>
    </w:div>
    <w:div w:id="853497398">
      <w:bodyDiv w:val="1"/>
      <w:marLeft w:val="0"/>
      <w:marRight w:val="0"/>
      <w:marTop w:val="0"/>
      <w:marBottom w:val="0"/>
      <w:divBdr>
        <w:top w:val="none" w:sz="0" w:space="0" w:color="auto"/>
        <w:left w:val="none" w:sz="0" w:space="0" w:color="auto"/>
        <w:bottom w:val="none" w:sz="0" w:space="0" w:color="auto"/>
        <w:right w:val="none" w:sz="0" w:space="0" w:color="auto"/>
      </w:divBdr>
    </w:div>
    <w:div w:id="950009937">
      <w:bodyDiv w:val="1"/>
      <w:marLeft w:val="0"/>
      <w:marRight w:val="0"/>
      <w:marTop w:val="0"/>
      <w:marBottom w:val="0"/>
      <w:divBdr>
        <w:top w:val="none" w:sz="0" w:space="0" w:color="auto"/>
        <w:left w:val="none" w:sz="0" w:space="0" w:color="auto"/>
        <w:bottom w:val="none" w:sz="0" w:space="0" w:color="auto"/>
        <w:right w:val="none" w:sz="0" w:space="0" w:color="auto"/>
      </w:divBdr>
    </w:div>
    <w:div w:id="1071122081">
      <w:bodyDiv w:val="1"/>
      <w:marLeft w:val="0"/>
      <w:marRight w:val="0"/>
      <w:marTop w:val="0"/>
      <w:marBottom w:val="0"/>
      <w:divBdr>
        <w:top w:val="none" w:sz="0" w:space="0" w:color="auto"/>
        <w:left w:val="none" w:sz="0" w:space="0" w:color="auto"/>
        <w:bottom w:val="none" w:sz="0" w:space="0" w:color="auto"/>
        <w:right w:val="none" w:sz="0" w:space="0" w:color="auto"/>
      </w:divBdr>
    </w:div>
    <w:div w:id="1277369534">
      <w:bodyDiv w:val="1"/>
      <w:marLeft w:val="0"/>
      <w:marRight w:val="0"/>
      <w:marTop w:val="0"/>
      <w:marBottom w:val="0"/>
      <w:divBdr>
        <w:top w:val="none" w:sz="0" w:space="0" w:color="auto"/>
        <w:left w:val="none" w:sz="0" w:space="0" w:color="auto"/>
        <w:bottom w:val="none" w:sz="0" w:space="0" w:color="auto"/>
        <w:right w:val="none" w:sz="0" w:space="0" w:color="auto"/>
      </w:divBdr>
    </w:div>
    <w:div w:id="1386250168">
      <w:bodyDiv w:val="1"/>
      <w:marLeft w:val="0"/>
      <w:marRight w:val="0"/>
      <w:marTop w:val="0"/>
      <w:marBottom w:val="0"/>
      <w:divBdr>
        <w:top w:val="none" w:sz="0" w:space="0" w:color="auto"/>
        <w:left w:val="none" w:sz="0" w:space="0" w:color="auto"/>
        <w:bottom w:val="none" w:sz="0" w:space="0" w:color="auto"/>
        <w:right w:val="none" w:sz="0" w:space="0" w:color="auto"/>
      </w:divBdr>
    </w:div>
    <w:div w:id="1595897623">
      <w:bodyDiv w:val="1"/>
      <w:marLeft w:val="0"/>
      <w:marRight w:val="0"/>
      <w:marTop w:val="0"/>
      <w:marBottom w:val="0"/>
      <w:divBdr>
        <w:top w:val="none" w:sz="0" w:space="0" w:color="auto"/>
        <w:left w:val="none" w:sz="0" w:space="0" w:color="auto"/>
        <w:bottom w:val="none" w:sz="0" w:space="0" w:color="auto"/>
        <w:right w:val="none" w:sz="0" w:space="0" w:color="auto"/>
      </w:divBdr>
    </w:div>
    <w:div w:id="1617249176">
      <w:bodyDiv w:val="1"/>
      <w:marLeft w:val="0"/>
      <w:marRight w:val="0"/>
      <w:marTop w:val="0"/>
      <w:marBottom w:val="0"/>
      <w:divBdr>
        <w:top w:val="none" w:sz="0" w:space="0" w:color="auto"/>
        <w:left w:val="none" w:sz="0" w:space="0" w:color="auto"/>
        <w:bottom w:val="none" w:sz="0" w:space="0" w:color="auto"/>
        <w:right w:val="none" w:sz="0" w:space="0" w:color="auto"/>
      </w:divBdr>
    </w:div>
    <w:div w:id="1984117490">
      <w:bodyDiv w:val="1"/>
      <w:marLeft w:val="0"/>
      <w:marRight w:val="0"/>
      <w:marTop w:val="0"/>
      <w:marBottom w:val="0"/>
      <w:divBdr>
        <w:top w:val="none" w:sz="0" w:space="0" w:color="auto"/>
        <w:left w:val="none" w:sz="0" w:space="0" w:color="auto"/>
        <w:bottom w:val="none" w:sz="0" w:space="0" w:color="auto"/>
        <w:right w:val="none" w:sz="0" w:space="0" w:color="auto"/>
      </w:divBdr>
    </w:div>
    <w:div w:id="2032409250">
      <w:bodyDiv w:val="1"/>
      <w:marLeft w:val="0"/>
      <w:marRight w:val="0"/>
      <w:marTop w:val="0"/>
      <w:marBottom w:val="0"/>
      <w:divBdr>
        <w:top w:val="none" w:sz="0" w:space="0" w:color="auto"/>
        <w:left w:val="none" w:sz="0" w:space="0" w:color="auto"/>
        <w:bottom w:val="none" w:sz="0" w:space="0" w:color="auto"/>
        <w:right w:val="none" w:sz="0" w:space="0" w:color="auto"/>
      </w:divBdr>
    </w:div>
    <w:div w:id="213983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cm.gob.pe/gobierno_abierto_peru/" TargetMode="External"/><Relationship Id="rId18" Type="http://schemas.openxmlformats.org/officeDocument/2006/relationships/hyperlink" Target="mailto:fzavala@pcm.gob.pe" TargetMode="External"/><Relationship Id="rId26" Type="http://schemas.openxmlformats.org/officeDocument/2006/relationships/hyperlink" Target="mailto:ealarcon@contraloria.gob.pe" TargetMode="External"/><Relationship Id="rId39" Type="http://schemas.openxmlformats.org/officeDocument/2006/relationships/hyperlink" Target="http://datos.minedu.gob.pe/" TargetMode="External"/><Relationship Id="rId21" Type="http://schemas.openxmlformats.org/officeDocument/2006/relationships/hyperlink" Target="mailto:despachoministerial1@midis.gob.pe" TargetMode="External"/><Relationship Id="rId34" Type="http://schemas.openxmlformats.org/officeDocument/2006/relationships/hyperlink" Target="mailto:fzavala@pcm.gob.pe" TargetMode="External"/><Relationship Id="rId42" Type="http://schemas.openxmlformats.org/officeDocument/2006/relationships/hyperlink" Target="http://www.sat.gob.pe/websitev9/Inicio/DatosAbiertos" TargetMode="External"/><Relationship Id="rId47" Type="http://schemas.openxmlformats.org/officeDocument/2006/relationships/hyperlink" Target="http://www.mef.gob.pe/index.php?option=com_content&amp;view=section&amp;id=37&amp;Itemid=100143&amp;lang=es"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zavala@pcm.gob.pe" TargetMode="External"/><Relationship Id="rId29" Type="http://schemas.openxmlformats.org/officeDocument/2006/relationships/hyperlink" Target="mailto:ministro@mef.gob.pe" TargetMode="External"/><Relationship Id="rId11" Type="http://schemas.openxmlformats.org/officeDocument/2006/relationships/image" Target="cid:image002.jpg@01D21359.D6CC0E40" TargetMode="External"/><Relationship Id="rId24" Type="http://schemas.openxmlformats.org/officeDocument/2006/relationships/hyperlink" Target="mailto:fzavala@pcm.gob.pe" TargetMode="External"/><Relationship Id="rId32" Type="http://schemas.openxmlformats.org/officeDocument/2006/relationships/hyperlink" Target="http://www.unicef.org/peru/spanish/GastoPublico-en-ninos-ninas-adolescentes-en-Peru-1erSemestre2015.pdf" TargetMode="External"/><Relationship Id="rId37" Type="http://schemas.openxmlformats.org/officeDocument/2006/relationships/hyperlink" Target="http://jnedatosabiertos.pe/" TargetMode="External"/><Relationship Id="rId40" Type="http://schemas.openxmlformats.org/officeDocument/2006/relationships/hyperlink" Target="http://datos.concytec.gob.pe/" TargetMode="External"/><Relationship Id="rId45" Type="http://schemas.openxmlformats.org/officeDocument/2006/relationships/hyperlink" Target="http://www.mdsmp.gob.pe/datos/index.php"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hyperlink" Target="http://sgp.pcm.gob.pe/transparencia-y-acceso-a-la-informacion-publica/" TargetMode="External"/><Relationship Id="rId31" Type="http://schemas.openxmlformats.org/officeDocument/2006/relationships/hyperlink" Target="http://www.mef.gob.pe/index.php?option=com_content&amp;view=article&amp;id=3849&amp;Itemid=101531&amp;lang=es" TargetMode="External"/><Relationship Id="rId44" Type="http://schemas.openxmlformats.org/officeDocument/2006/relationships/hyperlink" Target="http://datosabiertos.msi.gob.pe/home/"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cm.gob.pe/wp-content/uploads/2014/01/PLAN_AGA.pdf" TargetMode="External"/><Relationship Id="rId22" Type="http://schemas.openxmlformats.org/officeDocument/2006/relationships/hyperlink" Target="mailto:mpastor@osce.gob.pe" TargetMode="External"/><Relationship Id="rId27" Type="http://schemas.openxmlformats.org/officeDocument/2006/relationships/hyperlink" Target="mailto:fzavala@pcm.gob.pe" TargetMode="External"/><Relationship Id="rId30" Type="http://schemas.openxmlformats.org/officeDocument/2006/relationships/hyperlink" Target="http://www.unicef.org/peruspanish/gasto-publico-ninos-ninas-adolescentes-2014.pdf" TargetMode="External"/><Relationship Id="rId35" Type="http://schemas.openxmlformats.org/officeDocument/2006/relationships/hyperlink" Target="http://www.datosabiertos.gob.pe" TargetMode="External"/><Relationship Id="rId43" Type="http://schemas.openxmlformats.org/officeDocument/2006/relationships/hyperlink" Target="http://datosabiertos.miraflores.gob.pe/home" TargetMode="External"/><Relationship Id="rId48" Type="http://schemas.openxmlformats.org/officeDocument/2006/relationships/hyperlink" Target="http://peru.gob.pe/Portal_Transparencia_Estandar/(S(j43otqcab31n3ahylscsmxu3))/pte_transparencia_inicio.aspx" TargetMode="External"/><Relationship Id="rId8" Type="http://schemas.openxmlformats.org/officeDocument/2006/relationships/image" Target="media/image1.JP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mailto:fzavala@pcm.gob.pe" TargetMode="External"/><Relationship Id="rId25" Type="http://schemas.openxmlformats.org/officeDocument/2006/relationships/hyperlink" Target="mailto:aluna@cultura.gob.pe" TargetMode="External"/><Relationship Id="rId33" Type="http://schemas.openxmlformats.org/officeDocument/2006/relationships/hyperlink" Target="http://www.mimp.gob.pe/webs/mimp/pnaia/pdf/ppto/gasto-publico-en-ninos-ninas-adolescentesNov2015.pdf" TargetMode="External"/><Relationship Id="rId38" Type="http://schemas.openxmlformats.org/officeDocument/2006/relationships/hyperlink" Target="http://datos.minsa.gob.pe/" TargetMode="External"/><Relationship Id="rId46" Type="http://schemas.openxmlformats.org/officeDocument/2006/relationships/hyperlink" Target="http://www.regionlalibertad.gob.pe/datosabiertos/" TargetMode="External"/><Relationship Id="rId20" Type="http://schemas.openxmlformats.org/officeDocument/2006/relationships/hyperlink" Target="http://www.servir.gob.pe/servir-premia-a-ganadores-de-buenas-practicas-en-gestion-de-la-capacitacion/" TargetMode="External"/><Relationship Id="rId41" Type="http://schemas.openxmlformats.org/officeDocument/2006/relationships/hyperlink" Target="http://datosabiertos.munlima.gob.p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onds.pcm.gob.pe/objetivos-y-funciones/" TargetMode="External"/><Relationship Id="rId23" Type="http://schemas.openxmlformats.org/officeDocument/2006/relationships/hyperlink" Target="mailto:gtamayo@minem.gob.pe" TargetMode="External"/><Relationship Id="rId28" Type="http://schemas.openxmlformats.org/officeDocument/2006/relationships/hyperlink" Target="mailto:amromero@mimp.gob.pe" TargetMode="External"/><Relationship Id="rId36" Type="http://schemas.openxmlformats.org/officeDocument/2006/relationships/hyperlink" Target="http://www.datosabiertos.gob.pe" TargetMode="External"/><Relationship Id="rId49" Type="http://schemas.openxmlformats.org/officeDocument/2006/relationships/hyperlink" Target="http://doc.contraloria.gob.pe/ddjj/mantenimiento/mensaj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10E12-27AB-4AA0-A8BE-81ABD77C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41</Pages>
  <Words>12530</Words>
  <Characters>68916</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GUATEMALA</vt:lpstr>
    </vt:vector>
  </TitlesOfParts>
  <Company>Microsoft</Company>
  <LinksUpToDate>false</LinksUpToDate>
  <CharactersWithSpaces>81284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GUATEMALA</dc:title>
  <dc:subject>INFORME DE AUTOEVALUACIÓN DE MEDIO TÉRMINO DEL SEGUNDO PLAN DE ACCIÓN NACIONAL DE GOBIERNO ABIERTO GUATEMALA            2014- 2016</dc:subject>
  <dc:creator>Diego Donis</dc:creator>
  <cp:keywords/>
  <dc:description/>
  <cp:lastModifiedBy>Claudia</cp:lastModifiedBy>
  <cp:revision>37</cp:revision>
  <cp:lastPrinted>2015-09-29T17:30:00Z</cp:lastPrinted>
  <dcterms:created xsi:type="dcterms:W3CDTF">2016-11-15T23:00:00Z</dcterms:created>
  <dcterms:modified xsi:type="dcterms:W3CDTF">2016-11-25T12:29:00Z</dcterms:modified>
</cp:coreProperties>
</file>