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71C" w:rsidRDefault="0085571C" w:rsidP="0085571C">
      <w:pPr>
        <w:autoSpaceDE w:val="0"/>
        <w:autoSpaceDN w:val="0"/>
        <w:adjustRightInd w:val="0"/>
        <w:spacing w:before="60" w:after="240"/>
        <w:jc w:val="left"/>
        <w:rPr>
          <w:rFonts w:cs="Arial"/>
          <w:szCs w:val="22"/>
        </w:rPr>
      </w:pPr>
    </w:p>
    <w:p w:rsidR="0085571C" w:rsidRDefault="0085571C" w:rsidP="0085571C">
      <w:pPr>
        <w:autoSpaceDE w:val="0"/>
        <w:autoSpaceDN w:val="0"/>
        <w:adjustRightInd w:val="0"/>
        <w:spacing w:before="60" w:after="240"/>
        <w:jc w:val="left"/>
        <w:rPr>
          <w:rFonts w:cs="Arial"/>
          <w:szCs w:val="22"/>
        </w:rPr>
      </w:pPr>
    </w:p>
    <w:p w:rsidR="0085571C" w:rsidRDefault="0085571C" w:rsidP="0085571C">
      <w:pPr>
        <w:autoSpaceDE w:val="0"/>
        <w:autoSpaceDN w:val="0"/>
        <w:adjustRightInd w:val="0"/>
        <w:spacing w:before="60" w:after="240"/>
        <w:jc w:val="left"/>
        <w:rPr>
          <w:rFonts w:cs="Arial"/>
          <w:szCs w:val="22"/>
        </w:rPr>
      </w:pPr>
    </w:p>
    <w:p w:rsidR="0085571C" w:rsidRDefault="0085571C" w:rsidP="0085571C">
      <w:pPr>
        <w:autoSpaceDE w:val="0"/>
        <w:autoSpaceDN w:val="0"/>
        <w:adjustRightInd w:val="0"/>
        <w:spacing w:before="60" w:after="240"/>
        <w:jc w:val="left"/>
        <w:rPr>
          <w:rFonts w:cs="Arial"/>
          <w:szCs w:val="22"/>
        </w:rPr>
      </w:pPr>
    </w:p>
    <w:p w:rsidR="0085571C" w:rsidRDefault="0085571C" w:rsidP="0085571C">
      <w:pPr>
        <w:autoSpaceDE w:val="0"/>
        <w:autoSpaceDN w:val="0"/>
        <w:adjustRightInd w:val="0"/>
        <w:spacing w:before="60" w:after="240"/>
        <w:jc w:val="left"/>
        <w:rPr>
          <w:rFonts w:cs="Arial"/>
          <w:szCs w:val="22"/>
        </w:rPr>
      </w:pPr>
    </w:p>
    <w:p w:rsidR="0085571C" w:rsidRDefault="0085571C" w:rsidP="0085571C">
      <w:pPr>
        <w:autoSpaceDE w:val="0"/>
        <w:autoSpaceDN w:val="0"/>
        <w:adjustRightInd w:val="0"/>
        <w:spacing w:before="60" w:after="240"/>
        <w:jc w:val="left"/>
        <w:rPr>
          <w:rFonts w:cs="Arial"/>
          <w:szCs w:val="22"/>
        </w:rPr>
      </w:pPr>
    </w:p>
    <w:p w:rsidR="0085571C" w:rsidRDefault="0085571C" w:rsidP="0085571C">
      <w:pPr>
        <w:rPr>
          <w:rFonts w:cs="Arial"/>
          <w:noProof/>
          <w:sz w:val="20"/>
          <w:szCs w:val="20"/>
        </w:rPr>
      </w:pPr>
    </w:p>
    <w:p w:rsidR="0085571C" w:rsidRPr="00BE0056" w:rsidRDefault="0085571C" w:rsidP="0085571C">
      <w:pPr>
        <w:pStyle w:val="Title"/>
        <w:pBdr>
          <w:top w:val="single" w:sz="24" w:space="5" w:color="5E255E"/>
          <w:bottom w:val="none" w:sz="0" w:space="0" w:color="auto"/>
        </w:pBdr>
        <w:spacing w:after="720" w:line="720" w:lineRule="atLeast"/>
        <w:jc w:val="left"/>
        <w:rPr>
          <w:rFonts w:cs="Arial"/>
          <w:b/>
          <w:color w:val="5F497A" w:themeColor="accent4" w:themeShade="BF"/>
          <w:sz w:val="56"/>
        </w:rPr>
      </w:pPr>
      <w:bookmarkStart w:id="0" w:name="_Toc461005316"/>
      <w:bookmarkStart w:id="1" w:name="_Toc460231747"/>
      <w:bookmarkStart w:id="2" w:name="_Toc436664171"/>
      <w:bookmarkStart w:id="3" w:name="_Toc431307715"/>
      <w:bookmarkStart w:id="4" w:name="_Toc431307313"/>
      <w:r w:rsidRPr="00BE0056">
        <w:rPr>
          <w:rFonts w:cs="Arial"/>
          <w:b/>
          <w:color w:val="5F497A" w:themeColor="accent4" w:themeShade="BF"/>
          <w:sz w:val="56"/>
        </w:rPr>
        <w:t xml:space="preserve">Open Government Partnership </w:t>
      </w:r>
    </w:p>
    <w:p w:rsidR="0085571C" w:rsidRPr="00BE0056" w:rsidRDefault="0085571C" w:rsidP="0085571C">
      <w:pPr>
        <w:pStyle w:val="Title"/>
        <w:pBdr>
          <w:top w:val="single" w:sz="24" w:space="5" w:color="5E255E"/>
          <w:bottom w:val="none" w:sz="0" w:space="0" w:color="auto"/>
        </w:pBdr>
        <w:spacing w:after="720" w:line="720" w:lineRule="atLeast"/>
        <w:jc w:val="left"/>
        <w:rPr>
          <w:rFonts w:cs="Arial"/>
          <w:b/>
          <w:color w:val="5F497A" w:themeColor="accent4" w:themeShade="BF"/>
          <w:sz w:val="56"/>
        </w:rPr>
      </w:pPr>
      <w:r w:rsidRPr="00BE0056">
        <w:rPr>
          <w:rFonts w:cs="Arial"/>
          <w:b/>
          <w:color w:val="5F497A" w:themeColor="accent4" w:themeShade="BF"/>
          <w:sz w:val="56"/>
        </w:rPr>
        <w:t xml:space="preserve">New Zealand </w:t>
      </w:r>
      <w:bookmarkEnd w:id="0"/>
      <w:bookmarkEnd w:id="1"/>
      <w:bookmarkEnd w:id="2"/>
      <w:bookmarkEnd w:id="3"/>
      <w:bookmarkEnd w:id="4"/>
    </w:p>
    <w:p w:rsidR="0085571C" w:rsidRPr="00BE0056" w:rsidRDefault="0085571C" w:rsidP="0085571C">
      <w:pPr>
        <w:pStyle w:val="SSCBodytext"/>
        <w:rPr>
          <w:b/>
          <w:color w:val="5F497A" w:themeColor="accent4" w:themeShade="BF"/>
        </w:rPr>
      </w:pPr>
    </w:p>
    <w:p w:rsidR="0085571C" w:rsidRPr="00BE0056" w:rsidRDefault="0085571C" w:rsidP="0085571C">
      <w:pPr>
        <w:pStyle w:val="SSCBodytext"/>
        <w:rPr>
          <w:rFonts w:eastAsia="Times New Roman" w:cs="Times New Roman"/>
          <w:b/>
          <w:color w:val="5F497A" w:themeColor="accent4" w:themeShade="BF"/>
          <w:kern w:val="28"/>
          <w:sz w:val="56"/>
          <w:szCs w:val="20"/>
        </w:rPr>
      </w:pPr>
      <w:r w:rsidRPr="00BE0056">
        <w:rPr>
          <w:rFonts w:eastAsia="Times New Roman" w:cs="Times New Roman"/>
          <w:b/>
          <w:color w:val="5F497A" w:themeColor="accent4" w:themeShade="BF"/>
          <w:kern w:val="28"/>
          <w:sz w:val="56"/>
          <w:szCs w:val="20"/>
        </w:rPr>
        <w:t>National Action Plan</w:t>
      </w:r>
    </w:p>
    <w:p w:rsidR="0085571C" w:rsidRPr="00BE0056" w:rsidRDefault="0085571C" w:rsidP="0085571C">
      <w:pPr>
        <w:pStyle w:val="SSCBodytext"/>
        <w:rPr>
          <w:rFonts w:eastAsia="Times New Roman" w:cs="Times New Roman"/>
          <w:b/>
          <w:color w:val="5F497A" w:themeColor="accent4" w:themeShade="BF"/>
          <w:kern w:val="28"/>
          <w:sz w:val="56"/>
          <w:szCs w:val="20"/>
        </w:rPr>
      </w:pPr>
      <w:r w:rsidRPr="00BE0056">
        <w:rPr>
          <w:rFonts w:eastAsia="Times New Roman" w:cs="Times New Roman"/>
          <w:b/>
          <w:color w:val="5F497A" w:themeColor="accent4" w:themeShade="BF"/>
          <w:kern w:val="28"/>
          <w:sz w:val="56"/>
          <w:szCs w:val="20"/>
        </w:rPr>
        <w:t>2016-18</w:t>
      </w:r>
    </w:p>
    <w:p w:rsidR="0085571C" w:rsidRPr="00BE0056" w:rsidRDefault="0085571C" w:rsidP="0085571C">
      <w:pPr>
        <w:pStyle w:val="Title"/>
        <w:pBdr>
          <w:bottom w:val="single" w:sz="18" w:space="10" w:color="5E255E"/>
        </w:pBdr>
        <w:spacing w:before="840" w:line="720" w:lineRule="atLeast"/>
        <w:rPr>
          <w:rFonts w:eastAsia="Times New Roman" w:cs="Times New Roman"/>
          <w:b/>
          <w:color w:val="5F497A" w:themeColor="accent4" w:themeShade="BF"/>
          <w:sz w:val="56"/>
          <w:szCs w:val="20"/>
        </w:rPr>
      </w:pPr>
      <w:bookmarkStart w:id="5" w:name="_Toc436664172"/>
      <w:bookmarkStart w:id="6" w:name="_Toc431307716"/>
      <w:bookmarkStart w:id="7" w:name="_Toc431307314"/>
      <w:bookmarkStart w:id="8" w:name="_Toc461005317"/>
      <w:bookmarkStart w:id="9" w:name="_Toc460231748"/>
      <w:r w:rsidRPr="00BE0056">
        <w:rPr>
          <w:rFonts w:cs="Arial"/>
          <w:b/>
          <w:color w:val="5F497A" w:themeColor="accent4" w:themeShade="BF"/>
          <w:sz w:val="56"/>
        </w:rPr>
        <w:t>October 201</w:t>
      </w:r>
      <w:bookmarkEnd w:id="5"/>
      <w:bookmarkEnd w:id="6"/>
      <w:bookmarkEnd w:id="7"/>
      <w:r w:rsidRPr="00BE0056">
        <w:rPr>
          <w:b/>
          <w:color w:val="5F497A" w:themeColor="accent4" w:themeShade="BF"/>
          <w:sz w:val="56"/>
        </w:rPr>
        <w:t>6</w:t>
      </w:r>
      <w:bookmarkEnd w:id="8"/>
      <w:bookmarkEnd w:id="9"/>
    </w:p>
    <w:p w:rsidR="0085571C" w:rsidRDefault="0085571C" w:rsidP="0085571C">
      <w:pPr>
        <w:autoSpaceDE w:val="0"/>
        <w:autoSpaceDN w:val="0"/>
        <w:adjustRightInd w:val="0"/>
        <w:spacing w:before="60" w:after="240"/>
        <w:jc w:val="left"/>
        <w:rPr>
          <w:rFonts w:cs="Arial"/>
          <w:szCs w:val="22"/>
        </w:rPr>
      </w:pPr>
    </w:p>
    <w:p w:rsidR="0085571C" w:rsidRDefault="0085571C" w:rsidP="0085571C">
      <w:pPr>
        <w:autoSpaceDE w:val="0"/>
        <w:autoSpaceDN w:val="0"/>
        <w:adjustRightInd w:val="0"/>
        <w:spacing w:before="60" w:after="240"/>
        <w:jc w:val="left"/>
        <w:rPr>
          <w:rFonts w:cs="Arial"/>
          <w:szCs w:val="22"/>
        </w:rPr>
      </w:pPr>
    </w:p>
    <w:p w:rsidR="0085571C" w:rsidRDefault="0085571C" w:rsidP="0085571C">
      <w:pPr>
        <w:jc w:val="right"/>
        <w:rPr>
          <w:rFonts w:cs="Arial"/>
          <w:color w:val="563F5C"/>
          <w:sz w:val="32"/>
        </w:rPr>
      </w:pPr>
    </w:p>
    <w:p w:rsidR="0085571C" w:rsidRDefault="0085571C" w:rsidP="0085571C">
      <w:pPr>
        <w:autoSpaceDE w:val="0"/>
        <w:autoSpaceDN w:val="0"/>
        <w:adjustRightInd w:val="0"/>
        <w:spacing w:before="60" w:after="240"/>
        <w:jc w:val="left"/>
        <w:rPr>
          <w:rFonts w:cs="Arial"/>
          <w:szCs w:val="22"/>
        </w:rPr>
      </w:pPr>
    </w:p>
    <w:p w:rsidR="0085571C" w:rsidRDefault="0085571C" w:rsidP="0085571C">
      <w:pPr>
        <w:rPr>
          <w:rFonts w:cs="Arial"/>
          <w:noProof/>
          <w:sz w:val="20"/>
          <w:szCs w:val="20"/>
        </w:rPr>
      </w:pPr>
    </w:p>
    <w:p w:rsidR="0085571C" w:rsidRDefault="0085571C" w:rsidP="0085571C">
      <w:pPr>
        <w:rPr>
          <w:rFonts w:cs="Arial"/>
          <w:noProof/>
          <w:sz w:val="20"/>
          <w:szCs w:val="20"/>
        </w:rPr>
      </w:pPr>
    </w:p>
    <w:p w:rsidR="0085571C" w:rsidRDefault="0085571C" w:rsidP="0085571C">
      <w:pPr>
        <w:rPr>
          <w:rFonts w:cs="Arial"/>
          <w:noProof/>
          <w:sz w:val="20"/>
          <w:szCs w:val="20"/>
        </w:rPr>
      </w:pPr>
    </w:p>
    <w:p w:rsidR="0085571C" w:rsidRDefault="0085571C" w:rsidP="0085571C">
      <w:pPr>
        <w:rPr>
          <w:rFonts w:cs="Arial"/>
          <w:noProof/>
          <w:sz w:val="20"/>
          <w:szCs w:val="20"/>
        </w:rPr>
      </w:pPr>
    </w:p>
    <w:p w:rsidR="0085571C" w:rsidRDefault="00631217" w:rsidP="0085571C">
      <w:pPr>
        <w:jc w:val="right"/>
        <w:rPr>
          <w:rFonts w:cs="Arial"/>
          <w:noProof/>
          <w:sz w:val="20"/>
          <w:szCs w:val="20"/>
        </w:rPr>
      </w:pPr>
      <w:r>
        <w:rPr>
          <w:rFonts w:cs="Arial"/>
          <w:noProof/>
          <w:szCs w:val="22"/>
          <w:lang w:eastAsia="en-NZ"/>
        </w:rPr>
        <w:pict w14:anchorId="51261F4A">
          <v:rect id="Rectangle 4" o:spid="_x0000_s1026" style="position:absolute;left:0;text-align:left;margin-left:173.2pt;margin-top:74.85pt;width:311.4pt;height:37.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" fillcolor="white [3212]" stroked="f" strokeweight="2pt"/>
        </w:pict>
      </w:r>
      <w:r w:rsidR="0085571C">
        <w:rPr>
          <w:rFonts w:cs="Arial"/>
          <w:noProof/>
          <w:szCs w:val="22"/>
          <w:lang w:eastAsia="en-NZ"/>
        </w:rPr>
        <w:drawing>
          <wp:inline distT="0" distB="0" distL="0" distR="0" wp14:anchorId="3E8B3299" wp14:editId="7D20F3D1">
            <wp:extent cx="1695450" cy="161925"/>
            <wp:effectExtent l="0" t="0" r="0" b="9525"/>
            <wp:docPr id="2" name="Picture 2" descr="newzealand-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zealand-govern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5450" cy="161925"/>
                    </a:xfrm>
                    <a:prstGeom prst="rect">
                      <a:avLst/>
                    </a:prstGeom>
                    <a:noFill/>
                    <a:ln>
                      <a:noFill/>
                    </a:ln>
                  </pic:spPr>
                </pic:pic>
              </a:graphicData>
            </a:graphic>
          </wp:inline>
        </w:drawing>
      </w:r>
    </w:p>
    <w:p w:rsidR="0009482F" w:rsidRDefault="0009482F" w:rsidP="0085571C">
      <w:pPr>
        <w:spacing w:after="0" w:line="276" w:lineRule="auto"/>
        <w:rPr>
          <w:rFonts w:cs="Arial"/>
          <w:sz w:val="20"/>
          <w:szCs w:val="20"/>
        </w:rPr>
        <w:sectPr w:rsidR="0009482F">
          <w:footerReference w:type="default" r:id="rId9"/>
          <w:footerReference w:type="first" r:id="rId10"/>
          <w:pgSz w:w="11906" w:h="16838" w:code="9"/>
          <w:pgMar w:top="1702" w:right="1361" w:bottom="1985" w:left="1361" w:header="709" w:footer="454" w:gutter="0"/>
          <w:cols w:space="708"/>
          <w:titlePg/>
          <w:docGrid w:linePitch="360"/>
        </w:sectPr>
      </w:pPr>
    </w:p>
    <w:p w:rsidR="0085571C" w:rsidRDefault="0085571C" w:rsidP="0085571C">
      <w:pPr>
        <w:spacing w:after="0" w:line="276" w:lineRule="auto"/>
        <w:rPr>
          <w:rFonts w:cs="Arial"/>
          <w:sz w:val="20"/>
          <w:szCs w:val="20"/>
        </w:rPr>
      </w:pPr>
    </w:p>
    <w:p w:rsidR="00844CEE" w:rsidRPr="00844CEE" w:rsidRDefault="00844CEE" w:rsidP="00844CEE">
      <w:pPr>
        <w:tabs>
          <w:tab w:val="left" w:pos="7088"/>
        </w:tabs>
        <w:autoSpaceDE w:val="0"/>
        <w:autoSpaceDN w:val="0"/>
        <w:adjustRightInd w:val="0"/>
        <w:spacing w:after="0"/>
        <w:jc w:val="left"/>
        <w:rPr>
          <w:rFonts w:eastAsiaTheme="minorEastAsia"/>
          <w:lang w:eastAsia="en-NZ"/>
        </w:rPr>
      </w:pPr>
    </w:p>
    <w:p w:rsidR="00844CEE" w:rsidRPr="00844CEE" w:rsidRDefault="00844CEE" w:rsidP="00844CEE">
      <w:pPr>
        <w:tabs>
          <w:tab w:val="left" w:pos="7088"/>
        </w:tabs>
        <w:autoSpaceDE w:val="0"/>
        <w:autoSpaceDN w:val="0"/>
        <w:adjustRightInd w:val="0"/>
        <w:spacing w:after="0"/>
        <w:jc w:val="left"/>
        <w:rPr>
          <w:rFonts w:eastAsiaTheme="minorEastAsia"/>
          <w:lang w:eastAsia="en-NZ"/>
        </w:rPr>
      </w:pPr>
    </w:p>
    <w:p w:rsidR="00844CEE" w:rsidRPr="00844CEE" w:rsidRDefault="00844CEE" w:rsidP="00844CEE">
      <w:pPr>
        <w:tabs>
          <w:tab w:val="left" w:pos="7088"/>
        </w:tabs>
        <w:autoSpaceDE w:val="0"/>
        <w:autoSpaceDN w:val="0"/>
        <w:adjustRightInd w:val="0"/>
        <w:spacing w:after="0"/>
        <w:jc w:val="left"/>
        <w:rPr>
          <w:rFonts w:eastAsiaTheme="minorEastAsia"/>
          <w:lang w:eastAsia="en-NZ"/>
        </w:rPr>
      </w:pPr>
    </w:p>
    <w:p w:rsidR="00844CEE" w:rsidRPr="00844CEE" w:rsidRDefault="00844CEE" w:rsidP="00844CEE">
      <w:pPr>
        <w:tabs>
          <w:tab w:val="left" w:pos="7088"/>
        </w:tabs>
        <w:autoSpaceDE w:val="0"/>
        <w:autoSpaceDN w:val="0"/>
        <w:adjustRightInd w:val="0"/>
        <w:spacing w:after="0"/>
        <w:jc w:val="left"/>
        <w:rPr>
          <w:rFonts w:eastAsiaTheme="minorEastAsia"/>
          <w:lang w:eastAsia="en-NZ"/>
        </w:rPr>
      </w:pPr>
    </w:p>
    <w:p w:rsidR="00844CEE" w:rsidRPr="00844CEE" w:rsidRDefault="00844CEE" w:rsidP="00844CEE">
      <w:pPr>
        <w:tabs>
          <w:tab w:val="left" w:pos="7088"/>
        </w:tabs>
        <w:autoSpaceDE w:val="0"/>
        <w:autoSpaceDN w:val="0"/>
        <w:adjustRightInd w:val="0"/>
        <w:spacing w:after="0"/>
        <w:jc w:val="left"/>
        <w:rPr>
          <w:rFonts w:eastAsiaTheme="minorEastAsia"/>
          <w:lang w:eastAsia="en-NZ"/>
        </w:rPr>
      </w:pPr>
    </w:p>
    <w:p w:rsidR="00844CEE" w:rsidRPr="00844CEE" w:rsidRDefault="00844CEE" w:rsidP="00844CEE">
      <w:pPr>
        <w:tabs>
          <w:tab w:val="left" w:pos="7088"/>
        </w:tabs>
        <w:autoSpaceDE w:val="0"/>
        <w:autoSpaceDN w:val="0"/>
        <w:adjustRightInd w:val="0"/>
        <w:spacing w:after="0"/>
        <w:jc w:val="left"/>
        <w:rPr>
          <w:rFonts w:eastAsiaTheme="minorEastAsia"/>
          <w:lang w:eastAsia="en-NZ"/>
        </w:rPr>
      </w:pPr>
    </w:p>
    <w:p w:rsidR="00844CEE" w:rsidRPr="00844CEE" w:rsidRDefault="00844CEE" w:rsidP="00844CEE">
      <w:pPr>
        <w:tabs>
          <w:tab w:val="left" w:pos="7088"/>
        </w:tabs>
        <w:autoSpaceDE w:val="0"/>
        <w:autoSpaceDN w:val="0"/>
        <w:adjustRightInd w:val="0"/>
        <w:spacing w:after="0"/>
        <w:jc w:val="left"/>
        <w:rPr>
          <w:rFonts w:eastAsiaTheme="minorEastAsia"/>
          <w:lang w:eastAsia="en-NZ"/>
        </w:rPr>
      </w:pPr>
    </w:p>
    <w:p w:rsidR="00844CEE" w:rsidRPr="00844CEE" w:rsidRDefault="00844CEE" w:rsidP="00844CEE">
      <w:pPr>
        <w:tabs>
          <w:tab w:val="left" w:pos="7088"/>
        </w:tabs>
        <w:autoSpaceDE w:val="0"/>
        <w:autoSpaceDN w:val="0"/>
        <w:adjustRightInd w:val="0"/>
        <w:spacing w:after="0"/>
        <w:jc w:val="left"/>
        <w:rPr>
          <w:rFonts w:eastAsiaTheme="minorEastAsia"/>
          <w:lang w:eastAsia="en-NZ"/>
        </w:rPr>
      </w:pPr>
    </w:p>
    <w:p w:rsidR="00844CEE" w:rsidRPr="00844CEE" w:rsidRDefault="00844CEE" w:rsidP="00844CEE">
      <w:pPr>
        <w:tabs>
          <w:tab w:val="left" w:pos="7088"/>
        </w:tabs>
        <w:autoSpaceDE w:val="0"/>
        <w:autoSpaceDN w:val="0"/>
        <w:adjustRightInd w:val="0"/>
        <w:spacing w:after="0"/>
        <w:jc w:val="left"/>
        <w:rPr>
          <w:rFonts w:eastAsiaTheme="minorEastAsia"/>
          <w:lang w:eastAsia="en-NZ"/>
        </w:rPr>
      </w:pPr>
    </w:p>
    <w:p w:rsidR="00844CEE" w:rsidRPr="00844CEE" w:rsidRDefault="00844CEE" w:rsidP="00844CEE">
      <w:pPr>
        <w:tabs>
          <w:tab w:val="left" w:pos="7088"/>
        </w:tabs>
        <w:autoSpaceDE w:val="0"/>
        <w:autoSpaceDN w:val="0"/>
        <w:adjustRightInd w:val="0"/>
        <w:spacing w:after="0"/>
        <w:jc w:val="left"/>
        <w:rPr>
          <w:rFonts w:eastAsiaTheme="minorEastAsia"/>
          <w:lang w:eastAsia="en-NZ"/>
        </w:rPr>
      </w:pPr>
    </w:p>
    <w:p w:rsidR="00844CEE" w:rsidRPr="00844CEE" w:rsidRDefault="00844CEE" w:rsidP="00844CEE">
      <w:pPr>
        <w:tabs>
          <w:tab w:val="left" w:pos="7088"/>
        </w:tabs>
        <w:autoSpaceDE w:val="0"/>
        <w:autoSpaceDN w:val="0"/>
        <w:adjustRightInd w:val="0"/>
        <w:spacing w:after="0"/>
        <w:jc w:val="left"/>
        <w:rPr>
          <w:rFonts w:eastAsiaTheme="minorEastAsia"/>
          <w:lang w:eastAsia="en-NZ"/>
        </w:rPr>
      </w:pPr>
    </w:p>
    <w:p w:rsidR="00844CEE" w:rsidRPr="00844CEE" w:rsidRDefault="00844CEE" w:rsidP="00844CEE">
      <w:pPr>
        <w:tabs>
          <w:tab w:val="left" w:pos="7088"/>
        </w:tabs>
        <w:autoSpaceDE w:val="0"/>
        <w:autoSpaceDN w:val="0"/>
        <w:adjustRightInd w:val="0"/>
        <w:spacing w:after="0"/>
        <w:jc w:val="left"/>
        <w:rPr>
          <w:rFonts w:eastAsiaTheme="minorEastAsia"/>
          <w:lang w:eastAsia="en-NZ"/>
        </w:rPr>
      </w:pPr>
    </w:p>
    <w:p w:rsidR="00844CEE" w:rsidRPr="00844CEE" w:rsidRDefault="00844CEE" w:rsidP="00844CEE">
      <w:pPr>
        <w:tabs>
          <w:tab w:val="left" w:pos="7088"/>
        </w:tabs>
        <w:autoSpaceDE w:val="0"/>
        <w:autoSpaceDN w:val="0"/>
        <w:adjustRightInd w:val="0"/>
        <w:spacing w:after="0"/>
        <w:jc w:val="left"/>
        <w:rPr>
          <w:rFonts w:eastAsiaTheme="minorEastAsia"/>
          <w:lang w:eastAsia="en-NZ"/>
        </w:rPr>
      </w:pPr>
    </w:p>
    <w:p w:rsidR="00844CEE" w:rsidRPr="00844CEE" w:rsidRDefault="00844CEE" w:rsidP="00844CEE">
      <w:pPr>
        <w:tabs>
          <w:tab w:val="left" w:pos="7088"/>
        </w:tabs>
        <w:autoSpaceDE w:val="0"/>
        <w:autoSpaceDN w:val="0"/>
        <w:adjustRightInd w:val="0"/>
        <w:spacing w:after="0"/>
        <w:jc w:val="left"/>
        <w:rPr>
          <w:rFonts w:eastAsiaTheme="minorEastAsia"/>
          <w:lang w:eastAsia="en-NZ"/>
        </w:rPr>
      </w:pPr>
    </w:p>
    <w:p w:rsidR="00844CEE" w:rsidRPr="00844CEE" w:rsidRDefault="00844CEE" w:rsidP="00844CEE">
      <w:pPr>
        <w:tabs>
          <w:tab w:val="left" w:pos="7088"/>
        </w:tabs>
        <w:autoSpaceDE w:val="0"/>
        <w:autoSpaceDN w:val="0"/>
        <w:adjustRightInd w:val="0"/>
        <w:spacing w:after="0"/>
        <w:jc w:val="left"/>
        <w:rPr>
          <w:rFonts w:eastAsiaTheme="minorEastAsia"/>
          <w:lang w:eastAsia="en-NZ"/>
        </w:rPr>
      </w:pPr>
    </w:p>
    <w:p w:rsidR="00844CEE" w:rsidRPr="00844CEE" w:rsidRDefault="00844CEE" w:rsidP="00844CEE">
      <w:pPr>
        <w:tabs>
          <w:tab w:val="left" w:pos="7088"/>
        </w:tabs>
        <w:autoSpaceDE w:val="0"/>
        <w:autoSpaceDN w:val="0"/>
        <w:adjustRightInd w:val="0"/>
        <w:spacing w:after="0"/>
        <w:jc w:val="left"/>
        <w:rPr>
          <w:rFonts w:eastAsiaTheme="minorEastAsia"/>
          <w:lang w:eastAsia="en-NZ"/>
        </w:rPr>
      </w:pPr>
    </w:p>
    <w:p w:rsidR="00844CEE" w:rsidRPr="00844CEE" w:rsidRDefault="00844CEE" w:rsidP="00844CEE">
      <w:pPr>
        <w:tabs>
          <w:tab w:val="left" w:pos="7088"/>
        </w:tabs>
        <w:autoSpaceDE w:val="0"/>
        <w:autoSpaceDN w:val="0"/>
        <w:adjustRightInd w:val="0"/>
        <w:spacing w:after="0"/>
        <w:jc w:val="left"/>
        <w:rPr>
          <w:rFonts w:eastAsiaTheme="minorEastAsia"/>
          <w:lang w:eastAsia="en-NZ"/>
        </w:rPr>
      </w:pPr>
    </w:p>
    <w:p w:rsidR="00844CEE" w:rsidRPr="00844CEE" w:rsidRDefault="00844CEE" w:rsidP="00844CEE">
      <w:pPr>
        <w:tabs>
          <w:tab w:val="left" w:pos="7088"/>
        </w:tabs>
        <w:autoSpaceDE w:val="0"/>
        <w:autoSpaceDN w:val="0"/>
        <w:adjustRightInd w:val="0"/>
        <w:spacing w:after="0"/>
        <w:jc w:val="left"/>
        <w:rPr>
          <w:rFonts w:eastAsiaTheme="minorEastAsia"/>
          <w:lang w:eastAsia="en-NZ"/>
        </w:rPr>
      </w:pPr>
    </w:p>
    <w:p w:rsidR="00844CEE" w:rsidRPr="00844CEE" w:rsidRDefault="00844CEE" w:rsidP="00844CEE">
      <w:pPr>
        <w:tabs>
          <w:tab w:val="left" w:pos="7088"/>
        </w:tabs>
        <w:autoSpaceDE w:val="0"/>
        <w:autoSpaceDN w:val="0"/>
        <w:adjustRightInd w:val="0"/>
        <w:spacing w:after="0"/>
        <w:jc w:val="left"/>
        <w:rPr>
          <w:rFonts w:eastAsiaTheme="minorEastAsia"/>
          <w:lang w:eastAsia="en-NZ"/>
        </w:rPr>
      </w:pPr>
    </w:p>
    <w:p w:rsidR="00844CEE" w:rsidRPr="00844CEE" w:rsidRDefault="00844CEE" w:rsidP="00844CEE">
      <w:pPr>
        <w:tabs>
          <w:tab w:val="left" w:pos="7088"/>
        </w:tabs>
        <w:autoSpaceDE w:val="0"/>
        <w:autoSpaceDN w:val="0"/>
        <w:adjustRightInd w:val="0"/>
        <w:spacing w:after="0"/>
        <w:jc w:val="left"/>
        <w:rPr>
          <w:rFonts w:eastAsiaTheme="minorEastAsia"/>
          <w:lang w:eastAsia="en-NZ"/>
        </w:rPr>
      </w:pPr>
    </w:p>
    <w:p w:rsidR="00844CEE" w:rsidRPr="00844CEE" w:rsidRDefault="00844CEE" w:rsidP="00844CEE">
      <w:pPr>
        <w:tabs>
          <w:tab w:val="left" w:pos="7088"/>
        </w:tabs>
        <w:autoSpaceDE w:val="0"/>
        <w:autoSpaceDN w:val="0"/>
        <w:adjustRightInd w:val="0"/>
        <w:spacing w:after="0"/>
        <w:jc w:val="left"/>
        <w:rPr>
          <w:rFonts w:eastAsiaTheme="minorEastAsia"/>
          <w:lang w:eastAsia="en-NZ"/>
        </w:rPr>
      </w:pPr>
    </w:p>
    <w:p w:rsidR="00844CEE" w:rsidRPr="00844CEE" w:rsidRDefault="00844CEE" w:rsidP="00844CEE">
      <w:pPr>
        <w:tabs>
          <w:tab w:val="left" w:pos="7088"/>
        </w:tabs>
        <w:autoSpaceDE w:val="0"/>
        <w:autoSpaceDN w:val="0"/>
        <w:adjustRightInd w:val="0"/>
        <w:spacing w:after="0"/>
        <w:jc w:val="left"/>
        <w:rPr>
          <w:rFonts w:eastAsiaTheme="minorEastAsia"/>
          <w:lang w:eastAsia="en-NZ"/>
        </w:rPr>
      </w:pPr>
    </w:p>
    <w:p w:rsidR="00844CEE" w:rsidRPr="00844CEE" w:rsidRDefault="00844CEE" w:rsidP="00844CEE">
      <w:pPr>
        <w:tabs>
          <w:tab w:val="left" w:pos="7088"/>
        </w:tabs>
        <w:autoSpaceDE w:val="0"/>
        <w:autoSpaceDN w:val="0"/>
        <w:adjustRightInd w:val="0"/>
        <w:spacing w:after="0"/>
        <w:jc w:val="left"/>
        <w:rPr>
          <w:rFonts w:eastAsiaTheme="minorEastAsia"/>
          <w:lang w:eastAsia="en-NZ"/>
        </w:rPr>
      </w:pPr>
    </w:p>
    <w:p w:rsidR="00844CEE" w:rsidRPr="00844CEE" w:rsidRDefault="00844CEE" w:rsidP="00844CEE">
      <w:pPr>
        <w:tabs>
          <w:tab w:val="left" w:pos="7088"/>
        </w:tabs>
        <w:autoSpaceDE w:val="0"/>
        <w:autoSpaceDN w:val="0"/>
        <w:adjustRightInd w:val="0"/>
        <w:spacing w:after="0"/>
        <w:jc w:val="left"/>
        <w:rPr>
          <w:rFonts w:eastAsiaTheme="minorEastAsia"/>
          <w:lang w:eastAsia="en-NZ"/>
        </w:rPr>
      </w:pPr>
    </w:p>
    <w:p w:rsidR="00844CEE" w:rsidRPr="00844CEE" w:rsidRDefault="00844CEE" w:rsidP="00844CEE">
      <w:pPr>
        <w:tabs>
          <w:tab w:val="left" w:pos="7088"/>
        </w:tabs>
        <w:autoSpaceDE w:val="0"/>
        <w:autoSpaceDN w:val="0"/>
        <w:adjustRightInd w:val="0"/>
        <w:spacing w:after="0"/>
        <w:jc w:val="left"/>
        <w:rPr>
          <w:rFonts w:eastAsiaTheme="minorEastAsia"/>
          <w:lang w:eastAsia="en-NZ"/>
        </w:rPr>
      </w:pPr>
    </w:p>
    <w:p w:rsidR="00844CEE" w:rsidRPr="00844CEE" w:rsidRDefault="00844CEE" w:rsidP="00844CEE">
      <w:pPr>
        <w:jc w:val="center"/>
        <w:rPr>
          <w:rFonts w:eastAsiaTheme="minorEastAsia"/>
          <w:b/>
          <w:lang w:eastAsia="en-NZ"/>
        </w:rPr>
      </w:pPr>
      <w:r w:rsidRPr="00844CEE">
        <w:rPr>
          <w:rFonts w:eastAsiaTheme="minorEastAsia"/>
          <w:b/>
          <w:lang w:eastAsia="en-NZ"/>
        </w:rPr>
        <w:t>© Crown Copyright</w:t>
      </w:r>
    </w:p>
    <w:p w:rsidR="00844CEE" w:rsidRPr="00844CEE" w:rsidRDefault="00844CEE" w:rsidP="00844CEE">
      <w:pPr>
        <w:spacing w:before="60" w:line="260" w:lineRule="exact"/>
        <w:jc w:val="center"/>
        <w:rPr>
          <w:rFonts w:eastAsia="Times New Roman" w:cs="Times New Roman"/>
          <w:noProof/>
          <w:sz w:val="18"/>
        </w:rPr>
      </w:pPr>
      <w:r w:rsidRPr="00844CEE">
        <w:rPr>
          <w:rFonts w:eastAsia="Times New Roman" w:cs="Times New Roman"/>
          <w:noProof/>
          <w:sz w:val="18"/>
          <w:lang w:eastAsia="en-NZ"/>
        </w:rPr>
        <w:drawing>
          <wp:anchor distT="0" distB="0" distL="114300" distR="114300" simplePos="0" relativeHeight="251659264" behindDoc="1" locked="0" layoutInCell="1" allowOverlap="1" wp14:anchorId="743689C4" wp14:editId="6B501352">
            <wp:simplePos x="0" y="0"/>
            <wp:positionH relativeFrom="column">
              <wp:posOffset>55245</wp:posOffset>
            </wp:positionH>
            <wp:positionV relativeFrom="paragraph">
              <wp:posOffset>44450</wp:posOffset>
            </wp:positionV>
            <wp:extent cx="984885" cy="345440"/>
            <wp:effectExtent l="19050" t="0" r="5715" b="0"/>
            <wp:wrapTight wrapText="bothSides">
              <wp:wrapPolygon edited="0">
                <wp:start x="-418" y="0"/>
                <wp:lineTo x="-418" y="20250"/>
                <wp:lineTo x="21725" y="20250"/>
                <wp:lineTo x="21725" y="0"/>
                <wp:lineTo x="-418" y="0"/>
              </wp:wrapPolygon>
            </wp:wrapTight>
            <wp:docPr id="3" name="Picture 441">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a:hlinkClick r:id="rId11"/>
                    </pic:cNvPr>
                    <pic:cNvPicPr>
                      <a:picLocks noChangeAspect="1" noChangeArrowheads="1"/>
                    </pic:cNvPicPr>
                  </pic:nvPicPr>
                  <pic:blipFill>
                    <a:blip r:embed="rId12" cstate="print"/>
                    <a:srcRect/>
                    <a:stretch>
                      <a:fillRect/>
                    </a:stretch>
                  </pic:blipFill>
                  <pic:spPr bwMode="auto">
                    <a:xfrm>
                      <a:off x="0" y="0"/>
                      <a:ext cx="984885" cy="345440"/>
                    </a:xfrm>
                    <a:prstGeom prst="rect">
                      <a:avLst/>
                    </a:prstGeom>
                    <a:noFill/>
                  </pic:spPr>
                </pic:pic>
              </a:graphicData>
            </a:graphic>
          </wp:anchor>
        </w:drawing>
      </w:r>
      <w:r w:rsidRPr="00844CEE">
        <w:rPr>
          <w:rFonts w:eastAsia="Times New Roman" w:cs="Times New Roman"/>
          <w:noProof/>
          <w:sz w:val="18"/>
          <w:szCs w:val="18"/>
        </w:rPr>
        <w:t>This work is licensed under the Creative Commons Attribution 4.0 International licence. In essence, you are free to copy, distribute and adapt the work, as long as you attribute the work to the Crown and abide by the other licence terms</w:t>
      </w:r>
      <w:r w:rsidRPr="00844CEE">
        <w:rPr>
          <w:rFonts w:eastAsia="Times New Roman" w:cs="Times New Roman"/>
          <w:noProof/>
          <w:sz w:val="18"/>
        </w:rPr>
        <w:t>.</w:t>
      </w:r>
    </w:p>
    <w:p w:rsidR="00844CEE" w:rsidRPr="00844CEE" w:rsidRDefault="00844CEE" w:rsidP="00844CEE">
      <w:pPr>
        <w:spacing w:before="60" w:line="260" w:lineRule="exact"/>
        <w:jc w:val="center"/>
        <w:rPr>
          <w:rFonts w:eastAsia="Times New Roman" w:cs="Times New Roman"/>
          <w:noProof/>
          <w:sz w:val="18"/>
        </w:rPr>
      </w:pPr>
      <w:r w:rsidRPr="00844CEE">
        <w:rPr>
          <w:rFonts w:eastAsia="Times New Roman" w:cs="Times New Roman"/>
          <w:noProof/>
          <w:sz w:val="18"/>
          <w:szCs w:val="18"/>
        </w:rPr>
        <w:t xml:space="preserve">To view a copy of this licence, visit </w:t>
      </w:r>
      <w:hyperlink r:id="rId13" w:history="1">
        <w:r w:rsidRPr="00844CEE">
          <w:rPr>
            <w:rFonts w:eastAsiaTheme="majorEastAsia" w:cs="Times New Roman"/>
            <w:noProof/>
            <w:color w:val="543654"/>
            <w:sz w:val="18"/>
            <w:szCs w:val="18"/>
            <w:u w:val="single"/>
          </w:rPr>
          <w:t>https://creativecommons.org/licenses/by/4.0/</w:t>
        </w:r>
      </w:hyperlink>
      <w:r w:rsidRPr="00844CEE">
        <w:rPr>
          <w:rFonts w:eastAsia="Times New Roman" w:cs="Times New Roman"/>
          <w:noProof/>
          <w:color w:val="86448B"/>
          <w:sz w:val="18"/>
        </w:rPr>
        <w:t xml:space="preserve"> </w:t>
      </w:r>
      <w:r w:rsidRPr="00844CEE">
        <w:rPr>
          <w:rFonts w:eastAsia="Times New Roman" w:cs="Times New Roman"/>
          <w:noProof/>
          <w:sz w:val="18"/>
          <w:szCs w:val="18"/>
        </w:rPr>
        <w:t xml:space="preserve"> Please note that no departmental or governmental emblem, logo or Coat of Arms may be used in any way which infringes any provision of the </w:t>
      </w:r>
      <w:hyperlink r:id="rId14" w:anchor="dlm52216" w:history="1">
        <w:r w:rsidRPr="00844CEE">
          <w:rPr>
            <w:rFonts w:eastAsiaTheme="majorEastAsia" w:cs="Times New Roman"/>
            <w:noProof/>
            <w:color w:val="543654"/>
            <w:sz w:val="18"/>
            <w:szCs w:val="18"/>
            <w:u w:val="single"/>
          </w:rPr>
          <w:t>Flags, Emblems, and Names Protection Act 1981</w:t>
        </w:r>
      </w:hyperlink>
      <w:r w:rsidRPr="00844CEE">
        <w:rPr>
          <w:rFonts w:eastAsia="Times New Roman" w:cs="Times New Roman"/>
          <w:noProof/>
          <w:sz w:val="18"/>
          <w:szCs w:val="18"/>
        </w:rPr>
        <w:t>. Attribution to the Crown should be in written form and not by reproduction of any such emblem, logo or Coat of Arms</w:t>
      </w:r>
      <w:r w:rsidRPr="00844CEE">
        <w:rPr>
          <w:rFonts w:eastAsia="Times New Roman" w:cs="Times New Roman"/>
          <w:noProof/>
          <w:sz w:val="18"/>
        </w:rPr>
        <w:t>.</w:t>
      </w:r>
    </w:p>
    <w:p w:rsidR="00844CEE" w:rsidRPr="00844CEE" w:rsidRDefault="00844CEE" w:rsidP="00844CEE">
      <w:pPr>
        <w:spacing w:before="60" w:line="260" w:lineRule="exact"/>
        <w:jc w:val="center"/>
        <w:rPr>
          <w:rFonts w:eastAsia="Times New Roman" w:cs="Times New Roman"/>
          <w:noProof/>
          <w:sz w:val="18"/>
        </w:rPr>
      </w:pPr>
    </w:p>
    <w:p w:rsidR="00844CEE" w:rsidRPr="00BE0056" w:rsidRDefault="00844CEE" w:rsidP="00844CEE">
      <w:pPr>
        <w:spacing w:before="60" w:line="260" w:lineRule="exact"/>
        <w:jc w:val="center"/>
        <w:rPr>
          <w:rFonts w:eastAsia="Times New Roman" w:cs="Times New Roman"/>
          <w:noProof/>
          <w:sz w:val="18"/>
          <w:szCs w:val="18"/>
        </w:rPr>
      </w:pPr>
      <w:r w:rsidRPr="00BE0056">
        <w:rPr>
          <w:rFonts w:eastAsia="Times New Roman" w:cs="Times New Roman"/>
          <w:noProof/>
          <w:sz w:val="18"/>
          <w:szCs w:val="18"/>
        </w:rPr>
        <w:t xml:space="preserve">ISBN </w:t>
      </w:r>
      <w:r w:rsidR="00BE0056" w:rsidRPr="00BE0056">
        <w:rPr>
          <w:sz w:val="18"/>
          <w:szCs w:val="18"/>
        </w:rPr>
        <w:t>978-0-478-43465-1</w:t>
      </w:r>
      <w:r w:rsidRPr="00BE0056">
        <w:rPr>
          <w:rFonts w:eastAsia="Times New Roman" w:cs="Times New Roman"/>
          <w:noProof/>
          <w:sz w:val="18"/>
          <w:szCs w:val="18"/>
        </w:rPr>
        <w:t xml:space="preserve"> (Online)</w:t>
      </w:r>
    </w:p>
    <w:p w:rsidR="00844CEE" w:rsidRPr="00844CEE" w:rsidRDefault="00844CEE" w:rsidP="00844CEE">
      <w:pPr>
        <w:spacing w:before="60" w:line="260" w:lineRule="exact"/>
        <w:jc w:val="center"/>
        <w:rPr>
          <w:rFonts w:eastAsia="Times New Roman" w:cs="Times New Roman"/>
          <w:noProof/>
          <w:sz w:val="18"/>
        </w:rPr>
      </w:pPr>
    </w:p>
    <w:p w:rsidR="00844CEE" w:rsidRPr="00844CEE" w:rsidRDefault="00844CEE" w:rsidP="00844CEE">
      <w:pPr>
        <w:spacing w:before="60" w:line="260" w:lineRule="exact"/>
        <w:jc w:val="center"/>
        <w:rPr>
          <w:rFonts w:eastAsia="Times New Roman" w:cs="Times New Roman"/>
          <w:b/>
          <w:noProof/>
          <w:sz w:val="18"/>
        </w:rPr>
      </w:pPr>
      <w:r w:rsidRPr="00844CEE">
        <w:rPr>
          <w:rFonts w:eastAsia="Times New Roman" w:cs="Times New Roman"/>
          <w:b/>
          <w:noProof/>
          <w:sz w:val="18"/>
        </w:rPr>
        <w:t>Internet</w:t>
      </w:r>
    </w:p>
    <w:p w:rsidR="00C237C1" w:rsidRPr="00E4557C" w:rsidRDefault="00844CEE" w:rsidP="00E4557C">
      <w:pPr>
        <w:spacing w:after="200" w:line="276" w:lineRule="auto"/>
        <w:jc w:val="center"/>
        <w:rPr>
          <w:rFonts w:eastAsiaTheme="majorEastAsia" w:cstheme="majorBidi"/>
          <w:b/>
          <w:bCs/>
          <w:color w:val="563F5C"/>
          <w:sz w:val="32"/>
          <w:szCs w:val="32"/>
        </w:rPr>
      </w:pPr>
      <w:r w:rsidRPr="00ED01A2">
        <w:rPr>
          <w:rFonts w:eastAsia="Times New Roman" w:cs="Times New Roman"/>
          <w:noProof/>
          <w:sz w:val="18"/>
          <w:szCs w:val="18"/>
        </w:rPr>
        <w:t xml:space="preserve">This document is available on the State Services Commission’s website at </w:t>
      </w:r>
      <w:r w:rsidRPr="00ED01A2">
        <w:rPr>
          <w:rFonts w:eastAsia="Times New Roman" w:cs="Times New Roman"/>
          <w:noProof/>
          <w:sz w:val="18"/>
          <w:szCs w:val="18"/>
        </w:rPr>
        <w:br/>
      </w:r>
      <w:r w:rsidR="00473B11" w:rsidRPr="00ED01A2">
        <w:rPr>
          <w:rFonts w:eastAsia="Times New Roman" w:cs="Times New Roman"/>
          <w:noProof/>
          <w:sz w:val="18"/>
          <w:szCs w:val="18"/>
        </w:rPr>
        <w:t>http://www.ssc.govt.nz/open-government-partnership-ogp</w:t>
      </w:r>
      <w:r w:rsidR="0085571C">
        <w:rPr>
          <w:color w:val="563F5C"/>
          <w:sz w:val="32"/>
          <w:szCs w:val="32"/>
        </w:rPr>
        <w:br w:type="page"/>
      </w:r>
      <w:bookmarkStart w:id="10" w:name="_Toc431307717"/>
      <w:bookmarkStart w:id="11" w:name="_Toc436664173"/>
      <w:bookmarkStart w:id="12" w:name="_Toc460231749"/>
      <w:bookmarkStart w:id="13" w:name="_Toc461005318"/>
      <w:bookmarkStart w:id="14" w:name="_Toc464037095"/>
      <w:bookmarkStart w:id="15" w:name="_Toc464037334"/>
    </w:p>
    <w:p w:rsidR="00C237C1" w:rsidRDefault="00C237C1" w:rsidP="00D31061">
      <w:pPr>
        <w:keepNext/>
        <w:keepLines/>
        <w:pBdr>
          <w:bottom w:val="single" w:sz="12" w:space="6" w:color="563F5C"/>
        </w:pBdr>
        <w:spacing w:after="0"/>
        <w:outlineLvl w:val="0"/>
        <w:rPr>
          <w:rFonts w:eastAsia="Times New Roman" w:cs="Times New Roman"/>
          <w:b/>
          <w:color w:val="563F5C"/>
          <w:kern w:val="28"/>
          <w:sz w:val="28"/>
          <w:szCs w:val="20"/>
        </w:rPr>
      </w:pPr>
    </w:p>
    <w:p w:rsidR="00C237C1" w:rsidRDefault="00C237C1" w:rsidP="00D31061">
      <w:pPr>
        <w:keepNext/>
        <w:keepLines/>
        <w:pBdr>
          <w:bottom w:val="single" w:sz="12" w:space="6" w:color="563F5C"/>
        </w:pBdr>
        <w:spacing w:after="0"/>
        <w:outlineLvl w:val="0"/>
        <w:rPr>
          <w:rFonts w:eastAsia="Times New Roman" w:cs="Times New Roman"/>
          <w:b/>
          <w:color w:val="563F5C"/>
          <w:kern w:val="28"/>
          <w:sz w:val="28"/>
          <w:szCs w:val="20"/>
        </w:rPr>
      </w:pPr>
    </w:p>
    <w:p w:rsidR="00C237C1" w:rsidRDefault="00C237C1" w:rsidP="00D31061">
      <w:pPr>
        <w:keepNext/>
        <w:keepLines/>
        <w:pBdr>
          <w:bottom w:val="single" w:sz="12" w:space="6" w:color="563F5C"/>
        </w:pBdr>
        <w:spacing w:after="0"/>
        <w:outlineLvl w:val="0"/>
        <w:rPr>
          <w:rFonts w:eastAsia="Times New Roman" w:cs="Times New Roman"/>
          <w:b/>
          <w:color w:val="563F5C"/>
          <w:kern w:val="28"/>
          <w:sz w:val="28"/>
          <w:szCs w:val="20"/>
        </w:rPr>
      </w:pPr>
    </w:p>
    <w:p w:rsidR="00C237C1" w:rsidRDefault="00C237C1" w:rsidP="00D31061">
      <w:pPr>
        <w:keepNext/>
        <w:keepLines/>
        <w:pBdr>
          <w:bottom w:val="single" w:sz="12" w:space="6" w:color="563F5C"/>
        </w:pBdr>
        <w:spacing w:after="0"/>
        <w:outlineLvl w:val="0"/>
        <w:rPr>
          <w:rFonts w:eastAsia="Times New Roman" w:cs="Times New Roman"/>
          <w:b/>
          <w:color w:val="563F5C"/>
          <w:kern w:val="28"/>
          <w:sz w:val="28"/>
          <w:szCs w:val="20"/>
        </w:rPr>
      </w:pPr>
    </w:p>
    <w:p w:rsidR="00C237C1" w:rsidRDefault="00C237C1" w:rsidP="00D31061">
      <w:pPr>
        <w:keepNext/>
        <w:keepLines/>
        <w:pBdr>
          <w:bottom w:val="single" w:sz="12" w:space="6" w:color="563F5C"/>
        </w:pBdr>
        <w:spacing w:after="0"/>
        <w:outlineLvl w:val="0"/>
        <w:rPr>
          <w:rFonts w:eastAsia="Times New Roman" w:cs="Times New Roman"/>
          <w:b/>
          <w:color w:val="563F5C"/>
          <w:kern w:val="28"/>
          <w:sz w:val="28"/>
          <w:szCs w:val="20"/>
        </w:rPr>
      </w:pPr>
    </w:p>
    <w:p w:rsidR="00C237C1" w:rsidRDefault="00C237C1" w:rsidP="00D31061">
      <w:pPr>
        <w:keepNext/>
        <w:keepLines/>
        <w:pBdr>
          <w:bottom w:val="single" w:sz="12" w:space="6" w:color="563F5C"/>
        </w:pBdr>
        <w:spacing w:after="0"/>
        <w:outlineLvl w:val="0"/>
        <w:rPr>
          <w:rFonts w:eastAsia="Times New Roman" w:cs="Times New Roman"/>
          <w:b/>
          <w:color w:val="563F5C"/>
          <w:kern w:val="28"/>
          <w:sz w:val="28"/>
          <w:szCs w:val="20"/>
        </w:rPr>
      </w:pPr>
    </w:p>
    <w:p w:rsidR="00C237C1" w:rsidRDefault="00C237C1" w:rsidP="00D31061">
      <w:pPr>
        <w:keepNext/>
        <w:keepLines/>
        <w:pBdr>
          <w:bottom w:val="single" w:sz="12" w:space="6" w:color="563F5C"/>
        </w:pBdr>
        <w:spacing w:after="0"/>
        <w:outlineLvl w:val="0"/>
        <w:rPr>
          <w:rFonts w:eastAsia="Times New Roman" w:cs="Times New Roman"/>
          <w:b/>
          <w:color w:val="563F5C"/>
          <w:kern w:val="28"/>
          <w:sz w:val="28"/>
          <w:szCs w:val="20"/>
        </w:rPr>
      </w:pPr>
    </w:p>
    <w:p w:rsidR="00C237C1" w:rsidRDefault="00C237C1" w:rsidP="00D31061">
      <w:pPr>
        <w:keepNext/>
        <w:keepLines/>
        <w:pBdr>
          <w:bottom w:val="single" w:sz="12" w:space="6" w:color="563F5C"/>
        </w:pBdr>
        <w:spacing w:after="0"/>
        <w:outlineLvl w:val="0"/>
        <w:rPr>
          <w:rFonts w:eastAsia="Times New Roman" w:cs="Times New Roman"/>
          <w:b/>
          <w:color w:val="563F5C"/>
          <w:kern w:val="28"/>
          <w:sz w:val="28"/>
          <w:szCs w:val="20"/>
        </w:rPr>
      </w:pPr>
    </w:p>
    <w:p w:rsidR="00C237C1" w:rsidRDefault="00C237C1" w:rsidP="00D31061">
      <w:pPr>
        <w:keepNext/>
        <w:keepLines/>
        <w:pBdr>
          <w:bottom w:val="single" w:sz="12" w:space="6" w:color="563F5C"/>
        </w:pBdr>
        <w:spacing w:after="0"/>
        <w:outlineLvl w:val="0"/>
        <w:rPr>
          <w:rFonts w:eastAsia="Times New Roman" w:cs="Times New Roman"/>
          <w:b/>
          <w:color w:val="563F5C"/>
          <w:kern w:val="28"/>
          <w:sz w:val="28"/>
          <w:szCs w:val="20"/>
        </w:rPr>
      </w:pPr>
    </w:p>
    <w:p w:rsidR="009D1A01" w:rsidRPr="009D1A01" w:rsidRDefault="009D1A01" w:rsidP="00D31061">
      <w:pPr>
        <w:keepNext/>
        <w:keepLines/>
        <w:pBdr>
          <w:bottom w:val="single" w:sz="12" w:space="6" w:color="563F5C"/>
        </w:pBdr>
        <w:spacing w:after="0"/>
        <w:outlineLvl w:val="0"/>
        <w:rPr>
          <w:rFonts w:eastAsia="Times New Roman" w:cs="Times New Roman"/>
          <w:b/>
          <w:color w:val="563F5C"/>
          <w:kern w:val="28"/>
          <w:sz w:val="28"/>
          <w:szCs w:val="20"/>
        </w:rPr>
      </w:pPr>
      <w:bookmarkStart w:id="16" w:name="_Toc465411822"/>
      <w:r w:rsidRPr="009D1A01">
        <w:rPr>
          <w:rFonts w:eastAsia="Times New Roman" w:cs="Times New Roman"/>
          <w:b/>
          <w:color w:val="563F5C"/>
          <w:kern w:val="28"/>
          <w:sz w:val="28"/>
          <w:szCs w:val="20"/>
        </w:rPr>
        <w:t>Contents</w:t>
      </w:r>
      <w:bookmarkEnd w:id="10"/>
      <w:bookmarkEnd w:id="11"/>
      <w:bookmarkEnd w:id="12"/>
      <w:bookmarkEnd w:id="13"/>
      <w:bookmarkEnd w:id="14"/>
      <w:bookmarkEnd w:id="15"/>
      <w:bookmarkEnd w:id="16"/>
    </w:p>
    <w:p w:rsidR="009D1A01" w:rsidRPr="009D1A01" w:rsidRDefault="009D1A01" w:rsidP="009D1A01">
      <w:pPr>
        <w:spacing w:after="0"/>
        <w:rPr>
          <w:rFonts w:eastAsiaTheme="minorEastAsia"/>
        </w:rPr>
      </w:pPr>
    </w:p>
    <w:p w:rsidR="00A243AE" w:rsidRDefault="009B5D05">
      <w:pPr>
        <w:pStyle w:val="TOC1"/>
        <w:tabs>
          <w:tab w:val="right" w:leader="dot" w:pos="9174"/>
        </w:tabs>
        <w:rPr>
          <w:rFonts w:asciiTheme="minorHAnsi" w:eastAsiaTheme="minorEastAsia" w:hAnsiTheme="minorHAnsi"/>
          <w:noProof/>
          <w:szCs w:val="22"/>
          <w:lang w:eastAsia="en-NZ"/>
        </w:rPr>
      </w:pPr>
      <w:r w:rsidRPr="009D1A01">
        <w:rPr>
          <w:rFonts w:eastAsiaTheme="minorEastAsia"/>
          <w:lang w:eastAsia="en-NZ"/>
        </w:rPr>
        <w:fldChar w:fldCharType="begin"/>
      </w:r>
      <w:r w:rsidR="009D1A01" w:rsidRPr="009D1A01">
        <w:rPr>
          <w:rFonts w:eastAsiaTheme="minorEastAsia"/>
          <w:lang w:eastAsia="en-NZ"/>
        </w:rPr>
        <w:instrText xml:space="preserve"> TOC \o "1-2" \h \z \u </w:instrText>
      </w:r>
      <w:r w:rsidRPr="009D1A01">
        <w:rPr>
          <w:rFonts w:eastAsiaTheme="minorEastAsia"/>
          <w:lang w:eastAsia="en-NZ"/>
        </w:rPr>
        <w:fldChar w:fldCharType="separate"/>
      </w:r>
      <w:hyperlink w:anchor="_Toc465411823" w:history="1">
        <w:r w:rsidR="00A243AE" w:rsidRPr="002B0791">
          <w:rPr>
            <w:rStyle w:val="Hyperlink"/>
            <w:rFonts w:eastAsia="Times New Roman"/>
            <w:noProof/>
          </w:rPr>
          <w:t>Foreword from the State Services Commissioner</w:t>
        </w:r>
        <w:r w:rsidR="00A243AE">
          <w:rPr>
            <w:noProof/>
            <w:webHidden/>
          </w:rPr>
          <w:tab/>
        </w:r>
        <w:r w:rsidR="00A243AE">
          <w:rPr>
            <w:noProof/>
            <w:webHidden/>
          </w:rPr>
          <w:fldChar w:fldCharType="begin"/>
        </w:r>
        <w:r w:rsidR="00A243AE">
          <w:rPr>
            <w:noProof/>
            <w:webHidden/>
          </w:rPr>
          <w:instrText xml:space="preserve"> PAGEREF _Toc465411823 \h </w:instrText>
        </w:r>
        <w:r w:rsidR="00A243AE">
          <w:rPr>
            <w:noProof/>
            <w:webHidden/>
          </w:rPr>
        </w:r>
        <w:r w:rsidR="00A243AE">
          <w:rPr>
            <w:noProof/>
            <w:webHidden/>
          </w:rPr>
          <w:fldChar w:fldCharType="separate"/>
        </w:r>
        <w:r w:rsidR="00A243AE">
          <w:rPr>
            <w:noProof/>
            <w:webHidden/>
          </w:rPr>
          <w:t>4</w:t>
        </w:r>
        <w:r w:rsidR="00A243AE">
          <w:rPr>
            <w:noProof/>
            <w:webHidden/>
          </w:rPr>
          <w:fldChar w:fldCharType="end"/>
        </w:r>
      </w:hyperlink>
    </w:p>
    <w:p w:rsidR="00A243AE" w:rsidRDefault="00631217">
      <w:pPr>
        <w:pStyle w:val="TOC1"/>
        <w:tabs>
          <w:tab w:val="right" w:leader="dot" w:pos="9174"/>
        </w:tabs>
        <w:rPr>
          <w:rFonts w:asciiTheme="minorHAnsi" w:eastAsiaTheme="minorEastAsia" w:hAnsiTheme="minorHAnsi"/>
          <w:noProof/>
          <w:szCs w:val="22"/>
          <w:lang w:eastAsia="en-NZ"/>
        </w:rPr>
      </w:pPr>
      <w:hyperlink w:anchor="_Toc465411824" w:history="1">
        <w:r w:rsidR="00A243AE" w:rsidRPr="002B0791">
          <w:rPr>
            <w:rStyle w:val="Hyperlink"/>
            <w:noProof/>
          </w:rPr>
          <w:t>Introduction</w:t>
        </w:r>
        <w:r w:rsidR="00A243AE">
          <w:rPr>
            <w:noProof/>
            <w:webHidden/>
          </w:rPr>
          <w:tab/>
        </w:r>
        <w:r w:rsidR="00A243AE">
          <w:rPr>
            <w:noProof/>
            <w:webHidden/>
          </w:rPr>
          <w:fldChar w:fldCharType="begin"/>
        </w:r>
        <w:r w:rsidR="00A243AE">
          <w:rPr>
            <w:noProof/>
            <w:webHidden/>
          </w:rPr>
          <w:instrText xml:space="preserve"> PAGEREF _Toc465411824 \h </w:instrText>
        </w:r>
        <w:r w:rsidR="00A243AE">
          <w:rPr>
            <w:noProof/>
            <w:webHidden/>
          </w:rPr>
        </w:r>
        <w:r w:rsidR="00A243AE">
          <w:rPr>
            <w:noProof/>
            <w:webHidden/>
          </w:rPr>
          <w:fldChar w:fldCharType="separate"/>
        </w:r>
        <w:r w:rsidR="00A243AE">
          <w:rPr>
            <w:noProof/>
            <w:webHidden/>
          </w:rPr>
          <w:t>6</w:t>
        </w:r>
        <w:r w:rsidR="00A243AE">
          <w:rPr>
            <w:noProof/>
            <w:webHidden/>
          </w:rPr>
          <w:fldChar w:fldCharType="end"/>
        </w:r>
      </w:hyperlink>
    </w:p>
    <w:p w:rsidR="00A243AE" w:rsidRDefault="00631217">
      <w:pPr>
        <w:pStyle w:val="TOC1"/>
        <w:tabs>
          <w:tab w:val="right" w:leader="dot" w:pos="9174"/>
        </w:tabs>
        <w:rPr>
          <w:rFonts w:asciiTheme="minorHAnsi" w:eastAsiaTheme="minorEastAsia" w:hAnsiTheme="minorHAnsi"/>
          <w:noProof/>
          <w:szCs w:val="22"/>
          <w:lang w:eastAsia="en-NZ"/>
        </w:rPr>
      </w:pPr>
      <w:hyperlink w:anchor="_Toc465411827" w:history="1">
        <w:r w:rsidR="00A243AE" w:rsidRPr="002B0791">
          <w:rPr>
            <w:rStyle w:val="Hyperlink"/>
            <w:noProof/>
          </w:rPr>
          <w:t>Commitment 1: Open Budget</w:t>
        </w:r>
        <w:r w:rsidR="00A243AE">
          <w:rPr>
            <w:noProof/>
            <w:webHidden/>
          </w:rPr>
          <w:tab/>
        </w:r>
        <w:r w:rsidR="00A243AE">
          <w:rPr>
            <w:noProof/>
            <w:webHidden/>
          </w:rPr>
          <w:fldChar w:fldCharType="begin"/>
        </w:r>
        <w:r w:rsidR="00A243AE">
          <w:rPr>
            <w:noProof/>
            <w:webHidden/>
          </w:rPr>
          <w:instrText xml:space="preserve"> PAGEREF _Toc465411827 \h </w:instrText>
        </w:r>
        <w:r w:rsidR="00A243AE">
          <w:rPr>
            <w:noProof/>
            <w:webHidden/>
          </w:rPr>
        </w:r>
        <w:r w:rsidR="00A243AE">
          <w:rPr>
            <w:noProof/>
            <w:webHidden/>
          </w:rPr>
          <w:fldChar w:fldCharType="separate"/>
        </w:r>
        <w:r w:rsidR="00A243AE">
          <w:rPr>
            <w:noProof/>
            <w:webHidden/>
          </w:rPr>
          <w:t>10</w:t>
        </w:r>
        <w:r w:rsidR="00A243AE">
          <w:rPr>
            <w:noProof/>
            <w:webHidden/>
          </w:rPr>
          <w:fldChar w:fldCharType="end"/>
        </w:r>
      </w:hyperlink>
    </w:p>
    <w:p w:rsidR="00A243AE" w:rsidRDefault="00631217">
      <w:pPr>
        <w:pStyle w:val="TOC1"/>
        <w:tabs>
          <w:tab w:val="right" w:leader="dot" w:pos="9174"/>
        </w:tabs>
        <w:rPr>
          <w:rFonts w:asciiTheme="minorHAnsi" w:eastAsiaTheme="minorEastAsia" w:hAnsiTheme="minorHAnsi"/>
          <w:noProof/>
          <w:szCs w:val="22"/>
          <w:lang w:eastAsia="en-NZ"/>
        </w:rPr>
      </w:pPr>
      <w:hyperlink w:anchor="_Toc465411828" w:history="1">
        <w:r w:rsidR="00A243AE" w:rsidRPr="002B0791">
          <w:rPr>
            <w:rStyle w:val="Hyperlink"/>
            <w:noProof/>
          </w:rPr>
          <w:t>Commitment 2: Improving official information practices</w:t>
        </w:r>
        <w:r w:rsidR="00A243AE">
          <w:rPr>
            <w:noProof/>
            <w:webHidden/>
          </w:rPr>
          <w:tab/>
        </w:r>
        <w:r w:rsidR="00A243AE">
          <w:rPr>
            <w:noProof/>
            <w:webHidden/>
          </w:rPr>
          <w:fldChar w:fldCharType="begin"/>
        </w:r>
        <w:r w:rsidR="00A243AE">
          <w:rPr>
            <w:noProof/>
            <w:webHidden/>
          </w:rPr>
          <w:instrText xml:space="preserve"> PAGEREF _Toc465411828 \h </w:instrText>
        </w:r>
        <w:r w:rsidR="00A243AE">
          <w:rPr>
            <w:noProof/>
            <w:webHidden/>
          </w:rPr>
        </w:r>
        <w:r w:rsidR="00A243AE">
          <w:rPr>
            <w:noProof/>
            <w:webHidden/>
          </w:rPr>
          <w:fldChar w:fldCharType="separate"/>
        </w:r>
        <w:r w:rsidR="00A243AE">
          <w:rPr>
            <w:noProof/>
            <w:webHidden/>
          </w:rPr>
          <w:t>11</w:t>
        </w:r>
        <w:r w:rsidR="00A243AE">
          <w:rPr>
            <w:noProof/>
            <w:webHidden/>
          </w:rPr>
          <w:fldChar w:fldCharType="end"/>
        </w:r>
      </w:hyperlink>
    </w:p>
    <w:p w:rsidR="00A243AE" w:rsidRDefault="00631217">
      <w:pPr>
        <w:pStyle w:val="TOC1"/>
        <w:tabs>
          <w:tab w:val="right" w:leader="dot" w:pos="9174"/>
        </w:tabs>
        <w:rPr>
          <w:rFonts w:asciiTheme="minorHAnsi" w:eastAsiaTheme="minorEastAsia" w:hAnsiTheme="minorHAnsi"/>
          <w:noProof/>
          <w:szCs w:val="22"/>
          <w:lang w:eastAsia="en-NZ"/>
        </w:rPr>
      </w:pPr>
      <w:hyperlink w:anchor="_Toc465411829" w:history="1">
        <w:r w:rsidR="00A243AE" w:rsidRPr="002B0791">
          <w:rPr>
            <w:rStyle w:val="Hyperlink"/>
            <w:noProof/>
          </w:rPr>
          <w:t>Commitment 3: Improving open data access and principles</w:t>
        </w:r>
        <w:r w:rsidR="00A243AE">
          <w:rPr>
            <w:noProof/>
            <w:webHidden/>
          </w:rPr>
          <w:tab/>
        </w:r>
        <w:r w:rsidR="00A243AE">
          <w:rPr>
            <w:noProof/>
            <w:webHidden/>
          </w:rPr>
          <w:fldChar w:fldCharType="begin"/>
        </w:r>
        <w:r w:rsidR="00A243AE">
          <w:rPr>
            <w:noProof/>
            <w:webHidden/>
          </w:rPr>
          <w:instrText xml:space="preserve"> PAGEREF _Toc465411829 \h </w:instrText>
        </w:r>
        <w:r w:rsidR="00A243AE">
          <w:rPr>
            <w:noProof/>
            <w:webHidden/>
          </w:rPr>
        </w:r>
        <w:r w:rsidR="00A243AE">
          <w:rPr>
            <w:noProof/>
            <w:webHidden/>
          </w:rPr>
          <w:fldChar w:fldCharType="separate"/>
        </w:r>
        <w:r w:rsidR="00A243AE">
          <w:rPr>
            <w:noProof/>
            <w:webHidden/>
          </w:rPr>
          <w:t>12</w:t>
        </w:r>
        <w:r w:rsidR="00A243AE">
          <w:rPr>
            <w:noProof/>
            <w:webHidden/>
          </w:rPr>
          <w:fldChar w:fldCharType="end"/>
        </w:r>
      </w:hyperlink>
    </w:p>
    <w:p w:rsidR="00A243AE" w:rsidRDefault="00631217">
      <w:pPr>
        <w:pStyle w:val="TOC1"/>
        <w:tabs>
          <w:tab w:val="right" w:leader="dot" w:pos="9174"/>
        </w:tabs>
        <w:rPr>
          <w:rFonts w:asciiTheme="minorHAnsi" w:eastAsiaTheme="minorEastAsia" w:hAnsiTheme="minorHAnsi"/>
          <w:noProof/>
          <w:szCs w:val="22"/>
          <w:lang w:eastAsia="en-NZ"/>
        </w:rPr>
      </w:pPr>
      <w:hyperlink w:anchor="_Toc465411830" w:history="1">
        <w:r w:rsidR="00A243AE" w:rsidRPr="002B0791">
          <w:rPr>
            <w:rStyle w:val="Hyperlink"/>
            <w:noProof/>
          </w:rPr>
          <w:t>Commitment 4: Tracking progress and outcomes of open government data release</w:t>
        </w:r>
        <w:r w:rsidR="00A243AE">
          <w:rPr>
            <w:noProof/>
            <w:webHidden/>
          </w:rPr>
          <w:tab/>
        </w:r>
        <w:r w:rsidR="00A243AE">
          <w:rPr>
            <w:noProof/>
            <w:webHidden/>
          </w:rPr>
          <w:fldChar w:fldCharType="begin"/>
        </w:r>
        <w:r w:rsidR="00A243AE">
          <w:rPr>
            <w:noProof/>
            <w:webHidden/>
          </w:rPr>
          <w:instrText xml:space="preserve"> PAGEREF _Toc465411830 \h </w:instrText>
        </w:r>
        <w:r w:rsidR="00A243AE">
          <w:rPr>
            <w:noProof/>
            <w:webHidden/>
          </w:rPr>
        </w:r>
        <w:r w:rsidR="00A243AE">
          <w:rPr>
            <w:noProof/>
            <w:webHidden/>
          </w:rPr>
          <w:fldChar w:fldCharType="separate"/>
        </w:r>
        <w:r w:rsidR="00A243AE">
          <w:rPr>
            <w:noProof/>
            <w:webHidden/>
          </w:rPr>
          <w:t>13</w:t>
        </w:r>
        <w:r w:rsidR="00A243AE">
          <w:rPr>
            <w:noProof/>
            <w:webHidden/>
          </w:rPr>
          <w:fldChar w:fldCharType="end"/>
        </w:r>
      </w:hyperlink>
    </w:p>
    <w:p w:rsidR="00A243AE" w:rsidRDefault="00631217">
      <w:pPr>
        <w:pStyle w:val="TOC1"/>
        <w:tabs>
          <w:tab w:val="right" w:leader="dot" w:pos="9174"/>
        </w:tabs>
        <w:rPr>
          <w:rFonts w:asciiTheme="minorHAnsi" w:eastAsiaTheme="minorEastAsia" w:hAnsiTheme="minorHAnsi"/>
          <w:noProof/>
          <w:szCs w:val="22"/>
          <w:lang w:eastAsia="en-NZ"/>
        </w:rPr>
      </w:pPr>
      <w:hyperlink w:anchor="_Toc465411831" w:history="1">
        <w:r w:rsidR="00A243AE" w:rsidRPr="002B0791">
          <w:rPr>
            <w:rStyle w:val="Hyperlink"/>
            <w:noProof/>
          </w:rPr>
          <w:t>Commitment 5: Ongoing engagement for OGP</w:t>
        </w:r>
        <w:r w:rsidR="00A243AE">
          <w:rPr>
            <w:noProof/>
            <w:webHidden/>
          </w:rPr>
          <w:tab/>
        </w:r>
        <w:r w:rsidR="00A243AE">
          <w:rPr>
            <w:noProof/>
            <w:webHidden/>
          </w:rPr>
          <w:fldChar w:fldCharType="begin"/>
        </w:r>
        <w:r w:rsidR="00A243AE">
          <w:rPr>
            <w:noProof/>
            <w:webHidden/>
          </w:rPr>
          <w:instrText xml:space="preserve"> PAGEREF _Toc465411831 \h </w:instrText>
        </w:r>
        <w:r w:rsidR="00A243AE">
          <w:rPr>
            <w:noProof/>
            <w:webHidden/>
          </w:rPr>
        </w:r>
        <w:r w:rsidR="00A243AE">
          <w:rPr>
            <w:noProof/>
            <w:webHidden/>
          </w:rPr>
          <w:fldChar w:fldCharType="separate"/>
        </w:r>
        <w:r w:rsidR="00A243AE">
          <w:rPr>
            <w:noProof/>
            <w:webHidden/>
          </w:rPr>
          <w:t>14</w:t>
        </w:r>
        <w:r w:rsidR="00A243AE">
          <w:rPr>
            <w:noProof/>
            <w:webHidden/>
          </w:rPr>
          <w:fldChar w:fldCharType="end"/>
        </w:r>
      </w:hyperlink>
    </w:p>
    <w:p w:rsidR="00A243AE" w:rsidRDefault="00631217">
      <w:pPr>
        <w:pStyle w:val="TOC1"/>
        <w:tabs>
          <w:tab w:val="right" w:leader="dot" w:pos="9174"/>
        </w:tabs>
        <w:rPr>
          <w:rFonts w:asciiTheme="minorHAnsi" w:eastAsiaTheme="minorEastAsia" w:hAnsiTheme="minorHAnsi"/>
          <w:noProof/>
          <w:szCs w:val="22"/>
          <w:lang w:eastAsia="en-NZ"/>
        </w:rPr>
      </w:pPr>
      <w:hyperlink w:anchor="_Toc465411832" w:history="1">
        <w:r w:rsidR="00A243AE" w:rsidRPr="002B0791">
          <w:rPr>
            <w:rStyle w:val="Hyperlink"/>
            <w:noProof/>
          </w:rPr>
          <w:t>Commitment 6: Improving access to legislation</w:t>
        </w:r>
        <w:r w:rsidR="00A243AE">
          <w:rPr>
            <w:noProof/>
            <w:webHidden/>
          </w:rPr>
          <w:tab/>
        </w:r>
        <w:r w:rsidR="00A243AE">
          <w:rPr>
            <w:noProof/>
            <w:webHidden/>
          </w:rPr>
          <w:fldChar w:fldCharType="begin"/>
        </w:r>
        <w:r w:rsidR="00A243AE">
          <w:rPr>
            <w:noProof/>
            <w:webHidden/>
          </w:rPr>
          <w:instrText xml:space="preserve"> PAGEREF _Toc465411832 \h </w:instrText>
        </w:r>
        <w:r w:rsidR="00A243AE">
          <w:rPr>
            <w:noProof/>
            <w:webHidden/>
          </w:rPr>
        </w:r>
        <w:r w:rsidR="00A243AE">
          <w:rPr>
            <w:noProof/>
            <w:webHidden/>
          </w:rPr>
          <w:fldChar w:fldCharType="separate"/>
        </w:r>
        <w:r w:rsidR="00A243AE">
          <w:rPr>
            <w:noProof/>
            <w:webHidden/>
          </w:rPr>
          <w:t>15</w:t>
        </w:r>
        <w:r w:rsidR="00A243AE">
          <w:rPr>
            <w:noProof/>
            <w:webHidden/>
          </w:rPr>
          <w:fldChar w:fldCharType="end"/>
        </w:r>
      </w:hyperlink>
    </w:p>
    <w:p w:rsidR="00A243AE" w:rsidRDefault="00631217">
      <w:pPr>
        <w:pStyle w:val="TOC1"/>
        <w:tabs>
          <w:tab w:val="right" w:leader="dot" w:pos="9174"/>
        </w:tabs>
        <w:rPr>
          <w:rFonts w:asciiTheme="minorHAnsi" w:eastAsiaTheme="minorEastAsia" w:hAnsiTheme="minorHAnsi"/>
          <w:noProof/>
          <w:szCs w:val="22"/>
          <w:lang w:eastAsia="en-NZ"/>
        </w:rPr>
      </w:pPr>
      <w:hyperlink w:anchor="_Toc465411833" w:history="1">
        <w:r w:rsidR="00A243AE" w:rsidRPr="002B0791">
          <w:rPr>
            <w:rStyle w:val="Hyperlink"/>
            <w:noProof/>
          </w:rPr>
          <w:t>Commitment 7: Improving policy practices</w:t>
        </w:r>
        <w:r w:rsidR="00A243AE">
          <w:rPr>
            <w:noProof/>
            <w:webHidden/>
          </w:rPr>
          <w:tab/>
        </w:r>
        <w:r w:rsidR="00A243AE">
          <w:rPr>
            <w:noProof/>
            <w:webHidden/>
          </w:rPr>
          <w:fldChar w:fldCharType="begin"/>
        </w:r>
        <w:r w:rsidR="00A243AE">
          <w:rPr>
            <w:noProof/>
            <w:webHidden/>
          </w:rPr>
          <w:instrText xml:space="preserve"> PAGEREF _Toc465411833 \h </w:instrText>
        </w:r>
        <w:r w:rsidR="00A243AE">
          <w:rPr>
            <w:noProof/>
            <w:webHidden/>
          </w:rPr>
        </w:r>
        <w:r w:rsidR="00A243AE">
          <w:rPr>
            <w:noProof/>
            <w:webHidden/>
          </w:rPr>
          <w:fldChar w:fldCharType="separate"/>
        </w:r>
        <w:r w:rsidR="00A243AE">
          <w:rPr>
            <w:noProof/>
            <w:webHidden/>
          </w:rPr>
          <w:t>16</w:t>
        </w:r>
        <w:r w:rsidR="00A243AE">
          <w:rPr>
            <w:noProof/>
            <w:webHidden/>
          </w:rPr>
          <w:fldChar w:fldCharType="end"/>
        </w:r>
      </w:hyperlink>
    </w:p>
    <w:p w:rsidR="00A243AE" w:rsidRDefault="00631217">
      <w:pPr>
        <w:pStyle w:val="TOC1"/>
        <w:tabs>
          <w:tab w:val="right" w:leader="dot" w:pos="9174"/>
        </w:tabs>
        <w:rPr>
          <w:rFonts w:asciiTheme="minorHAnsi" w:eastAsiaTheme="minorEastAsia" w:hAnsiTheme="minorHAnsi"/>
          <w:noProof/>
          <w:szCs w:val="22"/>
          <w:lang w:eastAsia="en-NZ"/>
        </w:rPr>
      </w:pPr>
      <w:hyperlink w:anchor="_Toc465411834" w:history="1">
        <w:r w:rsidR="00A243AE" w:rsidRPr="002B0791">
          <w:rPr>
            <w:rStyle w:val="Hyperlink"/>
            <w:noProof/>
          </w:rPr>
          <w:t>Appendix A – Plan development and engagement</w:t>
        </w:r>
        <w:r w:rsidR="00A243AE">
          <w:rPr>
            <w:noProof/>
            <w:webHidden/>
          </w:rPr>
          <w:tab/>
        </w:r>
        <w:r w:rsidR="00A243AE">
          <w:rPr>
            <w:noProof/>
            <w:webHidden/>
          </w:rPr>
          <w:fldChar w:fldCharType="begin"/>
        </w:r>
        <w:r w:rsidR="00A243AE">
          <w:rPr>
            <w:noProof/>
            <w:webHidden/>
          </w:rPr>
          <w:instrText xml:space="preserve"> PAGEREF _Toc465411834 \h </w:instrText>
        </w:r>
        <w:r w:rsidR="00A243AE">
          <w:rPr>
            <w:noProof/>
            <w:webHidden/>
          </w:rPr>
        </w:r>
        <w:r w:rsidR="00A243AE">
          <w:rPr>
            <w:noProof/>
            <w:webHidden/>
          </w:rPr>
          <w:fldChar w:fldCharType="separate"/>
        </w:r>
        <w:r w:rsidR="00A243AE">
          <w:rPr>
            <w:noProof/>
            <w:webHidden/>
          </w:rPr>
          <w:t>17</w:t>
        </w:r>
        <w:r w:rsidR="00A243AE">
          <w:rPr>
            <w:noProof/>
            <w:webHidden/>
          </w:rPr>
          <w:fldChar w:fldCharType="end"/>
        </w:r>
      </w:hyperlink>
    </w:p>
    <w:p w:rsidR="009D1A01" w:rsidRDefault="009B5D05" w:rsidP="00C237C1">
      <w:pPr>
        <w:spacing w:before="120" w:after="240" w:line="276" w:lineRule="auto"/>
        <w:jc w:val="left"/>
        <w:rPr>
          <w:rFonts w:eastAsiaTheme="majorEastAsia" w:cstheme="majorBidi"/>
          <w:b/>
          <w:bCs/>
          <w:color w:val="563F5C"/>
          <w:sz w:val="32"/>
          <w:szCs w:val="32"/>
        </w:rPr>
      </w:pPr>
      <w:r w:rsidRPr="009D1A01">
        <w:rPr>
          <w:rFonts w:eastAsiaTheme="minorEastAsia"/>
          <w:b/>
          <w:bCs/>
          <w:lang w:eastAsia="en-NZ"/>
        </w:rPr>
        <w:fldChar w:fldCharType="end"/>
      </w:r>
    </w:p>
    <w:p w:rsidR="00D31061" w:rsidRDefault="00D31061">
      <w:pPr>
        <w:spacing w:after="200" w:line="276" w:lineRule="auto"/>
        <w:jc w:val="left"/>
        <w:rPr>
          <w:rFonts w:eastAsiaTheme="majorEastAsia" w:cstheme="majorBidi"/>
          <w:b/>
          <w:bCs/>
          <w:color w:val="563F5C"/>
          <w:sz w:val="32"/>
          <w:szCs w:val="32"/>
        </w:rPr>
      </w:pPr>
      <w:r>
        <w:rPr>
          <w:color w:val="563F5C"/>
          <w:sz w:val="32"/>
          <w:szCs w:val="32"/>
        </w:rPr>
        <w:br w:type="page"/>
      </w:r>
    </w:p>
    <w:p w:rsidR="00E429B7" w:rsidRDefault="00E429B7" w:rsidP="009C2286">
      <w:pPr>
        <w:pStyle w:val="Heading1"/>
        <w:ind w:firstLine="426"/>
        <w:rPr>
          <w:rFonts w:eastAsia="Times New Roman"/>
          <w:color w:val="563F5C"/>
          <w:sz w:val="32"/>
          <w:szCs w:val="32"/>
        </w:rPr>
      </w:pPr>
      <w:bookmarkStart w:id="17" w:name="_Toc465411823"/>
      <w:r>
        <w:rPr>
          <w:rFonts w:eastAsia="Times New Roman"/>
          <w:color w:val="563F5C"/>
          <w:sz w:val="32"/>
          <w:szCs w:val="32"/>
        </w:rPr>
        <w:t>Foreword from the State Services Commissioner</w:t>
      </w:r>
      <w:bookmarkEnd w:id="17"/>
    </w:p>
    <w:p w:rsidR="00E429B7" w:rsidRPr="00E429B7" w:rsidRDefault="00E429B7" w:rsidP="009C2286">
      <w:pPr>
        <w:pStyle w:val="SSCBodytext"/>
        <w:ind w:left="426" w:right="395"/>
      </w:pPr>
      <w:r w:rsidRPr="00E429B7">
        <w:t xml:space="preserve">The State Services Commission has accountability for managing New Zealand's obligations under the Open Government Partnership (OGP). This is our second National Action Plan and, like others </w:t>
      </w:r>
      <w:r w:rsidR="009C2286">
        <w:t>in</w:t>
      </w:r>
      <w:r w:rsidRPr="00E429B7">
        <w:t xml:space="preserve"> the 70 countries that have signed up to OGP in its short history, we are learning more with each plan we deliver.</w:t>
      </w:r>
    </w:p>
    <w:p w:rsidR="00E429B7" w:rsidRPr="00E429B7" w:rsidRDefault="00E429B7" w:rsidP="009C2286">
      <w:pPr>
        <w:pStyle w:val="SSCBodytext"/>
        <w:ind w:left="426" w:right="395"/>
      </w:pPr>
    </w:p>
    <w:p w:rsidR="00E429B7" w:rsidRPr="00E429B7" w:rsidRDefault="00E429B7" w:rsidP="009C2286">
      <w:pPr>
        <w:pStyle w:val="SSCBodytext"/>
        <w:ind w:left="426" w:right="395"/>
      </w:pPr>
      <w:r w:rsidRPr="00E429B7">
        <w:t>New Zealand is internationally recognised as having one of the most open and transparent governments in the world. We also have one of the most trusted and high</w:t>
      </w:r>
      <w:r w:rsidR="000E4509">
        <w:t>-</w:t>
      </w:r>
      <w:r w:rsidRPr="00E429B7">
        <w:t xml:space="preserve">integrity governments in the world, sitting at the top of most international measures.  </w:t>
      </w:r>
    </w:p>
    <w:p w:rsidR="00E429B7" w:rsidRPr="00E429B7" w:rsidRDefault="00E429B7" w:rsidP="009C2286">
      <w:pPr>
        <w:pStyle w:val="SSCBodytext"/>
        <w:ind w:left="426" w:right="395"/>
      </w:pPr>
    </w:p>
    <w:p w:rsidR="00E429B7" w:rsidRPr="00E429B7" w:rsidRDefault="00E429B7" w:rsidP="009C2286">
      <w:pPr>
        <w:pStyle w:val="SSCBodytext"/>
        <w:ind w:left="426" w:right="395"/>
      </w:pPr>
      <w:r w:rsidRPr="00E429B7">
        <w:t xml:space="preserve">We cannot rest on our laurels though, and we are committed to continuing to improve in all aspects of what we do. This includes making government more open, more transparent and more focused on the needs of New Zealanders. Being a member of the </w:t>
      </w:r>
      <w:r w:rsidR="00F720D1">
        <w:t>OGP</w:t>
      </w:r>
      <w:r w:rsidRPr="00E429B7">
        <w:t xml:space="preserve">, and committing to the aims and principles of the Partnership, is one of the ways we are seeking to do this. </w:t>
      </w:r>
    </w:p>
    <w:p w:rsidR="00E429B7" w:rsidRPr="00E429B7" w:rsidRDefault="00E429B7" w:rsidP="009C2286">
      <w:pPr>
        <w:pStyle w:val="SSCBodytext"/>
        <w:ind w:left="426" w:right="395"/>
      </w:pPr>
    </w:p>
    <w:p w:rsidR="00E429B7" w:rsidRPr="00E429B7" w:rsidRDefault="00E429B7" w:rsidP="009C2286">
      <w:pPr>
        <w:pStyle w:val="SSCBodytext"/>
        <w:ind w:left="426" w:right="395"/>
      </w:pPr>
      <w:r w:rsidRPr="00E429B7">
        <w:t xml:space="preserve">New Zealand is starting from a high base of transparency and openness as we develop our second National Action Plan. I believe the commitments we are making here will stretch us and will help make our government even more open. </w:t>
      </w:r>
    </w:p>
    <w:p w:rsidR="00E429B7" w:rsidRPr="00E429B7" w:rsidRDefault="00E429B7" w:rsidP="009C2286">
      <w:pPr>
        <w:pStyle w:val="SSCBodytext"/>
        <w:ind w:left="426" w:right="395"/>
      </w:pPr>
    </w:p>
    <w:p w:rsidR="00E429B7" w:rsidRPr="00E429B7" w:rsidRDefault="00E429B7" w:rsidP="009C2286">
      <w:pPr>
        <w:pStyle w:val="SSCBodytext"/>
        <w:ind w:left="426" w:right="395"/>
      </w:pPr>
      <w:r w:rsidRPr="00E429B7">
        <w:t xml:space="preserve">A major plank of our </w:t>
      </w:r>
      <w:r w:rsidR="00F720D1">
        <w:t>action p</w:t>
      </w:r>
      <w:r w:rsidRPr="00E429B7">
        <w:t>lan is a commitment to improve compliance with the Official Information Act</w:t>
      </w:r>
      <w:r w:rsidR="000E4509">
        <w:t xml:space="preserve"> 1982</w:t>
      </w:r>
      <w:r w:rsidRPr="00E429B7">
        <w:t xml:space="preserve"> (OIA). The OIA is a cr</w:t>
      </w:r>
      <w:r w:rsidR="004A2B2A">
        <w:t xml:space="preserve">itical part of how </w:t>
      </w:r>
      <w:r w:rsidR="009C2286">
        <w:t xml:space="preserve">the </w:t>
      </w:r>
      <w:r w:rsidR="004A2B2A">
        <w:t>New Zealand</w:t>
      </w:r>
      <w:r w:rsidRPr="00E429B7">
        <w:t xml:space="preserve"> government is transparent and accountable</w:t>
      </w:r>
      <w:r w:rsidR="009C2286">
        <w:t>. I</w:t>
      </w:r>
      <w:r w:rsidRPr="00E429B7">
        <w:t xml:space="preserve">t is essential that the </w:t>
      </w:r>
      <w:r w:rsidR="009426FE">
        <w:t xml:space="preserve">Act </w:t>
      </w:r>
      <w:r w:rsidRPr="00E429B7">
        <w:t>is working effectively and that government agencies are meeting their obligations</w:t>
      </w:r>
      <w:r w:rsidR="004A2B2A">
        <w:t xml:space="preserve"> under it</w:t>
      </w:r>
      <w:r w:rsidRPr="00E429B7">
        <w:t xml:space="preserve">. </w:t>
      </w:r>
    </w:p>
    <w:p w:rsidR="00E429B7" w:rsidRPr="00E429B7" w:rsidRDefault="00E429B7" w:rsidP="009C2286">
      <w:pPr>
        <w:pStyle w:val="SSCBodytext"/>
        <w:ind w:left="426" w:right="395"/>
      </w:pPr>
    </w:p>
    <w:p w:rsidR="00E429B7" w:rsidRPr="00E429B7" w:rsidRDefault="00E429B7" w:rsidP="009C2286">
      <w:pPr>
        <w:pStyle w:val="SSCBodytext"/>
        <w:ind w:left="426" w:right="395"/>
      </w:pPr>
      <w:r w:rsidRPr="00E429B7">
        <w:t xml:space="preserve">In 2015 the then Chief Ombudsman, Dame Beverley </w:t>
      </w:r>
      <w:proofErr w:type="spellStart"/>
      <w:r w:rsidRPr="00E429B7">
        <w:t>Wakem</w:t>
      </w:r>
      <w:proofErr w:type="spellEnd"/>
      <w:r w:rsidRPr="00E429B7">
        <w:t xml:space="preserve">, released a seminal report on the operation of the OIA and how well government agencies </w:t>
      </w:r>
      <w:r w:rsidR="000E4509">
        <w:t>were</w:t>
      </w:r>
      <w:r w:rsidR="000E4509" w:rsidRPr="00E429B7">
        <w:t xml:space="preserve"> </w:t>
      </w:r>
      <w:r w:rsidRPr="00E429B7">
        <w:t>meeting their</w:t>
      </w:r>
      <w:r w:rsidR="00AE7839">
        <w:t xml:space="preserve"> </w:t>
      </w:r>
      <w:r w:rsidRPr="00E429B7">
        <w:t>obligations. Dame Beverl</w:t>
      </w:r>
      <w:r w:rsidR="000E4509">
        <w:t>e</w:t>
      </w:r>
      <w:r w:rsidRPr="00E429B7">
        <w:t xml:space="preserve">y made a number of insightful recommendations for how government can improve its performance and improve public confidence in how we comply with the Act. This is a theme that came through strongly in the submissions made by civil society </w:t>
      </w:r>
      <w:r w:rsidR="00CA1C4E">
        <w:t xml:space="preserve">during </w:t>
      </w:r>
      <w:r w:rsidRPr="00E429B7">
        <w:t>the deve</w:t>
      </w:r>
      <w:r w:rsidR="004A2B2A">
        <w:t>lopment of our action p</w:t>
      </w:r>
      <w:r w:rsidRPr="00E429B7">
        <w:t xml:space="preserve">lan. </w:t>
      </w:r>
    </w:p>
    <w:p w:rsidR="00E429B7" w:rsidRPr="00E429B7" w:rsidRDefault="00E429B7" w:rsidP="009C2286">
      <w:pPr>
        <w:pStyle w:val="SSCBodytext"/>
        <w:ind w:left="426" w:right="395"/>
      </w:pPr>
    </w:p>
    <w:p w:rsidR="00E429B7" w:rsidRPr="00E429B7" w:rsidRDefault="00E429B7" w:rsidP="009C2286">
      <w:pPr>
        <w:pStyle w:val="SSCBodytext"/>
        <w:ind w:left="426" w:right="395"/>
      </w:pPr>
      <w:r>
        <w:t>A central aim of the work programme under the National Action Plan is to improve the consistency and quality of the data on compliance with the OIA, and to make this publicly available</w:t>
      </w:r>
      <w:r w:rsidR="00790519">
        <w:t>,</w:t>
      </w:r>
      <w:r>
        <w:t xml:space="preserve"> in line with Dame Beverl</w:t>
      </w:r>
      <w:r w:rsidR="000E4509">
        <w:t>e</w:t>
      </w:r>
      <w:r>
        <w:t xml:space="preserve">y’s recommendations. We will also be working to improve the information and guidance on the OIA for both citizens and government agencies and support agencies to proactively make more information available.   </w:t>
      </w:r>
    </w:p>
    <w:p w:rsidR="00E429B7" w:rsidRDefault="00E429B7" w:rsidP="009C2286">
      <w:pPr>
        <w:pStyle w:val="SSCBodytext"/>
        <w:ind w:left="426" w:right="395"/>
      </w:pPr>
    </w:p>
    <w:p w:rsidR="00E429B7" w:rsidRDefault="00E429B7" w:rsidP="009C2286">
      <w:pPr>
        <w:pStyle w:val="SSCBodytext"/>
        <w:ind w:left="426" w:right="395"/>
      </w:pPr>
      <w:r>
        <w:t>The State Services Commission is committed to leading the work programme to improve agency practice around the OIA. A cross-agency team is being established to take this work forward without delay, working in partnership with the Office of the Ombudsman.</w:t>
      </w:r>
    </w:p>
    <w:p w:rsidR="00E429B7" w:rsidRPr="00E429B7" w:rsidRDefault="00E429B7" w:rsidP="009C2286">
      <w:pPr>
        <w:pStyle w:val="SSCBodytext"/>
        <w:ind w:left="426" w:right="395"/>
      </w:pPr>
    </w:p>
    <w:p w:rsidR="00E429B7" w:rsidRPr="00E429B7" w:rsidRDefault="00E429B7" w:rsidP="009C2286">
      <w:pPr>
        <w:pStyle w:val="SSCBodytext"/>
        <w:ind w:left="426" w:right="395"/>
      </w:pPr>
      <w:r w:rsidRPr="00E429B7">
        <w:t xml:space="preserve">The New Zealand government is in the midst of delivering a broad </w:t>
      </w:r>
      <w:r w:rsidR="000E4509">
        <w:t xml:space="preserve">work </w:t>
      </w:r>
      <w:r w:rsidR="00253273">
        <w:t xml:space="preserve">programme </w:t>
      </w:r>
      <w:r w:rsidRPr="00E429B7">
        <w:t xml:space="preserve">to reorient the public service to focus on priority needs of New Zealanders, and </w:t>
      </w:r>
      <w:r w:rsidR="00CA1C4E">
        <w:t xml:space="preserve">to </w:t>
      </w:r>
      <w:r w:rsidRPr="00E429B7">
        <w:t xml:space="preserve">work collectively to meet them. This is challenging work for everyone involved – from frontline public servants to chief executives to government Ministers and the public we serve – and is leading to real improvements in how government operates. </w:t>
      </w:r>
    </w:p>
    <w:p w:rsidR="00E429B7" w:rsidRPr="009C2286" w:rsidRDefault="00E429B7" w:rsidP="009C2286">
      <w:pPr>
        <w:pStyle w:val="SSCBodytext"/>
        <w:ind w:left="426" w:right="395"/>
      </w:pPr>
    </w:p>
    <w:p w:rsidR="00E429B7" w:rsidRPr="00E429B7" w:rsidRDefault="00E429B7" w:rsidP="009C2286">
      <w:pPr>
        <w:pStyle w:val="SSCBodytext"/>
        <w:ind w:left="426" w:right="395"/>
      </w:pPr>
      <w:r w:rsidRPr="00E429B7">
        <w:t xml:space="preserve">The Better Public Services initiatives, along with other </w:t>
      </w:r>
      <w:r w:rsidR="000E4509">
        <w:t xml:space="preserve">change </w:t>
      </w:r>
      <w:r w:rsidRPr="00E429B7">
        <w:t>programmes like an all-of-government information and communications technology (ICT) strategy, touch nearly every agency within New Zealand’s public services and are requiring, in some cases, significant shifts in emphasis and orientation for agencies.</w:t>
      </w:r>
    </w:p>
    <w:p w:rsidR="00E429B7" w:rsidRPr="00E429B7" w:rsidRDefault="00E429B7" w:rsidP="00E429B7">
      <w:pPr>
        <w:pStyle w:val="SSCBodytext"/>
      </w:pPr>
    </w:p>
    <w:p w:rsidR="00E429B7" w:rsidRPr="00E429B7" w:rsidRDefault="00E429B7" w:rsidP="009C2286">
      <w:pPr>
        <w:pStyle w:val="SSCBodytext"/>
        <w:ind w:left="426" w:right="395"/>
      </w:pPr>
      <w:r w:rsidRPr="00E429B7">
        <w:t xml:space="preserve">This National </w:t>
      </w:r>
      <w:r w:rsidR="00CA1C4E">
        <w:t>Action Plan builds on our first p</w:t>
      </w:r>
      <w:r w:rsidRPr="00E429B7">
        <w:t xml:space="preserve">lan and takes into account the feedback we received from civil society and the OGP independent review mechanism. It represents a real step forward for transparency and openness and challenges government to keep doing more. We will continue to learn and improve as we develop future </w:t>
      </w:r>
      <w:r w:rsidR="00CA1C4E">
        <w:t>a</w:t>
      </w:r>
      <w:r w:rsidRPr="00E429B7">
        <w:t xml:space="preserve">ction </w:t>
      </w:r>
      <w:r w:rsidR="00CA1C4E">
        <w:t>p</w:t>
      </w:r>
      <w:r w:rsidRPr="00E429B7">
        <w:t xml:space="preserve">lans and will continue to improve our engagement with civil society. </w:t>
      </w:r>
    </w:p>
    <w:p w:rsidR="00E429B7" w:rsidRPr="00E429B7" w:rsidRDefault="00E429B7" w:rsidP="009C2286">
      <w:pPr>
        <w:pStyle w:val="SSCBodytext"/>
        <w:ind w:left="426" w:right="395"/>
      </w:pPr>
    </w:p>
    <w:p w:rsidR="00E429B7" w:rsidRPr="00E429B7" w:rsidRDefault="00E429B7" w:rsidP="009C2286">
      <w:pPr>
        <w:pStyle w:val="SSCBodytext"/>
        <w:ind w:left="426" w:right="395"/>
      </w:pPr>
      <w:r w:rsidRPr="00E429B7">
        <w:t>I would like to thank those who worked on this plan with us:</w:t>
      </w:r>
    </w:p>
    <w:p w:rsidR="00E429B7" w:rsidRPr="00E429B7" w:rsidRDefault="00E429B7" w:rsidP="00CA1C4E">
      <w:pPr>
        <w:pStyle w:val="SSCBodytext"/>
        <w:numPr>
          <w:ilvl w:val="0"/>
          <w:numId w:val="28"/>
        </w:numPr>
        <w:ind w:right="395"/>
      </w:pPr>
      <w:r w:rsidRPr="00E429B7">
        <w:t>individuals and community groups who contributed to the plan’s development</w:t>
      </w:r>
    </w:p>
    <w:p w:rsidR="00E429B7" w:rsidRPr="00E429B7" w:rsidRDefault="00E429B7" w:rsidP="00CA1C4E">
      <w:pPr>
        <w:pStyle w:val="SSCBodytext"/>
        <w:numPr>
          <w:ilvl w:val="0"/>
          <w:numId w:val="28"/>
        </w:numPr>
        <w:ind w:right="395"/>
      </w:pPr>
      <w:r w:rsidRPr="00E429B7">
        <w:t xml:space="preserve">engage2, which led the engagement with New Zealanders </w:t>
      </w:r>
    </w:p>
    <w:p w:rsidR="00E429B7" w:rsidRPr="00E429B7" w:rsidRDefault="00E429B7" w:rsidP="00CA1C4E">
      <w:pPr>
        <w:pStyle w:val="SSCBodytext"/>
        <w:numPr>
          <w:ilvl w:val="0"/>
          <w:numId w:val="28"/>
        </w:numPr>
        <w:ind w:right="395"/>
      </w:pPr>
      <w:r w:rsidRPr="00E429B7">
        <w:t>our Expert Advisory Panel and the Stakeholder Advisory Group that preceded it</w:t>
      </w:r>
    </w:p>
    <w:p w:rsidR="00E429B7" w:rsidRPr="00E429B7" w:rsidRDefault="00E429B7" w:rsidP="00CA1C4E">
      <w:pPr>
        <w:pStyle w:val="SSCBodytext"/>
        <w:numPr>
          <w:ilvl w:val="0"/>
          <w:numId w:val="28"/>
        </w:numPr>
        <w:ind w:right="395"/>
      </w:pPr>
      <w:r w:rsidRPr="00E429B7">
        <w:t>our Officials Group</w:t>
      </w:r>
    </w:p>
    <w:p w:rsidR="00E429B7" w:rsidRPr="00E429B7" w:rsidRDefault="00E429B7" w:rsidP="00CA1C4E">
      <w:pPr>
        <w:pStyle w:val="SSCBodytext"/>
        <w:numPr>
          <w:ilvl w:val="0"/>
          <w:numId w:val="28"/>
        </w:numPr>
        <w:ind w:right="395"/>
      </w:pPr>
      <w:proofErr w:type="gramStart"/>
      <w:r w:rsidRPr="00E429B7">
        <w:t>the</w:t>
      </w:r>
      <w:proofErr w:type="gramEnd"/>
      <w:r w:rsidRPr="00E429B7">
        <w:t xml:space="preserve"> Department of Internal Affairs for its support of our online engagement.</w:t>
      </w:r>
    </w:p>
    <w:p w:rsidR="00E429B7" w:rsidRPr="009C2286" w:rsidRDefault="00E429B7" w:rsidP="009C2286">
      <w:pPr>
        <w:pStyle w:val="SSCBodytext"/>
        <w:ind w:left="426" w:right="395"/>
      </w:pPr>
    </w:p>
    <w:p w:rsidR="004A2B2A" w:rsidRDefault="00E429B7" w:rsidP="009C2286">
      <w:pPr>
        <w:pStyle w:val="SSCBodytext"/>
        <w:ind w:left="426" w:right="395"/>
      </w:pPr>
      <w:r>
        <w:t>The commitment and engagement from these groups and indiv</w:t>
      </w:r>
      <w:r w:rsidR="00CA1C4E">
        <w:t>iduals in the development of this</w:t>
      </w:r>
      <w:r>
        <w:t xml:space="preserve"> </w:t>
      </w:r>
      <w:r w:rsidR="00CA1C4E">
        <w:t>National Action Plan</w:t>
      </w:r>
      <w:r>
        <w:t xml:space="preserve"> has made our commitments stronger and more targeted. What these diverse groups have in common is a commitment to the ideals of public service and to delivering for New Zealanders, both today and into the future</w:t>
      </w:r>
      <w:r w:rsidR="00CA1C4E">
        <w:t>,</w:t>
      </w:r>
      <w:r>
        <w:t xml:space="preserve"> and I thank them for their input</w:t>
      </w:r>
      <w:r w:rsidR="00CA1C4E">
        <w:t>.</w:t>
      </w:r>
    </w:p>
    <w:p w:rsidR="004A2B2A" w:rsidRDefault="004A2B2A" w:rsidP="009C2286">
      <w:pPr>
        <w:pStyle w:val="SSCBodytext"/>
        <w:ind w:left="426" w:right="395"/>
      </w:pPr>
    </w:p>
    <w:p w:rsidR="004A2B2A" w:rsidRDefault="004A2B2A" w:rsidP="009C2286">
      <w:pPr>
        <w:pStyle w:val="SSCBodytext"/>
        <w:ind w:left="426" w:right="395"/>
      </w:pPr>
    </w:p>
    <w:p w:rsidR="004A2B2A" w:rsidRDefault="004A2B2A" w:rsidP="009C2286">
      <w:pPr>
        <w:pStyle w:val="SSCBodytext"/>
        <w:ind w:left="426" w:right="395"/>
      </w:pPr>
      <w:r>
        <w:t>Peter Hughes, CNZM</w:t>
      </w:r>
    </w:p>
    <w:p w:rsidR="0085341D" w:rsidRPr="009C2286" w:rsidRDefault="004A2B2A" w:rsidP="009C2286">
      <w:pPr>
        <w:pStyle w:val="SSCBodytext"/>
        <w:ind w:left="426" w:right="395"/>
      </w:pPr>
      <w:r>
        <w:t xml:space="preserve">State Services Commissioner </w:t>
      </w:r>
      <w:r w:rsidR="0085341D" w:rsidRPr="009C2286">
        <w:br w:type="page"/>
      </w:r>
    </w:p>
    <w:p w:rsidR="00B17150" w:rsidRPr="00A243AE" w:rsidRDefault="00B17150" w:rsidP="00A243AE">
      <w:pPr>
        <w:pStyle w:val="Heading1"/>
        <w:ind w:firstLine="426"/>
        <w:rPr>
          <w:color w:val="563F5C"/>
          <w:sz w:val="32"/>
          <w:szCs w:val="32"/>
        </w:rPr>
      </w:pPr>
      <w:bookmarkStart w:id="18" w:name="_Toc465411824"/>
      <w:r w:rsidRPr="00A243AE">
        <w:rPr>
          <w:color w:val="563F5C"/>
          <w:sz w:val="32"/>
          <w:szCs w:val="32"/>
        </w:rPr>
        <w:t>Introduction</w:t>
      </w:r>
      <w:bookmarkEnd w:id="18"/>
    </w:p>
    <w:p w:rsidR="00582474" w:rsidRDefault="00582474" w:rsidP="00C237C1">
      <w:pPr>
        <w:pStyle w:val="SSCBodytext"/>
        <w:ind w:left="426" w:right="395"/>
      </w:pPr>
      <w:r>
        <w:t xml:space="preserve">The Open Government Partnership has at its heart a theme of </w:t>
      </w:r>
      <w:r w:rsidRPr="00164363">
        <w:t xml:space="preserve">continuously improving how government and citizens relate. The OGP recognises that the quality and effectiveness of government is increased by open government and by public participation in government. It encourages government and </w:t>
      </w:r>
      <w:r w:rsidR="00054F77">
        <w:t>citizens</w:t>
      </w:r>
      <w:r w:rsidRPr="00164363">
        <w:t xml:space="preserve"> to work together on actions that will make a measurable difference in openness and transparency, encourage public participation and enable greater use of technology.</w:t>
      </w:r>
    </w:p>
    <w:p w:rsidR="00582474" w:rsidRDefault="00582474" w:rsidP="00C237C1">
      <w:pPr>
        <w:pStyle w:val="SSCBodytext"/>
        <w:ind w:left="426" w:right="395"/>
      </w:pPr>
    </w:p>
    <w:p w:rsidR="00B17150" w:rsidRPr="00B17150" w:rsidRDefault="00B17150" w:rsidP="00C237C1">
      <w:pPr>
        <w:pStyle w:val="SSCBodytext"/>
        <w:ind w:left="426" w:right="395"/>
      </w:pPr>
      <w:r w:rsidRPr="00164363">
        <w:t>New Zealand starts from a strong position in open government. We rate amongst the top</w:t>
      </w:r>
      <w:r w:rsidRPr="00B17150">
        <w:t xml:space="preserve"> countries in international measures and comparisons – for example, we rank first amongst 100 countries in the international Open Budget Survey. Our governing system does not tolerate corruption. We are also amongst the top countries for integrity and the rule of law, underpinned by an independent judiciary and professional police force. We have a politically neutral public service </w:t>
      </w:r>
      <w:r w:rsidR="00A679D7">
        <w:t xml:space="preserve">that has a responsibility </w:t>
      </w:r>
      <w:r w:rsidRPr="00B17150">
        <w:t xml:space="preserve">to provide free and frank advice </w:t>
      </w:r>
      <w:r w:rsidR="0029380E">
        <w:t>in delivering</w:t>
      </w:r>
      <w:r w:rsidRPr="00B17150">
        <w:t xml:space="preserve"> on the </w:t>
      </w:r>
      <w:r w:rsidR="00A679D7">
        <w:t>directions and prioritie</w:t>
      </w:r>
      <w:r w:rsidRPr="00B17150">
        <w:t>s of the Government of the day</w:t>
      </w:r>
      <w:r w:rsidR="00A679D7">
        <w:t>. T</w:t>
      </w:r>
      <w:r w:rsidRPr="00B17150">
        <w:t>he Official Information Act</w:t>
      </w:r>
      <w:r w:rsidR="000E4509">
        <w:t xml:space="preserve"> (OIA)</w:t>
      </w:r>
      <w:r w:rsidRPr="00B17150">
        <w:t xml:space="preserve"> </w:t>
      </w:r>
      <w:r w:rsidR="00A679D7">
        <w:t>provides the foundation for the opening up of government information in New Zealand so that citizens can participate in decision-making and hold decision-makers to account.</w:t>
      </w:r>
    </w:p>
    <w:p w:rsidR="00ED41A3" w:rsidRPr="00164363" w:rsidRDefault="00ED41A3" w:rsidP="00C237C1">
      <w:pPr>
        <w:pStyle w:val="SSCBodytext"/>
        <w:ind w:left="426" w:right="395"/>
      </w:pPr>
    </w:p>
    <w:p w:rsidR="00B17150" w:rsidRPr="00164363" w:rsidRDefault="00A679D7" w:rsidP="00C237C1">
      <w:pPr>
        <w:pStyle w:val="SSCBodytext"/>
        <w:ind w:left="426" w:right="395"/>
      </w:pPr>
      <w:r>
        <w:t>Government services are being reshaped across New Zealand to put people at their centre and better meet community needs</w:t>
      </w:r>
      <w:r w:rsidR="00B17150" w:rsidRPr="00164363">
        <w:t xml:space="preserve">. A key part of this is government agencies sharing their </w:t>
      </w:r>
      <w:r w:rsidR="00763EA3" w:rsidRPr="00164363">
        <w:t xml:space="preserve">open </w:t>
      </w:r>
      <w:r w:rsidR="00B17150" w:rsidRPr="00164363">
        <w:t xml:space="preserve">data and making it available to everyone so that all the </w:t>
      </w:r>
      <w:r w:rsidR="00D9355F" w:rsidRPr="00164363">
        <w:t xml:space="preserve">government-held </w:t>
      </w:r>
      <w:r w:rsidR="00B17150" w:rsidRPr="00164363">
        <w:t xml:space="preserve">evidence to guide the best solutions is available. And it means government agencies joining up their knowledge, people and resources to work together on the </w:t>
      </w:r>
      <w:r w:rsidR="00CE7DA8">
        <w:t>complex</w:t>
      </w:r>
      <w:r w:rsidR="00B17150" w:rsidRPr="00164363">
        <w:t xml:space="preserve"> problems and </w:t>
      </w:r>
      <w:r w:rsidR="00CE7DA8">
        <w:t>significant</w:t>
      </w:r>
      <w:r w:rsidR="00B17150" w:rsidRPr="00164363">
        <w:t xml:space="preserve"> opportunities that require a collective approach.</w:t>
      </w:r>
    </w:p>
    <w:p w:rsidR="00B17150" w:rsidRPr="00164363" w:rsidRDefault="00B17150" w:rsidP="00C237C1">
      <w:pPr>
        <w:pStyle w:val="SSCBodytext"/>
        <w:ind w:left="426" w:right="395"/>
      </w:pPr>
    </w:p>
    <w:p w:rsidR="00B17150" w:rsidRPr="00B17150" w:rsidRDefault="00B17150" w:rsidP="00C237C1">
      <w:pPr>
        <w:pStyle w:val="SSCBodytext"/>
        <w:ind w:left="426" w:right="395"/>
      </w:pPr>
      <w:r w:rsidRPr="00164363">
        <w:t>The OGP has challenged New Zealand to commit to actions that will maintain our strengths but build beyond them in areas where greater progress or new initiatives are needed. It sets out a process of public engagement</w:t>
      </w:r>
      <w:r w:rsidR="009A1AC6" w:rsidRPr="00164363">
        <w:t xml:space="preserve"> and participation</w:t>
      </w:r>
      <w:r w:rsidRPr="00164363">
        <w:t xml:space="preserve"> to develop a two-year </w:t>
      </w:r>
      <w:r w:rsidR="00346063" w:rsidRPr="00164363">
        <w:t>National Action Plan</w:t>
      </w:r>
      <w:r w:rsidRPr="00164363">
        <w:t xml:space="preserve"> and track progress on implementing it.</w:t>
      </w:r>
    </w:p>
    <w:p w:rsidR="00B17150" w:rsidRPr="00B17150" w:rsidRDefault="00B17150" w:rsidP="00C237C1">
      <w:pPr>
        <w:pStyle w:val="SSCBodytext"/>
        <w:ind w:left="426" w:right="395"/>
      </w:pPr>
    </w:p>
    <w:p w:rsidR="00B17150" w:rsidRPr="00B17150" w:rsidRDefault="00B17150" w:rsidP="00C237C1">
      <w:pPr>
        <w:pStyle w:val="SSCBodytext"/>
        <w:ind w:left="426" w:right="395"/>
      </w:pPr>
      <w:r w:rsidRPr="00B17150">
        <w:t xml:space="preserve">Since </w:t>
      </w:r>
      <w:r w:rsidR="00A679D7">
        <w:t xml:space="preserve">we </w:t>
      </w:r>
      <w:r w:rsidRPr="00B17150">
        <w:t>submitt</w:t>
      </w:r>
      <w:r w:rsidR="00A679D7">
        <w:t>ed our</w:t>
      </w:r>
      <w:r w:rsidRPr="00B17150">
        <w:t xml:space="preserve"> first plan in 2014, </w:t>
      </w:r>
      <w:r w:rsidR="00A679D7">
        <w:t xml:space="preserve">we have learnt lessons about how we can better reflect the work we are already doing </w:t>
      </w:r>
      <w:r w:rsidRPr="00B17150">
        <w:t xml:space="preserve">to deliver on open government principles and how </w:t>
      </w:r>
      <w:r w:rsidR="00A679D7">
        <w:t>we can make further progres</w:t>
      </w:r>
      <w:r w:rsidRPr="00B17150">
        <w:t>s.</w:t>
      </w:r>
    </w:p>
    <w:p w:rsidR="00B17150" w:rsidRPr="00B17150" w:rsidRDefault="00B17150" w:rsidP="00C237C1">
      <w:pPr>
        <w:pStyle w:val="SSCBodytext"/>
        <w:ind w:left="426" w:right="395"/>
      </w:pPr>
    </w:p>
    <w:p w:rsidR="00B17150" w:rsidRPr="00B17150" w:rsidRDefault="00346063" w:rsidP="00C237C1">
      <w:pPr>
        <w:pStyle w:val="SSCBodytext"/>
        <w:ind w:left="426" w:right="395"/>
      </w:pPr>
      <w:r>
        <w:t xml:space="preserve">The first plan contained </w:t>
      </w:r>
      <w:r w:rsidR="00B17150" w:rsidRPr="00B17150">
        <w:t>commitments</w:t>
      </w:r>
      <w:r>
        <w:t xml:space="preserve"> that</w:t>
      </w:r>
      <w:r w:rsidR="00B17150" w:rsidRPr="00B17150">
        <w:t xml:space="preserve"> reflected work that was primarily already </w:t>
      </w:r>
      <w:r w:rsidR="000E4509">
        <w:t>under way</w:t>
      </w:r>
      <w:r w:rsidR="00B17150" w:rsidRPr="00B17150">
        <w:t>.</w:t>
      </w:r>
      <w:r w:rsidR="00925CE5">
        <w:t xml:space="preserve"> </w:t>
      </w:r>
      <w:r w:rsidR="00B17150" w:rsidRPr="00B17150">
        <w:t>These were:</w:t>
      </w:r>
    </w:p>
    <w:p w:rsidR="00B17150" w:rsidRPr="00B17150" w:rsidRDefault="00B17150" w:rsidP="00982D51">
      <w:pPr>
        <w:pStyle w:val="SSCBodytext"/>
        <w:numPr>
          <w:ilvl w:val="0"/>
          <w:numId w:val="17"/>
        </w:numPr>
        <w:spacing w:before="120" w:after="120"/>
        <w:ind w:right="397"/>
      </w:pPr>
      <w:r w:rsidRPr="00B17150">
        <w:t>Report on progress towards Better Public Services Results on an ongoing six-monthly basis through existing progress reporting</w:t>
      </w:r>
    </w:p>
    <w:p w:rsidR="00B17150" w:rsidRPr="00B17150" w:rsidRDefault="00B17150" w:rsidP="00982D51">
      <w:pPr>
        <w:pStyle w:val="SSCBodytext"/>
        <w:numPr>
          <w:ilvl w:val="0"/>
          <w:numId w:val="17"/>
        </w:numPr>
        <w:spacing w:before="120" w:after="120"/>
        <w:ind w:right="397"/>
      </w:pPr>
      <w:r w:rsidRPr="00B17150">
        <w:t>Focus on Result 10 of the Better Public Services Results: New Zealanders can complete their transactions with government easily in a digital environment</w:t>
      </w:r>
      <w:r w:rsidR="000E4509">
        <w:t>,</w:t>
      </w:r>
      <w:r w:rsidRPr="00B17150">
        <w:t xml:space="preserve"> through ongoing six-monthly basis reporting</w:t>
      </w:r>
    </w:p>
    <w:p w:rsidR="00B17150" w:rsidRPr="00B17150" w:rsidRDefault="00B17150" w:rsidP="00982D51">
      <w:pPr>
        <w:pStyle w:val="SSCBodytext"/>
        <w:numPr>
          <w:ilvl w:val="0"/>
          <w:numId w:val="17"/>
        </w:numPr>
        <w:spacing w:before="120" w:after="120"/>
        <w:ind w:right="397"/>
      </w:pPr>
      <w:r w:rsidRPr="00B17150">
        <w:t>The Government ICT Action Plan to 2017 is to be refreshed by 2014</w:t>
      </w:r>
    </w:p>
    <w:p w:rsidR="00B17150" w:rsidRPr="00B17150" w:rsidRDefault="00B17150" w:rsidP="00982D51">
      <w:pPr>
        <w:pStyle w:val="SSCBodytext"/>
        <w:numPr>
          <w:ilvl w:val="0"/>
          <w:numId w:val="17"/>
        </w:numPr>
        <w:spacing w:before="120" w:after="120"/>
        <w:ind w:right="397"/>
      </w:pPr>
      <w:r w:rsidRPr="00B17150">
        <w:t xml:space="preserve">Focus on Action 13 of the ICT Strategy to be Open by </w:t>
      </w:r>
      <w:r w:rsidR="00FA5795">
        <w:t>d</w:t>
      </w:r>
      <w:r w:rsidRPr="00B17150">
        <w:t>efault by June 2016</w:t>
      </w:r>
    </w:p>
    <w:p w:rsidR="00B17150" w:rsidRPr="00B17150" w:rsidRDefault="00B17150" w:rsidP="00982D51">
      <w:pPr>
        <w:pStyle w:val="SSCBodytext"/>
        <w:numPr>
          <w:ilvl w:val="0"/>
          <w:numId w:val="17"/>
        </w:numPr>
        <w:spacing w:before="120" w:after="120"/>
        <w:ind w:right="397"/>
      </w:pPr>
      <w:r w:rsidRPr="00B17150">
        <w:t>The National Integrity System assessment report is consulted on and reported to ministers in February 2015</w:t>
      </w:r>
    </w:p>
    <w:p w:rsidR="00FA5795" w:rsidRDefault="00B17150" w:rsidP="0074669B">
      <w:pPr>
        <w:pStyle w:val="SSCBodytext"/>
        <w:numPr>
          <w:ilvl w:val="0"/>
          <w:numId w:val="17"/>
        </w:numPr>
        <w:spacing w:before="120" w:after="120"/>
        <w:ind w:right="397"/>
      </w:pPr>
      <w:r w:rsidRPr="00B17150">
        <w:t>Progress on the Kia Tūtahi (Standing Together) Relationship Accord is reviewed in 2015.</w:t>
      </w:r>
    </w:p>
    <w:p w:rsidR="00346063" w:rsidRPr="00ED21C3" w:rsidRDefault="00346063" w:rsidP="00C237C1">
      <w:pPr>
        <w:pStyle w:val="Heading1"/>
        <w:ind w:left="426" w:right="395"/>
        <w:rPr>
          <w:rFonts w:eastAsiaTheme="minorHAnsi" w:cstheme="minorBidi"/>
          <w:b w:val="0"/>
          <w:bCs w:val="0"/>
          <w:color w:val="563F5C"/>
          <w:sz w:val="28"/>
        </w:rPr>
      </w:pPr>
      <w:bookmarkStart w:id="19" w:name="_Toc464037339"/>
      <w:bookmarkStart w:id="20" w:name="_Toc465253352"/>
      <w:bookmarkStart w:id="21" w:name="_Toc465411825"/>
      <w:r w:rsidRPr="00ED21C3">
        <w:rPr>
          <w:rFonts w:eastAsiaTheme="minorHAnsi" w:cstheme="minorBidi"/>
          <w:b w:val="0"/>
          <w:bCs w:val="0"/>
          <w:color w:val="563F5C"/>
          <w:sz w:val="28"/>
        </w:rPr>
        <w:t>Learning how to shape a good plan</w:t>
      </w:r>
      <w:bookmarkEnd w:id="19"/>
      <w:bookmarkEnd w:id="20"/>
      <w:bookmarkEnd w:id="21"/>
    </w:p>
    <w:p w:rsidR="00346063" w:rsidRPr="00B17150" w:rsidRDefault="00346063" w:rsidP="00C237C1">
      <w:pPr>
        <w:pStyle w:val="SSCBodytext"/>
        <w:ind w:left="426" w:right="395"/>
      </w:pPr>
      <w:r w:rsidRPr="00B17150">
        <w:t>Our understanding of how to develop and deliver a successful</w:t>
      </w:r>
      <w:r>
        <w:t xml:space="preserve"> National Action Plan continues </w:t>
      </w:r>
      <w:r w:rsidRPr="00B17150">
        <w:t xml:space="preserve">to expand. We are taking an approach of continuous improvement to delivering on New Zealand’s obligations under the OGP, which means that </w:t>
      </w:r>
      <w:r>
        <w:t>we intend to</w:t>
      </w:r>
      <w:r w:rsidRPr="00B17150">
        <w:t xml:space="preserve"> continue to evolve </w:t>
      </w:r>
      <w:r>
        <w:t xml:space="preserve">our practice </w:t>
      </w:r>
      <w:r w:rsidRPr="00B17150">
        <w:t>and improve over successive plan periods.</w:t>
      </w:r>
    </w:p>
    <w:p w:rsidR="00346063" w:rsidRDefault="00346063" w:rsidP="00C237C1">
      <w:pPr>
        <w:pStyle w:val="SSCBodytext"/>
        <w:ind w:left="426" w:right="395"/>
      </w:pPr>
    </w:p>
    <w:p w:rsidR="00346063" w:rsidRDefault="00346063" w:rsidP="00C237C1">
      <w:pPr>
        <w:pStyle w:val="SSCBodytext"/>
        <w:ind w:left="426" w:right="395"/>
      </w:pPr>
      <w:r w:rsidRPr="00B17150">
        <w:rPr>
          <w:lang w:val="en-US"/>
        </w:rPr>
        <w:t xml:space="preserve">New Zealand was due to submit </w:t>
      </w:r>
      <w:r>
        <w:rPr>
          <w:lang w:val="en-US"/>
        </w:rPr>
        <w:t xml:space="preserve">its second action </w:t>
      </w:r>
      <w:r w:rsidRPr="00B17150">
        <w:rPr>
          <w:lang w:val="en-US"/>
        </w:rPr>
        <w:t xml:space="preserve">plan in July 2016 but </w:t>
      </w:r>
      <w:r>
        <w:rPr>
          <w:lang w:val="en-US"/>
        </w:rPr>
        <w:t>s</w:t>
      </w:r>
      <w:r w:rsidRPr="00B17150">
        <w:rPr>
          <w:lang w:val="en-US"/>
        </w:rPr>
        <w:t xml:space="preserve">ought additional time to </w:t>
      </w:r>
      <w:r>
        <w:rPr>
          <w:lang w:val="en-US"/>
        </w:rPr>
        <w:t>improve its engagement. Although in the end the time period was constrained, we were able to hear from many groups and individuals about the ideas they had to improve transparency, accountability, access to information and public participation in government. Details about our engagement programme can be found in Appendix A.</w:t>
      </w:r>
    </w:p>
    <w:p w:rsidR="00346063" w:rsidRDefault="00346063" w:rsidP="00C237C1">
      <w:pPr>
        <w:pStyle w:val="SSCBodytext"/>
        <w:ind w:left="426" w:right="395"/>
      </w:pPr>
    </w:p>
    <w:p w:rsidR="00346063" w:rsidRDefault="00346063" w:rsidP="00C237C1">
      <w:pPr>
        <w:pStyle w:val="SSCBodytext"/>
        <w:ind w:left="426" w:right="395"/>
      </w:pPr>
      <w:r>
        <w:t>The State Services Commission</w:t>
      </w:r>
      <w:r w:rsidR="000E4509">
        <w:t xml:space="preserve"> (SSC)</w:t>
      </w:r>
      <w:r>
        <w:t>, which has accountability for delivering a National Action Plan for New Zealand, has learnt a great deal during the country’s first term in the OGP</w:t>
      </w:r>
      <w:r w:rsidRPr="00B17150">
        <w:t xml:space="preserve">. </w:t>
      </w:r>
      <w:r>
        <w:t xml:space="preserve">To support its work, </w:t>
      </w:r>
      <w:r w:rsidRPr="00B17150">
        <w:t xml:space="preserve">SSC has </w:t>
      </w:r>
      <w:r>
        <w:t>sought external</w:t>
      </w:r>
      <w:r w:rsidRPr="00B17150">
        <w:t xml:space="preserve"> advice about developing and reporting on New Zealand’s action plans. An initial Stakeholder Advisory Group was set up</w:t>
      </w:r>
      <w:r>
        <w:t xml:space="preserve"> in 2015</w:t>
      </w:r>
      <w:r w:rsidRPr="00B17150">
        <w:t xml:space="preserve"> and when its term expired in June 2016</w:t>
      </w:r>
      <w:r w:rsidR="006B7AA6">
        <w:t>,</w:t>
      </w:r>
      <w:r w:rsidRPr="00B17150">
        <w:t xml:space="preserve"> a new Expert Advisory Panel was formed</w:t>
      </w:r>
      <w:r>
        <w:t xml:space="preserve">. It has worked to </w:t>
      </w:r>
      <w:r w:rsidRPr="00B17150">
        <w:t xml:space="preserve">support </w:t>
      </w:r>
      <w:r w:rsidR="000E4509">
        <w:t>SSC</w:t>
      </w:r>
      <w:r w:rsidRPr="00B17150">
        <w:t xml:space="preserve"> to deliver a plan that reflects achievable, practical commitments. We are further supported by a group of government officials providing advice on their respective areas of expertise, including justice, data, and technology.</w:t>
      </w:r>
      <w:r>
        <w:t xml:space="preserve"> </w:t>
      </w:r>
    </w:p>
    <w:p w:rsidR="00346063" w:rsidRDefault="00346063" w:rsidP="00C237C1">
      <w:pPr>
        <w:pStyle w:val="SSCBodytext"/>
        <w:ind w:left="426" w:right="395"/>
      </w:pPr>
    </w:p>
    <w:p w:rsidR="00346063" w:rsidRPr="00B17150" w:rsidRDefault="00346063" w:rsidP="00C237C1">
      <w:pPr>
        <w:pStyle w:val="SSCBodytext"/>
        <w:ind w:left="426" w:right="395"/>
      </w:pPr>
      <w:r>
        <w:t>These groups worked alongside representatives of civil society in a day</w:t>
      </w:r>
      <w:r w:rsidR="00CE7DA8">
        <w:t>-</w:t>
      </w:r>
      <w:r>
        <w:t>long workshop at the end of our engagement programme to turn ideas about draft commitments into actions that agencies could deliver.</w:t>
      </w:r>
    </w:p>
    <w:p w:rsidR="00346063" w:rsidRDefault="00346063" w:rsidP="00C237C1">
      <w:pPr>
        <w:pStyle w:val="SSCBodytext"/>
        <w:ind w:left="426" w:right="395"/>
        <w:rPr>
          <w:lang w:val="en-US"/>
        </w:rPr>
      </w:pPr>
    </w:p>
    <w:p w:rsidR="00346063" w:rsidRDefault="00346063" w:rsidP="00C237C1">
      <w:pPr>
        <w:pStyle w:val="SSCBodytext"/>
        <w:ind w:left="426" w:right="395"/>
      </w:pPr>
      <w:r>
        <w:t xml:space="preserve">In an effort to continue to improve our engagement practices, one commitment in this National Action Plan has been developed </w:t>
      </w:r>
      <w:r w:rsidR="0029380E">
        <w:t>around</w:t>
      </w:r>
      <w:r>
        <w:t xml:space="preserve"> improving how we engage with communities in developing and implementing our action plans and commitments.</w:t>
      </w:r>
    </w:p>
    <w:p w:rsidR="00B17150" w:rsidRPr="00ED21C3" w:rsidRDefault="00DE3106" w:rsidP="00C237C1">
      <w:pPr>
        <w:pStyle w:val="Heading1"/>
        <w:ind w:left="426" w:right="395"/>
        <w:rPr>
          <w:rFonts w:eastAsiaTheme="minorHAnsi" w:cstheme="minorBidi"/>
          <w:b w:val="0"/>
          <w:bCs w:val="0"/>
          <w:color w:val="563F5C"/>
          <w:sz w:val="28"/>
        </w:rPr>
      </w:pPr>
      <w:bookmarkStart w:id="22" w:name="_Toc464037340"/>
      <w:bookmarkStart w:id="23" w:name="_Toc465411826"/>
      <w:r w:rsidRPr="00ED21C3">
        <w:rPr>
          <w:rFonts w:eastAsiaTheme="minorHAnsi" w:cstheme="minorBidi"/>
          <w:b w:val="0"/>
          <w:bCs w:val="0"/>
          <w:color w:val="563F5C"/>
          <w:sz w:val="28"/>
        </w:rPr>
        <w:t>The New Zealand c</w:t>
      </w:r>
      <w:r w:rsidR="00B17150" w:rsidRPr="00ED21C3">
        <w:rPr>
          <w:rFonts w:eastAsiaTheme="minorHAnsi" w:cstheme="minorBidi"/>
          <w:b w:val="0"/>
          <w:bCs w:val="0"/>
          <w:color w:val="563F5C"/>
          <w:sz w:val="28"/>
        </w:rPr>
        <w:t>ontext</w:t>
      </w:r>
      <w:r w:rsidRPr="00ED21C3">
        <w:rPr>
          <w:rFonts w:eastAsiaTheme="minorHAnsi" w:cstheme="minorBidi"/>
          <w:b w:val="0"/>
          <w:bCs w:val="0"/>
          <w:color w:val="563F5C"/>
          <w:sz w:val="28"/>
        </w:rPr>
        <w:t xml:space="preserve"> for OGP</w:t>
      </w:r>
      <w:bookmarkEnd w:id="22"/>
      <w:bookmarkEnd w:id="23"/>
    </w:p>
    <w:p w:rsidR="00AF29EA" w:rsidRDefault="00AF29EA" w:rsidP="00C237C1">
      <w:pPr>
        <w:pStyle w:val="SSCBodytext"/>
        <w:ind w:left="426" w:right="395"/>
      </w:pPr>
      <w:r w:rsidRPr="00B17150">
        <w:t>The New Zealand government is regularly rated among</w:t>
      </w:r>
      <w:r w:rsidR="006B7AA6">
        <w:t>st</w:t>
      </w:r>
      <w:r w:rsidRPr="00B17150">
        <w:t xml:space="preserve"> the world’s best for its openness and transparency and among</w:t>
      </w:r>
      <w:r w:rsidR="006B7AA6">
        <w:t>st</w:t>
      </w:r>
      <w:r w:rsidRPr="00B17150">
        <w:t xml:space="preserve"> the lowest on international corruption indexes.</w:t>
      </w:r>
      <w:r>
        <w:t xml:space="preserve"> </w:t>
      </w:r>
      <w:r w:rsidRPr="00B17150">
        <w:t xml:space="preserve">Efforts to improve the way government interacts with New Zealanders, driven by </w:t>
      </w:r>
      <w:r w:rsidR="00CE7DA8">
        <w:t xml:space="preserve">an extensive </w:t>
      </w:r>
      <w:r w:rsidRPr="00B17150">
        <w:t>programme</w:t>
      </w:r>
      <w:r w:rsidR="00CE7DA8">
        <w:t xml:space="preserve"> to improve public services</w:t>
      </w:r>
      <w:r w:rsidRPr="00B17150">
        <w:t>, ha</w:t>
      </w:r>
      <w:r w:rsidR="006B7AA6">
        <w:t>s</w:t>
      </w:r>
      <w:r w:rsidRPr="00B17150">
        <w:t xml:space="preserve"> seen government </w:t>
      </w:r>
      <w:r w:rsidR="006B7AA6">
        <w:t>agencies</w:t>
      </w:r>
      <w:r w:rsidR="006B7AA6" w:rsidRPr="00B17150">
        <w:t xml:space="preserve"> </w:t>
      </w:r>
      <w:r w:rsidRPr="00B17150">
        <w:t xml:space="preserve">work together to improve service delivery and to understand the needs of their customers so </w:t>
      </w:r>
      <w:r w:rsidR="0029380E">
        <w:t xml:space="preserve">that </w:t>
      </w:r>
      <w:r w:rsidRPr="00B17150">
        <w:t>services can be oriented around those needs. Two key result areas are also devoted to making it easier for businesses and individuals to do business with government in a digital environment. Alongside this, the government is working with New Zealanders to enable greater access and use of government-held data to better inform decision-making.</w:t>
      </w:r>
    </w:p>
    <w:p w:rsidR="0014100C" w:rsidRDefault="0014100C" w:rsidP="00C237C1">
      <w:pPr>
        <w:pStyle w:val="SSCBodytext"/>
        <w:ind w:left="426" w:right="395"/>
      </w:pPr>
    </w:p>
    <w:p w:rsidR="0014100C" w:rsidRPr="00B17150" w:rsidRDefault="004E0562" w:rsidP="00C237C1">
      <w:pPr>
        <w:pStyle w:val="SSCBodytext"/>
        <w:ind w:left="426" w:right="395"/>
      </w:pPr>
      <w:r>
        <w:t>New Zealand’s changing demographics show us that we face a</w:t>
      </w:r>
      <w:r w:rsidR="0014100C" w:rsidRPr="004E0562">
        <w:t>n increasing challenge to engage our diverse communities in the activities of government and the importance of their participation in decision-making.</w:t>
      </w:r>
      <w:r w:rsidRPr="004E0562">
        <w:t xml:space="preserve"> St</w:t>
      </w:r>
      <w:r w:rsidR="00CE7DA8">
        <w:t>atistics New Zealand projects that</w:t>
      </w:r>
      <w:r w:rsidR="000A7C20">
        <w:t xml:space="preserve"> by 2038 M</w:t>
      </w:r>
      <w:r w:rsidR="000A7C20">
        <w:rPr>
          <w:rFonts w:cs="Arial"/>
        </w:rPr>
        <w:t>ā</w:t>
      </w:r>
      <w:r w:rsidRPr="004E0562">
        <w:t>ori, Asian and Pacific peoples</w:t>
      </w:r>
      <w:r w:rsidR="001873A0">
        <w:t xml:space="preserve"> </w:t>
      </w:r>
      <w:r w:rsidRPr="004E0562">
        <w:t>will make up 51 percent of the population, up from 34 percent in</w:t>
      </w:r>
      <w:r w:rsidR="006B7AA6">
        <w:t xml:space="preserve"> the</w:t>
      </w:r>
      <w:r w:rsidRPr="004E0562">
        <w:t xml:space="preserve"> </w:t>
      </w:r>
      <w:r w:rsidR="00CE7DA8">
        <w:t>2013 Census</w:t>
      </w:r>
      <w:r w:rsidRPr="004E0562">
        <w:t>.</w:t>
      </w:r>
    </w:p>
    <w:p w:rsidR="00AF29EA" w:rsidRDefault="00AF29EA" w:rsidP="00C237C1">
      <w:pPr>
        <w:pStyle w:val="SSCBodytext"/>
        <w:ind w:left="426" w:right="395"/>
      </w:pPr>
    </w:p>
    <w:p w:rsidR="0084104C" w:rsidRDefault="00C9409C" w:rsidP="00C237C1">
      <w:pPr>
        <w:pStyle w:val="SSCBodytext"/>
        <w:ind w:left="426" w:right="395"/>
      </w:pPr>
      <w:r>
        <w:t xml:space="preserve">There is a range of work </w:t>
      </w:r>
      <w:r w:rsidR="000E4509">
        <w:t>under way</w:t>
      </w:r>
      <w:r>
        <w:t xml:space="preserve"> across government to further the principles of open government</w:t>
      </w:r>
      <w:r w:rsidR="006B7AA6">
        <w:t>.</w:t>
      </w:r>
      <w:r>
        <w:t xml:space="preserve"> </w:t>
      </w:r>
      <w:r w:rsidR="006B7AA6">
        <w:t>The</w:t>
      </w:r>
      <w:r>
        <w:t xml:space="preserve"> c</w:t>
      </w:r>
      <w:r w:rsidR="0084104C">
        <w:t xml:space="preserve">ommitments in New Zealand’s </w:t>
      </w:r>
      <w:r w:rsidR="000B6C34" w:rsidRPr="00B17150">
        <w:t xml:space="preserve">National Action Plan </w:t>
      </w:r>
      <w:r w:rsidR="0084104C">
        <w:t>cannot</w:t>
      </w:r>
      <w:r w:rsidR="000B6C34" w:rsidRPr="00B17150">
        <w:t xml:space="preserve"> fully captu</w:t>
      </w:r>
      <w:r>
        <w:t xml:space="preserve">re </w:t>
      </w:r>
      <w:r w:rsidR="006B7AA6">
        <w:t xml:space="preserve">the </w:t>
      </w:r>
      <w:r>
        <w:t>breadth</w:t>
      </w:r>
      <w:r w:rsidR="006B7AA6">
        <w:t xml:space="preserve"> of these</w:t>
      </w:r>
      <w:r w:rsidR="00440136">
        <w:t>. These initiatives cover access to information, open data and technology.</w:t>
      </w:r>
    </w:p>
    <w:p w:rsidR="0084104C" w:rsidRDefault="0084104C" w:rsidP="00C237C1">
      <w:pPr>
        <w:pStyle w:val="SSCBodytext"/>
        <w:ind w:left="426" w:right="395"/>
      </w:pPr>
    </w:p>
    <w:p w:rsidR="000B6C34" w:rsidRDefault="00C9409C" w:rsidP="00C237C1">
      <w:pPr>
        <w:pStyle w:val="SSCBodytext"/>
        <w:ind w:left="426" w:right="395"/>
      </w:pPr>
      <w:r>
        <w:t>Currently, this includes</w:t>
      </w:r>
      <w:r w:rsidR="000B6C34" w:rsidRPr="00B17150">
        <w:t>:</w:t>
      </w:r>
    </w:p>
    <w:p w:rsidR="000711F3" w:rsidRPr="00B17150" w:rsidRDefault="00631217" w:rsidP="003919E4">
      <w:pPr>
        <w:pStyle w:val="SSCBodytext"/>
        <w:numPr>
          <w:ilvl w:val="0"/>
          <w:numId w:val="16"/>
        </w:numPr>
        <w:spacing w:before="120" w:after="120"/>
        <w:ind w:right="397"/>
        <w:jc w:val="left"/>
      </w:pPr>
      <w:hyperlink r:id="rId15" w:tgtFrame="_blank" w:tooltip="chief_ombudsmans_report_on_government_OIA_practices" w:history="1">
        <w:r w:rsidR="000B6C34" w:rsidRPr="00B17150">
          <w:rPr>
            <w:rStyle w:val="Hyperlink"/>
          </w:rPr>
          <w:t>Chief Ombudsman’s report on government O</w:t>
        </w:r>
        <w:r w:rsidR="000711F3">
          <w:rPr>
            <w:rStyle w:val="Hyperlink"/>
          </w:rPr>
          <w:t>IA practices</w:t>
        </w:r>
      </w:hyperlink>
      <w:r w:rsidR="000711F3">
        <w:rPr>
          <w:rStyle w:val="Hyperlink"/>
        </w:rPr>
        <w:t xml:space="preserve"> </w:t>
      </w:r>
      <w:r w:rsidR="000711F3">
        <w:t>(</w:t>
      </w:r>
      <w:r w:rsidR="000711F3" w:rsidRPr="000711F3">
        <w:t>http://www.ombudsman.parliament.nz/newsroom/item/chief-ombudsman-releases-report-into-government-oia-practices</w:t>
      </w:r>
      <w:r w:rsidR="000711F3">
        <w:t>)</w:t>
      </w:r>
    </w:p>
    <w:p w:rsidR="000B6C34" w:rsidRPr="00B17150" w:rsidRDefault="0084104C" w:rsidP="003919E4">
      <w:pPr>
        <w:pStyle w:val="SSCBodytext"/>
        <w:numPr>
          <w:ilvl w:val="0"/>
          <w:numId w:val="16"/>
        </w:numPr>
        <w:spacing w:before="120" w:after="120"/>
        <w:ind w:right="397"/>
        <w:jc w:val="left"/>
      </w:pPr>
      <w:r>
        <w:t>Better Public Services</w:t>
      </w:r>
      <w:r w:rsidR="000B6C34" w:rsidRPr="00B17150">
        <w:t xml:space="preserve">, particularly </w:t>
      </w:r>
      <w:hyperlink r:id="rId16" w:history="1">
        <w:r w:rsidR="006B7AA6">
          <w:rPr>
            <w:rStyle w:val="Hyperlink"/>
          </w:rPr>
          <w:t>R</w:t>
        </w:r>
        <w:r w:rsidR="000B6C34" w:rsidRPr="00B17150">
          <w:rPr>
            <w:rStyle w:val="Hyperlink"/>
          </w:rPr>
          <w:t xml:space="preserve">esult </w:t>
        </w:r>
        <w:r w:rsidR="00A4578E">
          <w:rPr>
            <w:rStyle w:val="Hyperlink"/>
          </w:rPr>
          <w:t>A</w:t>
        </w:r>
        <w:r w:rsidR="000B6C34" w:rsidRPr="00B17150">
          <w:rPr>
            <w:rStyle w:val="Hyperlink"/>
          </w:rPr>
          <w:t>reas 9 and 10</w:t>
        </w:r>
      </w:hyperlink>
      <w:r w:rsidR="000711F3">
        <w:rPr>
          <w:rStyle w:val="Hyperlink"/>
        </w:rPr>
        <w:t xml:space="preserve"> </w:t>
      </w:r>
      <w:r w:rsidR="000711F3">
        <w:t>(</w:t>
      </w:r>
      <w:r w:rsidR="000711F3" w:rsidRPr="000711F3">
        <w:t>http://www.ssc.govt.nz/bps-interaction-with-govt</w:t>
      </w:r>
      <w:r w:rsidR="000711F3">
        <w:t>)</w:t>
      </w:r>
    </w:p>
    <w:p w:rsidR="000711F3" w:rsidRDefault="00631217" w:rsidP="00062F14">
      <w:pPr>
        <w:pStyle w:val="SSCBodytext"/>
        <w:numPr>
          <w:ilvl w:val="0"/>
          <w:numId w:val="16"/>
        </w:numPr>
        <w:spacing w:before="120" w:after="120"/>
        <w:ind w:right="397"/>
      </w:pPr>
      <w:hyperlink r:id="rId17" w:tooltip="Link to the Government ICT Strategy and Action Plan" w:history="1">
        <w:r w:rsidR="000B6C34" w:rsidRPr="00B17150">
          <w:rPr>
            <w:rStyle w:val="Hyperlink"/>
          </w:rPr>
          <w:t>Government ICT strategy</w:t>
        </w:r>
      </w:hyperlink>
      <w:r w:rsidR="000711F3" w:rsidRPr="000711F3">
        <w:rPr>
          <w:rStyle w:val="Hyperlink"/>
          <w:color w:val="auto"/>
          <w:u w:val="none"/>
        </w:rPr>
        <w:t xml:space="preserve"> (https://www.ict.govt.nz/strategy-and-action-plan/)</w:t>
      </w:r>
    </w:p>
    <w:p w:rsidR="000711F3" w:rsidRPr="000711F3" w:rsidRDefault="00631217" w:rsidP="003919E4">
      <w:pPr>
        <w:pStyle w:val="SSCBodytext"/>
        <w:numPr>
          <w:ilvl w:val="0"/>
          <w:numId w:val="16"/>
        </w:numPr>
        <w:spacing w:before="120" w:after="120"/>
        <w:ind w:right="397"/>
        <w:jc w:val="left"/>
        <w:rPr>
          <w:rStyle w:val="Hyperlink"/>
          <w:color w:val="auto"/>
          <w:u w:val="none"/>
        </w:rPr>
      </w:pPr>
      <w:hyperlink r:id="rId18" w:history="1">
        <w:r w:rsidR="000B6C34" w:rsidRPr="000711F3">
          <w:rPr>
            <w:rStyle w:val="Hyperlink"/>
          </w:rPr>
          <w:t>LINZ Open Government Information and Data Programme</w:t>
        </w:r>
      </w:hyperlink>
      <w:r w:rsidR="000711F3">
        <w:t xml:space="preserve"> (</w:t>
      </w:r>
      <w:r w:rsidR="000711F3" w:rsidRPr="000711F3">
        <w:t>http://www.linz.govt.nz/about-linz/what-were-doing/projects/open-government-information-and-data-programme</w:t>
      </w:r>
      <w:r w:rsidR="000711F3">
        <w:t>)</w:t>
      </w:r>
    </w:p>
    <w:p w:rsidR="007752AD" w:rsidRPr="000711F3" w:rsidRDefault="00631217" w:rsidP="000711F3">
      <w:pPr>
        <w:pStyle w:val="SSCBodytext"/>
        <w:numPr>
          <w:ilvl w:val="0"/>
          <w:numId w:val="16"/>
        </w:numPr>
        <w:spacing w:before="120" w:after="120"/>
        <w:ind w:right="397"/>
        <w:rPr>
          <w:rStyle w:val="Hyperlink"/>
          <w:color w:val="auto"/>
          <w:u w:val="none"/>
        </w:rPr>
      </w:pPr>
      <w:hyperlink r:id="rId19" w:history="1">
        <w:r w:rsidR="000B6C34" w:rsidRPr="000711F3">
          <w:rPr>
            <w:rStyle w:val="Hyperlink"/>
          </w:rPr>
          <w:t xml:space="preserve">New Zealand Data Futures </w:t>
        </w:r>
        <w:r w:rsidR="000711F3" w:rsidRPr="000711F3">
          <w:rPr>
            <w:rStyle w:val="Hyperlink"/>
          </w:rPr>
          <w:t>Partnership</w:t>
        </w:r>
      </w:hyperlink>
      <w:r w:rsidR="000711F3" w:rsidRPr="000711F3">
        <w:t xml:space="preserve"> </w:t>
      </w:r>
      <w:r w:rsidR="000711F3">
        <w:t>(</w:t>
      </w:r>
      <w:r w:rsidR="000711F3" w:rsidRPr="000711F3">
        <w:t>http://datafutures.co.nz/</w:t>
      </w:r>
      <w:r w:rsidR="000711F3">
        <w:t>)</w:t>
      </w:r>
    </w:p>
    <w:p w:rsidR="007752AD" w:rsidRPr="007752AD" w:rsidRDefault="001A457C" w:rsidP="00982D51">
      <w:pPr>
        <w:pStyle w:val="SSCBodytext"/>
        <w:numPr>
          <w:ilvl w:val="0"/>
          <w:numId w:val="16"/>
        </w:numPr>
        <w:spacing w:before="120" w:after="120"/>
        <w:ind w:right="397"/>
      </w:pPr>
      <w:proofErr w:type="gramStart"/>
      <w:r>
        <w:t>w</w:t>
      </w:r>
      <w:r w:rsidR="007752AD" w:rsidRPr="007752AD">
        <w:t>ork</w:t>
      </w:r>
      <w:proofErr w:type="gramEnd"/>
      <w:r w:rsidR="007752AD" w:rsidRPr="007752AD">
        <w:t xml:space="preserve"> </w:t>
      </w:r>
      <w:r w:rsidR="00A243AE">
        <w:t xml:space="preserve">under </w:t>
      </w:r>
      <w:r w:rsidR="000E4509">
        <w:t>way</w:t>
      </w:r>
      <w:r w:rsidR="007752AD" w:rsidRPr="007752AD">
        <w:t xml:space="preserve"> by the Ministry of Foreign Affairs and Trade to expand New Zealand Treaties Online</w:t>
      </w:r>
      <w:r w:rsidR="000711F3">
        <w:t xml:space="preserve"> (</w:t>
      </w:r>
      <w:hyperlink r:id="rId20" w:history="1">
        <w:r w:rsidR="000711F3" w:rsidRPr="006720CE">
          <w:rPr>
            <w:rStyle w:val="Hyperlink"/>
          </w:rPr>
          <w:t>http://www.treaties.mfat.govt.nz/</w:t>
        </w:r>
      </w:hyperlink>
      <w:r w:rsidR="000711F3">
        <w:rPr>
          <w:color w:val="1F497D"/>
        </w:rPr>
        <w:t>)</w:t>
      </w:r>
      <w:r w:rsidR="007752AD" w:rsidRPr="007752AD">
        <w:t xml:space="preserve"> – a home</w:t>
      </w:r>
      <w:r w:rsidR="008D69F1">
        <w:t xml:space="preserve"> </w:t>
      </w:r>
      <w:r w:rsidR="007752AD" w:rsidRPr="007752AD">
        <w:t xml:space="preserve"> for information on all of New Zealand’s international treaties, including those in negotiation – to include New Zealand’s non</w:t>
      </w:r>
      <w:r w:rsidR="00A4578E">
        <w:t>-</w:t>
      </w:r>
      <w:r w:rsidR="007752AD" w:rsidRPr="007752AD">
        <w:t>legally binding international instruments.</w:t>
      </w:r>
      <w:r w:rsidR="008D69F1">
        <w:t xml:space="preserve"> </w:t>
      </w:r>
    </w:p>
    <w:p w:rsidR="00EC349B" w:rsidRDefault="00EC349B" w:rsidP="00C237C1">
      <w:pPr>
        <w:pStyle w:val="SSCBodytext"/>
        <w:ind w:left="426" w:right="395"/>
      </w:pPr>
      <w:r>
        <w:t>We know that it takes attention and diligence to maintain and advance the principles of openness and transparency that are cornerstones of Ne</w:t>
      </w:r>
      <w:r w:rsidR="00B45A44">
        <w:t>w Zealand’s approach to government</w:t>
      </w:r>
      <w:r>
        <w:t xml:space="preserve">. </w:t>
      </w:r>
    </w:p>
    <w:p w:rsidR="00B17150" w:rsidRDefault="00B17150" w:rsidP="00C237C1">
      <w:pPr>
        <w:pStyle w:val="SSCBodytext"/>
        <w:ind w:left="426" w:right="395"/>
      </w:pPr>
    </w:p>
    <w:p w:rsidR="00B17150" w:rsidRPr="00B17150" w:rsidRDefault="00B17150" w:rsidP="00C237C1">
      <w:pPr>
        <w:pStyle w:val="SSCBodytext"/>
        <w:ind w:left="426" w:right="395"/>
      </w:pPr>
      <w:r w:rsidRPr="00B17150">
        <w:t>In global measures of transparency and accountability, New Zealand ranks:</w:t>
      </w:r>
    </w:p>
    <w:p w:rsidR="00B17150" w:rsidRPr="00B17150" w:rsidRDefault="00B17150" w:rsidP="00982D51">
      <w:pPr>
        <w:pStyle w:val="SSCBodytext"/>
        <w:numPr>
          <w:ilvl w:val="0"/>
          <w:numId w:val="15"/>
        </w:numPr>
        <w:spacing w:before="120" w:after="120"/>
        <w:ind w:right="397"/>
      </w:pPr>
      <w:r w:rsidRPr="00B17150">
        <w:t>first in the International Budget Partnership's biennial Open Budget Survey (2015)</w:t>
      </w:r>
    </w:p>
    <w:p w:rsidR="00B17150" w:rsidRPr="00B17150" w:rsidRDefault="00B17150" w:rsidP="00982D51">
      <w:pPr>
        <w:pStyle w:val="SSCBodytext"/>
        <w:numPr>
          <w:ilvl w:val="0"/>
          <w:numId w:val="15"/>
        </w:numPr>
        <w:spacing w:before="120" w:after="120"/>
        <w:ind w:right="397"/>
      </w:pPr>
      <w:r w:rsidRPr="00B17150">
        <w:t>second out of 189 economies on the World Bank's assessment of how governments regulate commerce (2016)</w:t>
      </w:r>
    </w:p>
    <w:p w:rsidR="00B17150" w:rsidRPr="00B17150" w:rsidRDefault="00B17150" w:rsidP="00982D51">
      <w:pPr>
        <w:pStyle w:val="SSCBodytext"/>
        <w:numPr>
          <w:ilvl w:val="0"/>
          <w:numId w:val="15"/>
        </w:numPr>
        <w:spacing w:before="120" w:after="120"/>
        <w:ind w:right="397"/>
      </w:pPr>
      <w:r w:rsidRPr="00B17150">
        <w:t>fourth out of 168 countries in Transparency International's 2015 Corruptions Perceptions Index</w:t>
      </w:r>
    </w:p>
    <w:p w:rsidR="00B17150" w:rsidRPr="00B17150" w:rsidRDefault="00B17150" w:rsidP="00982D51">
      <w:pPr>
        <w:pStyle w:val="SSCBodytext"/>
        <w:numPr>
          <w:ilvl w:val="0"/>
          <w:numId w:val="15"/>
        </w:numPr>
        <w:spacing w:before="120" w:after="120"/>
        <w:ind w:right="397"/>
      </w:pPr>
      <w:r w:rsidRPr="00B17150">
        <w:t>fifth out of 180 countries in the 2016 World Press Freedom Index (9th in 2014, 6th in 2015)</w:t>
      </w:r>
    </w:p>
    <w:p w:rsidR="00B17150" w:rsidRPr="00B17150" w:rsidRDefault="00B17150" w:rsidP="00982D51">
      <w:pPr>
        <w:pStyle w:val="SSCBodytext"/>
        <w:numPr>
          <w:ilvl w:val="0"/>
          <w:numId w:val="15"/>
        </w:numPr>
        <w:spacing w:before="120" w:after="120"/>
        <w:ind w:right="397"/>
      </w:pPr>
      <w:r w:rsidRPr="00B17150">
        <w:t>sixth out of 92 countries in the 2015 Global Open Data Barometer</w:t>
      </w:r>
    </w:p>
    <w:p w:rsidR="00B17150" w:rsidRPr="00B17150" w:rsidRDefault="00B17150" w:rsidP="00982D51">
      <w:pPr>
        <w:pStyle w:val="SSCBodytext"/>
        <w:numPr>
          <w:ilvl w:val="0"/>
          <w:numId w:val="15"/>
        </w:numPr>
        <w:spacing w:before="120" w:after="120"/>
        <w:ind w:right="397"/>
      </w:pPr>
      <w:r w:rsidRPr="00B17150">
        <w:t>sixth out of 102 countries in the World Justice Project's Rule of Law Index</w:t>
      </w:r>
    </w:p>
    <w:p w:rsidR="00B17150" w:rsidRPr="00B17150" w:rsidRDefault="00A4578E" w:rsidP="00982D51">
      <w:pPr>
        <w:pStyle w:val="SSCBodytext"/>
        <w:numPr>
          <w:ilvl w:val="0"/>
          <w:numId w:val="15"/>
        </w:numPr>
        <w:spacing w:before="120" w:after="120"/>
        <w:ind w:right="397"/>
      </w:pPr>
      <w:r>
        <w:t>i</w:t>
      </w:r>
      <w:r w:rsidR="00B17150" w:rsidRPr="00B17150">
        <w:t>n the top 10 countries in the U</w:t>
      </w:r>
      <w:r w:rsidR="00D10233">
        <w:t xml:space="preserve">nited Nations Development Programme’s </w:t>
      </w:r>
      <w:r w:rsidR="00B17150" w:rsidRPr="00B17150">
        <w:t xml:space="preserve"> Human Development Index</w:t>
      </w:r>
    </w:p>
    <w:p w:rsidR="00BD1807" w:rsidRDefault="00B17150" w:rsidP="00982D51">
      <w:pPr>
        <w:pStyle w:val="SSCBodytext"/>
        <w:numPr>
          <w:ilvl w:val="0"/>
          <w:numId w:val="15"/>
        </w:numPr>
        <w:spacing w:before="120" w:after="120"/>
        <w:ind w:right="397"/>
      </w:pPr>
      <w:r w:rsidRPr="00B17150">
        <w:t>tenth out of 133 countries on the 2016 Social Progress Index</w:t>
      </w:r>
    </w:p>
    <w:p w:rsidR="000B6C34" w:rsidRDefault="00BD1807" w:rsidP="00982D51">
      <w:pPr>
        <w:pStyle w:val="SSCBodytext"/>
        <w:numPr>
          <w:ilvl w:val="0"/>
          <w:numId w:val="15"/>
        </w:numPr>
        <w:spacing w:before="120" w:after="120"/>
        <w:ind w:right="397"/>
      </w:pPr>
      <w:r>
        <w:t>eighth in the E-Government Development Index and sixth in the E-</w:t>
      </w:r>
      <w:r w:rsidR="00B85759">
        <w:t>P</w:t>
      </w:r>
      <w:r>
        <w:t>articipation Index in the 2016 United Nations E</w:t>
      </w:r>
      <w:r w:rsidRPr="00BD1807">
        <w:t xml:space="preserve">-Government Survey </w:t>
      </w:r>
      <w:r>
        <w:t>of 193 countries.</w:t>
      </w:r>
    </w:p>
    <w:p w:rsidR="00EC349B" w:rsidRDefault="00EC349B" w:rsidP="00C237C1">
      <w:pPr>
        <w:pStyle w:val="SSCBodytext"/>
        <w:ind w:left="426" w:right="395"/>
      </w:pPr>
      <w:r>
        <w:t xml:space="preserve">Participation in the OGP </w:t>
      </w:r>
      <w:r w:rsidR="00CE7DA8">
        <w:t>provides</w:t>
      </w:r>
      <w:r>
        <w:t xml:space="preserve"> another </w:t>
      </w:r>
      <w:r w:rsidR="00CE7DA8">
        <w:t>avenue</w:t>
      </w:r>
      <w:r>
        <w:t xml:space="preserve"> to develop and strengthen our efforts in these areas. </w:t>
      </w:r>
      <w:r w:rsidR="000B6C34">
        <w:t xml:space="preserve">The commitments in this plan stretch us to improve in areas that are important to both </w:t>
      </w:r>
      <w:r w:rsidR="00D83473">
        <w:t>New Zealanders</w:t>
      </w:r>
      <w:r w:rsidR="000B6C34">
        <w:t xml:space="preserve"> and to </w:t>
      </w:r>
      <w:r w:rsidR="00A4578E">
        <w:t>g</w:t>
      </w:r>
      <w:r w:rsidR="000B6C34">
        <w:t xml:space="preserve">overnment. </w:t>
      </w:r>
    </w:p>
    <w:p w:rsidR="00EC349B" w:rsidRDefault="00EC349B" w:rsidP="00C237C1">
      <w:pPr>
        <w:pStyle w:val="SSCBodytext"/>
        <w:ind w:left="426" w:right="395"/>
      </w:pPr>
    </w:p>
    <w:p w:rsidR="009A1AC6" w:rsidRDefault="009A1AC6" w:rsidP="00C237C1">
      <w:pPr>
        <w:pStyle w:val="SSCBodytext"/>
        <w:ind w:left="426" w:right="395"/>
      </w:pPr>
      <w:r>
        <w:t xml:space="preserve">Rather than building </w:t>
      </w:r>
      <w:r w:rsidR="00A4578E">
        <w:t xml:space="preserve">on </w:t>
      </w:r>
      <w:r>
        <w:t xml:space="preserve">existing government </w:t>
      </w:r>
      <w:r w:rsidR="000E4509">
        <w:t>work programmes</w:t>
      </w:r>
      <w:r>
        <w:t xml:space="preserve">, these commitments set out targeted, discrete pieces of work that will make a difference to openness, transparency and accountability and will </w:t>
      </w:r>
      <w:r w:rsidR="00A4578E">
        <w:t xml:space="preserve">help </w:t>
      </w:r>
      <w:r>
        <w:t xml:space="preserve">foster greater public participation in government. </w:t>
      </w:r>
    </w:p>
    <w:p w:rsidR="00304183" w:rsidRDefault="00304183" w:rsidP="00C237C1">
      <w:pPr>
        <w:pStyle w:val="SSCBodytext"/>
        <w:ind w:left="426" w:right="395"/>
      </w:pPr>
    </w:p>
    <w:p w:rsidR="009A1AC6" w:rsidRDefault="009A1AC6" w:rsidP="00C237C1">
      <w:pPr>
        <w:pStyle w:val="SSCBodytext"/>
        <w:ind w:left="426" w:right="395"/>
      </w:pPr>
      <w:r>
        <w:t>These commitments will:</w:t>
      </w:r>
    </w:p>
    <w:p w:rsidR="009A1AC6" w:rsidRDefault="00AC6B60" w:rsidP="00982D51">
      <w:pPr>
        <w:pStyle w:val="SSCBodytext"/>
        <w:numPr>
          <w:ilvl w:val="0"/>
          <w:numId w:val="14"/>
        </w:numPr>
        <w:spacing w:before="120" w:after="120"/>
        <w:ind w:right="397"/>
      </w:pPr>
      <w:r>
        <w:t xml:space="preserve">further </w:t>
      </w:r>
      <w:r w:rsidR="000B6C34">
        <w:t xml:space="preserve">open up </w:t>
      </w:r>
      <w:r w:rsidR="009F51A6">
        <w:t>the government budgeting process</w:t>
      </w:r>
    </w:p>
    <w:p w:rsidR="009A1AC6" w:rsidRDefault="009A1AC6" w:rsidP="00982D51">
      <w:pPr>
        <w:pStyle w:val="SSCBodytext"/>
        <w:numPr>
          <w:ilvl w:val="0"/>
          <w:numId w:val="14"/>
        </w:numPr>
        <w:spacing w:before="120" w:after="120"/>
        <w:ind w:right="397"/>
      </w:pPr>
      <w:r>
        <w:t>i</w:t>
      </w:r>
      <w:r w:rsidR="000B6C34">
        <w:t>mprove access to official information</w:t>
      </w:r>
      <w:r>
        <w:t xml:space="preserve"> and government practices around its release</w:t>
      </w:r>
    </w:p>
    <w:p w:rsidR="009A1AC6" w:rsidRDefault="009F51A6" w:rsidP="00982D51">
      <w:pPr>
        <w:pStyle w:val="SSCBodytext"/>
        <w:numPr>
          <w:ilvl w:val="0"/>
          <w:numId w:val="14"/>
        </w:numPr>
        <w:spacing w:before="120" w:after="120"/>
        <w:ind w:right="397"/>
      </w:pPr>
      <w:r>
        <w:t>enhance access to government-held data</w:t>
      </w:r>
    </w:p>
    <w:p w:rsidR="009A1AC6" w:rsidRDefault="009F51A6" w:rsidP="00982D51">
      <w:pPr>
        <w:pStyle w:val="SSCBodytext"/>
        <w:numPr>
          <w:ilvl w:val="0"/>
          <w:numId w:val="14"/>
        </w:numPr>
        <w:spacing w:before="120" w:after="120"/>
        <w:ind w:right="397"/>
      </w:pPr>
      <w:r>
        <w:t>improve people’s access to legislation and government regulations</w:t>
      </w:r>
    </w:p>
    <w:p w:rsidR="00A7450E" w:rsidRDefault="009F51A6" w:rsidP="00982D51">
      <w:pPr>
        <w:pStyle w:val="SSCBodytext"/>
        <w:numPr>
          <w:ilvl w:val="0"/>
          <w:numId w:val="14"/>
        </w:numPr>
        <w:ind w:right="395"/>
      </w:pPr>
      <w:r>
        <w:t>improve how we engage with people in developing and delivering on our OGP commitments</w:t>
      </w:r>
    </w:p>
    <w:p w:rsidR="004F0479" w:rsidRDefault="004F0479" w:rsidP="00D10233">
      <w:pPr>
        <w:pStyle w:val="SSCBodytext"/>
        <w:ind w:left="1080" w:right="395"/>
      </w:pPr>
    </w:p>
    <w:p w:rsidR="006A4D19" w:rsidRDefault="00A7450E" w:rsidP="00982D51">
      <w:pPr>
        <w:pStyle w:val="SSCBodytext"/>
        <w:numPr>
          <w:ilvl w:val="0"/>
          <w:numId w:val="14"/>
        </w:numPr>
        <w:ind w:right="395"/>
      </w:pPr>
      <w:proofErr w:type="gramStart"/>
      <w:r>
        <w:t>support</w:t>
      </w:r>
      <w:proofErr w:type="gramEnd"/>
      <w:r>
        <w:t xml:space="preserve"> the development of sound policy practices, including how government engages with people around issues that matter to them</w:t>
      </w:r>
      <w:r w:rsidR="009F51A6">
        <w:t>.</w:t>
      </w:r>
    </w:p>
    <w:p w:rsidR="006A4D19" w:rsidRDefault="006A4D19" w:rsidP="006A4D19">
      <w:pPr>
        <w:pStyle w:val="SSCBodytext"/>
      </w:pPr>
    </w:p>
    <w:p w:rsidR="00C237C1" w:rsidRDefault="004D3FB7">
      <w:pPr>
        <w:spacing w:after="200" w:line="276" w:lineRule="auto"/>
        <w:jc w:val="left"/>
        <w:rPr>
          <w:color w:val="563F5C"/>
          <w:sz w:val="32"/>
          <w:szCs w:val="32"/>
        </w:rPr>
        <w:sectPr w:rsidR="00C237C1">
          <w:type w:val="continuous"/>
          <w:pgSz w:w="11906" w:h="16838" w:code="9"/>
          <w:pgMar w:top="1702" w:right="1361" w:bottom="1985" w:left="1361" w:header="709" w:footer="454" w:gutter="0"/>
          <w:cols w:space="708"/>
          <w:titlePg/>
          <w:docGrid w:linePitch="360"/>
        </w:sectPr>
      </w:pPr>
      <w:r>
        <w:rPr>
          <w:color w:val="563F5C"/>
          <w:sz w:val="32"/>
          <w:szCs w:val="32"/>
        </w:rPr>
        <w:br w:type="page"/>
      </w:r>
    </w:p>
    <w:p w:rsidR="00874BAF" w:rsidRPr="006216C4" w:rsidRDefault="006A7257" w:rsidP="0091619A">
      <w:pPr>
        <w:pStyle w:val="Heading1"/>
        <w:rPr>
          <w:color w:val="563F5C"/>
          <w:sz w:val="32"/>
          <w:szCs w:val="32"/>
        </w:rPr>
      </w:pPr>
      <w:bookmarkStart w:id="24" w:name="_Toc465411827"/>
      <w:r w:rsidRPr="006216C4">
        <w:rPr>
          <w:color w:val="563F5C"/>
          <w:sz w:val="32"/>
          <w:szCs w:val="32"/>
        </w:rPr>
        <w:t xml:space="preserve">Commitment 1: </w:t>
      </w:r>
      <w:r w:rsidR="00C1260E">
        <w:rPr>
          <w:color w:val="563F5C"/>
          <w:sz w:val="32"/>
          <w:szCs w:val="32"/>
        </w:rPr>
        <w:t>Open</w:t>
      </w:r>
      <w:r w:rsidRPr="006216C4">
        <w:rPr>
          <w:color w:val="563F5C"/>
          <w:sz w:val="32"/>
          <w:szCs w:val="32"/>
        </w:rPr>
        <w:t xml:space="preserve"> Budget</w:t>
      </w:r>
      <w:bookmarkEnd w:id="24"/>
      <w:r w:rsidRPr="006216C4">
        <w:rPr>
          <w:color w:val="563F5C"/>
          <w:sz w:val="32"/>
          <w:szCs w:val="32"/>
        </w:rPr>
        <w:t xml:space="preserve"> </w:t>
      </w:r>
    </w:p>
    <w:p w:rsidR="0091619A" w:rsidRPr="006216C4" w:rsidRDefault="006A7257" w:rsidP="00874BAF">
      <w:pPr>
        <w:pStyle w:val="SSCBodytext"/>
        <w:rPr>
          <w:color w:val="563F5C"/>
          <w:sz w:val="28"/>
          <w:szCs w:val="28"/>
        </w:rPr>
      </w:pPr>
      <w:r w:rsidRPr="006216C4">
        <w:rPr>
          <w:color w:val="563F5C"/>
          <w:sz w:val="28"/>
          <w:szCs w:val="28"/>
        </w:rPr>
        <w:t>We will ensure the Budget process is open and transparent and there is an accountable process for public participation.</w:t>
      </w:r>
    </w:p>
    <w:p w:rsidR="0091619A" w:rsidRDefault="0091619A" w:rsidP="00874BAF">
      <w:pPr>
        <w:pStyle w:val="SSCBodytext"/>
        <w:rPr>
          <w:sz w:val="28"/>
          <w:szCs w:val="28"/>
        </w:rPr>
      </w:pPr>
    </w:p>
    <w:p w:rsidR="0091619A" w:rsidRPr="006216C4" w:rsidRDefault="0091619A" w:rsidP="00874BAF">
      <w:pPr>
        <w:pStyle w:val="SSCBodytext"/>
        <w:rPr>
          <w:szCs w:val="22"/>
        </w:rPr>
      </w:pPr>
      <w:r w:rsidRPr="006216C4">
        <w:rPr>
          <w:b/>
          <w:color w:val="563F5C"/>
          <w:szCs w:val="22"/>
        </w:rPr>
        <w:t>Objective:</w:t>
      </w:r>
      <w:r w:rsidR="006A7257" w:rsidRPr="006216C4">
        <w:rPr>
          <w:szCs w:val="22"/>
        </w:rPr>
        <w:t xml:space="preserve"> To promote public discussion/debate and participation through accessibility of the budget and include </w:t>
      </w:r>
      <w:r w:rsidR="00FC771E">
        <w:rPr>
          <w:szCs w:val="22"/>
        </w:rPr>
        <w:t xml:space="preserve">relevant </w:t>
      </w:r>
      <w:r w:rsidR="006A7257" w:rsidRPr="006216C4">
        <w:rPr>
          <w:szCs w:val="22"/>
        </w:rPr>
        <w:t xml:space="preserve">groups outside </w:t>
      </w:r>
      <w:r w:rsidR="00A4578E">
        <w:rPr>
          <w:szCs w:val="22"/>
        </w:rPr>
        <w:t>of</w:t>
      </w:r>
      <w:r w:rsidR="00A4578E" w:rsidRPr="006216C4">
        <w:rPr>
          <w:szCs w:val="22"/>
        </w:rPr>
        <w:t xml:space="preserve"> </w:t>
      </w:r>
      <w:r w:rsidR="006A7257" w:rsidRPr="006216C4">
        <w:rPr>
          <w:szCs w:val="22"/>
        </w:rPr>
        <w:t>government in the formative phase of the Budget, ensuring they are informed about the process and issues.</w:t>
      </w:r>
    </w:p>
    <w:p w:rsidR="006A7257" w:rsidRPr="006216C4" w:rsidRDefault="006A7257" w:rsidP="00874BAF">
      <w:pPr>
        <w:pStyle w:val="SSCBodytext"/>
        <w:rPr>
          <w:szCs w:val="22"/>
        </w:rPr>
      </w:pPr>
    </w:p>
    <w:p w:rsidR="0091619A" w:rsidRPr="006216C4" w:rsidRDefault="0091619A" w:rsidP="00874BAF">
      <w:pPr>
        <w:pStyle w:val="SSCBodytext"/>
        <w:rPr>
          <w:szCs w:val="22"/>
        </w:rPr>
      </w:pPr>
      <w:r w:rsidRPr="006216C4">
        <w:rPr>
          <w:b/>
          <w:color w:val="563F5C"/>
          <w:szCs w:val="22"/>
        </w:rPr>
        <w:t>Status quo:</w:t>
      </w:r>
      <w:r w:rsidR="006A7257" w:rsidRPr="006216C4">
        <w:rPr>
          <w:color w:val="563F5C"/>
          <w:szCs w:val="22"/>
        </w:rPr>
        <w:t xml:space="preserve"> </w:t>
      </w:r>
      <w:r w:rsidR="006A7257" w:rsidRPr="006216C4">
        <w:rPr>
          <w:szCs w:val="22"/>
        </w:rPr>
        <w:t xml:space="preserve">The Budget </w:t>
      </w:r>
      <w:r w:rsidR="00073792">
        <w:rPr>
          <w:szCs w:val="22"/>
        </w:rPr>
        <w:t xml:space="preserve">can be perceived </w:t>
      </w:r>
      <w:r w:rsidR="006A7257" w:rsidRPr="006216C4">
        <w:rPr>
          <w:szCs w:val="22"/>
        </w:rPr>
        <w:t xml:space="preserve">as a closed process between </w:t>
      </w:r>
      <w:r w:rsidR="00A4578E">
        <w:rPr>
          <w:szCs w:val="22"/>
        </w:rPr>
        <w:t>agencies</w:t>
      </w:r>
      <w:r w:rsidR="00A4578E" w:rsidRPr="006216C4">
        <w:rPr>
          <w:szCs w:val="22"/>
        </w:rPr>
        <w:t xml:space="preserve"> </w:t>
      </w:r>
      <w:r w:rsidR="006A7257" w:rsidRPr="006216C4">
        <w:rPr>
          <w:szCs w:val="22"/>
        </w:rPr>
        <w:t xml:space="preserve">and the Government and information is not regarded as accessible. The Government has begun work to ensure </w:t>
      </w:r>
      <w:r w:rsidR="00073792">
        <w:rPr>
          <w:szCs w:val="22"/>
        </w:rPr>
        <w:t xml:space="preserve">that </w:t>
      </w:r>
      <w:r w:rsidR="00A4578E">
        <w:rPr>
          <w:szCs w:val="22"/>
        </w:rPr>
        <w:t>B</w:t>
      </w:r>
      <w:r w:rsidR="006A7257" w:rsidRPr="006216C4">
        <w:rPr>
          <w:szCs w:val="22"/>
        </w:rPr>
        <w:t xml:space="preserve">udgets </w:t>
      </w:r>
      <w:r w:rsidR="00073792">
        <w:rPr>
          <w:szCs w:val="22"/>
        </w:rPr>
        <w:t>become f</w:t>
      </w:r>
      <w:r w:rsidR="006A7257" w:rsidRPr="006216C4">
        <w:rPr>
          <w:szCs w:val="22"/>
        </w:rPr>
        <w:t xml:space="preserve">ocused on outcomes for citizens rather than funding for </w:t>
      </w:r>
      <w:r w:rsidR="00A4578E">
        <w:rPr>
          <w:szCs w:val="22"/>
        </w:rPr>
        <w:t>agencies</w:t>
      </w:r>
      <w:r w:rsidR="006A7257" w:rsidRPr="006216C4">
        <w:rPr>
          <w:szCs w:val="22"/>
        </w:rPr>
        <w:t>.</w:t>
      </w:r>
    </w:p>
    <w:p w:rsidR="006A7257" w:rsidRPr="006216C4" w:rsidRDefault="006A7257" w:rsidP="00874BAF">
      <w:pPr>
        <w:pStyle w:val="SSCBodytext"/>
        <w:rPr>
          <w:b/>
          <w:color w:val="563F5C"/>
          <w:szCs w:val="22"/>
        </w:rPr>
      </w:pPr>
    </w:p>
    <w:p w:rsidR="0091619A" w:rsidRPr="006216C4" w:rsidRDefault="0091619A" w:rsidP="00874BAF">
      <w:pPr>
        <w:pStyle w:val="SSCBodytext"/>
        <w:rPr>
          <w:szCs w:val="22"/>
        </w:rPr>
      </w:pPr>
      <w:r w:rsidRPr="006216C4">
        <w:rPr>
          <w:b/>
          <w:color w:val="563F5C"/>
          <w:szCs w:val="22"/>
        </w:rPr>
        <w:t>Ambition:</w:t>
      </w:r>
      <w:r w:rsidR="006A7257" w:rsidRPr="006216C4">
        <w:rPr>
          <w:color w:val="563F5C"/>
          <w:szCs w:val="22"/>
        </w:rPr>
        <w:t xml:space="preserve"> </w:t>
      </w:r>
      <w:r w:rsidR="006A7257" w:rsidRPr="006216C4">
        <w:rPr>
          <w:szCs w:val="22"/>
        </w:rPr>
        <w:t>Making the Budget more accessible will promote discussion and debate. It will help ensure that central government spending is open and transparent. It will enhance public participation and confidence in the Budget process.</w:t>
      </w:r>
    </w:p>
    <w:p w:rsidR="006A7257" w:rsidRPr="006216C4" w:rsidRDefault="006A7257" w:rsidP="00874BAF">
      <w:pPr>
        <w:pStyle w:val="SSCBodytext"/>
        <w:rPr>
          <w:szCs w:val="22"/>
        </w:rPr>
      </w:pPr>
    </w:p>
    <w:p w:rsidR="0091619A" w:rsidRPr="006216C4" w:rsidRDefault="0091619A" w:rsidP="00874BAF">
      <w:pPr>
        <w:pStyle w:val="SSCBodytext"/>
        <w:rPr>
          <w:szCs w:val="22"/>
        </w:rPr>
      </w:pPr>
      <w:r w:rsidRPr="006216C4">
        <w:rPr>
          <w:b/>
          <w:color w:val="563F5C"/>
          <w:szCs w:val="22"/>
        </w:rPr>
        <w:t>Lead agency:</w:t>
      </w:r>
      <w:r w:rsidR="006A7257" w:rsidRPr="006216C4">
        <w:rPr>
          <w:color w:val="563F5C"/>
          <w:szCs w:val="22"/>
        </w:rPr>
        <w:t xml:space="preserve"> </w:t>
      </w:r>
      <w:hyperlink r:id="rId21" w:history="1">
        <w:r w:rsidR="006A7257" w:rsidRPr="00B7226C">
          <w:rPr>
            <w:rStyle w:val="Hyperlink"/>
            <w:szCs w:val="22"/>
          </w:rPr>
          <w:t>The Treasury</w:t>
        </w:r>
      </w:hyperlink>
      <w:r w:rsidR="00B7226C">
        <w:rPr>
          <w:szCs w:val="22"/>
        </w:rPr>
        <w:t xml:space="preserve"> (</w:t>
      </w:r>
      <w:r w:rsidR="00B7226C" w:rsidRPr="00B7226C">
        <w:rPr>
          <w:szCs w:val="22"/>
        </w:rPr>
        <w:t>http://www.treasury.govt.nz/</w:t>
      </w:r>
      <w:r w:rsidR="00B7226C">
        <w:rPr>
          <w:szCs w:val="22"/>
        </w:rPr>
        <w:t>)</w:t>
      </w:r>
    </w:p>
    <w:p w:rsidR="006A7257" w:rsidRPr="006216C4" w:rsidRDefault="006A7257" w:rsidP="00874BAF">
      <w:pPr>
        <w:pStyle w:val="SSCBodytext"/>
        <w:rPr>
          <w:color w:val="563F5C"/>
          <w:szCs w:val="22"/>
        </w:rPr>
      </w:pPr>
    </w:p>
    <w:p w:rsidR="0091619A" w:rsidRPr="006216C4" w:rsidRDefault="0091619A" w:rsidP="00874BAF">
      <w:pPr>
        <w:pStyle w:val="SSCBodytext"/>
        <w:rPr>
          <w:color w:val="563F5C"/>
          <w:szCs w:val="22"/>
        </w:rPr>
      </w:pPr>
      <w:r w:rsidRPr="006216C4">
        <w:rPr>
          <w:b/>
          <w:color w:val="563F5C"/>
          <w:szCs w:val="22"/>
        </w:rPr>
        <w:t>Timeline:</w:t>
      </w:r>
      <w:r w:rsidR="006A7257" w:rsidRPr="006216C4">
        <w:rPr>
          <w:color w:val="563F5C"/>
          <w:szCs w:val="22"/>
        </w:rPr>
        <w:t xml:space="preserve"> </w:t>
      </w:r>
      <w:r w:rsidR="006A7257" w:rsidRPr="006216C4">
        <w:rPr>
          <w:szCs w:val="22"/>
        </w:rPr>
        <w:t>October 2016 – May 2018</w:t>
      </w:r>
    </w:p>
    <w:p w:rsidR="0091619A" w:rsidRDefault="0091619A" w:rsidP="00874BAF">
      <w:pPr>
        <w:pStyle w:val="SSCBodytext"/>
        <w:rPr>
          <w:sz w:val="28"/>
          <w:szCs w:val="28"/>
        </w:rPr>
      </w:pPr>
    </w:p>
    <w:tbl>
      <w:tblPr>
        <w:tblStyle w:val="TableGrid"/>
        <w:tblW w:w="0" w:type="auto"/>
        <w:tblLook w:val="04A0" w:firstRow="1" w:lastRow="0" w:firstColumn="1" w:lastColumn="0" w:noHBand="0" w:noVBand="1"/>
      </w:tblPr>
      <w:tblGrid>
        <w:gridCol w:w="4106"/>
        <w:gridCol w:w="1843"/>
        <w:gridCol w:w="1701"/>
        <w:gridCol w:w="1524"/>
      </w:tblGrid>
      <w:tr w:rsidR="00E96D53">
        <w:tc>
          <w:tcPr>
            <w:tcW w:w="9174" w:type="dxa"/>
            <w:gridSpan w:val="4"/>
          </w:tcPr>
          <w:p w:rsidR="00E96D53" w:rsidRPr="006216C4" w:rsidRDefault="006A7257" w:rsidP="00C1260E">
            <w:pPr>
              <w:pStyle w:val="SSCBodytext"/>
              <w:jc w:val="left"/>
              <w:rPr>
                <w:sz w:val="28"/>
                <w:szCs w:val="28"/>
              </w:rPr>
            </w:pPr>
            <w:r w:rsidRPr="006216C4">
              <w:rPr>
                <w:color w:val="563F5C"/>
                <w:sz w:val="28"/>
                <w:szCs w:val="28"/>
              </w:rPr>
              <w:t xml:space="preserve">Commitment: </w:t>
            </w:r>
            <w:r w:rsidR="00C1260E">
              <w:rPr>
                <w:color w:val="563F5C"/>
                <w:sz w:val="28"/>
                <w:szCs w:val="28"/>
              </w:rPr>
              <w:t>Open</w:t>
            </w:r>
            <w:r w:rsidRPr="006216C4">
              <w:rPr>
                <w:color w:val="563F5C"/>
                <w:sz w:val="28"/>
                <w:szCs w:val="28"/>
              </w:rPr>
              <w:t xml:space="preserve"> Budget </w:t>
            </w:r>
          </w:p>
        </w:tc>
      </w:tr>
      <w:tr w:rsidR="00E96D53">
        <w:tc>
          <w:tcPr>
            <w:tcW w:w="4106" w:type="dxa"/>
          </w:tcPr>
          <w:p w:rsidR="00E96D53" w:rsidRPr="00EB1C5F" w:rsidRDefault="00E96D53" w:rsidP="006A7257">
            <w:pPr>
              <w:pStyle w:val="SSCBodytext"/>
              <w:jc w:val="left"/>
              <w:rPr>
                <w:b/>
                <w:color w:val="563F5C"/>
              </w:rPr>
            </w:pPr>
            <w:r w:rsidRPr="00EB1C5F">
              <w:rPr>
                <w:b/>
                <w:color w:val="563F5C"/>
              </w:rPr>
              <w:t xml:space="preserve">OGP </w:t>
            </w:r>
            <w:r w:rsidR="006A7257" w:rsidRPr="00EB1C5F">
              <w:rPr>
                <w:b/>
                <w:color w:val="563F5C"/>
              </w:rPr>
              <w:t>values</w:t>
            </w:r>
          </w:p>
        </w:tc>
        <w:tc>
          <w:tcPr>
            <w:tcW w:w="5068" w:type="dxa"/>
            <w:gridSpan w:val="3"/>
          </w:tcPr>
          <w:p w:rsidR="00E96D53" w:rsidRDefault="006A7257" w:rsidP="00C40F4B">
            <w:pPr>
              <w:pStyle w:val="SSCBodytext"/>
              <w:jc w:val="left"/>
            </w:pPr>
            <w:r>
              <w:t>Access to information, civic participation, public accountability, technology and information</w:t>
            </w:r>
          </w:p>
        </w:tc>
      </w:tr>
      <w:tr w:rsidR="00E96D53">
        <w:tc>
          <w:tcPr>
            <w:tcW w:w="4106" w:type="dxa"/>
          </w:tcPr>
          <w:p w:rsidR="00E96D53" w:rsidRPr="00EB1C5F" w:rsidRDefault="00E96D53" w:rsidP="00A03889">
            <w:pPr>
              <w:pStyle w:val="SSCBodytext"/>
              <w:jc w:val="left"/>
              <w:rPr>
                <w:b/>
                <w:color w:val="563F5C"/>
              </w:rPr>
            </w:pPr>
            <w:r w:rsidRPr="00EB1C5F">
              <w:rPr>
                <w:b/>
                <w:color w:val="563F5C"/>
              </w:rPr>
              <w:t>New or ongoing commitment</w:t>
            </w:r>
          </w:p>
        </w:tc>
        <w:tc>
          <w:tcPr>
            <w:tcW w:w="5068" w:type="dxa"/>
            <w:gridSpan w:val="3"/>
          </w:tcPr>
          <w:p w:rsidR="00E96D53" w:rsidRDefault="006A7257" w:rsidP="00975B1D">
            <w:pPr>
              <w:pStyle w:val="SSCBodytext"/>
              <w:jc w:val="left"/>
            </w:pPr>
            <w:r>
              <w:t>New</w:t>
            </w:r>
          </w:p>
        </w:tc>
      </w:tr>
      <w:tr w:rsidR="00E96D53">
        <w:tc>
          <w:tcPr>
            <w:tcW w:w="4106" w:type="dxa"/>
          </w:tcPr>
          <w:p w:rsidR="00E96D53" w:rsidRPr="00EB1C5F" w:rsidRDefault="00E96D53" w:rsidP="00C40F4B">
            <w:pPr>
              <w:pStyle w:val="SSCBodytext"/>
              <w:jc w:val="left"/>
              <w:rPr>
                <w:b/>
                <w:color w:val="563F5C"/>
              </w:rPr>
            </w:pPr>
            <w:r w:rsidRPr="00EB1C5F">
              <w:rPr>
                <w:b/>
                <w:color w:val="563F5C"/>
              </w:rPr>
              <w:t>Lead implementation organisation</w:t>
            </w:r>
          </w:p>
        </w:tc>
        <w:tc>
          <w:tcPr>
            <w:tcW w:w="5068" w:type="dxa"/>
            <w:gridSpan w:val="3"/>
          </w:tcPr>
          <w:p w:rsidR="00E96D53" w:rsidRDefault="006A7257" w:rsidP="00C40F4B">
            <w:pPr>
              <w:pStyle w:val="SSCBodytext"/>
              <w:jc w:val="left"/>
            </w:pPr>
            <w:r>
              <w:t>The Treasury</w:t>
            </w:r>
          </w:p>
        </w:tc>
      </w:tr>
      <w:tr w:rsidR="00AC5E4A">
        <w:tc>
          <w:tcPr>
            <w:tcW w:w="5949" w:type="dxa"/>
            <w:gridSpan w:val="2"/>
          </w:tcPr>
          <w:p w:rsidR="00AC5E4A" w:rsidRPr="00EB1C5F" w:rsidRDefault="00AC5E4A" w:rsidP="00C40F4B">
            <w:pPr>
              <w:pStyle w:val="SSCBodytext"/>
              <w:jc w:val="left"/>
              <w:rPr>
                <w:b/>
                <w:color w:val="563F5C"/>
              </w:rPr>
            </w:pPr>
            <w:r w:rsidRPr="00EB1C5F">
              <w:rPr>
                <w:b/>
                <w:color w:val="563F5C"/>
              </w:rPr>
              <w:t>Verifiable and measurable milestones to fulfil the commitment</w:t>
            </w:r>
          </w:p>
        </w:tc>
        <w:tc>
          <w:tcPr>
            <w:tcW w:w="1701" w:type="dxa"/>
          </w:tcPr>
          <w:p w:rsidR="00AC5E4A" w:rsidRPr="00EB1C5F" w:rsidRDefault="00AC5E4A" w:rsidP="00C40F4B">
            <w:pPr>
              <w:pStyle w:val="SSCBodytext"/>
              <w:jc w:val="left"/>
              <w:rPr>
                <w:b/>
                <w:color w:val="563F5C"/>
              </w:rPr>
            </w:pPr>
            <w:r w:rsidRPr="00EB1C5F">
              <w:rPr>
                <w:b/>
                <w:color w:val="563F5C"/>
              </w:rPr>
              <w:t>Start date</w:t>
            </w:r>
          </w:p>
        </w:tc>
        <w:tc>
          <w:tcPr>
            <w:tcW w:w="1524" w:type="dxa"/>
          </w:tcPr>
          <w:p w:rsidR="00AC5E4A" w:rsidRPr="00EB1C5F" w:rsidRDefault="00AC5E4A" w:rsidP="00C40F4B">
            <w:pPr>
              <w:pStyle w:val="SSCBodytext"/>
              <w:jc w:val="left"/>
              <w:rPr>
                <w:b/>
                <w:color w:val="563F5C"/>
              </w:rPr>
            </w:pPr>
            <w:r w:rsidRPr="00EB1C5F">
              <w:rPr>
                <w:b/>
                <w:color w:val="563F5C"/>
              </w:rPr>
              <w:t>End date</w:t>
            </w:r>
          </w:p>
        </w:tc>
      </w:tr>
      <w:tr w:rsidR="00AC5E4A">
        <w:tc>
          <w:tcPr>
            <w:tcW w:w="5949" w:type="dxa"/>
            <w:gridSpan w:val="2"/>
          </w:tcPr>
          <w:p w:rsidR="00AC5E4A" w:rsidRDefault="00AC5E4A" w:rsidP="00F0045E">
            <w:pPr>
              <w:pStyle w:val="SSCBodytext"/>
              <w:ind w:left="29" w:right="176"/>
            </w:pPr>
            <w:r>
              <w:t xml:space="preserve">Ask key stakeholder groups how the </w:t>
            </w:r>
            <w:r w:rsidR="001A457C">
              <w:t>B</w:t>
            </w:r>
            <w:r>
              <w:t>udget could be made more accessible</w:t>
            </w:r>
          </w:p>
        </w:tc>
        <w:tc>
          <w:tcPr>
            <w:tcW w:w="1701" w:type="dxa"/>
          </w:tcPr>
          <w:p w:rsidR="00AC5E4A" w:rsidRDefault="00AC5E4A" w:rsidP="00C40F4B">
            <w:pPr>
              <w:pStyle w:val="SSCBodytext"/>
            </w:pPr>
            <w:r>
              <w:t>January 2017</w:t>
            </w:r>
          </w:p>
        </w:tc>
        <w:tc>
          <w:tcPr>
            <w:tcW w:w="1524" w:type="dxa"/>
          </w:tcPr>
          <w:p w:rsidR="00AC5E4A" w:rsidRDefault="00AC5E4A" w:rsidP="00C40F4B">
            <w:pPr>
              <w:pStyle w:val="SSCBodytext"/>
            </w:pPr>
            <w:r>
              <w:t>May 2017</w:t>
            </w:r>
          </w:p>
        </w:tc>
      </w:tr>
      <w:tr w:rsidR="00AC5E4A">
        <w:tc>
          <w:tcPr>
            <w:tcW w:w="5949" w:type="dxa"/>
            <w:gridSpan w:val="2"/>
          </w:tcPr>
          <w:p w:rsidR="00AC5E4A" w:rsidRDefault="00AC5E4A" w:rsidP="00A4578E">
            <w:pPr>
              <w:pStyle w:val="SSCBodytext"/>
              <w:ind w:left="29" w:right="176"/>
            </w:pPr>
            <w:r>
              <w:t>Invite feedback on the previous Budget</w:t>
            </w:r>
            <w:r w:rsidR="00A4578E">
              <w:t xml:space="preserve"> </w:t>
            </w:r>
            <w:r>
              <w:t>– this means making it available in forms people can engage with, which could include machine readable data, plain English published material and visual presentations</w:t>
            </w:r>
          </w:p>
        </w:tc>
        <w:tc>
          <w:tcPr>
            <w:tcW w:w="1701" w:type="dxa"/>
          </w:tcPr>
          <w:p w:rsidR="00AC5E4A" w:rsidRDefault="00AC5E4A" w:rsidP="00C40F4B">
            <w:pPr>
              <w:pStyle w:val="SSCBodytext"/>
            </w:pPr>
            <w:r>
              <w:t>January 2017</w:t>
            </w:r>
          </w:p>
        </w:tc>
        <w:tc>
          <w:tcPr>
            <w:tcW w:w="1524" w:type="dxa"/>
          </w:tcPr>
          <w:p w:rsidR="00AC5E4A" w:rsidRDefault="00AC5E4A" w:rsidP="00C40F4B">
            <w:pPr>
              <w:pStyle w:val="SSCBodytext"/>
            </w:pPr>
            <w:r>
              <w:t>May 2018</w:t>
            </w:r>
          </w:p>
        </w:tc>
      </w:tr>
      <w:tr w:rsidR="00AC5E4A">
        <w:tc>
          <w:tcPr>
            <w:tcW w:w="5949" w:type="dxa"/>
            <w:gridSpan w:val="2"/>
          </w:tcPr>
          <w:p w:rsidR="00AC5E4A" w:rsidRDefault="00AC5E4A" w:rsidP="00F0045E">
            <w:pPr>
              <w:pStyle w:val="SSCBodytext"/>
              <w:ind w:left="29" w:right="176"/>
            </w:pPr>
            <w:r>
              <w:t xml:space="preserve">Provide </w:t>
            </w:r>
            <w:r w:rsidR="001A457C">
              <w:t>B</w:t>
            </w:r>
            <w:r>
              <w:t>udget data in machine readable form – this could include open source formats</w:t>
            </w:r>
          </w:p>
        </w:tc>
        <w:tc>
          <w:tcPr>
            <w:tcW w:w="1701" w:type="dxa"/>
          </w:tcPr>
          <w:p w:rsidR="00AC5E4A" w:rsidRDefault="00AC5E4A" w:rsidP="00C40F4B">
            <w:pPr>
              <w:pStyle w:val="SSCBodytext"/>
            </w:pPr>
            <w:r>
              <w:t>May 2017</w:t>
            </w:r>
          </w:p>
        </w:tc>
        <w:tc>
          <w:tcPr>
            <w:tcW w:w="1524" w:type="dxa"/>
          </w:tcPr>
          <w:p w:rsidR="00AC5E4A" w:rsidRDefault="00AC5E4A" w:rsidP="00C40F4B">
            <w:pPr>
              <w:pStyle w:val="SSCBodytext"/>
            </w:pPr>
            <w:r>
              <w:t>May 2018</w:t>
            </w:r>
          </w:p>
        </w:tc>
      </w:tr>
      <w:tr w:rsidR="00AC5E4A">
        <w:tc>
          <w:tcPr>
            <w:tcW w:w="5949" w:type="dxa"/>
            <w:gridSpan w:val="2"/>
          </w:tcPr>
          <w:p w:rsidR="00AC5E4A" w:rsidRDefault="00AC5E4A" w:rsidP="00F0045E">
            <w:pPr>
              <w:pStyle w:val="SSCBodytext"/>
              <w:ind w:left="29" w:right="176"/>
            </w:pPr>
            <w:r>
              <w:t xml:space="preserve">Work with agencies that have expertise in presenting </w:t>
            </w:r>
            <w:r w:rsidR="001A457C">
              <w:t>B</w:t>
            </w:r>
            <w:r>
              <w:t>udget data in ways that make it easy to understand</w:t>
            </w:r>
          </w:p>
        </w:tc>
        <w:tc>
          <w:tcPr>
            <w:tcW w:w="1701" w:type="dxa"/>
          </w:tcPr>
          <w:p w:rsidR="00AC5E4A" w:rsidRDefault="00AC5E4A" w:rsidP="00C40F4B">
            <w:pPr>
              <w:pStyle w:val="SSCBodytext"/>
            </w:pPr>
            <w:r>
              <w:t>May 2017</w:t>
            </w:r>
          </w:p>
        </w:tc>
        <w:tc>
          <w:tcPr>
            <w:tcW w:w="1524" w:type="dxa"/>
          </w:tcPr>
          <w:p w:rsidR="00AC5E4A" w:rsidRDefault="00AC5E4A" w:rsidP="00C40F4B">
            <w:pPr>
              <w:pStyle w:val="SSCBodytext"/>
            </w:pPr>
            <w:r>
              <w:t>May 2018</w:t>
            </w:r>
          </w:p>
        </w:tc>
      </w:tr>
    </w:tbl>
    <w:p w:rsidR="00E96D53" w:rsidRPr="00874BAF" w:rsidRDefault="00E96D53" w:rsidP="00E96D53">
      <w:pPr>
        <w:pStyle w:val="SSCBodytext"/>
      </w:pPr>
    </w:p>
    <w:p w:rsidR="00D03379" w:rsidRDefault="00D03379">
      <w:pPr>
        <w:spacing w:after="200" w:line="276" w:lineRule="auto"/>
        <w:jc w:val="left"/>
        <w:rPr>
          <w:rFonts w:eastAsiaTheme="majorEastAsia" w:cstheme="majorBidi"/>
          <w:b/>
          <w:bCs/>
          <w:color w:val="563F5C"/>
          <w:sz w:val="32"/>
          <w:szCs w:val="32"/>
        </w:rPr>
      </w:pPr>
      <w:r>
        <w:rPr>
          <w:color w:val="563F5C"/>
          <w:sz w:val="32"/>
          <w:szCs w:val="32"/>
        </w:rPr>
        <w:br w:type="page"/>
      </w:r>
    </w:p>
    <w:p w:rsidR="00A708A8" w:rsidRPr="0029711D" w:rsidRDefault="00A708A8" w:rsidP="00A708A8">
      <w:pPr>
        <w:pStyle w:val="Heading1"/>
        <w:rPr>
          <w:color w:val="563F5C"/>
          <w:sz w:val="32"/>
          <w:szCs w:val="32"/>
        </w:rPr>
      </w:pPr>
      <w:bookmarkStart w:id="25" w:name="_Toc465411828"/>
      <w:r w:rsidRPr="0029711D">
        <w:rPr>
          <w:color w:val="563F5C"/>
          <w:sz w:val="32"/>
          <w:szCs w:val="32"/>
        </w:rPr>
        <w:t>Commitment 2</w:t>
      </w:r>
      <w:r w:rsidR="00BE4F19" w:rsidRPr="0029711D">
        <w:rPr>
          <w:color w:val="563F5C"/>
          <w:sz w:val="32"/>
          <w:szCs w:val="32"/>
        </w:rPr>
        <w:t>: Improving official information practices</w:t>
      </w:r>
      <w:bookmarkEnd w:id="25"/>
    </w:p>
    <w:p w:rsidR="00A708A8" w:rsidRPr="0029711D" w:rsidRDefault="00BE4F19" w:rsidP="00A708A8">
      <w:pPr>
        <w:pStyle w:val="SSCBodytext"/>
        <w:rPr>
          <w:color w:val="563F5C"/>
          <w:sz w:val="28"/>
          <w:szCs w:val="28"/>
        </w:rPr>
      </w:pPr>
      <w:r w:rsidRPr="0029711D">
        <w:rPr>
          <w:color w:val="563F5C"/>
          <w:sz w:val="28"/>
          <w:szCs w:val="28"/>
        </w:rPr>
        <w:t>We will improve government agency practices around requests for official information under the Official Information Act (OIA).</w:t>
      </w:r>
    </w:p>
    <w:p w:rsidR="00A708A8" w:rsidRPr="0029711D" w:rsidRDefault="00A708A8" w:rsidP="00A708A8">
      <w:pPr>
        <w:pStyle w:val="SSCBodytext"/>
        <w:rPr>
          <w:color w:val="563F5C"/>
          <w:sz w:val="24"/>
        </w:rPr>
      </w:pPr>
    </w:p>
    <w:p w:rsidR="00A708A8" w:rsidRDefault="00A708A8" w:rsidP="00A708A8">
      <w:pPr>
        <w:pStyle w:val="SSCBodytext"/>
        <w:rPr>
          <w:szCs w:val="22"/>
        </w:rPr>
      </w:pPr>
      <w:r w:rsidRPr="0029711D">
        <w:rPr>
          <w:b/>
          <w:color w:val="563F5C"/>
          <w:szCs w:val="22"/>
        </w:rPr>
        <w:t>Objective:</w:t>
      </w:r>
      <w:r w:rsidR="00BE4F19" w:rsidRPr="0029711D">
        <w:rPr>
          <w:color w:val="563F5C"/>
          <w:szCs w:val="22"/>
        </w:rPr>
        <w:t xml:space="preserve"> </w:t>
      </w:r>
      <w:r w:rsidR="00BE4F19" w:rsidRPr="0029711D">
        <w:rPr>
          <w:szCs w:val="22"/>
        </w:rPr>
        <w:t xml:space="preserve">To make government information </w:t>
      </w:r>
      <w:r w:rsidR="00B94215">
        <w:rPr>
          <w:szCs w:val="22"/>
        </w:rPr>
        <w:t>more accessible by adopting a consistent set of agency practices in response to requests for official information.</w:t>
      </w:r>
    </w:p>
    <w:p w:rsidR="0085096C" w:rsidRPr="0029711D" w:rsidRDefault="0085096C" w:rsidP="00A708A8">
      <w:pPr>
        <w:pStyle w:val="SSCBodytext"/>
        <w:rPr>
          <w:szCs w:val="22"/>
        </w:rPr>
      </w:pPr>
    </w:p>
    <w:p w:rsidR="00A708A8" w:rsidRPr="0029711D" w:rsidRDefault="00A708A8" w:rsidP="00A708A8">
      <w:pPr>
        <w:pStyle w:val="SSCBodytext"/>
        <w:rPr>
          <w:szCs w:val="22"/>
        </w:rPr>
      </w:pPr>
      <w:r w:rsidRPr="0029711D">
        <w:rPr>
          <w:b/>
          <w:color w:val="563F5C"/>
          <w:szCs w:val="22"/>
        </w:rPr>
        <w:t>Status quo:</w:t>
      </w:r>
      <w:r w:rsidR="00BE4F19" w:rsidRPr="0029711D">
        <w:rPr>
          <w:color w:val="563F5C"/>
          <w:szCs w:val="22"/>
        </w:rPr>
        <w:t xml:space="preserve"> </w:t>
      </w:r>
      <w:r w:rsidR="00BE4F19" w:rsidRPr="0029711D">
        <w:rPr>
          <w:szCs w:val="22"/>
        </w:rPr>
        <w:t xml:space="preserve">Practice around how agencies handle requests for official information is not </w:t>
      </w:r>
      <w:r w:rsidR="00B94215">
        <w:rPr>
          <w:szCs w:val="22"/>
        </w:rPr>
        <w:t>uniform</w:t>
      </w:r>
      <w:r w:rsidR="00BE4F19" w:rsidRPr="0029711D">
        <w:rPr>
          <w:szCs w:val="22"/>
        </w:rPr>
        <w:t xml:space="preserve">, agencies are burdened by increasing administrative load around official information requests, and </w:t>
      </w:r>
      <w:r w:rsidR="00257733">
        <w:rPr>
          <w:szCs w:val="22"/>
        </w:rPr>
        <w:t>people find it hard to navigate the system</w:t>
      </w:r>
      <w:r w:rsidR="00A4578E">
        <w:rPr>
          <w:szCs w:val="22"/>
        </w:rPr>
        <w:t>s</w:t>
      </w:r>
      <w:r w:rsidR="00257733">
        <w:rPr>
          <w:szCs w:val="22"/>
        </w:rPr>
        <w:t>.</w:t>
      </w:r>
    </w:p>
    <w:p w:rsidR="0085096C" w:rsidRDefault="0085096C" w:rsidP="00A708A8">
      <w:pPr>
        <w:pStyle w:val="SSCBodytext"/>
        <w:rPr>
          <w:b/>
          <w:color w:val="563F5C"/>
          <w:szCs w:val="22"/>
        </w:rPr>
      </w:pPr>
    </w:p>
    <w:p w:rsidR="00A708A8" w:rsidRPr="0085096C" w:rsidRDefault="00A708A8" w:rsidP="00A708A8">
      <w:pPr>
        <w:pStyle w:val="SSCBodytext"/>
        <w:rPr>
          <w:szCs w:val="22"/>
        </w:rPr>
      </w:pPr>
      <w:r w:rsidRPr="0029711D">
        <w:rPr>
          <w:b/>
          <w:color w:val="563F5C"/>
          <w:szCs w:val="22"/>
        </w:rPr>
        <w:t>Ambition:</w:t>
      </w:r>
      <w:r w:rsidR="0085096C">
        <w:rPr>
          <w:b/>
          <w:color w:val="563F5C"/>
          <w:szCs w:val="22"/>
        </w:rPr>
        <w:t xml:space="preserve"> </w:t>
      </w:r>
      <w:r w:rsidR="0085096C" w:rsidRPr="0085096C">
        <w:rPr>
          <w:szCs w:val="22"/>
        </w:rPr>
        <w:t>We are committed to improving how government responds to requests for official information.</w:t>
      </w:r>
    </w:p>
    <w:p w:rsidR="0085096C" w:rsidRDefault="0085096C" w:rsidP="00A708A8">
      <w:pPr>
        <w:pStyle w:val="SSCBodytext"/>
        <w:rPr>
          <w:b/>
          <w:color w:val="563F5C"/>
          <w:szCs w:val="22"/>
        </w:rPr>
      </w:pPr>
    </w:p>
    <w:p w:rsidR="00A708A8" w:rsidRPr="0029711D" w:rsidRDefault="00A708A8" w:rsidP="00A708A8">
      <w:pPr>
        <w:pStyle w:val="SSCBodytext"/>
        <w:rPr>
          <w:b/>
          <w:color w:val="563F5C"/>
          <w:szCs w:val="22"/>
        </w:rPr>
      </w:pPr>
      <w:r w:rsidRPr="0029711D">
        <w:rPr>
          <w:b/>
          <w:color w:val="563F5C"/>
          <w:szCs w:val="22"/>
        </w:rPr>
        <w:t>Lead agenc</w:t>
      </w:r>
      <w:r w:rsidR="002B11D0">
        <w:rPr>
          <w:b/>
          <w:color w:val="563F5C"/>
          <w:szCs w:val="22"/>
        </w:rPr>
        <w:t>ies</w:t>
      </w:r>
      <w:r w:rsidRPr="0029711D">
        <w:rPr>
          <w:b/>
          <w:color w:val="563F5C"/>
          <w:szCs w:val="22"/>
        </w:rPr>
        <w:t>:</w:t>
      </w:r>
      <w:r w:rsidR="0085096C">
        <w:rPr>
          <w:b/>
          <w:color w:val="563F5C"/>
          <w:szCs w:val="22"/>
        </w:rPr>
        <w:t xml:space="preserve"> </w:t>
      </w:r>
      <w:hyperlink r:id="rId22" w:history="1">
        <w:r w:rsidR="0085096C" w:rsidRPr="009E26E5">
          <w:rPr>
            <w:rStyle w:val="Hyperlink"/>
            <w:szCs w:val="22"/>
          </w:rPr>
          <w:t>State Services Commission</w:t>
        </w:r>
      </w:hyperlink>
      <w:r w:rsidR="00D179F4">
        <w:rPr>
          <w:szCs w:val="22"/>
        </w:rPr>
        <w:t xml:space="preserve"> (</w:t>
      </w:r>
      <w:r w:rsidR="00D179F4" w:rsidRPr="00D179F4">
        <w:rPr>
          <w:szCs w:val="22"/>
        </w:rPr>
        <w:t>http://www.ssc.govt.nz/</w:t>
      </w:r>
      <w:r w:rsidR="00D179F4">
        <w:rPr>
          <w:szCs w:val="22"/>
        </w:rPr>
        <w:t>)</w:t>
      </w:r>
      <w:r w:rsidR="002B11D0">
        <w:rPr>
          <w:szCs w:val="22"/>
        </w:rPr>
        <w:t xml:space="preserve">, </w:t>
      </w:r>
      <w:hyperlink r:id="rId23" w:history="1">
        <w:r w:rsidR="002B11D0" w:rsidRPr="00D179F4">
          <w:rPr>
            <w:rStyle w:val="Hyperlink"/>
            <w:szCs w:val="22"/>
          </w:rPr>
          <w:t>Ministry of Justice</w:t>
        </w:r>
      </w:hyperlink>
      <w:r w:rsidR="00D179F4">
        <w:rPr>
          <w:szCs w:val="22"/>
        </w:rPr>
        <w:t xml:space="preserve"> (</w:t>
      </w:r>
      <w:r w:rsidR="00D179F4" w:rsidRPr="00D179F4">
        <w:rPr>
          <w:szCs w:val="22"/>
        </w:rPr>
        <w:t>https://www.justice.govt.nz/</w:t>
      </w:r>
      <w:r w:rsidR="00D179F4">
        <w:rPr>
          <w:szCs w:val="22"/>
        </w:rPr>
        <w:t>)</w:t>
      </w:r>
    </w:p>
    <w:p w:rsidR="0085096C" w:rsidRDefault="0085096C" w:rsidP="00A708A8">
      <w:pPr>
        <w:pStyle w:val="SSCBodytext"/>
        <w:rPr>
          <w:b/>
          <w:color w:val="563F5C"/>
          <w:szCs w:val="22"/>
        </w:rPr>
      </w:pPr>
    </w:p>
    <w:p w:rsidR="00A708A8" w:rsidRPr="0085096C" w:rsidRDefault="00A708A8" w:rsidP="00A708A8">
      <w:pPr>
        <w:pStyle w:val="SSCBodytext"/>
        <w:rPr>
          <w:szCs w:val="22"/>
        </w:rPr>
      </w:pPr>
      <w:r w:rsidRPr="0029711D">
        <w:rPr>
          <w:b/>
          <w:color w:val="563F5C"/>
          <w:szCs w:val="22"/>
        </w:rPr>
        <w:t>Timeline:</w:t>
      </w:r>
      <w:r w:rsidR="0085096C">
        <w:rPr>
          <w:b/>
          <w:color w:val="563F5C"/>
          <w:szCs w:val="22"/>
        </w:rPr>
        <w:t xml:space="preserve"> </w:t>
      </w:r>
      <w:r w:rsidR="0085096C" w:rsidRPr="0085096C">
        <w:rPr>
          <w:szCs w:val="22"/>
        </w:rPr>
        <w:t>October 2016 – June 2018</w:t>
      </w:r>
    </w:p>
    <w:p w:rsidR="00A708A8" w:rsidRPr="0029711D" w:rsidRDefault="00A708A8" w:rsidP="00A708A8">
      <w:pPr>
        <w:pStyle w:val="SSCBodytext"/>
        <w:rPr>
          <w:szCs w:val="22"/>
        </w:rPr>
      </w:pPr>
    </w:p>
    <w:tbl>
      <w:tblPr>
        <w:tblStyle w:val="TableGrid"/>
        <w:tblW w:w="0" w:type="auto"/>
        <w:tblLook w:val="04A0" w:firstRow="1" w:lastRow="0" w:firstColumn="1" w:lastColumn="0" w:noHBand="0" w:noVBand="1"/>
      </w:tblPr>
      <w:tblGrid>
        <w:gridCol w:w="4106"/>
        <w:gridCol w:w="1134"/>
        <w:gridCol w:w="1985"/>
        <w:gridCol w:w="1949"/>
      </w:tblGrid>
      <w:tr w:rsidR="00A708A8">
        <w:tc>
          <w:tcPr>
            <w:tcW w:w="9174" w:type="dxa"/>
            <w:gridSpan w:val="4"/>
          </w:tcPr>
          <w:p w:rsidR="00A708A8" w:rsidRDefault="0029711D" w:rsidP="0029711D">
            <w:pPr>
              <w:pStyle w:val="SSCBodytext"/>
              <w:jc w:val="left"/>
            </w:pPr>
            <w:r w:rsidRPr="006216C4">
              <w:rPr>
                <w:color w:val="563F5C"/>
                <w:sz w:val="28"/>
                <w:szCs w:val="28"/>
              </w:rPr>
              <w:t xml:space="preserve">Commitment: </w:t>
            </w:r>
            <w:r>
              <w:rPr>
                <w:color w:val="563F5C"/>
                <w:sz w:val="28"/>
                <w:szCs w:val="28"/>
              </w:rPr>
              <w:t>Improving official information practices</w:t>
            </w:r>
          </w:p>
        </w:tc>
      </w:tr>
      <w:tr w:rsidR="00A708A8">
        <w:tc>
          <w:tcPr>
            <w:tcW w:w="4106" w:type="dxa"/>
          </w:tcPr>
          <w:p w:rsidR="00A708A8" w:rsidRPr="0029711D" w:rsidRDefault="00A708A8" w:rsidP="00C40F4B">
            <w:pPr>
              <w:pStyle w:val="SSCBodytext"/>
              <w:jc w:val="left"/>
              <w:rPr>
                <w:b/>
                <w:color w:val="563F5C"/>
              </w:rPr>
            </w:pPr>
            <w:r w:rsidRPr="0029711D">
              <w:rPr>
                <w:b/>
                <w:color w:val="563F5C"/>
              </w:rPr>
              <w:t>OGP values</w:t>
            </w:r>
          </w:p>
        </w:tc>
        <w:tc>
          <w:tcPr>
            <w:tcW w:w="5068" w:type="dxa"/>
            <w:gridSpan w:val="3"/>
          </w:tcPr>
          <w:p w:rsidR="00A708A8" w:rsidRDefault="0085096C" w:rsidP="00C40F4B">
            <w:pPr>
              <w:pStyle w:val="SSCBodytext"/>
              <w:jc w:val="left"/>
            </w:pPr>
            <w:r>
              <w:t>Access to information, civic participation, public accountability, technology and information</w:t>
            </w:r>
          </w:p>
        </w:tc>
      </w:tr>
      <w:tr w:rsidR="00A708A8">
        <w:tc>
          <w:tcPr>
            <w:tcW w:w="4106" w:type="dxa"/>
          </w:tcPr>
          <w:p w:rsidR="00A708A8" w:rsidRPr="0029711D" w:rsidRDefault="00A708A8" w:rsidP="00C40F4B">
            <w:pPr>
              <w:pStyle w:val="SSCBodytext"/>
              <w:jc w:val="left"/>
              <w:rPr>
                <w:b/>
                <w:color w:val="563F5C"/>
              </w:rPr>
            </w:pPr>
            <w:r w:rsidRPr="0029711D">
              <w:rPr>
                <w:b/>
                <w:color w:val="563F5C"/>
              </w:rPr>
              <w:t>New or ongoing commitment</w:t>
            </w:r>
          </w:p>
        </w:tc>
        <w:tc>
          <w:tcPr>
            <w:tcW w:w="5068" w:type="dxa"/>
            <w:gridSpan w:val="3"/>
          </w:tcPr>
          <w:p w:rsidR="00A708A8" w:rsidRDefault="0085096C" w:rsidP="00C40F4B">
            <w:pPr>
              <w:pStyle w:val="SSCBodytext"/>
              <w:jc w:val="left"/>
            </w:pPr>
            <w:r>
              <w:t>New</w:t>
            </w:r>
          </w:p>
        </w:tc>
      </w:tr>
      <w:tr w:rsidR="00A708A8">
        <w:tc>
          <w:tcPr>
            <w:tcW w:w="4106" w:type="dxa"/>
          </w:tcPr>
          <w:p w:rsidR="00A708A8" w:rsidRPr="0029711D" w:rsidRDefault="00A708A8" w:rsidP="00C40F4B">
            <w:pPr>
              <w:pStyle w:val="SSCBodytext"/>
              <w:jc w:val="left"/>
              <w:rPr>
                <w:b/>
                <w:color w:val="563F5C"/>
              </w:rPr>
            </w:pPr>
            <w:r w:rsidRPr="0029711D">
              <w:rPr>
                <w:b/>
                <w:color w:val="563F5C"/>
              </w:rPr>
              <w:t>Lead implementation organisation</w:t>
            </w:r>
            <w:r w:rsidR="002B11D0">
              <w:rPr>
                <w:b/>
                <w:color w:val="563F5C"/>
              </w:rPr>
              <w:t>s</w:t>
            </w:r>
          </w:p>
        </w:tc>
        <w:tc>
          <w:tcPr>
            <w:tcW w:w="5068" w:type="dxa"/>
            <w:gridSpan w:val="3"/>
          </w:tcPr>
          <w:p w:rsidR="00A708A8" w:rsidRDefault="0085096C" w:rsidP="00C40F4B">
            <w:pPr>
              <w:pStyle w:val="SSCBodytext"/>
              <w:jc w:val="left"/>
            </w:pPr>
            <w:r>
              <w:t>State Services Commission</w:t>
            </w:r>
            <w:r w:rsidR="002B11D0">
              <w:t>, Ministry of Justice</w:t>
            </w:r>
          </w:p>
        </w:tc>
      </w:tr>
      <w:tr w:rsidR="00AC5E4A">
        <w:tc>
          <w:tcPr>
            <w:tcW w:w="5240" w:type="dxa"/>
            <w:gridSpan w:val="2"/>
          </w:tcPr>
          <w:p w:rsidR="00AC5E4A" w:rsidRPr="0029711D" w:rsidRDefault="00AC5E4A" w:rsidP="00C40F4B">
            <w:pPr>
              <w:pStyle w:val="SSCBodytext"/>
              <w:jc w:val="left"/>
              <w:rPr>
                <w:b/>
                <w:color w:val="563F5C"/>
              </w:rPr>
            </w:pPr>
            <w:r w:rsidRPr="0029711D">
              <w:rPr>
                <w:b/>
                <w:color w:val="563F5C"/>
              </w:rPr>
              <w:t>Verifiable and measurable milestones to fulfil the commitment</w:t>
            </w:r>
          </w:p>
        </w:tc>
        <w:tc>
          <w:tcPr>
            <w:tcW w:w="1985" w:type="dxa"/>
          </w:tcPr>
          <w:p w:rsidR="00AC5E4A" w:rsidRPr="0029711D" w:rsidRDefault="00AC5E4A" w:rsidP="00C40F4B">
            <w:pPr>
              <w:pStyle w:val="SSCBodytext"/>
              <w:jc w:val="left"/>
              <w:rPr>
                <w:b/>
                <w:color w:val="563F5C"/>
              </w:rPr>
            </w:pPr>
            <w:r w:rsidRPr="0029711D">
              <w:rPr>
                <w:b/>
                <w:color w:val="563F5C"/>
              </w:rPr>
              <w:t>Start date</w:t>
            </w:r>
          </w:p>
        </w:tc>
        <w:tc>
          <w:tcPr>
            <w:tcW w:w="1949" w:type="dxa"/>
          </w:tcPr>
          <w:p w:rsidR="00AC5E4A" w:rsidRPr="0029711D" w:rsidRDefault="00AC5E4A" w:rsidP="00C40F4B">
            <w:pPr>
              <w:pStyle w:val="SSCBodytext"/>
              <w:jc w:val="left"/>
              <w:rPr>
                <w:b/>
                <w:color w:val="563F5C"/>
              </w:rPr>
            </w:pPr>
            <w:r w:rsidRPr="0029711D">
              <w:rPr>
                <w:b/>
                <w:color w:val="563F5C"/>
              </w:rPr>
              <w:t>End date</w:t>
            </w:r>
          </w:p>
        </w:tc>
      </w:tr>
      <w:tr w:rsidR="00AC5E4A">
        <w:tc>
          <w:tcPr>
            <w:tcW w:w="5240" w:type="dxa"/>
            <w:gridSpan w:val="2"/>
          </w:tcPr>
          <w:p w:rsidR="00AC5E4A" w:rsidRPr="0029711D" w:rsidRDefault="00AC5E4A" w:rsidP="00F0045E">
            <w:pPr>
              <w:pStyle w:val="SSCBodytext"/>
              <w:ind w:left="29" w:right="175"/>
              <w:jc w:val="left"/>
              <w:rPr>
                <w:b/>
                <w:color w:val="563F5C"/>
              </w:rPr>
            </w:pPr>
            <w:r>
              <w:t xml:space="preserve">Ensure information about the OIA (how to make requests, </w:t>
            </w:r>
            <w:proofErr w:type="spellStart"/>
            <w:r>
              <w:t>etc</w:t>
            </w:r>
            <w:proofErr w:type="spellEnd"/>
            <w:r>
              <w:t>) and responses to requests are easy to access on agency websites. This could include development of single OIA web pages for agencies</w:t>
            </w:r>
          </w:p>
        </w:tc>
        <w:tc>
          <w:tcPr>
            <w:tcW w:w="1985" w:type="dxa"/>
          </w:tcPr>
          <w:p w:rsidR="00AC5E4A" w:rsidRPr="002071D5" w:rsidRDefault="00DA6072" w:rsidP="00C40F4B">
            <w:pPr>
              <w:pStyle w:val="SSCBodytext"/>
              <w:jc w:val="left"/>
            </w:pPr>
            <w:r>
              <w:t>N</w:t>
            </w:r>
            <w:r w:rsidR="00AC5E4A">
              <w:t>ovember 2016</w:t>
            </w:r>
          </w:p>
        </w:tc>
        <w:tc>
          <w:tcPr>
            <w:tcW w:w="1949" w:type="dxa"/>
          </w:tcPr>
          <w:p w:rsidR="00AC5E4A" w:rsidRPr="002071D5" w:rsidRDefault="00AC5E4A" w:rsidP="00366994">
            <w:pPr>
              <w:pStyle w:val="SSCBodytext"/>
              <w:jc w:val="left"/>
            </w:pPr>
            <w:r>
              <w:t>March 2017</w:t>
            </w:r>
          </w:p>
        </w:tc>
      </w:tr>
      <w:tr w:rsidR="00AC5E4A">
        <w:tc>
          <w:tcPr>
            <w:tcW w:w="5240" w:type="dxa"/>
            <w:gridSpan w:val="2"/>
          </w:tcPr>
          <w:p w:rsidR="00AC5E4A" w:rsidRDefault="00AC5E4A" w:rsidP="00F0045E">
            <w:pPr>
              <w:pStyle w:val="SSCBodytext"/>
              <w:ind w:left="29" w:right="175"/>
            </w:pPr>
            <w:r>
              <w:t xml:space="preserve">Publish OIA statistics (how many requests, time taken to respond, </w:t>
            </w:r>
            <w:proofErr w:type="spellStart"/>
            <w:r>
              <w:t>etc</w:t>
            </w:r>
            <w:proofErr w:type="spellEnd"/>
            <w:r>
              <w:t>)</w:t>
            </w:r>
          </w:p>
        </w:tc>
        <w:tc>
          <w:tcPr>
            <w:tcW w:w="1985" w:type="dxa"/>
          </w:tcPr>
          <w:p w:rsidR="00AC5E4A" w:rsidRPr="002071D5" w:rsidRDefault="00AC5E4A" w:rsidP="00366994">
            <w:pPr>
              <w:pStyle w:val="SSCBodytext"/>
              <w:jc w:val="left"/>
            </w:pPr>
            <w:r>
              <w:t>November 2016</w:t>
            </w:r>
          </w:p>
        </w:tc>
        <w:tc>
          <w:tcPr>
            <w:tcW w:w="1949" w:type="dxa"/>
          </w:tcPr>
          <w:p w:rsidR="00AC5E4A" w:rsidRPr="002071D5" w:rsidRDefault="00AC5E4A" w:rsidP="00366994">
            <w:pPr>
              <w:pStyle w:val="SSCBodytext"/>
              <w:jc w:val="left"/>
            </w:pPr>
            <w:r>
              <w:t>March 2017</w:t>
            </w:r>
          </w:p>
        </w:tc>
      </w:tr>
      <w:tr w:rsidR="00DA6072">
        <w:tc>
          <w:tcPr>
            <w:tcW w:w="5240" w:type="dxa"/>
            <w:gridSpan w:val="2"/>
          </w:tcPr>
          <w:p w:rsidR="00DA6072" w:rsidRDefault="00DA6072" w:rsidP="00F0045E">
            <w:pPr>
              <w:pStyle w:val="SSCBodytext"/>
              <w:ind w:left="29" w:right="175"/>
            </w:pPr>
            <w:r w:rsidRPr="00DA6072">
              <w:t>Develop a clear statement of government policy on proactive release of Cabinet papers and related material</w:t>
            </w:r>
          </w:p>
        </w:tc>
        <w:tc>
          <w:tcPr>
            <w:tcW w:w="1985" w:type="dxa"/>
          </w:tcPr>
          <w:p w:rsidR="00DA6072" w:rsidRDefault="00DA6072" w:rsidP="00DA6072">
            <w:pPr>
              <w:pStyle w:val="SSCBodytext"/>
              <w:jc w:val="left"/>
            </w:pPr>
            <w:r w:rsidRPr="00DA6072">
              <w:t>October 2016</w:t>
            </w:r>
          </w:p>
        </w:tc>
        <w:tc>
          <w:tcPr>
            <w:tcW w:w="1949" w:type="dxa"/>
          </w:tcPr>
          <w:p w:rsidR="00DA6072" w:rsidRDefault="00DA6072" w:rsidP="00DA6072">
            <w:pPr>
              <w:pStyle w:val="SSCBodytext"/>
              <w:jc w:val="left"/>
            </w:pPr>
            <w:r w:rsidRPr="00DA6072">
              <w:t>June 2017</w:t>
            </w:r>
          </w:p>
        </w:tc>
      </w:tr>
      <w:tr w:rsidR="00DA6072">
        <w:tc>
          <w:tcPr>
            <w:tcW w:w="5240" w:type="dxa"/>
            <w:gridSpan w:val="2"/>
          </w:tcPr>
          <w:p w:rsidR="00DA6072" w:rsidRDefault="00DA6072" w:rsidP="00F0045E">
            <w:pPr>
              <w:pStyle w:val="SSCBodytext"/>
              <w:ind w:left="29" w:right="175"/>
            </w:pPr>
            <w:r>
              <w:t>Develop a suite of consistent measures about OIA performance</w:t>
            </w:r>
          </w:p>
        </w:tc>
        <w:tc>
          <w:tcPr>
            <w:tcW w:w="1985" w:type="dxa"/>
          </w:tcPr>
          <w:p w:rsidR="00DA6072" w:rsidRPr="002071D5" w:rsidRDefault="00DA6072" w:rsidP="00DA6072">
            <w:pPr>
              <w:pStyle w:val="SSCBodytext"/>
              <w:jc w:val="left"/>
            </w:pPr>
            <w:r>
              <w:t>November 2016</w:t>
            </w:r>
          </w:p>
        </w:tc>
        <w:tc>
          <w:tcPr>
            <w:tcW w:w="1949" w:type="dxa"/>
          </w:tcPr>
          <w:p w:rsidR="00DA6072" w:rsidRPr="002071D5" w:rsidRDefault="00DA6072" w:rsidP="00DA6072">
            <w:pPr>
              <w:pStyle w:val="SSCBodytext"/>
              <w:jc w:val="left"/>
            </w:pPr>
            <w:r>
              <w:t>November 2017</w:t>
            </w:r>
          </w:p>
        </w:tc>
      </w:tr>
      <w:tr w:rsidR="00DA6072">
        <w:tc>
          <w:tcPr>
            <w:tcW w:w="5240" w:type="dxa"/>
            <w:gridSpan w:val="2"/>
          </w:tcPr>
          <w:p w:rsidR="00DA6072" w:rsidRDefault="00DA6072" w:rsidP="00F0045E">
            <w:pPr>
              <w:pStyle w:val="SSCBodytext"/>
              <w:ind w:left="29" w:right="175"/>
            </w:pPr>
            <w:r>
              <w:t>Improve access to official information by publishing responses to requests on government websites and developing principles for more proactive release</w:t>
            </w:r>
          </w:p>
        </w:tc>
        <w:tc>
          <w:tcPr>
            <w:tcW w:w="1985" w:type="dxa"/>
          </w:tcPr>
          <w:p w:rsidR="00DA6072" w:rsidRPr="002071D5" w:rsidRDefault="00DA6072" w:rsidP="00DA6072">
            <w:pPr>
              <w:pStyle w:val="SSCBodytext"/>
            </w:pPr>
            <w:r>
              <w:t>November 2016</w:t>
            </w:r>
          </w:p>
        </w:tc>
        <w:tc>
          <w:tcPr>
            <w:tcW w:w="1949" w:type="dxa"/>
          </w:tcPr>
          <w:p w:rsidR="00DA6072" w:rsidRPr="002071D5" w:rsidRDefault="00DA6072" w:rsidP="00DA6072">
            <w:pPr>
              <w:pStyle w:val="SSCBodytext"/>
            </w:pPr>
            <w:r>
              <w:t>February 2017</w:t>
            </w:r>
          </w:p>
        </w:tc>
      </w:tr>
      <w:tr w:rsidR="00DA6072">
        <w:tc>
          <w:tcPr>
            <w:tcW w:w="5240" w:type="dxa"/>
            <w:gridSpan w:val="2"/>
          </w:tcPr>
          <w:p w:rsidR="00DA6072" w:rsidRDefault="00DA6072" w:rsidP="00F0045E">
            <w:pPr>
              <w:pStyle w:val="SSCBodytext"/>
              <w:ind w:left="29" w:right="175"/>
            </w:pPr>
            <w:r>
              <w:t>Agencies will be supported to deliver through the development of appropriate guidance and training</w:t>
            </w:r>
          </w:p>
        </w:tc>
        <w:tc>
          <w:tcPr>
            <w:tcW w:w="1985" w:type="dxa"/>
          </w:tcPr>
          <w:p w:rsidR="00DA6072" w:rsidRPr="002071D5" w:rsidRDefault="00DA6072" w:rsidP="00DA6072">
            <w:pPr>
              <w:pStyle w:val="SSCBodytext"/>
            </w:pPr>
            <w:r>
              <w:t>November 2016</w:t>
            </w:r>
          </w:p>
        </w:tc>
        <w:tc>
          <w:tcPr>
            <w:tcW w:w="1949" w:type="dxa"/>
          </w:tcPr>
          <w:p w:rsidR="00DA6072" w:rsidRPr="002071D5" w:rsidRDefault="00DA6072" w:rsidP="00DA6072">
            <w:pPr>
              <w:pStyle w:val="SSCBodytext"/>
            </w:pPr>
            <w:r>
              <w:t>June 2018</w:t>
            </w:r>
          </w:p>
        </w:tc>
      </w:tr>
    </w:tbl>
    <w:p w:rsidR="00F0045E" w:rsidRDefault="00F0045E">
      <w:pPr>
        <w:spacing w:after="200" w:line="276" w:lineRule="auto"/>
        <w:jc w:val="left"/>
        <w:rPr>
          <w:rFonts w:eastAsiaTheme="majorEastAsia" w:cstheme="majorBidi"/>
          <w:b/>
          <w:bCs/>
          <w:color w:val="563F5C"/>
          <w:sz w:val="32"/>
          <w:szCs w:val="32"/>
        </w:rPr>
      </w:pPr>
      <w:r>
        <w:rPr>
          <w:color w:val="563F5C"/>
          <w:sz w:val="32"/>
          <w:szCs w:val="32"/>
        </w:rPr>
        <w:br w:type="page"/>
      </w:r>
    </w:p>
    <w:p w:rsidR="00D06441" w:rsidRPr="0029711D" w:rsidRDefault="00D06441" w:rsidP="00D06441">
      <w:pPr>
        <w:pStyle w:val="Heading1"/>
        <w:rPr>
          <w:color w:val="563F5C"/>
          <w:sz w:val="32"/>
          <w:szCs w:val="32"/>
        </w:rPr>
      </w:pPr>
      <w:bookmarkStart w:id="26" w:name="_Toc465411829"/>
      <w:r>
        <w:rPr>
          <w:color w:val="563F5C"/>
          <w:sz w:val="32"/>
          <w:szCs w:val="32"/>
        </w:rPr>
        <w:t>Commitment 3</w:t>
      </w:r>
      <w:r w:rsidRPr="0029711D">
        <w:rPr>
          <w:color w:val="563F5C"/>
          <w:sz w:val="32"/>
          <w:szCs w:val="32"/>
        </w:rPr>
        <w:t xml:space="preserve">: </w:t>
      </w:r>
      <w:r w:rsidR="001C7750">
        <w:rPr>
          <w:color w:val="563F5C"/>
          <w:sz w:val="32"/>
          <w:szCs w:val="32"/>
        </w:rPr>
        <w:t>Improving open data access and principles</w:t>
      </w:r>
      <w:bookmarkEnd w:id="26"/>
    </w:p>
    <w:p w:rsidR="00D06441" w:rsidRPr="0029711D" w:rsidRDefault="001C7750" w:rsidP="00D06441">
      <w:pPr>
        <w:pStyle w:val="SSCBodytext"/>
        <w:rPr>
          <w:color w:val="563F5C"/>
          <w:sz w:val="28"/>
          <w:szCs w:val="28"/>
        </w:rPr>
      </w:pPr>
      <w:r>
        <w:rPr>
          <w:color w:val="563F5C"/>
          <w:sz w:val="28"/>
          <w:szCs w:val="28"/>
        </w:rPr>
        <w:t>We will enhance access to information by reviewing and strengthening the principles under which New Zealand releases open data and information.</w:t>
      </w:r>
    </w:p>
    <w:p w:rsidR="00D06441" w:rsidRPr="0029711D" w:rsidRDefault="00D06441" w:rsidP="00D06441">
      <w:pPr>
        <w:pStyle w:val="SSCBodytext"/>
        <w:rPr>
          <w:color w:val="563F5C"/>
          <w:sz w:val="24"/>
        </w:rPr>
      </w:pPr>
    </w:p>
    <w:p w:rsidR="00D06441" w:rsidRDefault="00D06441" w:rsidP="00D06441">
      <w:pPr>
        <w:pStyle w:val="SSCBodytext"/>
        <w:rPr>
          <w:szCs w:val="22"/>
        </w:rPr>
      </w:pPr>
      <w:r w:rsidRPr="0029711D">
        <w:rPr>
          <w:b/>
          <w:color w:val="563F5C"/>
          <w:szCs w:val="22"/>
        </w:rPr>
        <w:t>Objective:</w:t>
      </w:r>
      <w:r w:rsidRPr="0029711D">
        <w:rPr>
          <w:color w:val="563F5C"/>
          <w:szCs w:val="22"/>
        </w:rPr>
        <w:t xml:space="preserve"> </w:t>
      </w:r>
      <w:r w:rsidR="001C7750" w:rsidRPr="001C7750">
        <w:rPr>
          <w:szCs w:val="22"/>
        </w:rPr>
        <w:t>To review and strengthen the principles under which New Zealand releases open data and information.</w:t>
      </w:r>
    </w:p>
    <w:p w:rsidR="00D06441" w:rsidRPr="001C7750" w:rsidRDefault="00D06441" w:rsidP="00D06441">
      <w:pPr>
        <w:pStyle w:val="SSCBodytext"/>
        <w:rPr>
          <w:szCs w:val="22"/>
        </w:rPr>
      </w:pPr>
    </w:p>
    <w:p w:rsidR="00D06441" w:rsidRPr="0029711D" w:rsidRDefault="00D06441" w:rsidP="00D06441">
      <w:pPr>
        <w:pStyle w:val="SSCBodytext"/>
        <w:rPr>
          <w:szCs w:val="22"/>
        </w:rPr>
      </w:pPr>
      <w:r w:rsidRPr="0029711D">
        <w:rPr>
          <w:b/>
          <w:color w:val="563F5C"/>
          <w:szCs w:val="22"/>
        </w:rPr>
        <w:t>Status quo:</w:t>
      </w:r>
      <w:r w:rsidRPr="0029711D">
        <w:rPr>
          <w:color w:val="563F5C"/>
          <w:szCs w:val="22"/>
        </w:rPr>
        <w:t xml:space="preserve"> </w:t>
      </w:r>
      <w:r w:rsidR="001C7750">
        <w:rPr>
          <w:szCs w:val="22"/>
        </w:rPr>
        <w:t xml:space="preserve">New Zealand has a set of principles guiding the management of government data and information, including proactive release in reusable formats. But the New Zealand principles lack the 2016 level of specificity in the Open Data Charter for data, and include wider information management principles </w:t>
      </w:r>
      <w:r w:rsidR="00A4578E">
        <w:rPr>
          <w:szCs w:val="22"/>
        </w:rPr>
        <w:t>that</w:t>
      </w:r>
      <w:r w:rsidR="001C7750">
        <w:rPr>
          <w:szCs w:val="22"/>
        </w:rPr>
        <w:t xml:space="preserve"> are still required.</w:t>
      </w:r>
    </w:p>
    <w:p w:rsidR="00D06441" w:rsidRDefault="00D06441" w:rsidP="00D06441">
      <w:pPr>
        <w:pStyle w:val="SSCBodytext"/>
        <w:rPr>
          <w:b/>
          <w:color w:val="563F5C"/>
          <w:szCs w:val="22"/>
        </w:rPr>
      </w:pPr>
    </w:p>
    <w:p w:rsidR="00D06441" w:rsidRPr="0085096C" w:rsidRDefault="00D06441" w:rsidP="00D06441">
      <w:pPr>
        <w:pStyle w:val="SSCBodytext"/>
        <w:rPr>
          <w:szCs w:val="22"/>
        </w:rPr>
      </w:pPr>
      <w:r w:rsidRPr="0029711D">
        <w:rPr>
          <w:b/>
          <w:color w:val="563F5C"/>
          <w:szCs w:val="22"/>
        </w:rPr>
        <w:t>Ambition:</w:t>
      </w:r>
      <w:r>
        <w:rPr>
          <w:b/>
          <w:color w:val="563F5C"/>
          <w:szCs w:val="22"/>
        </w:rPr>
        <w:t xml:space="preserve"> </w:t>
      </w:r>
      <w:r w:rsidR="002417D8">
        <w:rPr>
          <w:szCs w:val="22"/>
        </w:rPr>
        <w:t xml:space="preserve">New Zealand has fully modernised and world-leading principles for government-held data and information that provide a strong foundation for open access to data and information, building capability for data reuse, improving the openness of government operations and supporting informed participation by citizens in government </w:t>
      </w:r>
      <w:r w:rsidR="002417D8" w:rsidRPr="00045992">
        <w:rPr>
          <w:szCs w:val="22"/>
        </w:rPr>
        <w:t>decisions</w:t>
      </w:r>
      <w:r w:rsidR="00FC771E" w:rsidRPr="00045992">
        <w:rPr>
          <w:szCs w:val="22"/>
        </w:rPr>
        <w:t xml:space="preserve"> through the availability of </w:t>
      </w:r>
      <w:r w:rsidR="00045992" w:rsidRPr="00045992">
        <w:rPr>
          <w:szCs w:val="22"/>
        </w:rPr>
        <w:t xml:space="preserve">open </w:t>
      </w:r>
      <w:r w:rsidR="00FC771E" w:rsidRPr="00045992">
        <w:rPr>
          <w:szCs w:val="22"/>
        </w:rPr>
        <w:t>data</w:t>
      </w:r>
      <w:r w:rsidR="002417D8" w:rsidRPr="00045992">
        <w:rPr>
          <w:szCs w:val="22"/>
        </w:rPr>
        <w:t>.</w:t>
      </w:r>
    </w:p>
    <w:p w:rsidR="00D06441" w:rsidRDefault="00D06441" w:rsidP="00D06441">
      <w:pPr>
        <w:pStyle w:val="SSCBodytext"/>
        <w:rPr>
          <w:b/>
          <w:color w:val="563F5C"/>
          <w:szCs w:val="22"/>
        </w:rPr>
      </w:pPr>
    </w:p>
    <w:p w:rsidR="00D06441" w:rsidRPr="002417D8" w:rsidRDefault="002417D8" w:rsidP="00D06441">
      <w:pPr>
        <w:pStyle w:val="SSCBodytext"/>
        <w:rPr>
          <w:szCs w:val="22"/>
        </w:rPr>
      </w:pPr>
      <w:r>
        <w:rPr>
          <w:b/>
          <w:color w:val="563F5C"/>
          <w:szCs w:val="22"/>
        </w:rPr>
        <w:t>Lead agencies</w:t>
      </w:r>
      <w:r w:rsidR="00D06441" w:rsidRPr="0029711D">
        <w:rPr>
          <w:b/>
          <w:color w:val="563F5C"/>
          <w:szCs w:val="22"/>
        </w:rPr>
        <w:t>:</w:t>
      </w:r>
      <w:r w:rsidR="00D06441">
        <w:rPr>
          <w:b/>
          <w:color w:val="563F5C"/>
          <w:szCs w:val="22"/>
        </w:rPr>
        <w:t xml:space="preserve"> </w:t>
      </w:r>
      <w:hyperlink r:id="rId24" w:history="1">
        <w:r w:rsidRPr="009E26E5">
          <w:rPr>
            <w:rStyle w:val="Hyperlink"/>
            <w:szCs w:val="22"/>
          </w:rPr>
          <w:t>Land Information New Zealand</w:t>
        </w:r>
      </w:hyperlink>
      <w:r w:rsidR="009E26E5">
        <w:rPr>
          <w:szCs w:val="22"/>
        </w:rPr>
        <w:t xml:space="preserve"> (</w:t>
      </w:r>
      <w:hyperlink r:id="rId25" w:history="1">
        <w:r w:rsidR="00631217" w:rsidRPr="00E1696F">
          <w:rPr>
            <w:rStyle w:val="Hyperlink"/>
            <w:szCs w:val="22"/>
          </w:rPr>
          <w:t>http://www.linz.govt.nz/</w:t>
        </w:r>
      </w:hyperlink>
      <w:r w:rsidR="009E26E5">
        <w:rPr>
          <w:szCs w:val="22"/>
        </w:rPr>
        <w:t>)</w:t>
      </w:r>
      <w:r w:rsidR="00631217">
        <w:rPr>
          <w:szCs w:val="22"/>
        </w:rPr>
        <w:t xml:space="preserve"> (Lead from 1 October 2016 – 10 March 2017)</w:t>
      </w:r>
      <w:r w:rsidR="00A4578E">
        <w:rPr>
          <w:szCs w:val="22"/>
        </w:rPr>
        <w:t>,</w:t>
      </w:r>
      <w:r w:rsidRPr="002417D8">
        <w:rPr>
          <w:szCs w:val="22"/>
        </w:rPr>
        <w:t xml:space="preserve"> </w:t>
      </w:r>
      <w:r w:rsidR="00631217">
        <w:rPr>
          <w:szCs w:val="22"/>
        </w:rPr>
        <w:t>Statistics NZ (</w:t>
      </w:r>
      <w:hyperlink r:id="rId26" w:history="1">
        <w:r w:rsidR="00631217" w:rsidRPr="00E1696F">
          <w:rPr>
            <w:rStyle w:val="Hyperlink"/>
            <w:szCs w:val="22"/>
          </w:rPr>
          <w:t>http://www.stats.govt.nz</w:t>
        </w:r>
      </w:hyperlink>
      <w:r w:rsidR="00631217">
        <w:rPr>
          <w:szCs w:val="22"/>
        </w:rPr>
        <w:t xml:space="preserve">) (Lead from 11 March 2017 onwards), </w:t>
      </w:r>
      <w:hyperlink r:id="rId27" w:history="1">
        <w:proofErr w:type="gramStart"/>
        <w:r w:rsidRPr="009E26E5">
          <w:rPr>
            <w:rStyle w:val="Hyperlink"/>
            <w:szCs w:val="22"/>
          </w:rPr>
          <w:t>Department of Internal Affairs</w:t>
        </w:r>
      </w:hyperlink>
      <w:r w:rsidR="009E26E5">
        <w:rPr>
          <w:szCs w:val="22"/>
        </w:rPr>
        <w:t xml:space="preserve"> (</w:t>
      </w:r>
      <w:hyperlink r:id="rId28" w:history="1">
        <w:r w:rsidR="00631217" w:rsidRPr="00E1696F">
          <w:rPr>
            <w:rStyle w:val="Hyperlink"/>
            <w:szCs w:val="22"/>
          </w:rPr>
          <w:t>https://www.dia.govt.nz/</w:t>
        </w:r>
      </w:hyperlink>
      <w:proofErr w:type="gramEnd"/>
      <w:r w:rsidR="009E26E5">
        <w:rPr>
          <w:szCs w:val="22"/>
        </w:rPr>
        <w:t>)</w:t>
      </w:r>
      <w:r w:rsidR="00631217">
        <w:rPr>
          <w:szCs w:val="22"/>
        </w:rPr>
        <w:t xml:space="preserve"> </w:t>
      </w:r>
    </w:p>
    <w:p w:rsidR="00D06441" w:rsidRDefault="00D06441" w:rsidP="00D06441">
      <w:pPr>
        <w:pStyle w:val="SSCBodytext"/>
        <w:rPr>
          <w:b/>
          <w:color w:val="563F5C"/>
          <w:szCs w:val="22"/>
        </w:rPr>
      </w:pPr>
    </w:p>
    <w:p w:rsidR="00D06441" w:rsidRPr="0085096C" w:rsidRDefault="00D06441" w:rsidP="00D06441">
      <w:pPr>
        <w:pStyle w:val="SSCBodytext"/>
        <w:rPr>
          <w:szCs w:val="22"/>
        </w:rPr>
      </w:pPr>
      <w:r w:rsidRPr="0029711D">
        <w:rPr>
          <w:b/>
          <w:color w:val="563F5C"/>
          <w:szCs w:val="22"/>
        </w:rPr>
        <w:t>Timeline:</w:t>
      </w:r>
      <w:r>
        <w:rPr>
          <w:b/>
          <w:color w:val="563F5C"/>
          <w:szCs w:val="22"/>
        </w:rPr>
        <w:t xml:space="preserve"> </w:t>
      </w:r>
      <w:r w:rsidR="00625FE7">
        <w:rPr>
          <w:szCs w:val="22"/>
        </w:rPr>
        <w:t>October 2016 – June 2018</w:t>
      </w:r>
      <w:r w:rsidR="00062F14">
        <w:rPr>
          <w:rStyle w:val="FootnoteReference"/>
          <w:szCs w:val="22"/>
        </w:rPr>
        <w:footnoteReference w:id="1"/>
      </w:r>
    </w:p>
    <w:p w:rsidR="00D06441" w:rsidRPr="0029711D" w:rsidRDefault="00D06441" w:rsidP="00D06441">
      <w:pPr>
        <w:pStyle w:val="SSCBodytext"/>
        <w:rPr>
          <w:szCs w:val="22"/>
        </w:rPr>
      </w:pPr>
    </w:p>
    <w:tbl>
      <w:tblPr>
        <w:tblStyle w:val="TableGrid"/>
        <w:tblW w:w="0" w:type="auto"/>
        <w:tblLook w:val="04A0" w:firstRow="1" w:lastRow="0" w:firstColumn="1" w:lastColumn="0" w:noHBand="0" w:noVBand="1"/>
      </w:tblPr>
      <w:tblGrid>
        <w:gridCol w:w="4106"/>
        <w:gridCol w:w="1276"/>
        <w:gridCol w:w="1843"/>
        <w:gridCol w:w="1949"/>
      </w:tblGrid>
      <w:tr w:rsidR="00D06441">
        <w:tc>
          <w:tcPr>
            <w:tcW w:w="9174" w:type="dxa"/>
            <w:gridSpan w:val="4"/>
          </w:tcPr>
          <w:p w:rsidR="00D06441" w:rsidRDefault="00D06441" w:rsidP="007C6204">
            <w:pPr>
              <w:pStyle w:val="SSCBodytext"/>
              <w:jc w:val="left"/>
            </w:pPr>
            <w:r w:rsidRPr="006216C4">
              <w:rPr>
                <w:color w:val="563F5C"/>
                <w:sz w:val="28"/>
                <w:szCs w:val="28"/>
              </w:rPr>
              <w:t xml:space="preserve">Commitment: </w:t>
            </w:r>
            <w:r>
              <w:rPr>
                <w:color w:val="563F5C"/>
                <w:sz w:val="28"/>
                <w:szCs w:val="28"/>
              </w:rPr>
              <w:t xml:space="preserve">Improving </w:t>
            </w:r>
            <w:r w:rsidR="007C6204">
              <w:rPr>
                <w:color w:val="563F5C"/>
                <w:sz w:val="28"/>
                <w:szCs w:val="28"/>
              </w:rPr>
              <w:t>open data access and principles</w:t>
            </w:r>
          </w:p>
        </w:tc>
      </w:tr>
      <w:tr w:rsidR="00D06441">
        <w:tc>
          <w:tcPr>
            <w:tcW w:w="4106" w:type="dxa"/>
          </w:tcPr>
          <w:p w:rsidR="00D06441" w:rsidRPr="0029711D" w:rsidRDefault="00D06441" w:rsidP="00C40F4B">
            <w:pPr>
              <w:pStyle w:val="SSCBodytext"/>
              <w:jc w:val="left"/>
              <w:rPr>
                <w:b/>
                <w:color w:val="563F5C"/>
              </w:rPr>
            </w:pPr>
            <w:r w:rsidRPr="0029711D">
              <w:rPr>
                <w:b/>
                <w:color w:val="563F5C"/>
              </w:rPr>
              <w:t>OGP values</w:t>
            </w:r>
          </w:p>
        </w:tc>
        <w:tc>
          <w:tcPr>
            <w:tcW w:w="5068" w:type="dxa"/>
            <w:gridSpan w:val="3"/>
          </w:tcPr>
          <w:p w:rsidR="00D06441" w:rsidRDefault="00D06441" w:rsidP="002417D8">
            <w:pPr>
              <w:pStyle w:val="SSCBodytext"/>
              <w:jc w:val="left"/>
            </w:pPr>
            <w:r>
              <w:t>Access to information, public accountability, technology and information</w:t>
            </w:r>
          </w:p>
        </w:tc>
      </w:tr>
      <w:tr w:rsidR="00D06441">
        <w:tc>
          <w:tcPr>
            <w:tcW w:w="4106" w:type="dxa"/>
          </w:tcPr>
          <w:p w:rsidR="00D06441" w:rsidRPr="0029711D" w:rsidRDefault="00D06441" w:rsidP="00C40F4B">
            <w:pPr>
              <w:pStyle w:val="SSCBodytext"/>
              <w:jc w:val="left"/>
              <w:rPr>
                <w:b/>
                <w:color w:val="563F5C"/>
              </w:rPr>
            </w:pPr>
            <w:r w:rsidRPr="0029711D">
              <w:rPr>
                <w:b/>
                <w:color w:val="563F5C"/>
              </w:rPr>
              <w:t>New or ongoing commitment</w:t>
            </w:r>
          </w:p>
        </w:tc>
        <w:tc>
          <w:tcPr>
            <w:tcW w:w="5068" w:type="dxa"/>
            <w:gridSpan w:val="3"/>
          </w:tcPr>
          <w:p w:rsidR="00D06441" w:rsidRDefault="00D06441" w:rsidP="00C40F4B">
            <w:pPr>
              <w:pStyle w:val="SSCBodytext"/>
              <w:jc w:val="left"/>
            </w:pPr>
            <w:r>
              <w:t>New</w:t>
            </w:r>
          </w:p>
        </w:tc>
      </w:tr>
      <w:tr w:rsidR="00D06441">
        <w:tc>
          <w:tcPr>
            <w:tcW w:w="4106" w:type="dxa"/>
          </w:tcPr>
          <w:p w:rsidR="00D06441" w:rsidRPr="0029711D" w:rsidRDefault="00D06441" w:rsidP="00C40F4B">
            <w:pPr>
              <w:pStyle w:val="SSCBodytext"/>
              <w:jc w:val="left"/>
              <w:rPr>
                <w:b/>
                <w:color w:val="563F5C"/>
              </w:rPr>
            </w:pPr>
            <w:r w:rsidRPr="0029711D">
              <w:rPr>
                <w:b/>
                <w:color w:val="563F5C"/>
              </w:rPr>
              <w:t>Lead implementation organisation</w:t>
            </w:r>
            <w:r w:rsidR="002417D8">
              <w:rPr>
                <w:b/>
                <w:color w:val="563F5C"/>
              </w:rPr>
              <w:t>s</w:t>
            </w:r>
          </w:p>
        </w:tc>
        <w:tc>
          <w:tcPr>
            <w:tcW w:w="5068" w:type="dxa"/>
            <w:gridSpan w:val="3"/>
          </w:tcPr>
          <w:p w:rsidR="00D06441" w:rsidRDefault="002417D8" w:rsidP="00C40F4B">
            <w:pPr>
              <w:pStyle w:val="SSCBodytext"/>
              <w:jc w:val="left"/>
            </w:pPr>
            <w:r>
              <w:t>Land Information New Zealand</w:t>
            </w:r>
            <w:r w:rsidR="00A4578E">
              <w:t xml:space="preserve">, </w:t>
            </w:r>
            <w:r>
              <w:t>Department of Internal Affairs</w:t>
            </w:r>
            <w:r w:rsidR="00631217">
              <w:t>, Statistics NZ</w:t>
            </w:r>
          </w:p>
        </w:tc>
      </w:tr>
      <w:tr w:rsidR="00AC5E4A">
        <w:tc>
          <w:tcPr>
            <w:tcW w:w="5382" w:type="dxa"/>
            <w:gridSpan w:val="2"/>
          </w:tcPr>
          <w:p w:rsidR="00AC5E4A" w:rsidRPr="0029711D" w:rsidRDefault="00AC5E4A" w:rsidP="00C40F4B">
            <w:pPr>
              <w:pStyle w:val="SSCBodytext"/>
              <w:jc w:val="left"/>
              <w:rPr>
                <w:b/>
                <w:color w:val="563F5C"/>
              </w:rPr>
            </w:pPr>
            <w:r w:rsidRPr="0029711D">
              <w:rPr>
                <w:b/>
                <w:color w:val="563F5C"/>
              </w:rPr>
              <w:t>Verifiable and measurable milestones to fulfil the commitment</w:t>
            </w:r>
          </w:p>
        </w:tc>
        <w:tc>
          <w:tcPr>
            <w:tcW w:w="1843" w:type="dxa"/>
          </w:tcPr>
          <w:p w:rsidR="00AC5E4A" w:rsidRPr="0029711D" w:rsidRDefault="00AC5E4A" w:rsidP="00C40F4B">
            <w:pPr>
              <w:pStyle w:val="SSCBodytext"/>
              <w:jc w:val="left"/>
              <w:rPr>
                <w:b/>
                <w:color w:val="563F5C"/>
              </w:rPr>
            </w:pPr>
            <w:r w:rsidRPr="0029711D">
              <w:rPr>
                <w:b/>
                <w:color w:val="563F5C"/>
              </w:rPr>
              <w:t>Start date</w:t>
            </w:r>
          </w:p>
        </w:tc>
        <w:tc>
          <w:tcPr>
            <w:tcW w:w="1949" w:type="dxa"/>
          </w:tcPr>
          <w:p w:rsidR="00AC5E4A" w:rsidRPr="0029711D" w:rsidRDefault="00AC5E4A" w:rsidP="00C40F4B">
            <w:pPr>
              <w:pStyle w:val="SSCBodytext"/>
              <w:jc w:val="left"/>
              <w:rPr>
                <w:b/>
                <w:color w:val="563F5C"/>
              </w:rPr>
            </w:pPr>
            <w:r w:rsidRPr="0029711D">
              <w:rPr>
                <w:b/>
                <w:color w:val="563F5C"/>
              </w:rPr>
              <w:t>End date</w:t>
            </w:r>
          </w:p>
        </w:tc>
      </w:tr>
      <w:tr w:rsidR="00AC5E4A">
        <w:tc>
          <w:tcPr>
            <w:tcW w:w="5382" w:type="dxa"/>
            <w:gridSpan w:val="2"/>
          </w:tcPr>
          <w:p w:rsidR="00AC5E4A" w:rsidRDefault="00AC5E4A" w:rsidP="00F0045E">
            <w:pPr>
              <w:pStyle w:val="SSCBodytext"/>
              <w:ind w:left="29" w:right="176"/>
            </w:pPr>
            <w:r>
              <w:t>Review potential adoption of the International Open Data Charter, using public feedback</w:t>
            </w:r>
          </w:p>
        </w:tc>
        <w:tc>
          <w:tcPr>
            <w:tcW w:w="1843" w:type="dxa"/>
          </w:tcPr>
          <w:p w:rsidR="00AC5E4A" w:rsidRDefault="00AC5E4A" w:rsidP="00C40F4B">
            <w:pPr>
              <w:pStyle w:val="SSCBodytext"/>
            </w:pPr>
            <w:r>
              <w:t>October 2016</w:t>
            </w:r>
          </w:p>
        </w:tc>
        <w:tc>
          <w:tcPr>
            <w:tcW w:w="1949" w:type="dxa"/>
          </w:tcPr>
          <w:p w:rsidR="00AC5E4A" w:rsidRDefault="007D54B9" w:rsidP="007D54B9">
            <w:pPr>
              <w:pStyle w:val="SSCBodytext"/>
            </w:pPr>
            <w:r>
              <w:t xml:space="preserve">November </w:t>
            </w:r>
            <w:r w:rsidR="00AC5E4A">
              <w:t>2016</w:t>
            </w:r>
          </w:p>
        </w:tc>
      </w:tr>
      <w:tr w:rsidR="00AC5E4A">
        <w:tc>
          <w:tcPr>
            <w:tcW w:w="5382" w:type="dxa"/>
            <w:gridSpan w:val="2"/>
          </w:tcPr>
          <w:p w:rsidR="00AC5E4A" w:rsidRDefault="00AC5E4A" w:rsidP="00F0045E">
            <w:pPr>
              <w:pStyle w:val="SSCBodytext"/>
              <w:ind w:left="29" w:right="176"/>
            </w:pPr>
            <w:r>
              <w:t>Review New Zealand Data and Informa</w:t>
            </w:r>
            <w:r w:rsidR="007D54B9">
              <w:t>tion Management Principles</w:t>
            </w:r>
          </w:p>
        </w:tc>
        <w:tc>
          <w:tcPr>
            <w:tcW w:w="1843" w:type="dxa"/>
          </w:tcPr>
          <w:p w:rsidR="00AC5E4A" w:rsidRDefault="00AC5E4A" w:rsidP="00C40F4B">
            <w:pPr>
              <w:pStyle w:val="SSCBodytext"/>
            </w:pPr>
            <w:r>
              <w:t>October 2016</w:t>
            </w:r>
          </w:p>
        </w:tc>
        <w:tc>
          <w:tcPr>
            <w:tcW w:w="1949" w:type="dxa"/>
          </w:tcPr>
          <w:p w:rsidR="00AC5E4A" w:rsidRDefault="007D54B9" w:rsidP="00C40F4B">
            <w:pPr>
              <w:pStyle w:val="SSCBodytext"/>
            </w:pPr>
            <w:r>
              <w:t>November 2016</w:t>
            </w:r>
          </w:p>
        </w:tc>
      </w:tr>
      <w:tr w:rsidR="00AC5E4A">
        <w:tc>
          <w:tcPr>
            <w:tcW w:w="5382" w:type="dxa"/>
            <w:gridSpan w:val="2"/>
          </w:tcPr>
          <w:p w:rsidR="00AC5E4A" w:rsidRDefault="00AC5E4A" w:rsidP="00F0045E">
            <w:pPr>
              <w:pStyle w:val="SSCBodytext"/>
              <w:ind w:left="29" w:right="176"/>
            </w:pPr>
            <w:r>
              <w:t xml:space="preserve">Determine what principles will guide release </w:t>
            </w:r>
            <w:r w:rsidR="007D54B9">
              <w:t>of</w:t>
            </w:r>
            <w:r w:rsidR="00A4578E">
              <w:t>,</w:t>
            </w:r>
            <w:r w:rsidR="007D54B9">
              <w:t xml:space="preserve"> and access to</w:t>
            </w:r>
            <w:r w:rsidR="00A4578E">
              <w:t>,</w:t>
            </w:r>
            <w:r w:rsidR="007D54B9">
              <w:t xml:space="preserve"> </w:t>
            </w:r>
            <w:r>
              <w:t>New Zealand open data and information</w:t>
            </w:r>
            <w:r w:rsidR="007D54B9">
              <w:t>, using public feedback</w:t>
            </w:r>
            <w:r>
              <w:t xml:space="preserve"> </w:t>
            </w:r>
          </w:p>
        </w:tc>
        <w:tc>
          <w:tcPr>
            <w:tcW w:w="1843" w:type="dxa"/>
          </w:tcPr>
          <w:p w:rsidR="00AC5E4A" w:rsidRDefault="0034429D" w:rsidP="00C40F4B">
            <w:pPr>
              <w:pStyle w:val="SSCBodytext"/>
            </w:pPr>
            <w:r>
              <w:t>1 July 2017</w:t>
            </w:r>
          </w:p>
        </w:tc>
        <w:tc>
          <w:tcPr>
            <w:tcW w:w="1949" w:type="dxa"/>
          </w:tcPr>
          <w:p w:rsidR="00AC5E4A" w:rsidRDefault="0034429D" w:rsidP="00C40F4B">
            <w:pPr>
              <w:pStyle w:val="SSCBodytext"/>
            </w:pPr>
            <w:r>
              <w:t>31 July 2017</w:t>
            </w:r>
          </w:p>
        </w:tc>
      </w:tr>
      <w:tr w:rsidR="00AC5E4A">
        <w:tc>
          <w:tcPr>
            <w:tcW w:w="5382" w:type="dxa"/>
            <w:gridSpan w:val="2"/>
          </w:tcPr>
          <w:p w:rsidR="00AC5E4A" w:rsidRDefault="00AC5E4A" w:rsidP="00F0045E">
            <w:pPr>
              <w:pStyle w:val="SSCBodytext"/>
              <w:ind w:left="29" w:right="176"/>
            </w:pPr>
            <w:r>
              <w:t>Engage with citizens and government on application of the new/amended open data principles</w:t>
            </w:r>
          </w:p>
        </w:tc>
        <w:tc>
          <w:tcPr>
            <w:tcW w:w="1843" w:type="dxa"/>
          </w:tcPr>
          <w:p w:rsidR="00AC5E4A" w:rsidRDefault="00AC222C" w:rsidP="00C40F4B">
            <w:pPr>
              <w:pStyle w:val="SSCBodytext"/>
            </w:pPr>
            <w:r>
              <w:t xml:space="preserve">1 </w:t>
            </w:r>
            <w:r w:rsidR="0034429D">
              <w:t>August 2017</w:t>
            </w:r>
          </w:p>
        </w:tc>
        <w:tc>
          <w:tcPr>
            <w:tcW w:w="1949" w:type="dxa"/>
          </w:tcPr>
          <w:p w:rsidR="00AC5E4A" w:rsidRDefault="0034429D" w:rsidP="00AC222C">
            <w:pPr>
              <w:pStyle w:val="SSCBodytext"/>
            </w:pPr>
            <w:r>
              <w:t>30 August 2017</w:t>
            </w:r>
          </w:p>
        </w:tc>
      </w:tr>
      <w:tr w:rsidR="00AC5E4A">
        <w:tc>
          <w:tcPr>
            <w:tcW w:w="5382" w:type="dxa"/>
            <w:gridSpan w:val="2"/>
          </w:tcPr>
          <w:p w:rsidR="00AC5E4A" w:rsidRDefault="00AC5E4A" w:rsidP="00F0045E">
            <w:pPr>
              <w:pStyle w:val="SSCBodytext"/>
              <w:ind w:left="29" w:right="176"/>
            </w:pPr>
            <w:r>
              <w:t>Implement new/amended open data principles</w:t>
            </w:r>
          </w:p>
        </w:tc>
        <w:tc>
          <w:tcPr>
            <w:tcW w:w="1843" w:type="dxa"/>
          </w:tcPr>
          <w:p w:rsidR="00AC5E4A" w:rsidRDefault="0034429D" w:rsidP="0034429D">
            <w:pPr>
              <w:pStyle w:val="SSCBodytext"/>
              <w:jc w:val="left"/>
            </w:pPr>
            <w:r>
              <w:t>1 September 2017</w:t>
            </w:r>
          </w:p>
        </w:tc>
        <w:tc>
          <w:tcPr>
            <w:tcW w:w="1949" w:type="dxa"/>
          </w:tcPr>
          <w:p w:rsidR="00AC5E4A" w:rsidRDefault="0034429D" w:rsidP="00C40F4B">
            <w:pPr>
              <w:pStyle w:val="SSCBodytext"/>
            </w:pPr>
            <w:r>
              <w:t>June 2018</w:t>
            </w:r>
          </w:p>
        </w:tc>
      </w:tr>
    </w:tbl>
    <w:p w:rsidR="00A708A8" w:rsidRDefault="00A708A8" w:rsidP="00A708A8">
      <w:pPr>
        <w:pStyle w:val="SSCBodytext"/>
      </w:pPr>
    </w:p>
    <w:p w:rsidR="00AC6B60" w:rsidRPr="00902AFE" w:rsidRDefault="001A426A" w:rsidP="00902AFE">
      <w:pPr>
        <w:pStyle w:val="Heading1"/>
        <w:rPr>
          <w:color w:val="563F5C"/>
          <w:sz w:val="32"/>
          <w:szCs w:val="32"/>
        </w:rPr>
      </w:pPr>
      <w:r>
        <w:br w:type="page"/>
      </w:r>
      <w:bookmarkStart w:id="27" w:name="_Toc465411830"/>
      <w:r w:rsidR="00AC6B60" w:rsidRPr="00902AFE">
        <w:rPr>
          <w:color w:val="563F5C"/>
          <w:sz w:val="32"/>
          <w:szCs w:val="32"/>
        </w:rPr>
        <w:t>Commitment 4: Tracking progress and outcomes of open government data release</w:t>
      </w:r>
      <w:bookmarkEnd w:id="27"/>
    </w:p>
    <w:p w:rsidR="00D06441" w:rsidRDefault="00AC6B60" w:rsidP="00D06441">
      <w:pPr>
        <w:pStyle w:val="SSCBodytext"/>
        <w:rPr>
          <w:color w:val="563F5C"/>
          <w:sz w:val="28"/>
          <w:szCs w:val="28"/>
        </w:rPr>
      </w:pPr>
      <w:r w:rsidRPr="00AC6B60">
        <w:rPr>
          <w:color w:val="563F5C"/>
          <w:sz w:val="28"/>
          <w:szCs w:val="28"/>
        </w:rPr>
        <w:t>We will help government agencies improve public access to, and outcomes of, non-personal, government-held data by openly tracking progress on efforts to open up data stores.</w:t>
      </w:r>
    </w:p>
    <w:p w:rsidR="00AC6B60" w:rsidRPr="0029711D" w:rsidRDefault="00AC6B60" w:rsidP="00D06441">
      <w:pPr>
        <w:pStyle w:val="SSCBodytext"/>
        <w:rPr>
          <w:color w:val="563F5C"/>
          <w:sz w:val="24"/>
        </w:rPr>
      </w:pPr>
    </w:p>
    <w:p w:rsidR="00D06441" w:rsidRDefault="00D06441" w:rsidP="00D06441">
      <w:pPr>
        <w:pStyle w:val="SSCBodytext"/>
        <w:rPr>
          <w:szCs w:val="22"/>
        </w:rPr>
      </w:pPr>
      <w:r w:rsidRPr="0029711D">
        <w:rPr>
          <w:b/>
          <w:color w:val="563F5C"/>
          <w:szCs w:val="22"/>
        </w:rPr>
        <w:t>Objective:</w:t>
      </w:r>
      <w:r w:rsidRPr="0029711D">
        <w:rPr>
          <w:color w:val="563F5C"/>
          <w:szCs w:val="22"/>
        </w:rPr>
        <w:t xml:space="preserve"> </w:t>
      </w:r>
      <w:r w:rsidR="009C40BB">
        <w:rPr>
          <w:szCs w:val="22"/>
        </w:rPr>
        <w:t>To help drive the government agency culture change required to gain value from open government data.</w:t>
      </w:r>
    </w:p>
    <w:p w:rsidR="00D06441" w:rsidRPr="0029711D" w:rsidRDefault="00D06441" w:rsidP="00D06441">
      <w:pPr>
        <w:pStyle w:val="SSCBodytext"/>
        <w:rPr>
          <w:szCs w:val="22"/>
        </w:rPr>
      </w:pPr>
    </w:p>
    <w:p w:rsidR="00D06441" w:rsidRDefault="00D06441" w:rsidP="00D06441">
      <w:pPr>
        <w:pStyle w:val="SSCBodytext"/>
        <w:rPr>
          <w:szCs w:val="22"/>
        </w:rPr>
      </w:pPr>
      <w:r w:rsidRPr="0029711D">
        <w:rPr>
          <w:b/>
          <w:color w:val="563F5C"/>
          <w:szCs w:val="22"/>
        </w:rPr>
        <w:t>Status quo:</w:t>
      </w:r>
      <w:r w:rsidRPr="0029711D">
        <w:rPr>
          <w:color w:val="563F5C"/>
          <w:szCs w:val="22"/>
        </w:rPr>
        <w:t xml:space="preserve"> </w:t>
      </w:r>
      <w:r w:rsidR="00AC6B60" w:rsidRPr="00AC6B60">
        <w:rPr>
          <w:szCs w:val="22"/>
        </w:rPr>
        <w:t>Open data is not currently managed through a set of consistent or cohesive objectives across government. One result of this is that government agencies have a limited understanding of how and why to address barriers to releasing open data.</w:t>
      </w:r>
    </w:p>
    <w:p w:rsidR="00AC6B60" w:rsidRDefault="00AC6B60" w:rsidP="00D06441">
      <w:pPr>
        <w:pStyle w:val="SSCBodytext"/>
        <w:rPr>
          <w:b/>
          <w:color w:val="563F5C"/>
          <w:szCs w:val="22"/>
        </w:rPr>
      </w:pPr>
    </w:p>
    <w:p w:rsidR="00D06441" w:rsidRDefault="00D06441" w:rsidP="00D06441">
      <w:pPr>
        <w:pStyle w:val="SSCBodytext"/>
        <w:rPr>
          <w:szCs w:val="22"/>
        </w:rPr>
      </w:pPr>
      <w:r w:rsidRPr="0029711D">
        <w:rPr>
          <w:b/>
          <w:color w:val="563F5C"/>
          <w:szCs w:val="22"/>
        </w:rPr>
        <w:t>Ambition:</w:t>
      </w:r>
      <w:r>
        <w:rPr>
          <w:b/>
          <w:color w:val="563F5C"/>
          <w:szCs w:val="22"/>
        </w:rPr>
        <w:t xml:space="preserve"> </w:t>
      </w:r>
      <w:r w:rsidR="00AC6B60" w:rsidRPr="00AC6B60">
        <w:rPr>
          <w:szCs w:val="22"/>
        </w:rPr>
        <w:t>Government agencies will be knowledgeable about what data they should and should not publicly release and why</w:t>
      </w:r>
      <w:r w:rsidR="00AC222C">
        <w:rPr>
          <w:szCs w:val="22"/>
        </w:rPr>
        <w:t>,</w:t>
      </w:r>
      <w:r w:rsidR="00AC6B60" w:rsidRPr="00AC6B60">
        <w:rPr>
          <w:szCs w:val="22"/>
        </w:rPr>
        <w:t xml:space="preserve"> how to remove obstacles to reuse</w:t>
      </w:r>
      <w:r w:rsidR="00AC222C">
        <w:rPr>
          <w:szCs w:val="22"/>
        </w:rPr>
        <w:t>,</w:t>
      </w:r>
      <w:r w:rsidR="00AC6B60" w:rsidRPr="00AC6B60">
        <w:rPr>
          <w:szCs w:val="22"/>
        </w:rPr>
        <w:t xml:space="preserve"> and </w:t>
      </w:r>
      <w:r w:rsidR="00A4578E">
        <w:rPr>
          <w:szCs w:val="22"/>
        </w:rPr>
        <w:t>will be</w:t>
      </w:r>
      <w:r w:rsidR="00A4578E" w:rsidRPr="00AC6B60">
        <w:rPr>
          <w:szCs w:val="22"/>
        </w:rPr>
        <w:t xml:space="preserve"> </w:t>
      </w:r>
      <w:r w:rsidR="00AC6B60" w:rsidRPr="00AC6B60">
        <w:rPr>
          <w:szCs w:val="22"/>
        </w:rPr>
        <w:t>consistently applying these filters to their data holdings. This will increase the amount and quality of data released.</w:t>
      </w:r>
    </w:p>
    <w:p w:rsidR="00AC6B60" w:rsidRDefault="00AC6B60" w:rsidP="00D06441">
      <w:pPr>
        <w:pStyle w:val="SSCBodytext"/>
        <w:rPr>
          <w:b/>
          <w:color w:val="563F5C"/>
          <w:szCs w:val="22"/>
        </w:rPr>
      </w:pPr>
    </w:p>
    <w:p w:rsidR="00D06441" w:rsidRPr="0029711D" w:rsidRDefault="009C40BB" w:rsidP="00D06441">
      <w:pPr>
        <w:pStyle w:val="SSCBodytext"/>
        <w:rPr>
          <w:b/>
          <w:color w:val="563F5C"/>
          <w:szCs w:val="22"/>
        </w:rPr>
      </w:pPr>
      <w:r>
        <w:rPr>
          <w:b/>
          <w:color w:val="563F5C"/>
          <w:szCs w:val="22"/>
        </w:rPr>
        <w:t>Lead agencies</w:t>
      </w:r>
      <w:r w:rsidR="00D06441" w:rsidRPr="0029711D">
        <w:rPr>
          <w:b/>
          <w:color w:val="563F5C"/>
          <w:szCs w:val="22"/>
        </w:rPr>
        <w:t>:</w:t>
      </w:r>
      <w:r w:rsidR="00D06441">
        <w:rPr>
          <w:b/>
          <w:color w:val="563F5C"/>
          <w:szCs w:val="22"/>
        </w:rPr>
        <w:t xml:space="preserve"> </w:t>
      </w:r>
      <w:hyperlink r:id="rId29" w:history="1">
        <w:r w:rsidR="00AD6FA4" w:rsidRPr="009E26E5">
          <w:rPr>
            <w:rStyle w:val="Hyperlink"/>
            <w:szCs w:val="22"/>
          </w:rPr>
          <w:t>Land Information New Zealand</w:t>
        </w:r>
      </w:hyperlink>
      <w:r w:rsidR="00AD6FA4">
        <w:rPr>
          <w:szCs w:val="22"/>
        </w:rPr>
        <w:t xml:space="preserve"> (</w:t>
      </w:r>
      <w:hyperlink r:id="rId30" w:history="1">
        <w:r w:rsidR="00631217" w:rsidRPr="00E1696F">
          <w:rPr>
            <w:rStyle w:val="Hyperlink"/>
            <w:szCs w:val="22"/>
          </w:rPr>
          <w:t>http://www.linz.govt.nz/</w:t>
        </w:r>
      </w:hyperlink>
      <w:r w:rsidR="00AD6FA4">
        <w:rPr>
          <w:szCs w:val="22"/>
        </w:rPr>
        <w:t>)</w:t>
      </w:r>
      <w:r w:rsidR="00631217">
        <w:rPr>
          <w:szCs w:val="22"/>
        </w:rPr>
        <w:t xml:space="preserve"> (lead from 1 October 2016 – 10 March 2017)</w:t>
      </w:r>
      <w:r w:rsidR="00AD6FA4">
        <w:rPr>
          <w:szCs w:val="22"/>
        </w:rPr>
        <w:t>,</w:t>
      </w:r>
      <w:r w:rsidR="00AD6FA4" w:rsidRPr="002417D8">
        <w:rPr>
          <w:szCs w:val="22"/>
        </w:rPr>
        <w:t xml:space="preserve"> </w:t>
      </w:r>
      <w:hyperlink r:id="rId31" w:history="1">
        <w:r w:rsidR="00AD6FA4" w:rsidRPr="009E26E5">
          <w:rPr>
            <w:rStyle w:val="Hyperlink"/>
            <w:szCs w:val="22"/>
          </w:rPr>
          <w:t>Department of Internal Affairs</w:t>
        </w:r>
      </w:hyperlink>
      <w:r w:rsidR="00AD6FA4">
        <w:rPr>
          <w:szCs w:val="22"/>
        </w:rPr>
        <w:t xml:space="preserve"> (</w:t>
      </w:r>
      <w:hyperlink r:id="rId32" w:history="1">
        <w:r w:rsidR="00AD6FA4" w:rsidRPr="006720CE">
          <w:rPr>
            <w:rStyle w:val="Hyperlink"/>
            <w:szCs w:val="22"/>
          </w:rPr>
          <w:t>https://www.dia.govt.nz/</w:t>
        </w:r>
      </w:hyperlink>
      <w:r w:rsidR="00AD6FA4">
        <w:rPr>
          <w:szCs w:val="22"/>
        </w:rPr>
        <w:t xml:space="preserve">), </w:t>
      </w:r>
      <w:hyperlink r:id="rId33" w:history="1">
        <w:proofErr w:type="gramStart"/>
        <w:r w:rsidR="00AD6FA4" w:rsidRPr="00AD6FA4">
          <w:rPr>
            <w:rStyle w:val="Hyperlink"/>
            <w:szCs w:val="22"/>
          </w:rPr>
          <w:t>Statistics New Zealand</w:t>
        </w:r>
      </w:hyperlink>
      <w:r w:rsidR="00AD6FA4">
        <w:rPr>
          <w:szCs w:val="22"/>
        </w:rPr>
        <w:t xml:space="preserve"> (</w:t>
      </w:r>
      <w:hyperlink r:id="rId34" w:history="1">
        <w:r w:rsidR="00631217" w:rsidRPr="00E1696F">
          <w:rPr>
            <w:rStyle w:val="Hyperlink"/>
            <w:szCs w:val="22"/>
          </w:rPr>
          <w:t>http://www.stats.govt.nz/</w:t>
        </w:r>
      </w:hyperlink>
      <w:proofErr w:type="gramEnd"/>
      <w:r w:rsidR="00AD6FA4">
        <w:rPr>
          <w:szCs w:val="22"/>
        </w:rPr>
        <w:t>)</w:t>
      </w:r>
      <w:r w:rsidR="00631217">
        <w:rPr>
          <w:szCs w:val="22"/>
        </w:rPr>
        <w:t xml:space="preserve"> (lead from 11 March 2017)</w:t>
      </w:r>
    </w:p>
    <w:p w:rsidR="00D06441" w:rsidRDefault="00D06441" w:rsidP="00D06441">
      <w:pPr>
        <w:pStyle w:val="SSCBodytext"/>
        <w:rPr>
          <w:b/>
          <w:color w:val="563F5C"/>
          <w:szCs w:val="22"/>
        </w:rPr>
      </w:pPr>
    </w:p>
    <w:p w:rsidR="00D06441" w:rsidRPr="0085096C" w:rsidRDefault="00D06441" w:rsidP="00D06441">
      <w:pPr>
        <w:pStyle w:val="SSCBodytext"/>
        <w:rPr>
          <w:szCs w:val="22"/>
        </w:rPr>
      </w:pPr>
      <w:r w:rsidRPr="0029711D">
        <w:rPr>
          <w:b/>
          <w:color w:val="563F5C"/>
          <w:szCs w:val="22"/>
        </w:rPr>
        <w:t>Timeline:</w:t>
      </w:r>
      <w:r>
        <w:rPr>
          <w:b/>
          <w:color w:val="563F5C"/>
          <w:szCs w:val="22"/>
        </w:rPr>
        <w:t xml:space="preserve"> </w:t>
      </w:r>
      <w:r w:rsidR="00062F14">
        <w:rPr>
          <w:szCs w:val="22"/>
        </w:rPr>
        <w:t>May 2017</w:t>
      </w:r>
      <w:r w:rsidRPr="0085096C">
        <w:rPr>
          <w:szCs w:val="22"/>
        </w:rPr>
        <w:t xml:space="preserve"> – June 2018</w:t>
      </w:r>
      <w:r w:rsidR="00062F14">
        <w:rPr>
          <w:rStyle w:val="FootnoteReference"/>
          <w:szCs w:val="22"/>
        </w:rPr>
        <w:footnoteReference w:id="2"/>
      </w:r>
    </w:p>
    <w:p w:rsidR="00D06441" w:rsidRPr="0029711D" w:rsidRDefault="00D06441" w:rsidP="00D06441">
      <w:pPr>
        <w:pStyle w:val="SSCBodytext"/>
        <w:rPr>
          <w:szCs w:val="22"/>
        </w:rPr>
      </w:pPr>
    </w:p>
    <w:tbl>
      <w:tblPr>
        <w:tblStyle w:val="TableGrid"/>
        <w:tblW w:w="0" w:type="auto"/>
        <w:tblLook w:val="04A0" w:firstRow="1" w:lastRow="0" w:firstColumn="1" w:lastColumn="0" w:noHBand="0" w:noVBand="1"/>
      </w:tblPr>
      <w:tblGrid>
        <w:gridCol w:w="3964"/>
        <w:gridCol w:w="1985"/>
        <w:gridCol w:w="1559"/>
        <w:gridCol w:w="1666"/>
      </w:tblGrid>
      <w:tr w:rsidR="00D06441">
        <w:tc>
          <w:tcPr>
            <w:tcW w:w="9174" w:type="dxa"/>
            <w:gridSpan w:val="4"/>
          </w:tcPr>
          <w:p w:rsidR="00D06441" w:rsidRDefault="00D06441" w:rsidP="007C6204">
            <w:pPr>
              <w:pStyle w:val="SSCBodytext"/>
              <w:jc w:val="left"/>
            </w:pPr>
            <w:r w:rsidRPr="006216C4">
              <w:rPr>
                <w:color w:val="563F5C"/>
                <w:sz w:val="28"/>
                <w:szCs w:val="28"/>
              </w:rPr>
              <w:t xml:space="preserve">Commitment: </w:t>
            </w:r>
            <w:r w:rsidR="007C6204">
              <w:rPr>
                <w:color w:val="563F5C"/>
                <w:sz w:val="28"/>
                <w:szCs w:val="28"/>
              </w:rPr>
              <w:t xml:space="preserve">Tracking progress </w:t>
            </w:r>
            <w:r w:rsidR="00F342A0">
              <w:rPr>
                <w:color w:val="563F5C"/>
                <w:sz w:val="28"/>
                <w:szCs w:val="28"/>
              </w:rPr>
              <w:t xml:space="preserve">and outcomes </w:t>
            </w:r>
            <w:r w:rsidR="007C6204">
              <w:rPr>
                <w:color w:val="563F5C"/>
                <w:sz w:val="28"/>
                <w:szCs w:val="28"/>
              </w:rPr>
              <w:t xml:space="preserve">of open </w:t>
            </w:r>
            <w:r w:rsidR="00F342A0">
              <w:rPr>
                <w:color w:val="563F5C"/>
                <w:sz w:val="28"/>
                <w:szCs w:val="28"/>
              </w:rPr>
              <w:t xml:space="preserve">government </w:t>
            </w:r>
            <w:r w:rsidR="007C6204">
              <w:rPr>
                <w:color w:val="563F5C"/>
                <w:sz w:val="28"/>
                <w:szCs w:val="28"/>
              </w:rPr>
              <w:t>data</w:t>
            </w:r>
            <w:r w:rsidR="00F342A0">
              <w:rPr>
                <w:color w:val="563F5C"/>
                <w:sz w:val="28"/>
                <w:szCs w:val="28"/>
              </w:rPr>
              <w:t xml:space="preserve"> release</w:t>
            </w:r>
          </w:p>
        </w:tc>
      </w:tr>
      <w:tr w:rsidR="00D06441">
        <w:tc>
          <w:tcPr>
            <w:tcW w:w="3964" w:type="dxa"/>
          </w:tcPr>
          <w:p w:rsidR="00D06441" w:rsidRPr="0029711D" w:rsidRDefault="00D06441" w:rsidP="00C40F4B">
            <w:pPr>
              <w:pStyle w:val="SSCBodytext"/>
              <w:jc w:val="left"/>
              <w:rPr>
                <w:b/>
                <w:color w:val="563F5C"/>
              </w:rPr>
            </w:pPr>
            <w:r w:rsidRPr="0029711D">
              <w:rPr>
                <w:b/>
                <w:color w:val="563F5C"/>
              </w:rPr>
              <w:t>OGP values</w:t>
            </w:r>
          </w:p>
        </w:tc>
        <w:tc>
          <w:tcPr>
            <w:tcW w:w="5210" w:type="dxa"/>
            <w:gridSpan w:val="3"/>
          </w:tcPr>
          <w:p w:rsidR="00D06441" w:rsidRDefault="00D06441" w:rsidP="00C40F4B">
            <w:pPr>
              <w:pStyle w:val="SSCBodytext"/>
              <w:jc w:val="left"/>
            </w:pPr>
            <w:r>
              <w:t>Access to information, civic participation, public accountability, technology and information</w:t>
            </w:r>
          </w:p>
        </w:tc>
      </w:tr>
      <w:tr w:rsidR="00D06441">
        <w:tc>
          <w:tcPr>
            <w:tcW w:w="3964" w:type="dxa"/>
          </w:tcPr>
          <w:p w:rsidR="00D06441" w:rsidRPr="0029711D" w:rsidRDefault="00D06441" w:rsidP="00C40F4B">
            <w:pPr>
              <w:pStyle w:val="SSCBodytext"/>
              <w:jc w:val="left"/>
              <w:rPr>
                <w:b/>
                <w:color w:val="563F5C"/>
              </w:rPr>
            </w:pPr>
            <w:r w:rsidRPr="0029711D">
              <w:rPr>
                <w:b/>
                <w:color w:val="563F5C"/>
              </w:rPr>
              <w:t>New or ongoing commitment</w:t>
            </w:r>
          </w:p>
        </w:tc>
        <w:tc>
          <w:tcPr>
            <w:tcW w:w="5210" w:type="dxa"/>
            <w:gridSpan w:val="3"/>
          </w:tcPr>
          <w:p w:rsidR="00D06441" w:rsidRDefault="00D06441" w:rsidP="00C40F4B">
            <w:pPr>
              <w:pStyle w:val="SSCBodytext"/>
              <w:jc w:val="left"/>
            </w:pPr>
            <w:r>
              <w:t>New</w:t>
            </w:r>
          </w:p>
        </w:tc>
      </w:tr>
      <w:tr w:rsidR="00D06441">
        <w:tc>
          <w:tcPr>
            <w:tcW w:w="3964" w:type="dxa"/>
          </w:tcPr>
          <w:p w:rsidR="00D06441" w:rsidRPr="0029711D" w:rsidRDefault="00D06441" w:rsidP="00C40F4B">
            <w:pPr>
              <w:pStyle w:val="SSCBodytext"/>
              <w:jc w:val="left"/>
              <w:rPr>
                <w:b/>
                <w:color w:val="563F5C"/>
              </w:rPr>
            </w:pPr>
            <w:r w:rsidRPr="0029711D">
              <w:rPr>
                <w:b/>
                <w:color w:val="563F5C"/>
              </w:rPr>
              <w:t>Lead implementation organisation</w:t>
            </w:r>
          </w:p>
        </w:tc>
        <w:tc>
          <w:tcPr>
            <w:tcW w:w="5210" w:type="dxa"/>
            <w:gridSpan w:val="3"/>
          </w:tcPr>
          <w:p w:rsidR="009B7469" w:rsidRPr="0029711D" w:rsidRDefault="009B7469" w:rsidP="009B7469">
            <w:pPr>
              <w:pStyle w:val="SSCBodytext"/>
              <w:rPr>
                <w:b/>
                <w:color w:val="563F5C"/>
                <w:szCs w:val="22"/>
              </w:rPr>
            </w:pPr>
            <w:r>
              <w:rPr>
                <w:szCs w:val="22"/>
              </w:rPr>
              <w:t>Land Information New Zealand, Department of Internal Affairs, Statistics New Zealand</w:t>
            </w:r>
          </w:p>
          <w:p w:rsidR="00D06441" w:rsidRDefault="00D06441" w:rsidP="00C40F4B">
            <w:pPr>
              <w:pStyle w:val="SSCBodytext"/>
              <w:jc w:val="left"/>
            </w:pPr>
          </w:p>
        </w:tc>
      </w:tr>
      <w:tr w:rsidR="00AC5E4A">
        <w:tc>
          <w:tcPr>
            <w:tcW w:w="5949" w:type="dxa"/>
            <w:gridSpan w:val="2"/>
          </w:tcPr>
          <w:p w:rsidR="00AC5E4A" w:rsidRPr="0029711D" w:rsidRDefault="00AC5E4A" w:rsidP="00C40F4B">
            <w:pPr>
              <w:pStyle w:val="SSCBodytext"/>
              <w:jc w:val="left"/>
              <w:rPr>
                <w:b/>
                <w:color w:val="563F5C"/>
              </w:rPr>
            </w:pPr>
            <w:r w:rsidRPr="0029711D">
              <w:rPr>
                <w:b/>
                <w:color w:val="563F5C"/>
              </w:rPr>
              <w:t>Verifiable and measurable milestones to fulfil the commitment</w:t>
            </w:r>
          </w:p>
        </w:tc>
        <w:tc>
          <w:tcPr>
            <w:tcW w:w="1559" w:type="dxa"/>
          </w:tcPr>
          <w:p w:rsidR="00AC5E4A" w:rsidRPr="0029711D" w:rsidRDefault="00AC5E4A" w:rsidP="00C40F4B">
            <w:pPr>
              <w:pStyle w:val="SSCBodytext"/>
              <w:jc w:val="left"/>
              <w:rPr>
                <w:b/>
                <w:color w:val="563F5C"/>
              </w:rPr>
            </w:pPr>
            <w:r w:rsidRPr="0029711D">
              <w:rPr>
                <w:b/>
                <w:color w:val="563F5C"/>
              </w:rPr>
              <w:t>Start date</w:t>
            </w:r>
          </w:p>
        </w:tc>
        <w:tc>
          <w:tcPr>
            <w:tcW w:w="1666" w:type="dxa"/>
          </w:tcPr>
          <w:p w:rsidR="00AC5E4A" w:rsidRPr="0029711D" w:rsidRDefault="00AC5E4A" w:rsidP="00C40F4B">
            <w:pPr>
              <w:pStyle w:val="SSCBodytext"/>
              <w:jc w:val="left"/>
              <w:rPr>
                <w:b/>
                <w:color w:val="563F5C"/>
              </w:rPr>
            </w:pPr>
            <w:r w:rsidRPr="0029711D">
              <w:rPr>
                <w:b/>
                <w:color w:val="563F5C"/>
              </w:rPr>
              <w:t>End date</w:t>
            </w:r>
          </w:p>
        </w:tc>
      </w:tr>
      <w:tr w:rsidR="00AC5E4A">
        <w:tc>
          <w:tcPr>
            <w:tcW w:w="5949" w:type="dxa"/>
            <w:gridSpan w:val="2"/>
          </w:tcPr>
          <w:p w:rsidR="00AC5E4A" w:rsidRDefault="00AC5E4A" w:rsidP="00F0045E">
            <w:pPr>
              <w:pStyle w:val="SSCBodytext"/>
              <w:ind w:left="29" w:right="176"/>
            </w:pPr>
            <w:r>
              <w:t>Develop an o</w:t>
            </w:r>
            <w:r w:rsidR="009A169F">
              <w:t>pen government data action plan, based on feedback gathered from the open data community and government officials</w:t>
            </w:r>
          </w:p>
        </w:tc>
        <w:tc>
          <w:tcPr>
            <w:tcW w:w="1559" w:type="dxa"/>
          </w:tcPr>
          <w:p w:rsidR="00AC5E4A" w:rsidRDefault="00D94281" w:rsidP="00C40F4B">
            <w:pPr>
              <w:pStyle w:val="SSCBodytext"/>
            </w:pPr>
            <w:r>
              <w:t>May 2017</w:t>
            </w:r>
          </w:p>
        </w:tc>
        <w:tc>
          <w:tcPr>
            <w:tcW w:w="1666" w:type="dxa"/>
          </w:tcPr>
          <w:p w:rsidR="00AC5E4A" w:rsidRDefault="00D94281" w:rsidP="00C40F4B">
            <w:pPr>
              <w:pStyle w:val="SSCBodytext"/>
            </w:pPr>
            <w:r>
              <w:t xml:space="preserve">July </w:t>
            </w:r>
            <w:r w:rsidR="00AC5E4A">
              <w:t>2017</w:t>
            </w:r>
          </w:p>
        </w:tc>
      </w:tr>
      <w:tr w:rsidR="00AC5E4A">
        <w:tc>
          <w:tcPr>
            <w:tcW w:w="5949" w:type="dxa"/>
            <w:gridSpan w:val="2"/>
          </w:tcPr>
          <w:p w:rsidR="00AC5E4A" w:rsidRDefault="00AC5E4A" w:rsidP="00F0045E">
            <w:pPr>
              <w:pStyle w:val="SSCBodytext"/>
              <w:ind w:left="29" w:right="176"/>
            </w:pPr>
            <w:r>
              <w:t>Publish the action plan</w:t>
            </w:r>
          </w:p>
        </w:tc>
        <w:tc>
          <w:tcPr>
            <w:tcW w:w="1559" w:type="dxa"/>
          </w:tcPr>
          <w:p w:rsidR="00AC5E4A" w:rsidRDefault="00D94281" w:rsidP="00C40F4B">
            <w:pPr>
              <w:pStyle w:val="SSCBodytext"/>
            </w:pPr>
            <w:r>
              <w:t>1 July</w:t>
            </w:r>
            <w:r w:rsidR="00AC5E4A">
              <w:t xml:space="preserve"> 2017</w:t>
            </w:r>
          </w:p>
        </w:tc>
        <w:tc>
          <w:tcPr>
            <w:tcW w:w="1666" w:type="dxa"/>
          </w:tcPr>
          <w:p w:rsidR="00AC5E4A" w:rsidRDefault="00D94281" w:rsidP="00C40F4B">
            <w:pPr>
              <w:pStyle w:val="SSCBodytext"/>
            </w:pPr>
            <w:r>
              <w:t>30 July</w:t>
            </w:r>
            <w:r w:rsidR="00AC5E4A">
              <w:t xml:space="preserve"> 2017</w:t>
            </w:r>
          </w:p>
        </w:tc>
      </w:tr>
      <w:tr w:rsidR="00AC5E4A">
        <w:tc>
          <w:tcPr>
            <w:tcW w:w="5949" w:type="dxa"/>
            <w:gridSpan w:val="2"/>
          </w:tcPr>
          <w:p w:rsidR="00AC5E4A" w:rsidRDefault="00AC5E4A" w:rsidP="00F0045E">
            <w:pPr>
              <w:pStyle w:val="SSCBodytext"/>
              <w:ind w:left="29" w:right="176"/>
            </w:pPr>
            <w:r>
              <w:t>Develop a public dashboard for reporting against the action plan goals</w:t>
            </w:r>
          </w:p>
        </w:tc>
        <w:tc>
          <w:tcPr>
            <w:tcW w:w="1559" w:type="dxa"/>
          </w:tcPr>
          <w:p w:rsidR="00AC5E4A" w:rsidRDefault="00D94281" w:rsidP="00D94281">
            <w:pPr>
              <w:pStyle w:val="SSCBodytext"/>
              <w:jc w:val="left"/>
            </w:pPr>
            <w:r>
              <w:t xml:space="preserve">1 August </w:t>
            </w:r>
            <w:r w:rsidR="00AC5E4A">
              <w:t>2017</w:t>
            </w:r>
          </w:p>
        </w:tc>
        <w:tc>
          <w:tcPr>
            <w:tcW w:w="1666" w:type="dxa"/>
          </w:tcPr>
          <w:p w:rsidR="00AC5E4A" w:rsidRDefault="00D94281" w:rsidP="00D94281">
            <w:pPr>
              <w:pStyle w:val="SSCBodytext"/>
              <w:jc w:val="left"/>
            </w:pPr>
            <w:r>
              <w:t>30 August</w:t>
            </w:r>
            <w:r w:rsidR="00AC5E4A">
              <w:t xml:space="preserve"> 2017</w:t>
            </w:r>
          </w:p>
        </w:tc>
      </w:tr>
      <w:tr w:rsidR="00AC5E4A">
        <w:tc>
          <w:tcPr>
            <w:tcW w:w="5949" w:type="dxa"/>
            <w:gridSpan w:val="2"/>
          </w:tcPr>
          <w:p w:rsidR="00AC5E4A" w:rsidRDefault="00AC5E4A" w:rsidP="00F0045E">
            <w:pPr>
              <w:pStyle w:val="SSCBodytext"/>
              <w:ind w:left="29" w:right="176"/>
            </w:pPr>
            <w:r>
              <w:t>Seek public feedback on the proposed public dashboard</w:t>
            </w:r>
          </w:p>
        </w:tc>
        <w:tc>
          <w:tcPr>
            <w:tcW w:w="1559" w:type="dxa"/>
          </w:tcPr>
          <w:p w:rsidR="00AC5E4A" w:rsidRDefault="00D94281" w:rsidP="00C40F4B">
            <w:pPr>
              <w:pStyle w:val="SSCBodytext"/>
            </w:pPr>
            <w:r>
              <w:t>1 September</w:t>
            </w:r>
            <w:r w:rsidR="00AC5E4A">
              <w:t xml:space="preserve"> 2017</w:t>
            </w:r>
          </w:p>
        </w:tc>
        <w:tc>
          <w:tcPr>
            <w:tcW w:w="1666" w:type="dxa"/>
          </w:tcPr>
          <w:p w:rsidR="00AC5E4A" w:rsidRDefault="00D94281" w:rsidP="00C40F4B">
            <w:pPr>
              <w:pStyle w:val="SSCBodytext"/>
            </w:pPr>
            <w:r>
              <w:t>15 September</w:t>
            </w:r>
            <w:r w:rsidR="009A169F">
              <w:t xml:space="preserve"> 2017</w:t>
            </w:r>
          </w:p>
        </w:tc>
      </w:tr>
      <w:tr w:rsidR="00AC5E4A">
        <w:tc>
          <w:tcPr>
            <w:tcW w:w="5949" w:type="dxa"/>
            <w:gridSpan w:val="2"/>
          </w:tcPr>
          <w:p w:rsidR="00AC5E4A" w:rsidRDefault="00AC5E4A" w:rsidP="00F0045E">
            <w:pPr>
              <w:pStyle w:val="SSCBodytext"/>
              <w:ind w:left="29" w:right="176"/>
            </w:pPr>
            <w:r>
              <w:t>Regularly update the public dashboard on government progress toward the goals</w:t>
            </w:r>
          </w:p>
        </w:tc>
        <w:tc>
          <w:tcPr>
            <w:tcW w:w="1559" w:type="dxa"/>
          </w:tcPr>
          <w:p w:rsidR="00AC5E4A" w:rsidRDefault="00D94281" w:rsidP="00C40F4B">
            <w:pPr>
              <w:pStyle w:val="SSCBodytext"/>
            </w:pPr>
            <w:r>
              <w:t>September</w:t>
            </w:r>
            <w:r w:rsidR="00AC5E4A">
              <w:t xml:space="preserve"> 2017</w:t>
            </w:r>
          </w:p>
        </w:tc>
        <w:tc>
          <w:tcPr>
            <w:tcW w:w="1666" w:type="dxa"/>
          </w:tcPr>
          <w:p w:rsidR="00AC5E4A" w:rsidRDefault="00D94281" w:rsidP="00C40F4B">
            <w:pPr>
              <w:pStyle w:val="SSCBodytext"/>
            </w:pPr>
            <w:r>
              <w:t>June 2018</w:t>
            </w:r>
          </w:p>
        </w:tc>
      </w:tr>
    </w:tbl>
    <w:p w:rsidR="00D06441" w:rsidRDefault="00D06441" w:rsidP="00A708A8">
      <w:pPr>
        <w:pStyle w:val="SSCBodytext"/>
      </w:pPr>
    </w:p>
    <w:p w:rsidR="001A426A" w:rsidRDefault="001A426A">
      <w:pPr>
        <w:spacing w:after="200" w:line="276" w:lineRule="auto"/>
        <w:jc w:val="left"/>
        <w:rPr>
          <w:rFonts w:eastAsiaTheme="majorEastAsia" w:cstheme="majorBidi"/>
          <w:b/>
          <w:bCs/>
          <w:color w:val="563F5C"/>
          <w:sz w:val="32"/>
          <w:szCs w:val="32"/>
        </w:rPr>
      </w:pPr>
      <w:r>
        <w:rPr>
          <w:color w:val="563F5C"/>
          <w:sz w:val="32"/>
          <w:szCs w:val="32"/>
        </w:rPr>
        <w:br w:type="page"/>
      </w:r>
    </w:p>
    <w:p w:rsidR="00D06441" w:rsidRPr="0029711D" w:rsidRDefault="00920CB6" w:rsidP="00D06441">
      <w:pPr>
        <w:pStyle w:val="Heading1"/>
        <w:rPr>
          <w:color w:val="563F5C"/>
          <w:sz w:val="32"/>
          <w:szCs w:val="32"/>
        </w:rPr>
      </w:pPr>
      <w:bookmarkStart w:id="28" w:name="_Toc465411831"/>
      <w:r>
        <w:rPr>
          <w:color w:val="563F5C"/>
          <w:sz w:val="32"/>
          <w:szCs w:val="32"/>
        </w:rPr>
        <w:t>Commitment 5</w:t>
      </w:r>
      <w:r w:rsidR="00D06441" w:rsidRPr="0029711D">
        <w:rPr>
          <w:color w:val="563F5C"/>
          <w:sz w:val="32"/>
          <w:szCs w:val="32"/>
        </w:rPr>
        <w:t xml:space="preserve">: </w:t>
      </w:r>
      <w:r>
        <w:rPr>
          <w:color w:val="563F5C"/>
          <w:sz w:val="32"/>
          <w:szCs w:val="32"/>
        </w:rPr>
        <w:t>Ongoing engagement for OGP</w:t>
      </w:r>
      <w:bookmarkEnd w:id="28"/>
    </w:p>
    <w:p w:rsidR="00D06441" w:rsidRPr="0029711D" w:rsidRDefault="00920CB6" w:rsidP="00D06441">
      <w:pPr>
        <w:pStyle w:val="SSCBodytext"/>
        <w:rPr>
          <w:color w:val="563F5C"/>
          <w:sz w:val="28"/>
          <w:szCs w:val="28"/>
        </w:rPr>
      </w:pPr>
      <w:r>
        <w:rPr>
          <w:color w:val="563F5C"/>
          <w:sz w:val="28"/>
          <w:szCs w:val="28"/>
        </w:rPr>
        <w:t>We will build a flexible and enduring platform for engagement between the New Zealand government and New Zealand communities around the Open Government Partnership</w:t>
      </w:r>
      <w:r w:rsidR="00D06441" w:rsidRPr="0029711D">
        <w:rPr>
          <w:color w:val="563F5C"/>
          <w:sz w:val="28"/>
          <w:szCs w:val="28"/>
        </w:rPr>
        <w:t>.</w:t>
      </w:r>
    </w:p>
    <w:p w:rsidR="00D06441" w:rsidRPr="0029711D" w:rsidRDefault="00D06441" w:rsidP="00D06441">
      <w:pPr>
        <w:pStyle w:val="SSCBodytext"/>
        <w:rPr>
          <w:color w:val="563F5C"/>
          <w:sz w:val="24"/>
        </w:rPr>
      </w:pPr>
    </w:p>
    <w:p w:rsidR="00D06441" w:rsidRDefault="00D06441" w:rsidP="00D06441">
      <w:pPr>
        <w:pStyle w:val="SSCBodytext"/>
        <w:rPr>
          <w:szCs w:val="22"/>
        </w:rPr>
      </w:pPr>
      <w:r w:rsidRPr="0029711D">
        <w:rPr>
          <w:b/>
          <w:color w:val="563F5C"/>
          <w:szCs w:val="22"/>
        </w:rPr>
        <w:t>Objective:</w:t>
      </w:r>
      <w:r w:rsidRPr="0029711D">
        <w:rPr>
          <w:color w:val="563F5C"/>
          <w:szCs w:val="22"/>
        </w:rPr>
        <w:t xml:space="preserve"> </w:t>
      </w:r>
      <w:r w:rsidR="00FE2090">
        <w:rPr>
          <w:szCs w:val="22"/>
        </w:rPr>
        <w:t xml:space="preserve">To ensure that government and communities are able to engage on open government topics using a variety of stable methods – including online platforms and face-to-face meetings and other </w:t>
      </w:r>
      <w:r w:rsidR="007C6204">
        <w:rPr>
          <w:szCs w:val="22"/>
        </w:rPr>
        <w:t>forums – as part of a wider engagement plan.</w:t>
      </w:r>
    </w:p>
    <w:p w:rsidR="00D06441" w:rsidRPr="0029711D" w:rsidRDefault="00920CB6" w:rsidP="00920CB6">
      <w:pPr>
        <w:pStyle w:val="SSCBodytext"/>
        <w:tabs>
          <w:tab w:val="left" w:pos="2985"/>
        </w:tabs>
        <w:rPr>
          <w:szCs w:val="22"/>
        </w:rPr>
      </w:pPr>
      <w:r>
        <w:rPr>
          <w:szCs w:val="22"/>
        </w:rPr>
        <w:tab/>
      </w:r>
    </w:p>
    <w:p w:rsidR="00D06441" w:rsidRPr="0029711D" w:rsidRDefault="00D06441" w:rsidP="00D06441">
      <w:pPr>
        <w:pStyle w:val="SSCBodytext"/>
        <w:rPr>
          <w:szCs w:val="22"/>
        </w:rPr>
      </w:pPr>
      <w:r w:rsidRPr="0029711D">
        <w:rPr>
          <w:b/>
          <w:color w:val="563F5C"/>
          <w:szCs w:val="22"/>
        </w:rPr>
        <w:t>Status quo:</w:t>
      </w:r>
      <w:r w:rsidRPr="0029711D">
        <w:rPr>
          <w:color w:val="563F5C"/>
          <w:szCs w:val="22"/>
        </w:rPr>
        <w:t xml:space="preserve"> </w:t>
      </w:r>
      <w:r w:rsidR="00A4578E">
        <w:rPr>
          <w:szCs w:val="22"/>
        </w:rPr>
        <w:t>In</w:t>
      </w:r>
      <w:r w:rsidR="00FE2090">
        <w:rPr>
          <w:szCs w:val="22"/>
        </w:rPr>
        <w:t xml:space="preserve"> facilitating the development of New Zealand’s National Action Plan for the OGP, </w:t>
      </w:r>
      <w:r w:rsidR="00A4578E">
        <w:rPr>
          <w:szCs w:val="22"/>
        </w:rPr>
        <w:t xml:space="preserve">the State Services Commission </w:t>
      </w:r>
      <w:r w:rsidR="006B5548">
        <w:rPr>
          <w:szCs w:val="22"/>
        </w:rPr>
        <w:t xml:space="preserve">(SSC) </w:t>
      </w:r>
      <w:r w:rsidR="00FE2090">
        <w:rPr>
          <w:szCs w:val="22"/>
        </w:rPr>
        <w:t>has built an online platform to engage with New Zealand communities</w:t>
      </w:r>
      <w:r w:rsidR="00A4578E">
        <w:rPr>
          <w:szCs w:val="22"/>
        </w:rPr>
        <w:t>,</w:t>
      </w:r>
      <w:r w:rsidR="00FE2090">
        <w:rPr>
          <w:szCs w:val="22"/>
        </w:rPr>
        <w:t xml:space="preserve"> using </w:t>
      </w:r>
      <w:r w:rsidR="005A3B3D">
        <w:rPr>
          <w:szCs w:val="22"/>
        </w:rPr>
        <w:t xml:space="preserve">both </w:t>
      </w:r>
      <w:r w:rsidR="00FE2090">
        <w:rPr>
          <w:szCs w:val="22"/>
        </w:rPr>
        <w:t xml:space="preserve">government tools and software provided by </w:t>
      </w:r>
      <w:r w:rsidR="005A3B3D">
        <w:rPr>
          <w:szCs w:val="22"/>
        </w:rPr>
        <w:t xml:space="preserve">an </w:t>
      </w:r>
      <w:r w:rsidR="00FE2090">
        <w:rPr>
          <w:szCs w:val="22"/>
        </w:rPr>
        <w:t xml:space="preserve">independent vendor. </w:t>
      </w:r>
      <w:r w:rsidR="006B5548">
        <w:rPr>
          <w:szCs w:val="22"/>
        </w:rPr>
        <w:t xml:space="preserve">The </w:t>
      </w:r>
      <w:r w:rsidR="00FE2829">
        <w:rPr>
          <w:szCs w:val="22"/>
        </w:rPr>
        <w:t>SSC</w:t>
      </w:r>
      <w:r w:rsidR="00A4578E">
        <w:rPr>
          <w:szCs w:val="22"/>
        </w:rPr>
        <w:t xml:space="preserve"> </w:t>
      </w:r>
      <w:r w:rsidR="00FE2090">
        <w:rPr>
          <w:szCs w:val="22"/>
        </w:rPr>
        <w:t>want</w:t>
      </w:r>
      <w:r w:rsidR="00A4578E">
        <w:rPr>
          <w:szCs w:val="22"/>
        </w:rPr>
        <w:t>s</w:t>
      </w:r>
      <w:r w:rsidR="00FE2090">
        <w:rPr>
          <w:szCs w:val="22"/>
        </w:rPr>
        <w:t xml:space="preserve"> to </w:t>
      </w:r>
      <w:r w:rsidR="005A3B3D">
        <w:rPr>
          <w:szCs w:val="22"/>
        </w:rPr>
        <w:t>build on this</w:t>
      </w:r>
      <w:r w:rsidR="00FE2090">
        <w:rPr>
          <w:szCs w:val="22"/>
        </w:rPr>
        <w:t xml:space="preserve"> to improve engagement over the life of the next action plan.</w:t>
      </w:r>
      <w:r w:rsidRPr="0029711D">
        <w:rPr>
          <w:szCs w:val="22"/>
        </w:rPr>
        <w:t xml:space="preserve"> </w:t>
      </w:r>
      <w:r w:rsidR="00A4578E">
        <w:rPr>
          <w:szCs w:val="22"/>
        </w:rPr>
        <w:t>It is</w:t>
      </w:r>
      <w:r w:rsidR="005A3B3D">
        <w:rPr>
          <w:szCs w:val="22"/>
        </w:rPr>
        <w:t xml:space="preserve"> also supported in </w:t>
      </w:r>
      <w:r w:rsidR="00A4578E">
        <w:rPr>
          <w:szCs w:val="22"/>
        </w:rPr>
        <w:t xml:space="preserve">its </w:t>
      </w:r>
      <w:r w:rsidR="005A3B3D">
        <w:rPr>
          <w:szCs w:val="22"/>
        </w:rPr>
        <w:t>work by an independent Expert Advisory Panel and a government officials group</w:t>
      </w:r>
      <w:r w:rsidR="00A4578E">
        <w:rPr>
          <w:szCs w:val="22"/>
        </w:rPr>
        <w:t>.</w:t>
      </w:r>
      <w:r w:rsidR="006B5548">
        <w:rPr>
          <w:szCs w:val="22"/>
        </w:rPr>
        <w:t xml:space="preserve"> </w:t>
      </w:r>
      <w:r w:rsidR="00FE2829">
        <w:rPr>
          <w:szCs w:val="22"/>
        </w:rPr>
        <w:t>The SSC</w:t>
      </w:r>
      <w:r w:rsidR="007C6204">
        <w:rPr>
          <w:szCs w:val="22"/>
        </w:rPr>
        <w:t xml:space="preserve"> intend</w:t>
      </w:r>
      <w:r w:rsidR="00A4578E">
        <w:rPr>
          <w:szCs w:val="22"/>
        </w:rPr>
        <w:t>s</w:t>
      </w:r>
      <w:r w:rsidR="007C6204">
        <w:rPr>
          <w:szCs w:val="22"/>
        </w:rPr>
        <w:t xml:space="preserve"> to expand the ways people can get involved </w:t>
      </w:r>
      <w:r w:rsidR="008E47F9">
        <w:rPr>
          <w:szCs w:val="22"/>
        </w:rPr>
        <w:t>over the duration of the plan</w:t>
      </w:r>
      <w:r w:rsidR="007C6204">
        <w:rPr>
          <w:szCs w:val="22"/>
        </w:rPr>
        <w:t>.</w:t>
      </w:r>
    </w:p>
    <w:p w:rsidR="00D06441" w:rsidRDefault="00D06441" w:rsidP="00D06441">
      <w:pPr>
        <w:pStyle w:val="SSCBodytext"/>
        <w:rPr>
          <w:b/>
          <w:color w:val="563F5C"/>
          <w:szCs w:val="22"/>
        </w:rPr>
      </w:pPr>
    </w:p>
    <w:p w:rsidR="00D06441" w:rsidRPr="0085096C" w:rsidRDefault="00D06441" w:rsidP="00D06441">
      <w:pPr>
        <w:pStyle w:val="SSCBodytext"/>
        <w:rPr>
          <w:szCs w:val="22"/>
        </w:rPr>
      </w:pPr>
      <w:r w:rsidRPr="0029711D">
        <w:rPr>
          <w:b/>
          <w:color w:val="563F5C"/>
          <w:szCs w:val="22"/>
        </w:rPr>
        <w:t>Ambition:</w:t>
      </w:r>
      <w:r>
        <w:rPr>
          <w:b/>
          <w:color w:val="563F5C"/>
          <w:szCs w:val="22"/>
        </w:rPr>
        <w:t xml:space="preserve"> </w:t>
      </w:r>
      <w:r w:rsidR="00A4578E">
        <w:rPr>
          <w:szCs w:val="22"/>
        </w:rPr>
        <w:t xml:space="preserve">The </w:t>
      </w:r>
      <w:r w:rsidR="00FE2829">
        <w:rPr>
          <w:szCs w:val="22"/>
        </w:rPr>
        <w:t>SSC</w:t>
      </w:r>
      <w:r w:rsidR="00A4578E">
        <w:rPr>
          <w:szCs w:val="22"/>
        </w:rPr>
        <w:t xml:space="preserve"> is </w:t>
      </w:r>
      <w:r w:rsidR="00FE2090">
        <w:rPr>
          <w:szCs w:val="22"/>
        </w:rPr>
        <w:t>committed to building a stable, fit-for-purpose platform for New Zealanders to engage with their government</w:t>
      </w:r>
      <w:r w:rsidR="00A4578E">
        <w:rPr>
          <w:szCs w:val="22"/>
        </w:rPr>
        <w:t>,</w:t>
      </w:r>
      <w:r w:rsidR="00FE2090">
        <w:rPr>
          <w:szCs w:val="22"/>
        </w:rPr>
        <w:t xml:space="preserve"> using the technology and channels that people expect to use in a modern society. </w:t>
      </w:r>
      <w:r w:rsidR="00A4578E">
        <w:rPr>
          <w:szCs w:val="22"/>
        </w:rPr>
        <w:t xml:space="preserve">It </w:t>
      </w:r>
      <w:r w:rsidR="00FE2090">
        <w:rPr>
          <w:szCs w:val="22"/>
        </w:rPr>
        <w:t>will work toward ways of managing New Zealand’s participation in OGP that will reflect a spirit of co-creation with communities.</w:t>
      </w:r>
    </w:p>
    <w:p w:rsidR="00D06441" w:rsidRDefault="00D06441" w:rsidP="00D06441">
      <w:pPr>
        <w:pStyle w:val="SSCBodytext"/>
        <w:rPr>
          <w:b/>
          <w:color w:val="563F5C"/>
          <w:szCs w:val="22"/>
        </w:rPr>
      </w:pPr>
    </w:p>
    <w:p w:rsidR="00D06441" w:rsidRPr="0029711D" w:rsidRDefault="00D06441" w:rsidP="00D06441">
      <w:pPr>
        <w:pStyle w:val="SSCBodytext"/>
        <w:rPr>
          <w:b/>
          <w:color w:val="563F5C"/>
          <w:szCs w:val="22"/>
        </w:rPr>
      </w:pPr>
      <w:r w:rsidRPr="0029711D">
        <w:rPr>
          <w:b/>
          <w:color w:val="563F5C"/>
          <w:szCs w:val="22"/>
        </w:rPr>
        <w:t>Lead agency:</w:t>
      </w:r>
      <w:r>
        <w:rPr>
          <w:b/>
          <w:color w:val="563F5C"/>
          <w:szCs w:val="22"/>
        </w:rPr>
        <w:t xml:space="preserve"> </w:t>
      </w:r>
      <w:hyperlink r:id="rId35" w:history="1">
        <w:r w:rsidR="00977B44" w:rsidRPr="009E26E5">
          <w:rPr>
            <w:rStyle w:val="Hyperlink"/>
            <w:szCs w:val="22"/>
          </w:rPr>
          <w:t>State Services Commission</w:t>
        </w:r>
      </w:hyperlink>
      <w:r w:rsidR="00977B44">
        <w:rPr>
          <w:szCs w:val="22"/>
        </w:rPr>
        <w:t xml:space="preserve"> (</w:t>
      </w:r>
      <w:r w:rsidR="00977B44" w:rsidRPr="00D179F4">
        <w:rPr>
          <w:szCs w:val="22"/>
        </w:rPr>
        <w:t>http://www.ssc.govt.nz/</w:t>
      </w:r>
      <w:r w:rsidR="00977B44">
        <w:rPr>
          <w:szCs w:val="22"/>
        </w:rPr>
        <w:t>)</w:t>
      </w:r>
    </w:p>
    <w:p w:rsidR="00D06441" w:rsidRDefault="00D06441" w:rsidP="00D06441">
      <w:pPr>
        <w:pStyle w:val="SSCBodytext"/>
        <w:rPr>
          <w:b/>
          <w:color w:val="563F5C"/>
          <w:szCs w:val="22"/>
        </w:rPr>
      </w:pPr>
    </w:p>
    <w:p w:rsidR="00D06441" w:rsidRPr="0085096C" w:rsidRDefault="00D06441" w:rsidP="00D06441">
      <w:pPr>
        <w:pStyle w:val="SSCBodytext"/>
        <w:rPr>
          <w:szCs w:val="22"/>
        </w:rPr>
      </w:pPr>
      <w:r w:rsidRPr="0029711D">
        <w:rPr>
          <w:b/>
          <w:color w:val="563F5C"/>
          <w:szCs w:val="22"/>
        </w:rPr>
        <w:t>Timeline:</w:t>
      </w:r>
      <w:r>
        <w:rPr>
          <w:b/>
          <w:color w:val="563F5C"/>
          <w:szCs w:val="22"/>
        </w:rPr>
        <w:t xml:space="preserve"> </w:t>
      </w:r>
      <w:r w:rsidRPr="0085096C">
        <w:rPr>
          <w:szCs w:val="22"/>
        </w:rPr>
        <w:t>October 2016 – June 2018</w:t>
      </w:r>
    </w:p>
    <w:p w:rsidR="00D06441" w:rsidRPr="0029711D" w:rsidRDefault="00D06441" w:rsidP="00D06441">
      <w:pPr>
        <w:pStyle w:val="SSCBodytext"/>
        <w:rPr>
          <w:szCs w:val="22"/>
        </w:rPr>
      </w:pPr>
    </w:p>
    <w:tbl>
      <w:tblPr>
        <w:tblStyle w:val="TableGrid"/>
        <w:tblW w:w="0" w:type="auto"/>
        <w:tblLook w:val="04A0" w:firstRow="1" w:lastRow="0" w:firstColumn="1" w:lastColumn="0" w:noHBand="0" w:noVBand="1"/>
      </w:tblPr>
      <w:tblGrid>
        <w:gridCol w:w="3964"/>
        <w:gridCol w:w="1701"/>
        <w:gridCol w:w="1843"/>
        <w:gridCol w:w="1559"/>
      </w:tblGrid>
      <w:tr w:rsidR="00D06441">
        <w:tc>
          <w:tcPr>
            <w:tcW w:w="9067" w:type="dxa"/>
            <w:gridSpan w:val="4"/>
          </w:tcPr>
          <w:p w:rsidR="00D06441" w:rsidRDefault="00D06441" w:rsidP="00732757">
            <w:pPr>
              <w:pStyle w:val="SSCBodytext"/>
              <w:jc w:val="left"/>
            </w:pPr>
            <w:r w:rsidRPr="006216C4">
              <w:rPr>
                <w:color w:val="563F5C"/>
                <w:sz w:val="28"/>
                <w:szCs w:val="28"/>
              </w:rPr>
              <w:t xml:space="preserve">Commitment: </w:t>
            </w:r>
            <w:r w:rsidR="00732757">
              <w:rPr>
                <w:color w:val="563F5C"/>
                <w:sz w:val="28"/>
                <w:szCs w:val="28"/>
              </w:rPr>
              <w:t>Ongoing engagement for OGP</w:t>
            </w:r>
          </w:p>
        </w:tc>
      </w:tr>
      <w:tr w:rsidR="00D06441">
        <w:tc>
          <w:tcPr>
            <w:tcW w:w="3964" w:type="dxa"/>
          </w:tcPr>
          <w:p w:rsidR="00D06441" w:rsidRPr="0029711D" w:rsidRDefault="00D06441" w:rsidP="00C40F4B">
            <w:pPr>
              <w:pStyle w:val="SSCBodytext"/>
              <w:jc w:val="left"/>
              <w:rPr>
                <w:b/>
                <w:color w:val="563F5C"/>
              </w:rPr>
            </w:pPr>
            <w:r w:rsidRPr="0029711D">
              <w:rPr>
                <w:b/>
                <w:color w:val="563F5C"/>
              </w:rPr>
              <w:t>OGP values</w:t>
            </w:r>
          </w:p>
        </w:tc>
        <w:tc>
          <w:tcPr>
            <w:tcW w:w="5103" w:type="dxa"/>
            <w:gridSpan w:val="3"/>
          </w:tcPr>
          <w:p w:rsidR="00D06441" w:rsidRDefault="00D06441" w:rsidP="007C6204">
            <w:pPr>
              <w:pStyle w:val="SSCBodytext"/>
              <w:jc w:val="left"/>
            </w:pPr>
            <w:r>
              <w:t>Access to information, civic participation, technology and information</w:t>
            </w:r>
          </w:p>
        </w:tc>
      </w:tr>
      <w:tr w:rsidR="00D06441">
        <w:tc>
          <w:tcPr>
            <w:tcW w:w="3964" w:type="dxa"/>
          </w:tcPr>
          <w:p w:rsidR="00D06441" w:rsidRPr="0029711D" w:rsidRDefault="00D06441" w:rsidP="00C40F4B">
            <w:pPr>
              <w:pStyle w:val="SSCBodytext"/>
              <w:jc w:val="left"/>
              <w:rPr>
                <w:b/>
                <w:color w:val="563F5C"/>
              </w:rPr>
            </w:pPr>
            <w:r w:rsidRPr="0029711D">
              <w:rPr>
                <w:b/>
                <w:color w:val="563F5C"/>
              </w:rPr>
              <w:t>New or ongoing commitment</w:t>
            </w:r>
          </w:p>
        </w:tc>
        <w:tc>
          <w:tcPr>
            <w:tcW w:w="5103" w:type="dxa"/>
            <w:gridSpan w:val="3"/>
          </w:tcPr>
          <w:p w:rsidR="00D06441" w:rsidRDefault="00D06441" w:rsidP="00C40F4B">
            <w:pPr>
              <w:pStyle w:val="SSCBodytext"/>
              <w:jc w:val="left"/>
            </w:pPr>
            <w:r>
              <w:t>New</w:t>
            </w:r>
          </w:p>
        </w:tc>
      </w:tr>
      <w:tr w:rsidR="00D06441">
        <w:tc>
          <w:tcPr>
            <w:tcW w:w="3964" w:type="dxa"/>
          </w:tcPr>
          <w:p w:rsidR="00D06441" w:rsidRPr="0029711D" w:rsidRDefault="00D06441" w:rsidP="00C40F4B">
            <w:pPr>
              <w:pStyle w:val="SSCBodytext"/>
              <w:jc w:val="left"/>
              <w:rPr>
                <w:b/>
                <w:color w:val="563F5C"/>
              </w:rPr>
            </w:pPr>
            <w:r w:rsidRPr="0029711D">
              <w:rPr>
                <w:b/>
                <w:color w:val="563F5C"/>
              </w:rPr>
              <w:t>Lead implementation organisation</w:t>
            </w:r>
          </w:p>
        </w:tc>
        <w:tc>
          <w:tcPr>
            <w:tcW w:w="5103" w:type="dxa"/>
            <w:gridSpan w:val="3"/>
          </w:tcPr>
          <w:p w:rsidR="00D06441" w:rsidRDefault="00D06441" w:rsidP="00C40F4B">
            <w:pPr>
              <w:pStyle w:val="SSCBodytext"/>
              <w:jc w:val="left"/>
            </w:pPr>
            <w:r>
              <w:t>State Services Commission</w:t>
            </w:r>
          </w:p>
        </w:tc>
      </w:tr>
      <w:tr w:rsidR="005F2D70">
        <w:tc>
          <w:tcPr>
            <w:tcW w:w="5665" w:type="dxa"/>
            <w:gridSpan w:val="2"/>
          </w:tcPr>
          <w:p w:rsidR="005F2D70" w:rsidRPr="0029711D" w:rsidRDefault="005F2D70" w:rsidP="00C40F4B">
            <w:pPr>
              <w:pStyle w:val="SSCBodytext"/>
              <w:jc w:val="left"/>
              <w:rPr>
                <w:b/>
                <w:color w:val="563F5C"/>
              </w:rPr>
            </w:pPr>
            <w:r w:rsidRPr="0029711D">
              <w:rPr>
                <w:b/>
                <w:color w:val="563F5C"/>
              </w:rPr>
              <w:t>Verifiable and measurable milestones to fulfil the commitment</w:t>
            </w:r>
          </w:p>
        </w:tc>
        <w:tc>
          <w:tcPr>
            <w:tcW w:w="1843" w:type="dxa"/>
          </w:tcPr>
          <w:p w:rsidR="005F2D70" w:rsidRPr="0029711D" w:rsidRDefault="005F2D70" w:rsidP="00C40F4B">
            <w:pPr>
              <w:pStyle w:val="SSCBodytext"/>
              <w:jc w:val="left"/>
              <w:rPr>
                <w:b/>
                <w:color w:val="563F5C"/>
              </w:rPr>
            </w:pPr>
            <w:r w:rsidRPr="0029711D">
              <w:rPr>
                <w:b/>
                <w:color w:val="563F5C"/>
              </w:rPr>
              <w:t>Start date</w:t>
            </w:r>
          </w:p>
        </w:tc>
        <w:tc>
          <w:tcPr>
            <w:tcW w:w="1559" w:type="dxa"/>
          </w:tcPr>
          <w:p w:rsidR="005F2D70" w:rsidRPr="0029711D" w:rsidRDefault="005F2D70" w:rsidP="00C40F4B">
            <w:pPr>
              <w:pStyle w:val="SSCBodytext"/>
              <w:jc w:val="left"/>
              <w:rPr>
                <w:b/>
                <w:color w:val="563F5C"/>
              </w:rPr>
            </w:pPr>
            <w:r w:rsidRPr="0029711D">
              <w:rPr>
                <w:b/>
                <w:color w:val="563F5C"/>
              </w:rPr>
              <w:t>End date</w:t>
            </w:r>
          </w:p>
        </w:tc>
      </w:tr>
      <w:tr w:rsidR="005F2D70">
        <w:tc>
          <w:tcPr>
            <w:tcW w:w="5665" w:type="dxa"/>
            <w:gridSpan w:val="2"/>
          </w:tcPr>
          <w:p w:rsidR="005F2D70" w:rsidRPr="00896643" w:rsidRDefault="005F2D70" w:rsidP="00F0045E">
            <w:pPr>
              <w:pStyle w:val="SSCBodytext"/>
              <w:ind w:left="29" w:right="33"/>
              <w:rPr>
                <w:szCs w:val="22"/>
              </w:rPr>
            </w:pPr>
            <w:r w:rsidRPr="00896643">
              <w:rPr>
                <w:szCs w:val="22"/>
              </w:rPr>
              <w:t>Work with the Department of Internal Affairs to improve government’s access to</w:t>
            </w:r>
            <w:r w:rsidR="00F21021">
              <w:rPr>
                <w:szCs w:val="22"/>
              </w:rPr>
              <w:t>,</w:t>
            </w:r>
            <w:r w:rsidRPr="00896643">
              <w:rPr>
                <w:szCs w:val="22"/>
              </w:rPr>
              <w:t xml:space="preserve"> and use of</w:t>
            </w:r>
            <w:r w:rsidR="00F21021">
              <w:rPr>
                <w:szCs w:val="22"/>
              </w:rPr>
              <w:t>,</w:t>
            </w:r>
            <w:r w:rsidRPr="00896643">
              <w:rPr>
                <w:szCs w:val="22"/>
              </w:rPr>
              <w:t xml:space="preserve"> digital public engagement tools</w:t>
            </w:r>
          </w:p>
        </w:tc>
        <w:tc>
          <w:tcPr>
            <w:tcW w:w="1843" w:type="dxa"/>
          </w:tcPr>
          <w:p w:rsidR="005F2D70" w:rsidRDefault="005F2D70" w:rsidP="00C40F4B">
            <w:pPr>
              <w:pStyle w:val="SSCBodytext"/>
            </w:pPr>
            <w:r>
              <w:t>November 2016</w:t>
            </w:r>
          </w:p>
        </w:tc>
        <w:tc>
          <w:tcPr>
            <w:tcW w:w="1559" w:type="dxa"/>
          </w:tcPr>
          <w:p w:rsidR="005F2D70" w:rsidRDefault="005F2D70" w:rsidP="00C40F4B">
            <w:pPr>
              <w:pStyle w:val="SSCBodytext"/>
            </w:pPr>
            <w:r>
              <w:t>June 2018</w:t>
            </w:r>
          </w:p>
        </w:tc>
      </w:tr>
      <w:tr w:rsidR="005F2D70">
        <w:tc>
          <w:tcPr>
            <w:tcW w:w="5665" w:type="dxa"/>
            <w:gridSpan w:val="2"/>
          </w:tcPr>
          <w:p w:rsidR="005F2D70" w:rsidRDefault="005F2D70" w:rsidP="00A4578E">
            <w:pPr>
              <w:pStyle w:val="SSCBodytext"/>
              <w:ind w:left="29" w:right="33"/>
            </w:pPr>
            <w:r>
              <w:t xml:space="preserve">Work with </w:t>
            </w:r>
            <w:r w:rsidR="00A4578E">
              <w:t xml:space="preserve">the </w:t>
            </w:r>
            <w:r>
              <w:t xml:space="preserve">Expert Advisory Panel to decide how best to report on </w:t>
            </w:r>
            <w:r w:rsidR="00E10C11">
              <w:t>progress against OGP milestones</w:t>
            </w:r>
          </w:p>
        </w:tc>
        <w:tc>
          <w:tcPr>
            <w:tcW w:w="1843" w:type="dxa"/>
          </w:tcPr>
          <w:p w:rsidR="005F2D70" w:rsidRDefault="005F2D70" w:rsidP="00C40F4B">
            <w:pPr>
              <w:pStyle w:val="SSCBodytext"/>
            </w:pPr>
            <w:r>
              <w:t>November 2016</w:t>
            </w:r>
          </w:p>
        </w:tc>
        <w:tc>
          <w:tcPr>
            <w:tcW w:w="1559" w:type="dxa"/>
          </w:tcPr>
          <w:p w:rsidR="005F2D70" w:rsidRDefault="005F2D70" w:rsidP="00C40F4B">
            <w:pPr>
              <w:pStyle w:val="SSCBodytext"/>
            </w:pPr>
            <w:r>
              <w:t>March 2017</w:t>
            </w:r>
          </w:p>
        </w:tc>
      </w:tr>
      <w:tr w:rsidR="00E10C11">
        <w:tc>
          <w:tcPr>
            <w:tcW w:w="5665" w:type="dxa"/>
            <w:gridSpan w:val="2"/>
          </w:tcPr>
          <w:p w:rsidR="00E10C11" w:rsidRDefault="00E10C11" w:rsidP="00F0045E">
            <w:pPr>
              <w:pStyle w:val="SSCBodytext"/>
              <w:ind w:left="29" w:right="33"/>
            </w:pPr>
            <w:r>
              <w:t>Engage with New Zealanders to develop the approach to the next plan</w:t>
            </w:r>
          </w:p>
        </w:tc>
        <w:tc>
          <w:tcPr>
            <w:tcW w:w="1843" w:type="dxa"/>
          </w:tcPr>
          <w:p w:rsidR="00E10C11" w:rsidRDefault="00E10C11" w:rsidP="00C40F4B">
            <w:pPr>
              <w:pStyle w:val="SSCBodytext"/>
            </w:pPr>
            <w:r>
              <w:t>October 2017</w:t>
            </w:r>
          </w:p>
        </w:tc>
        <w:tc>
          <w:tcPr>
            <w:tcW w:w="1559" w:type="dxa"/>
          </w:tcPr>
          <w:p w:rsidR="00E10C11" w:rsidRDefault="00E10C11" w:rsidP="00C40F4B">
            <w:pPr>
              <w:pStyle w:val="SSCBodytext"/>
            </w:pPr>
            <w:r>
              <w:t>January 2018</w:t>
            </w:r>
          </w:p>
        </w:tc>
      </w:tr>
    </w:tbl>
    <w:p w:rsidR="004D3FB7" w:rsidRDefault="004D3FB7">
      <w:pPr>
        <w:spacing w:after="200" w:line="276" w:lineRule="auto"/>
        <w:jc w:val="left"/>
        <w:rPr>
          <w:rFonts w:eastAsiaTheme="majorEastAsia" w:cstheme="majorBidi"/>
          <w:b/>
          <w:bCs/>
          <w:color w:val="563F5C"/>
          <w:sz w:val="32"/>
          <w:szCs w:val="32"/>
        </w:rPr>
      </w:pPr>
      <w:r>
        <w:rPr>
          <w:color w:val="563F5C"/>
          <w:sz w:val="32"/>
          <w:szCs w:val="32"/>
        </w:rPr>
        <w:br w:type="page"/>
      </w:r>
    </w:p>
    <w:p w:rsidR="00D06441" w:rsidRPr="0029711D" w:rsidRDefault="00D06441" w:rsidP="00D06441">
      <w:pPr>
        <w:pStyle w:val="Heading1"/>
        <w:rPr>
          <w:color w:val="563F5C"/>
          <w:sz w:val="32"/>
          <w:szCs w:val="32"/>
        </w:rPr>
      </w:pPr>
      <w:bookmarkStart w:id="29" w:name="_Toc465411832"/>
      <w:r w:rsidRPr="0029711D">
        <w:rPr>
          <w:color w:val="563F5C"/>
          <w:sz w:val="32"/>
          <w:szCs w:val="32"/>
        </w:rPr>
        <w:t xml:space="preserve">Commitment </w:t>
      </w:r>
      <w:r w:rsidR="00B91896">
        <w:rPr>
          <w:color w:val="563F5C"/>
          <w:sz w:val="32"/>
          <w:szCs w:val="32"/>
        </w:rPr>
        <w:t>6</w:t>
      </w:r>
      <w:r w:rsidRPr="0029711D">
        <w:rPr>
          <w:color w:val="563F5C"/>
          <w:sz w:val="32"/>
          <w:szCs w:val="32"/>
        </w:rPr>
        <w:t xml:space="preserve">: </w:t>
      </w:r>
      <w:r w:rsidR="00B91896">
        <w:rPr>
          <w:color w:val="563F5C"/>
          <w:sz w:val="32"/>
          <w:szCs w:val="32"/>
        </w:rPr>
        <w:t>Improving access to legislation</w:t>
      </w:r>
      <w:bookmarkEnd w:id="29"/>
    </w:p>
    <w:p w:rsidR="00D06441" w:rsidRPr="0029711D" w:rsidRDefault="00D06441" w:rsidP="00D06441">
      <w:pPr>
        <w:pStyle w:val="SSCBodytext"/>
        <w:rPr>
          <w:color w:val="563F5C"/>
          <w:sz w:val="28"/>
          <w:szCs w:val="28"/>
        </w:rPr>
      </w:pPr>
      <w:r w:rsidRPr="0029711D">
        <w:rPr>
          <w:color w:val="563F5C"/>
          <w:sz w:val="28"/>
          <w:szCs w:val="28"/>
        </w:rPr>
        <w:t xml:space="preserve">We will improve </w:t>
      </w:r>
      <w:r w:rsidR="00B91896">
        <w:rPr>
          <w:color w:val="563F5C"/>
          <w:sz w:val="28"/>
          <w:szCs w:val="28"/>
        </w:rPr>
        <w:t>access to legislation by ensuring there is a single source for this information online.</w:t>
      </w:r>
    </w:p>
    <w:p w:rsidR="00D06441" w:rsidRPr="0029711D" w:rsidRDefault="00D06441" w:rsidP="00D06441">
      <w:pPr>
        <w:pStyle w:val="SSCBodytext"/>
        <w:rPr>
          <w:color w:val="563F5C"/>
          <w:sz w:val="24"/>
        </w:rPr>
      </w:pPr>
    </w:p>
    <w:p w:rsidR="00B91896" w:rsidRPr="00B91896" w:rsidRDefault="00D06441" w:rsidP="00B91896">
      <w:pPr>
        <w:pStyle w:val="SSCBodytext"/>
        <w:rPr>
          <w:b/>
          <w:szCs w:val="22"/>
        </w:rPr>
      </w:pPr>
      <w:r w:rsidRPr="0029711D">
        <w:rPr>
          <w:b/>
          <w:color w:val="563F5C"/>
          <w:szCs w:val="22"/>
        </w:rPr>
        <w:t>Objective:</w:t>
      </w:r>
      <w:r w:rsidRPr="0029711D">
        <w:rPr>
          <w:color w:val="563F5C"/>
          <w:szCs w:val="22"/>
        </w:rPr>
        <w:t xml:space="preserve"> </w:t>
      </w:r>
      <w:r w:rsidR="00B91896" w:rsidRPr="00B91896">
        <w:rPr>
          <w:szCs w:val="22"/>
        </w:rPr>
        <w:t xml:space="preserve">To improve access to legislation by publishing all subordinate instruments (regardless of who drafts them) on the </w:t>
      </w:r>
      <w:r w:rsidR="00B91896">
        <w:rPr>
          <w:szCs w:val="22"/>
        </w:rPr>
        <w:t>New Zealand Legislation (</w:t>
      </w:r>
      <w:r w:rsidR="00B91896" w:rsidRPr="00B91896">
        <w:rPr>
          <w:szCs w:val="22"/>
        </w:rPr>
        <w:t>NZL</w:t>
      </w:r>
      <w:r w:rsidR="00B91896">
        <w:rPr>
          <w:szCs w:val="22"/>
        </w:rPr>
        <w:t>)</w:t>
      </w:r>
      <w:r w:rsidR="00B91896" w:rsidRPr="00B91896">
        <w:rPr>
          <w:szCs w:val="22"/>
        </w:rPr>
        <w:t xml:space="preserve"> website.  The result will be a single, comprehensive, official, public source of all New Zealand’s legislation.</w:t>
      </w:r>
    </w:p>
    <w:p w:rsidR="00D06441" w:rsidRPr="0029711D" w:rsidRDefault="00D06441" w:rsidP="00D06441">
      <w:pPr>
        <w:pStyle w:val="SSCBodytext"/>
        <w:rPr>
          <w:szCs w:val="22"/>
        </w:rPr>
      </w:pPr>
    </w:p>
    <w:p w:rsidR="00B91896" w:rsidRPr="00B91896" w:rsidRDefault="00D06441" w:rsidP="00B91896">
      <w:pPr>
        <w:pStyle w:val="SSCBodytext"/>
        <w:rPr>
          <w:szCs w:val="22"/>
        </w:rPr>
      </w:pPr>
      <w:r w:rsidRPr="00B91896">
        <w:rPr>
          <w:b/>
          <w:color w:val="563F5C"/>
          <w:szCs w:val="22"/>
        </w:rPr>
        <w:t>Status quo:</w:t>
      </w:r>
      <w:r w:rsidRPr="00B91896">
        <w:rPr>
          <w:szCs w:val="22"/>
        </w:rPr>
        <w:t xml:space="preserve"> </w:t>
      </w:r>
      <w:r w:rsidR="00B91896" w:rsidRPr="00B91896">
        <w:rPr>
          <w:szCs w:val="22"/>
        </w:rPr>
        <w:t xml:space="preserve">There is no single place where people can see all of New Zealand’s legislation. All Acts of Parliament are published in full on the NZL website. Subordinate instruments (often referred to as regulations) are made under the delegated law-making authority of Parliament. Those that are drafted by the Parliamentary Counsel Office (PCO) are called legislative instruments and are </w:t>
      </w:r>
      <w:r w:rsidR="006C6F95">
        <w:rPr>
          <w:szCs w:val="22"/>
        </w:rPr>
        <w:t xml:space="preserve">also </w:t>
      </w:r>
      <w:r w:rsidR="00B91896" w:rsidRPr="00B91896">
        <w:rPr>
          <w:szCs w:val="22"/>
        </w:rPr>
        <w:t xml:space="preserve">published in full on the NZL website. Those that are drafted by government departments and agencies, and by other non-governmental bodies, are published either in the </w:t>
      </w:r>
      <w:r w:rsidR="009B5D05" w:rsidRPr="00FE2829">
        <w:rPr>
          <w:i/>
          <w:szCs w:val="22"/>
        </w:rPr>
        <w:t>Gazette</w:t>
      </w:r>
      <w:r w:rsidR="00B91896" w:rsidRPr="00B91896">
        <w:rPr>
          <w:szCs w:val="22"/>
        </w:rPr>
        <w:t xml:space="preserve"> or on a variety of different websites, in newspapers or are not readily available to the public. This has a direct impact on the cost of doing business in New Zealand, people’s ability to comply with the law</w:t>
      </w:r>
      <w:r w:rsidR="0018103A">
        <w:rPr>
          <w:szCs w:val="22"/>
        </w:rPr>
        <w:t>,</w:t>
      </w:r>
      <w:r w:rsidR="00B91896" w:rsidRPr="00B91896">
        <w:rPr>
          <w:szCs w:val="22"/>
        </w:rPr>
        <w:t xml:space="preserve"> and people’s rights.</w:t>
      </w:r>
    </w:p>
    <w:p w:rsidR="00D06441" w:rsidRPr="00B91896" w:rsidRDefault="00D06441" w:rsidP="00D06441">
      <w:pPr>
        <w:pStyle w:val="SSCBodytext"/>
        <w:rPr>
          <w:szCs w:val="22"/>
        </w:rPr>
      </w:pPr>
    </w:p>
    <w:p w:rsidR="00D06441" w:rsidRPr="0085096C" w:rsidRDefault="00D06441" w:rsidP="00D06441">
      <w:pPr>
        <w:pStyle w:val="SSCBodytext"/>
        <w:rPr>
          <w:szCs w:val="22"/>
        </w:rPr>
      </w:pPr>
      <w:r w:rsidRPr="0029711D">
        <w:rPr>
          <w:b/>
          <w:color w:val="563F5C"/>
          <w:szCs w:val="22"/>
        </w:rPr>
        <w:t>Ambition:</w:t>
      </w:r>
      <w:r>
        <w:rPr>
          <w:b/>
          <w:color w:val="563F5C"/>
          <w:szCs w:val="22"/>
        </w:rPr>
        <w:t xml:space="preserve"> </w:t>
      </w:r>
      <w:r w:rsidR="009622E0" w:rsidRPr="009622E0">
        <w:rPr>
          <w:szCs w:val="22"/>
        </w:rPr>
        <w:t>We are committed to improving access to legislation – access to the law is central to the rule of law, and people expect easy access to legislation.</w:t>
      </w:r>
    </w:p>
    <w:p w:rsidR="00D06441" w:rsidRPr="009622E0" w:rsidRDefault="00D06441" w:rsidP="00D06441">
      <w:pPr>
        <w:pStyle w:val="SSCBodytext"/>
        <w:rPr>
          <w:szCs w:val="22"/>
        </w:rPr>
      </w:pPr>
    </w:p>
    <w:p w:rsidR="00D06441" w:rsidRPr="0029711D" w:rsidRDefault="00D06441" w:rsidP="00D06441">
      <w:pPr>
        <w:pStyle w:val="SSCBodytext"/>
        <w:rPr>
          <w:b/>
          <w:color w:val="563F5C"/>
          <w:szCs w:val="22"/>
        </w:rPr>
      </w:pPr>
      <w:r w:rsidRPr="0029711D">
        <w:rPr>
          <w:b/>
          <w:color w:val="563F5C"/>
          <w:szCs w:val="22"/>
        </w:rPr>
        <w:t>Lead agency:</w:t>
      </w:r>
      <w:r>
        <w:rPr>
          <w:b/>
          <w:color w:val="563F5C"/>
          <w:szCs w:val="22"/>
        </w:rPr>
        <w:t xml:space="preserve"> </w:t>
      </w:r>
      <w:hyperlink r:id="rId36" w:history="1">
        <w:r w:rsidR="00B91896" w:rsidRPr="00977B44">
          <w:rPr>
            <w:rStyle w:val="Hyperlink"/>
            <w:szCs w:val="22"/>
          </w:rPr>
          <w:t>Parliamentary Counsel Office</w:t>
        </w:r>
      </w:hyperlink>
      <w:r w:rsidR="00977B44">
        <w:rPr>
          <w:szCs w:val="22"/>
        </w:rPr>
        <w:t xml:space="preserve"> (</w:t>
      </w:r>
      <w:r w:rsidR="00977B44" w:rsidRPr="00977B44">
        <w:rPr>
          <w:szCs w:val="22"/>
        </w:rPr>
        <w:t>http://www.pco.parliament.govt.nz/</w:t>
      </w:r>
      <w:r w:rsidR="00977B44">
        <w:rPr>
          <w:szCs w:val="22"/>
        </w:rPr>
        <w:t>)</w:t>
      </w:r>
    </w:p>
    <w:p w:rsidR="00D06441" w:rsidRDefault="00D06441" w:rsidP="00D06441">
      <w:pPr>
        <w:pStyle w:val="SSCBodytext"/>
        <w:rPr>
          <w:b/>
          <w:color w:val="563F5C"/>
          <w:szCs w:val="22"/>
        </w:rPr>
      </w:pPr>
    </w:p>
    <w:p w:rsidR="00D06441" w:rsidRPr="0085096C" w:rsidRDefault="00D06441" w:rsidP="00D06441">
      <w:pPr>
        <w:pStyle w:val="SSCBodytext"/>
        <w:rPr>
          <w:szCs w:val="22"/>
        </w:rPr>
      </w:pPr>
      <w:r w:rsidRPr="0029711D">
        <w:rPr>
          <w:b/>
          <w:color w:val="563F5C"/>
          <w:szCs w:val="22"/>
        </w:rPr>
        <w:t>Timeline:</w:t>
      </w:r>
      <w:r>
        <w:rPr>
          <w:b/>
          <w:color w:val="563F5C"/>
          <w:szCs w:val="22"/>
        </w:rPr>
        <w:t xml:space="preserve"> </w:t>
      </w:r>
      <w:r w:rsidRPr="0085096C">
        <w:rPr>
          <w:szCs w:val="22"/>
        </w:rPr>
        <w:t>October 2016 – June 2018</w:t>
      </w:r>
    </w:p>
    <w:p w:rsidR="00D06441" w:rsidRPr="0029711D" w:rsidRDefault="00D06441" w:rsidP="00D06441">
      <w:pPr>
        <w:pStyle w:val="SSCBodytext"/>
        <w:rPr>
          <w:szCs w:val="22"/>
        </w:rPr>
      </w:pPr>
    </w:p>
    <w:tbl>
      <w:tblPr>
        <w:tblStyle w:val="TableGrid"/>
        <w:tblW w:w="0" w:type="auto"/>
        <w:tblLook w:val="04A0" w:firstRow="1" w:lastRow="0" w:firstColumn="1" w:lastColumn="0" w:noHBand="0" w:noVBand="1"/>
      </w:tblPr>
      <w:tblGrid>
        <w:gridCol w:w="3964"/>
        <w:gridCol w:w="1560"/>
        <w:gridCol w:w="1842"/>
        <w:gridCol w:w="1808"/>
      </w:tblGrid>
      <w:tr w:rsidR="00D06441">
        <w:tc>
          <w:tcPr>
            <w:tcW w:w="9174" w:type="dxa"/>
            <w:gridSpan w:val="4"/>
          </w:tcPr>
          <w:p w:rsidR="00D06441" w:rsidRDefault="00D06441" w:rsidP="00B718F5">
            <w:pPr>
              <w:pStyle w:val="SSCBodytext"/>
              <w:jc w:val="left"/>
            </w:pPr>
            <w:r w:rsidRPr="006216C4">
              <w:rPr>
                <w:color w:val="563F5C"/>
                <w:sz w:val="28"/>
                <w:szCs w:val="28"/>
              </w:rPr>
              <w:t xml:space="preserve">Commitment: </w:t>
            </w:r>
            <w:r>
              <w:rPr>
                <w:color w:val="563F5C"/>
                <w:sz w:val="28"/>
                <w:szCs w:val="28"/>
              </w:rPr>
              <w:t xml:space="preserve">Improving </w:t>
            </w:r>
            <w:r w:rsidR="00B718F5">
              <w:rPr>
                <w:color w:val="563F5C"/>
                <w:sz w:val="28"/>
                <w:szCs w:val="28"/>
              </w:rPr>
              <w:t>access to legislation</w:t>
            </w:r>
          </w:p>
        </w:tc>
      </w:tr>
      <w:tr w:rsidR="00D06441">
        <w:tc>
          <w:tcPr>
            <w:tcW w:w="3964" w:type="dxa"/>
          </w:tcPr>
          <w:p w:rsidR="00D06441" w:rsidRPr="0029711D" w:rsidRDefault="00D06441" w:rsidP="00C40F4B">
            <w:pPr>
              <w:pStyle w:val="SSCBodytext"/>
              <w:jc w:val="left"/>
              <w:rPr>
                <w:b/>
                <w:color w:val="563F5C"/>
              </w:rPr>
            </w:pPr>
            <w:r w:rsidRPr="0029711D">
              <w:rPr>
                <w:b/>
                <w:color w:val="563F5C"/>
              </w:rPr>
              <w:t>OGP values</w:t>
            </w:r>
          </w:p>
        </w:tc>
        <w:tc>
          <w:tcPr>
            <w:tcW w:w="5210" w:type="dxa"/>
            <w:gridSpan w:val="3"/>
          </w:tcPr>
          <w:p w:rsidR="00D06441" w:rsidRDefault="00D06441" w:rsidP="00C40F4B">
            <w:pPr>
              <w:pStyle w:val="SSCBodytext"/>
              <w:jc w:val="left"/>
            </w:pPr>
            <w:r>
              <w:t>Access to information, civic participation, public accountability, technology and information</w:t>
            </w:r>
          </w:p>
        </w:tc>
      </w:tr>
      <w:tr w:rsidR="00D06441">
        <w:tc>
          <w:tcPr>
            <w:tcW w:w="3964" w:type="dxa"/>
          </w:tcPr>
          <w:p w:rsidR="00D06441" w:rsidRPr="0029711D" w:rsidRDefault="00D06441" w:rsidP="00C40F4B">
            <w:pPr>
              <w:pStyle w:val="SSCBodytext"/>
              <w:jc w:val="left"/>
              <w:rPr>
                <w:b/>
                <w:color w:val="563F5C"/>
              </w:rPr>
            </w:pPr>
            <w:r w:rsidRPr="0029711D">
              <w:rPr>
                <w:b/>
                <w:color w:val="563F5C"/>
              </w:rPr>
              <w:t>New or ongoing commitment</w:t>
            </w:r>
          </w:p>
        </w:tc>
        <w:tc>
          <w:tcPr>
            <w:tcW w:w="5210" w:type="dxa"/>
            <w:gridSpan w:val="3"/>
          </w:tcPr>
          <w:p w:rsidR="00D06441" w:rsidRDefault="00D06441" w:rsidP="00C40F4B">
            <w:pPr>
              <w:pStyle w:val="SSCBodytext"/>
              <w:jc w:val="left"/>
            </w:pPr>
            <w:r>
              <w:t>New</w:t>
            </w:r>
          </w:p>
        </w:tc>
      </w:tr>
      <w:tr w:rsidR="00D06441">
        <w:tc>
          <w:tcPr>
            <w:tcW w:w="3964" w:type="dxa"/>
          </w:tcPr>
          <w:p w:rsidR="00D06441" w:rsidRPr="0029711D" w:rsidRDefault="00D06441" w:rsidP="00C40F4B">
            <w:pPr>
              <w:pStyle w:val="SSCBodytext"/>
              <w:jc w:val="left"/>
              <w:rPr>
                <w:b/>
                <w:color w:val="563F5C"/>
              </w:rPr>
            </w:pPr>
            <w:r w:rsidRPr="0029711D">
              <w:rPr>
                <w:b/>
                <w:color w:val="563F5C"/>
              </w:rPr>
              <w:t>Lead implementation organisation</w:t>
            </w:r>
          </w:p>
        </w:tc>
        <w:tc>
          <w:tcPr>
            <w:tcW w:w="5210" w:type="dxa"/>
            <w:gridSpan w:val="3"/>
          </w:tcPr>
          <w:p w:rsidR="00D06441" w:rsidRDefault="00B91896" w:rsidP="00C40F4B">
            <w:pPr>
              <w:pStyle w:val="SSCBodytext"/>
              <w:jc w:val="left"/>
            </w:pPr>
            <w:r>
              <w:t>Parliamentary Counsel Office</w:t>
            </w:r>
          </w:p>
        </w:tc>
      </w:tr>
      <w:tr w:rsidR="005F2D70">
        <w:tc>
          <w:tcPr>
            <w:tcW w:w="5524" w:type="dxa"/>
            <w:gridSpan w:val="2"/>
          </w:tcPr>
          <w:p w:rsidR="005F2D70" w:rsidRPr="0029711D" w:rsidRDefault="005F2D70" w:rsidP="00C40F4B">
            <w:pPr>
              <w:pStyle w:val="SSCBodytext"/>
              <w:jc w:val="left"/>
              <w:rPr>
                <w:b/>
                <w:color w:val="563F5C"/>
              </w:rPr>
            </w:pPr>
            <w:r w:rsidRPr="0029711D">
              <w:rPr>
                <w:b/>
                <w:color w:val="563F5C"/>
              </w:rPr>
              <w:t>Verifiable and measurable milestones to fulfil the commitment</w:t>
            </w:r>
          </w:p>
        </w:tc>
        <w:tc>
          <w:tcPr>
            <w:tcW w:w="1842" w:type="dxa"/>
          </w:tcPr>
          <w:p w:rsidR="005F2D70" w:rsidRPr="0029711D" w:rsidRDefault="005F2D70" w:rsidP="00C40F4B">
            <w:pPr>
              <w:pStyle w:val="SSCBodytext"/>
              <w:jc w:val="left"/>
              <w:rPr>
                <w:b/>
                <w:color w:val="563F5C"/>
              </w:rPr>
            </w:pPr>
            <w:r w:rsidRPr="0029711D">
              <w:rPr>
                <w:b/>
                <w:color w:val="563F5C"/>
              </w:rPr>
              <w:t>Start date</w:t>
            </w:r>
          </w:p>
        </w:tc>
        <w:tc>
          <w:tcPr>
            <w:tcW w:w="1808" w:type="dxa"/>
          </w:tcPr>
          <w:p w:rsidR="005F2D70" w:rsidRPr="0029711D" w:rsidRDefault="005F2D70" w:rsidP="00C40F4B">
            <w:pPr>
              <w:pStyle w:val="SSCBodytext"/>
              <w:jc w:val="left"/>
              <w:rPr>
                <w:b/>
                <w:color w:val="563F5C"/>
              </w:rPr>
            </w:pPr>
            <w:r w:rsidRPr="0029711D">
              <w:rPr>
                <w:b/>
                <w:color w:val="563F5C"/>
              </w:rPr>
              <w:t>End date</w:t>
            </w:r>
          </w:p>
        </w:tc>
      </w:tr>
      <w:tr w:rsidR="005F2D70">
        <w:tc>
          <w:tcPr>
            <w:tcW w:w="5524" w:type="dxa"/>
            <w:gridSpan w:val="2"/>
          </w:tcPr>
          <w:p w:rsidR="005F2D70" w:rsidRDefault="007C1F0B" w:rsidP="00F0045E">
            <w:pPr>
              <w:pStyle w:val="SSCBodytext"/>
              <w:ind w:left="29" w:right="34"/>
            </w:pPr>
            <w:r w:rsidRPr="007C1F0B">
              <w:t>Consultation and engagement with all involved actors, including all government and regulatory agencies and Crown entities that produce legislation or regulation</w:t>
            </w:r>
          </w:p>
        </w:tc>
        <w:tc>
          <w:tcPr>
            <w:tcW w:w="1842" w:type="dxa"/>
          </w:tcPr>
          <w:p w:rsidR="005F2D70" w:rsidRDefault="005F2D70" w:rsidP="00C40F4B">
            <w:pPr>
              <w:pStyle w:val="SSCBodytext"/>
            </w:pPr>
            <w:r>
              <w:t>March 2016</w:t>
            </w:r>
          </w:p>
        </w:tc>
        <w:tc>
          <w:tcPr>
            <w:tcW w:w="1808" w:type="dxa"/>
          </w:tcPr>
          <w:p w:rsidR="005F2D70" w:rsidRDefault="005F2D70" w:rsidP="006C6F95">
            <w:pPr>
              <w:pStyle w:val="SSCBodytext"/>
            </w:pPr>
            <w:r>
              <w:t>Ongoing through project</w:t>
            </w:r>
          </w:p>
        </w:tc>
      </w:tr>
      <w:tr w:rsidR="005F2D70">
        <w:tc>
          <w:tcPr>
            <w:tcW w:w="5524" w:type="dxa"/>
            <w:gridSpan w:val="2"/>
          </w:tcPr>
          <w:p w:rsidR="005F2D70" w:rsidRDefault="005F2D70" w:rsidP="006C6F95">
            <w:pPr>
              <w:pStyle w:val="SSCBodytext"/>
              <w:ind w:left="29" w:right="34"/>
            </w:pPr>
            <w:r w:rsidRPr="00A40D60">
              <w:t xml:space="preserve">Consideration for approval by Cabinet </w:t>
            </w:r>
          </w:p>
        </w:tc>
        <w:tc>
          <w:tcPr>
            <w:tcW w:w="1842" w:type="dxa"/>
          </w:tcPr>
          <w:p w:rsidR="005F2D70" w:rsidRDefault="005F2D70" w:rsidP="00A40D60">
            <w:pPr>
              <w:pStyle w:val="SSCBodytext"/>
            </w:pPr>
            <w:r>
              <w:t>November  2016</w:t>
            </w:r>
          </w:p>
        </w:tc>
        <w:tc>
          <w:tcPr>
            <w:tcW w:w="1808" w:type="dxa"/>
          </w:tcPr>
          <w:p w:rsidR="005F2D70" w:rsidRDefault="00CC143B" w:rsidP="00C40F4B">
            <w:pPr>
              <w:pStyle w:val="SSCBodytext"/>
            </w:pPr>
            <w:r>
              <w:t>August</w:t>
            </w:r>
            <w:r w:rsidR="005F2D70">
              <w:t xml:space="preserve"> 2017</w:t>
            </w:r>
          </w:p>
        </w:tc>
      </w:tr>
    </w:tbl>
    <w:p w:rsidR="00F543E6" w:rsidRDefault="00F543E6" w:rsidP="00A708A8">
      <w:pPr>
        <w:pStyle w:val="SSCBodytext"/>
      </w:pPr>
    </w:p>
    <w:p w:rsidR="00F543E6" w:rsidRDefault="00F543E6" w:rsidP="00F543E6">
      <w:pPr>
        <w:pStyle w:val="SSCBodytext"/>
      </w:pPr>
      <w:r>
        <w:br w:type="page"/>
      </w:r>
    </w:p>
    <w:p w:rsidR="00597176" w:rsidRPr="009D1A01" w:rsidRDefault="00597176" w:rsidP="009D1A01">
      <w:pPr>
        <w:pStyle w:val="Heading1"/>
        <w:rPr>
          <w:color w:val="563F5C"/>
          <w:sz w:val="32"/>
          <w:szCs w:val="32"/>
        </w:rPr>
      </w:pPr>
      <w:bookmarkStart w:id="30" w:name="_Toc465411833"/>
      <w:r w:rsidRPr="0056510C">
        <w:rPr>
          <w:color w:val="563F5C"/>
          <w:sz w:val="32"/>
          <w:szCs w:val="32"/>
        </w:rPr>
        <w:t xml:space="preserve">Commitment 7: Improving </w:t>
      </w:r>
      <w:r w:rsidR="0070512F" w:rsidRPr="0056510C">
        <w:rPr>
          <w:color w:val="563F5C"/>
          <w:sz w:val="32"/>
          <w:szCs w:val="32"/>
        </w:rPr>
        <w:t>policy practices</w:t>
      </w:r>
      <w:bookmarkEnd w:id="30"/>
    </w:p>
    <w:p w:rsidR="00597176" w:rsidRDefault="00171251" w:rsidP="00597176">
      <w:pPr>
        <w:pStyle w:val="SSCBodytext"/>
        <w:rPr>
          <w:color w:val="563F5C"/>
          <w:sz w:val="28"/>
          <w:szCs w:val="28"/>
        </w:rPr>
      </w:pPr>
      <w:r w:rsidRPr="00171251">
        <w:rPr>
          <w:color w:val="563F5C"/>
          <w:sz w:val="28"/>
          <w:szCs w:val="28"/>
        </w:rPr>
        <w:t>We will improve knowledge of tools and techniques policy makers can use to create more open and user</w:t>
      </w:r>
      <w:r w:rsidR="006C6F95">
        <w:rPr>
          <w:color w:val="563F5C"/>
          <w:sz w:val="28"/>
          <w:szCs w:val="28"/>
        </w:rPr>
        <w:t>-</w:t>
      </w:r>
      <w:r w:rsidRPr="00171251">
        <w:rPr>
          <w:color w:val="563F5C"/>
          <w:sz w:val="28"/>
          <w:szCs w:val="28"/>
        </w:rPr>
        <w:t>led policy.</w:t>
      </w:r>
    </w:p>
    <w:p w:rsidR="00171251" w:rsidRPr="0029711D" w:rsidRDefault="00171251" w:rsidP="00597176">
      <w:pPr>
        <w:pStyle w:val="SSCBodytext"/>
        <w:rPr>
          <w:color w:val="563F5C"/>
          <w:sz w:val="24"/>
        </w:rPr>
      </w:pPr>
    </w:p>
    <w:p w:rsidR="00597176" w:rsidRPr="00B91896" w:rsidRDefault="00597176" w:rsidP="00597176">
      <w:pPr>
        <w:pStyle w:val="SSCBodytext"/>
        <w:rPr>
          <w:b/>
          <w:szCs w:val="22"/>
        </w:rPr>
      </w:pPr>
      <w:r w:rsidRPr="0029711D">
        <w:rPr>
          <w:b/>
          <w:color w:val="563F5C"/>
          <w:szCs w:val="22"/>
        </w:rPr>
        <w:t>Objective:</w:t>
      </w:r>
      <w:r w:rsidRPr="0029711D">
        <w:rPr>
          <w:color w:val="563F5C"/>
          <w:szCs w:val="22"/>
        </w:rPr>
        <w:t xml:space="preserve"> </w:t>
      </w:r>
      <w:r w:rsidR="007B73D2">
        <w:rPr>
          <w:szCs w:val="22"/>
        </w:rPr>
        <w:t>To ensure that p</w:t>
      </w:r>
      <w:r w:rsidR="007B73D2" w:rsidRPr="00597176">
        <w:rPr>
          <w:szCs w:val="22"/>
        </w:rPr>
        <w:t xml:space="preserve">olicy advice to government is better informed by insights from those most </w:t>
      </w:r>
      <w:r w:rsidR="007B73D2">
        <w:rPr>
          <w:szCs w:val="22"/>
        </w:rPr>
        <w:t>affect</w:t>
      </w:r>
      <w:r w:rsidR="007B73D2" w:rsidRPr="00597176">
        <w:rPr>
          <w:szCs w:val="22"/>
        </w:rPr>
        <w:t xml:space="preserve">ed by government policy and programmes, </w:t>
      </w:r>
      <w:r w:rsidR="007B73D2">
        <w:rPr>
          <w:szCs w:val="22"/>
        </w:rPr>
        <w:t xml:space="preserve">by </w:t>
      </w:r>
      <w:r w:rsidR="007B73D2" w:rsidRPr="00597176">
        <w:rPr>
          <w:szCs w:val="22"/>
        </w:rPr>
        <w:t xml:space="preserve">input from diverse points </w:t>
      </w:r>
      <w:r w:rsidR="007B73D2">
        <w:rPr>
          <w:szCs w:val="22"/>
        </w:rPr>
        <w:t>of view</w:t>
      </w:r>
      <w:r w:rsidR="0018103A">
        <w:rPr>
          <w:szCs w:val="22"/>
        </w:rPr>
        <w:t>,</w:t>
      </w:r>
      <w:r w:rsidR="007B73D2">
        <w:rPr>
          <w:szCs w:val="22"/>
        </w:rPr>
        <w:t xml:space="preserve"> and by data and evidence</w:t>
      </w:r>
      <w:r w:rsidR="007B73D2" w:rsidRPr="00B91896">
        <w:rPr>
          <w:szCs w:val="22"/>
        </w:rPr>
        <w:t>.</w:t>
      </w:r>
    </w:p>
    <w:p w:rsidR="00597176" w:rsidRPr="0029711D" w:rsidRDefault="00597176" w:rsidP="00597176">
      <w:pPr>
        <w:pStyle w:val="SSCBodytext"/>
        <w:rPr>
          <w:szCs w:val="22"/>
        </w:rPr>
      </w:pPr>
    </w:p>
    <w:p w:rsidR="00597176" w:rsidRPr="00597176" w:rsidRDefault="00597176" w:rsidP="00597176">
      <w:pPr>
        <w:pStyle w:val="SSCBodytext"/>
        <w:rPr>
          <w:szCs w:val="22"/>
        </w:rPr>
      </w:pPr>
      <w:r w:rsidRPr="00B91896">
        <w:rPr>
          <w:b/>
          <w:color w:val="563F5C"/>
          <w:szCs w:val="22"/>
        </w:rPr>
        <w:t>Status quo:</w:t>
      </w:r>
      <w:r w:rsidRPr="00B91896">
        <w:rPr>
          <w:szCs w:val="22"/>
        </w:rPr>
        <w:t xml:space="preserve"> </w:t>
      </w:r>
      <w:r w:rsidRPr="00597176">
        <w:rPr>
          <w:szCs w:val="22"/>
        </w:rPr>
        <w:t>Commitments to consult interest groups have long been part of N</w:t>
      </w:r>
      <w:r>
        <w:rPr>
          <w:szCs w:val="22"/>
        </w:rPr>
        <w:t xml:space="preserve">ew </w:t>
      </w:r>
      <w:r w:rsidRPr="00597176">
        <w:rPr>
          <w:szCs w:val="22"/>
        </w:rPr>
        <w:t>Z</w:t>
      </w:r>
      <w:r>
        <w:rPr>
          <w:szCs w:val="22"/>
        </w:rPr>
        <w:t>ealand</w:t>
      </w:r>
      <w:r w:rsidRPr="00597176">
        <w:rPr>
          <w:szCs w:val="22"/>
        </w:rPr>
        <w:t xml:space="preserve"> policy making – </w:t>
      </w:r>
      <w:r w:rsidR="006C6F95">
        <w:rPr>
          <w:szCs w:val="22"/>
        </w:rPr>
        <w:t xml:space="preserve">for example, </w:t>
      </w:r>
      <w:r w:rsidRPr="00597176">
        <w:rPr>
          <w:szCs w:val="22"/>
        </w:rPr>
        <w:t>it is written into N</w:t>
      </w:r>
      <w:r>
        <w:rPr>
          <w:szCs w:val="22"/>
        </w:rPr>
        <w:t xml:space="preserve">ew </w:t>
      </w:r>
      <w:r w:rsidRPr="00597176">
        <w:rPr>
          <w:szCs w:val="22"/>
        </w:rPr>
        <w:t>Z</w:t>
      </w:r>
      <w:r>
        <w:rPr>
          <w:szCs w:val="22"/>
        </w:rPr>
        <w:t>ealand</w:t>
      </w:r>
      <w:r w:rsidRPr="00597176">
        <w:rPr>
          <w:szCs w:val="22"/>
        </w:rPr>
        <w:t xml:space="preserve">’s CabGuide (Guide to Cabinet and Cabinet Committee Processes) and </w:t>
      </w:r>
      <w:r>
        <w:rPr>
          <w:szCs w:val="22"/>
        </w:rPr>
        <w:t xml:space="preserve">regulation analysis practices. </w:t>
      </w:r>
      <w:r w:rsidRPr="00597176">
        <w:rPr>
          <w:szCs w:val="22"/>
        </w:rPr>
        <w:t>We can improve consultation practices, for example</w:t>
      </w:r>
      <w:r w:rsidR="006C6F95">
        <w:rPr>
          <w:szCs w:val="22"/>
        </w:rPr>
        <w:t>,</w:t>
      </w:r>
      <w:r w:rsidRPr="00597176">
        <w:rPr>
          <w:szCs w:val="22"/>
        </w:rPr>
        <w:t xml:space="preserve"> by exploring digital tools and evolving fit-for-purpose partici</w:t>
      </w:r>
      <w:r w:rsidR="00F84841">
        <w:rPr>
          <w:szCs w:val="22"/>
        </w:rPr>
        <w:t>patory decision-</w:t>
      </w:r>
      <w:r w:rsidRPr="00597176">
        <w:rPr>
          <w:szCs w:val="22"/>
        </w:rPr>
        <w:t xml:space="preserve">making practices. There </w:t>
      </w:r>
      <w:r w:rsidR="006C6F95">
        <w:rPr>
          <w:szCs w:val="22"/>
        </w:rPr>
        <w:t>is</w:t>
      </w:r>
      <w:r w:rsidRPr="00597176">
        <w:rPr>
          <w:szCs w:val="22"/>
        </w:rPr>
        <w:t xml:space="preserve"> also an array of </w:t>
      </w:r>
      <w:r w:rsidR="0070512F">
        <w:rPr>
          <w:szCs w:val="22"/>
        </w:rPr>
        <w:t>new approaches</w:t>
      </w:r>
      <w:r w:rsidR="0018103A">
        <w:rPr>
          <w:szCs w:val="22"/>
        </w:rPr>
        <w:t>,</w:t>
      </w:r>
      <w:r w:rsidR="0070512F">
        <w:rPr>
          <w:szCs w:val="22"/>
        </w:rPr>
        <w:t xml:space="preserve">  to </w:t>
      </w:r>
      <w:r w:rsidRPr="00597176">
        <w:rPr>
          <w:szCs w:val="22"/>
        </w:rPr>
        <w:t>engage directly with ‘customers’, or those that will be affected by government decisions, that can add value to the design of policy and subsequently deliver greater pu</w:t>
      </w:r>
      <w:r w:rsidR="00F84841">
        <w:rPr>
          <w:szCs w:val="22"/>
        </w:rPr>
        <w:t>blic value</w:t>
      </w:r>
      <w:r w:rsidRPr="00597176">
        <w:rPr>
          <w:szCs w:val="22"/>
        </w:rPr>
        <w:t xml:space="preserve">. </w:t>
      </w:r>
    </w:p>
    <w:p w:rsidR="00597176" w:rsidRPr="00B91896" w:rsidRDefault="00597176" w:rsidP="00597176">
      <w:pPr>
        <w:pStyle w:val="SSCBodytext"/>
        <w:rPr>
          <w:szCs w:val="22"/>
        </w:rPr>
      </w:pPr>
    </w:p>
    <w:p w:rsidR="00597176" w:rsidRPr="0085096C" w:rsidRDefault="00597176" w:rsidP="00F84841">
      <w:pPr>
        <w:pStyle w:val="SSCBodytext"/>
        <w:rPr>
          <w:szCs w:val="22"/>
        </w:rPr>
      </w:pPr>
      <w:r w:rsidRPr="0029711D">
        <w:rPr>
          <w:b/>
          <w:color w:val="563F5C"/>
          <w:szCs w:val="22"/>
        </w:rPr>
        <w:t>Ambition:</w:t>
      </w:r>
      <w:r w:rsidR="00F84841">
        <w:rPr>
          <w:szCs w:val="22"/>
        </w:rPr>
        <w:t xml:space="preserve"> </w:t>
      </w:r>
      <w:r w:rsidR="00F84841" w:rsidRPr="00F84841">
        <w:rPr>
          <w:szCs w:val="22"/>
        </w:rPr>
        <w:t>We will create accessible, easy-to-digest guidance material on:</w:t>
      </w:r>
      <w:r w:rsidR="00F84841">
        <w:rPr>
          <w:b/>
          <w:szCs w:val="22"/>
        </w:rPr>
        <w:t xml:space="preserve"> </w:t>
      </w:r>
      <w:r w:rsidR="00F84841" w:rsidRPr="00F84841">
        <w:rPr>
          <w:szCs w:val="22"/>
        </w:rPr>
        <w:t xml:space="preserve">being an ‘intelligent customer/user’ of data and </w:t>
      </w:r>
      <w:r w:rsidR="00F84841">
        <w:rPr>
          <w:szCs w:val="22"/>
        </w:rPr>
        <w:t xml:space="preserve">evidence; methods for gathering and </w:t>
      </w:r>
      <w:r w:rsidR="00F84841" w:rsidRPr="00F84841">
        <w:rPr>
          <w:szCs w:val="22"/>
        </w:rPr>
        <w:t xml:space="preserve">generating insights from others, particularly those directly </w:t>
      </w:r>
      <w:r w:rsidR="00F84841">
        <w:rPr>
          <w:szCs w:val="22"/>
        </w:rPr>
        <w:t>affec</w:t>
      </w:r>
      <w:r w:rsidR="00F84841" w:rsidRPr="00F84841">
        <w:rPr>
          <w:szCs w:val="22"/>
        </w:rPr>
        <w:t>ted by policy and public services</w:t>
      </w:r>
      <w:r w:rsidR="00F84841">
        <w:rPr>
          <w:szCs w:val="22"/>
        </w:rPr>
        <w:t xml:space="preserve">; </w:t>
      </w:r>
      <w:r w:rsidR="00F84841" w:rsidRPr="00F84841">
        <w:rPr>
          <w:szCs w:val="22"/>
        </w:rPr>
        <w:t>using collaborative approaches, so that policy is informed by a broad range of input and expertise and meets user needs</w:t>
      </w:r>
      <w:r w:rsidR="00F84841">
        <w:rPr>
          <w:szCs w:val="22"/>
        </w:rPr>
        <w:t xml:space="preserve">; testing and </w:t>
      </w:r>
      <w:r w:rsidR="00F84841" w:rsidRPr="00F84841">
        <w:rPr>
          <w:szCs w:val="22"/>
        </w:rPr>
        <w:t>improving policy and services with citizens-as</w:t>
      </w:r>
      <w:r w:rsidR="006C6F95">
        <w:rPr>
          <w:szCs w:val="22"/>
        </w:rPr>
        <w:t>-</w:t>
      </w:r>
      <w:r w:rsidR="00F84841" w:rsidRPr="00F84841">
        <w:rPr>
          <w:szCs w:val="22"/>
        </w:rPr>
        <w:t xml:space="preserve">users.  </w:t>
      </w:r>
    </w:p>
    <w:p w:rsidR="00597176" w:rsidRPr="009622E0" w:rsidRDefault="00597176" w:rsidP="00597176">
      <w:pPr>
        <w:pStyle w:val="SSCBodytext"/>
        <w:rPr>
          <w:szCs w:val="22"/>
        </w:rPr>
      </w:pPr>
    </w:p>
    <w:p w:rsidR="00597176" w:rsidRPr="0029711D" w:rsidRDefault="00597176" w:rsidP="00597176">
      <w:pPr>
        <w:pStyle w:val="SSCBodytext"/>
        <w:rPr>
          <w:b/>
          <w:color w:val="563F5C"/>
          <w:szCs w:val="22"/>
        </w:rPr>
      </w:pPr>
      <w:r w:rsidRPr="0029711D">
        <w:rPr>
          <w:b/>
          <w:color w:val="563F5C"/>
          <w:szCs w:val="22"/>
        </w:rPr>
        <w:t>Lead agency:</w:t>
      </w:r>
      <w:r>
        <w:rPr>
          <w:b/>
          <w:color w:val="563F5C"/>
          <w:szCs w:val="22"/>
        </w:rPr>
        <w:t xml:space="preserve"> </w:t>
      </w:r>
      <w:r>
        <w:rPr>
          <w:szCs w:val="22"/>
        </w:rPr>
        <w:t xml:space="preserve">Head of the Policy Profession, </w:t>
      </w:r>
      <w:r w:rsidR="006C6F95">
        <w:rPr>
          <w:szCs w:val="22"/>
        </w:rPr>
        <w:t xml:space="preserve">the </w:t>
      </w:r>
      <w:hyperlink r:id="rId37" w:history="1">
        <w:r w:rsidRPr="00F24FBC">
          <w:rPr>
            <w:rStyle w:val="Hyperlink"/>
            <w:szCs w:val="22"/>
          </w:rPr>
          <w:t>Department of the Prime Minister and Cabinet</w:t>
        </w:r>
      </w:hyperlink>
      <w:r w:rsidR="00F24FBC">
        <w:rPr>
          <w:szCs w:val="22"/>
        </w:rPr>
        <w:t xml:space="preserve"> (</w:t>
      </w:r>
      <w:r w:rsidR="00F24FBC" w:rsidRPr="00F24FBC">
        <w:rPr>
          <w:szCs w:val="22"/>
        </w:rPr>
        <w:t>https://www.dpmc.govt.nz/</w:t>
      </w:r>
      <w:r w:rsidR="00F24FBC">
        <w:rPr>
          <w:szCs w:val="22"/>
        </w:rPr>
        <w:t>)</w:t>
      </w:r>
    </w:p>
    <w:p w:rsidR="00597176" w:rsidRDefault="00597176" w:rsidP="00597176">
      <w:pPr>
        <w:pStyle w:val="SSCBodytext"/>
        <w:rPr>
          <w:b/>
          <w:color w:val="563F5C"/>
          <w:szCs w:val="22"/>
        </w:rPr>
      </w:pPr>
    </w:p>
    <w:p w:rsidR="00597176" w:rsidRPr="0085096C" w:rsidRDefault="00597176" w:rsidP="00597176">
      <w:pPr>
        <w:pStyle w:val="SSCBodytext"/>
        <w:rPr>
          <w:szCs w:val="22"/>
        </w:rPr>
      </w:pPr>
      <w:r w:rsidRPr="0029711D">
        <w:rPr>
          <w:b/>
          <w:color w:val="563F5C"/>
          <w:szCs w:val="22"/>
        </w:rPr>
        <w:t>Timeline:</w:t>
      </w:r>
      <w:r>
        <w:rPr>
          <w:b/>
          <w:color w:val="563F5C"/>
          <w:szCs w:val="22"/>
        </w:rPr>
        <w:t xml:space="preserve"> </w:t>
      </w:r>
      <w:r w:rsidRPr="0085096C">
        <w:rPr>
          <w:szCs w:val="22"/>
        </w:rPr>
        <w:t>October 2016 – June 201</w:t>
      </w:r>
      <w:r w:rsidR="004A2ADC">
        <w:rPr>
          <w:szCs w:val="22"/>
        </w:rPr>
        <w:t>7</w:t>
      </w:r>
    </w:p>
    <w:p w:rsidR="00597176" w:rsidRPr="0029711D" w:rsidRDefault="00597176" w:rsidP="00597176">
      <w:pPr>
        <w:pStyle w:val="SSCBodytext"/>
        <w:rPr>
          <w:szCs w:val="22"/>
        </w:rPr>
      </w:pPr>
    </w:p>
    <w:tbl>
      <w:tblPr>
        <w:tblStyle w:val="TableGrid"/>
        <w:tblW w:w="0" w:type="auto"/>
        <w:tblLook w:val="04A0" w:firstRow="1" w:lastRow="0" w:firstColumn="1" w:lastColumn="0" w:noHBand="0" w:noVBand="1"/>
      </w:tblPr>
      <w:tblGrid>
        <w:gridCol w:w="3964"/>
        <w:gridCol w:w="1560"/>
        <w:gridCol w:w="1842"/>
        <w:gridCol w:w="1808"/>
      </w:tblGrid>
      <w:tr w:rsidR="00597176">
        <w:tc>
          <w:tcPr>
            <w:tcW w:w="9174" w:type="dxa"/>
            <w:gridSpan w:val="4"/>
          </w:tcPr>
          <w:p w:rsidR="00597176" w:rsidRDefault="00597176" w:rsidP="00597176">
            <w:pPr>
              <w:pStyle w:val="SSCBodytext"/>
              <w:jc w:val="left"/>
            </w:pPr>
            <w:r w:rsidRPr="006216C4">
              <w:rPr>
                <w:color w:val="563F5C"/>
                <w:sz w:val="28"/>
                <w:szCs w:val="28"/>
              </w:rPr>
              <w:t xml:space="preserve">Commitment: </w:t>
            </w:r>
            <w:r>
              <w:rPr>
                <w:color w:val="563F5C"/>
                <w:sz w:val="28"/>
                <w:szCs w:val="28"/>
              </w:rPr>
              <w:t>Improving policy practices</w:t>
            </w:r>
          </w:p>
        </w:tc>
      </w:tr>
      <w:tr w:rsidR="00597176">
        <w:tc>
          <w:tcPr>
            <w:tcW w:w="3964" w:type="dxa"/>
          </w:tcPr>
          <w:p w:rsidR="00597176" w:rsidRPr="0029711D" w:rsidRDefault="00597176" w:rsidP="00597176">
            <w:pPr>
              <w:pStyle w:val="SSCBodytext"/>
              <w:jc w:val="left"/>
              <w:rPr>
                <w:b/>
                <w:color w:val="563F5C"/>
              </w:rPr>
            </w:pPr>
            <w:r w:rsidRPr="0029711D">
              <w:rPr>
                <w:b/>
                <w:color w:val="563F5C"/>
              </w:rPr>
              <w:t>OGP values</w:t>
            </w:r>
          </w:p>
        </w:tc>
        <w:tc>
          <w:tcPr>
            <w:tcW w:w="5210" w:type="dxa"/>
            <w:gridSpan w:val="3"/>
          </w:tcPr>
          <w:p w:rsidR="00597176" w:rsidRDefault="00597176" w:rsidP="00597176">
            <w:pPr>
              <w:pStyle w:val="SSCBodytext"/>
              <w:jc w:val="left"/>
            </w:pPr>
            <w:r>
              <w:t>Civic participation, public accountability, technology and information</w:t>
            </w:r>
          </w:p>
        </w:tc>
      </w:tr>
      <w:tr w:rsidR="00597176">
        <w:tc>
          <w:tcPr>
            <w:tcW w:w="3964" w:type="dxa"/>
          </w:tcPr>
          <w:p w:rsidR="00597176" w:rsidRPr="0029711D" w:rsidRDefault="00597176" w:rsidP="00597176">
            <w:pPr>
              <w:pStyle w:val="SSCBodytext"/>
              <w:jc w:val="left"/>
              <w:rPr>
                <w:b/>
                <w:color w:val="563F5C"/>
              </w:rPr>
            </w:pPr>
            <w:r w:rsidRPr="0029711D">
              <w:rPr>
                <w:b/>
                <w:color w:val="563F5C"/>
              </w:rPr>
              <w:t>New or ongoing commitment</w:t>
            </w:r>
          </w:p>
        </w:tc>
        <w:tc>
          <w:tcPr>
            <w:tcW w:w="5210" w:type="dxa"/>
            <w:gridSpan w:val="3"/>
          </w:tcPr>
          <w:p w:rsidR="00597176" w:rsidRDefault="00597176" w:rsidP="00597176">
            <w:pPr>
              <w:pStyle w:val="SSCBodytext"/>
              <w:jc w:val="left"/>
            </w:pPr>
            <w:r>
              <w:t>New</w:t>
            </w:r>
          </w:p>
        </w:tc>
      </w:tr>
      <w:tr w:rsidR="00597176">
        <w:tc>
          <w:tcPr>
            <w:tcW w:w="3964" w:type="dxa"/>
          </w:tcPr>
          <w:p w:rsidR="00597176" w:rsidRPr="0029711D" w:rsidRDefault="00597176" w:rsidP="00597176">
            <w:pPr>
              <w:pStyle w:val="SSCBodytext"/>
              <w:jc w:val="left"/>
              <w:rPr>
                <w:b/>
                <w:color w:val="563F5C"/>
              </w:rPr>
            </w:pPr>
            <w:r w:rsidRPr="0029711D">
              <w:rPr>
                <w:b/>
                <w:color w:val="563F5C"/>
              </w:rPr>
              <w:t>Lead implementation organisation</w:t>
            </w:r>
          </w:p>
        </w:tc>
        <w:tc>
          <w:tcPr>
            <w:tcW w:w="5210" w:type="dxa"/>
            <w:gridSpan w:val="3"/>
          </w:tcPr>
          <w:p w:rsidR="00597176" w:rsidRDefault="00597176" w:rsidP="004A018E">
            <w:pPr>
              <w:pStyle w:val="SSCBodytext"/>
              <w:jc w:val="left"/>
            </w:pPr>
            <w:r w:rsidRPr="00597176">
              <w:t xml:space="preserve">Head of the Policy Profession, </w:t>
            </w:r>
            <w:r w:rsidR="006C6F95">
              <w:t xml:space="preserve">the </w:t>
            </w:r>
            <w:r w:rsidRPr="00597176">
              <w:t>Department of the Prime Minister and Cabinet</w:t>
            </w:r>
          </w:p>
        </w:tc>
      </w:tr>
      <w:tr w:rsidR="00597176">
        <w:tc>
          <w:tcPr>
            <w:tcW w:w="5524" w:type="dxa"/>
            <w:gridSpan w:val="2"/>
          </w:tcPr>
          <w:p w:rsidR="00597176" w:rsidRPr="0029711D" w:rsidRDefault="00597176" w:rsidP="00597176">
            <w:pPr>
              <w:pStyle w:val="SSCBodytext"/>
              <w:jc w:val="left"/>
              <w:rPr>
                <w:b/>
                <w:color w:val="563F5C"/>
              </w:rPr>
            </w:pPr>
            <w:r w:rsidRPr="0029711D">
              <w:rPr>
                <w:b/>
                <w:color w:val="563F5C"/>
              </w:rPr>
              <w:t>Verifiable and measurable milestones to fulfil the commitment</w:t>
            </w:r>
          </w:p>
        </w:tc>
        <w:tc>
          <w:tcPr>
            <w:tcW w:w="1842" w:type="dxa"/>
          </w:tcPr>
          <w:p w:rsidR="00597176" w:rsidRPr="0029711D" w:rsidRDefault="00597176" w:rsidP="00597176">
            <w:pPr>
              <w:pStyle w:val="SSCBodytext"/>
              <w:jc w:val="left"/>
              <w:rPr>
                <w:b/>
                <w:color w:val="563F5C"/>
              </w:rPr>
            </w:pPr>
            <w:r w:rsidRPr="0029711D">
              <w:rPr>
                <w:b/>
                <w:color w:val="563F5C"/>
              </w:rPr>
              <w:t>Start date</w:t>
            </w:r>
          </w:p>
        </w:tc>
        <w:tc>
          <w:tcPr>
            <w:tcW w:w="1808" w:type="dxa"/>
          </w:tcPr>
          <w:p w:rsidR="00597176" w:rsidRPr="0029711D" w:rsidRDefault="00597176" w:rsidP="00597176">
            <w:pPr>
              <w:pStyle w:val="SSCBodytext"/>
              <w:jc w:val="left"/>
              <w:rPr>
                <w:b/>
                <w:color w:val="563F5C"/>
              </w:rPr>
            </w:pPr>
            <w:r w:rsidRPr="0029711D">
              <w:rPr>
                <w:b/>
                <w:color w:val="563F5C"/>
              </w:rPr>
              <w:t>End date</w:t>
            </w:r>
          </w:p>
        </w:tc>
      </w:tr>
      <w:tr w:rsidR="00597176">
        <w:tc>
          <w:tcPr>
            <w:tcW w:w="5524" w:type="dxa"/>
            <w:gridSpan w:val="2"/>
          </w:tcPr>
          <w:p w:rsidR="00597176" w:rsidRDefault="00F84841" w:rsidP="00F0045E">
            <w:pPr>
              <w:pStyle w:val="SSCBodytext"/>
              <w:ind w:left="29" w:right="176"/>
            </w:pPr>
            <w:r w:rsidRPr="00F84841">
              <w:t>Map evidence and insights ecosystem, existing practice, expertise and guidance sources</w:t>
            </w:r>
          </w:p>
        </w:tc>
        <w:tc>
          <w:tcPr>
            <w:tcW w:w="1842" w:type="dxa"/>
          </w:tcPr>
          <w:p w:rsidR="00597176" w:rsidRDefault="00F84841" w:rsidP="00597176">
            <w:pPr>
              <w:pStyle w:val="SSCBodytext"/>
            </w:pPr>
            <w:r>
              <w:t>September</w:t>
            </w:r>
            <w:r w:rsidR="00597176">
              <w:t xml:space="preserve"> 2016</w:t>
            </w:r>
          </w:p>
        </w:tc>
        <w:tc>
          <w:tcPr>
            <w:tcW w:w="1808" w:type="dxa"/>
          </w:tcPr>
          <w:p w:rsidR="00597176" w:rsidRDefault="00F84841" w:rsidP="00597176">
            <w:pPr>
              <w:pStyle w:val="SSCBodytext"/>
            </w:pPr>
            <w:r>
              <w:t>October 2016</w:t>
            </w:r>
          </w:p>
        </w:tc>
      </w:tr>
      <w:tr w:rsidR="00597176">
        <w:tc>
          <w:tcPr>
            <w:tcW w:w="5524" w:type="dxa"/>
            <w:gridSpan w:val="2"/>
          </w:tcPr>
          <w:p w:rsidR="00597176" w:rsidRDefault="0002798A" w:rsidP="006C6F95">
            <w:pPr>
              <w:pStyle w:val="SSCBodytext"/>
              <w:ind w:left="29" w:right="176"/>
            </w:pPr>
            <w:r w:rsidRPr="0002798A">
              <w:t xml:space="preserve">Test buy-in and support for </w:t>
            </w:r>
            <w:r w:rsidR="006C6F95">
              <w:t>all-</w:t>
            </w:r>
            <w:r w:rsidRPr="0002798A">
              <w:t>of</w:t>
            </w:r>
            <w:r w:rsidR="006C6F95">
              <w:t>-</w:t>
            </w:r>
            <w:r w:rsidRPr="0002798A">
              <w:t>government guidance</w:t>
            </w:r>
          </w:p>
        </w:tc>
        <w:tc>
          <w:tcPr>
            <w:tcW w:w="1842" w:type="dxa"/>
          </w:tcPr>
          <w:p w:rsidR="00597176" w:rsidRDefault="00F84841" w:rsidP="00597176">
            <w:pPr>
              <w:pStyle w:val="SSCBodytext"/>
            </w:pPr>
            <w:r>
              <w:t>October 2016</w:t>
            </w:r>
          </w:p>
        </w:tc>
        <w:tc>
          <w:tcPr>
            <w:tcW w:w="1808" w:type="dxa"/>
          </w:tcPr>
          <w:p w:rsidR="00597176" w:rsidRDefault="00415019" w:rsidP="00597176">
            <w:pPr>
              <w:pStyle w:val="SSCBodytext"/>
            </w:pPr>
            <w:r>
              <w:t>November</w:t>
            </w:r>
            <w:r w:rsidR="00F84841">
              <w:t xml:space="preserve"> 2016</w:t>
            </w:r>
          </w:p>
        </w:tc>
      </w:tr>
      <w:tr w:rsidR="00597176">
        <w:tc>
          <w:tcPr>
            <w:tcW w:w="5524" w:type="dxa"/>
            <w:gridSpan w:val="2"/>
          </w:tcPr>
          <w:p w:rsidR="00597176" w:rsidRDefault="00F84841" w:rsidP="00F0045E">
            <w:pPr>
              <w:pStyle w:val="SSCBodytext"/>
              <w:ind w:left="29" w:right="176"/>
            </w:pPr>
            <w:r w:rsidRPr="00F84841">
              <w:t>Design prototype and refine the format of the guidance for optimal usability</w:t>
            </w:r>
          </w:p>
        </w:tc>
        <w:tc>
          <w:tcPr>
            <w:tcW w:w="1842" w:type="dxa"/>
          </w:tcPr>
          <w:p w:rsidR="00597176" w:rsidRDefault="007B73D2" w:rsidP="00597176">
            <w:pPr>
              <w:pStyle w:val="SSCBodytext"/>
            </w:pPr>
            <w:r>
              <w:t>October 2016</w:t>
            </w:r>
          </w:p>
        </w:tc>
        <w:tc>
          <w:tcPr>
            <w:tcW w:w="1808" w:type="dxa"/>
          </w:tcPr>
          <w:p w:rsidR="00597176" w:rsidRDefault="007B73D2" w:rsidP="00597176">
            <w:pPr>
              <w:pStyle w:val="SSCBodytext"/>
            </w:pPr>
            <w:r>
              <w:t>December 2016</w:t>
            </w:r>
          </w:p>
        </w:tc>
      </w:tr>
      <w:tr w:rsidR="00597176">
        <w:tc>
          <w:tcPr>
            <w:tcW w:w="5524" w:type="dxa"/>
            <w:gridSpan w:val="2"/>
          </w:tcPr>
          <w:p w:rsidR="00597176" w:rsidRDefault="0070512F" w:rsidP="00F0045E">
            <w:pPr>
              <w:pStyle w:val="SSCBodytext"/>
              <w:ind w:left="29" w:right="176"/>
            </w:pPr>
            <w:r w:rsidRPr="0070512F">
              <w:t>Co-produce contents with</w:t>
            </w:r>
            <w:r w:rsidR="006C6F95">
              <w:t>,</w:t>
            </w:r>
            <w:r w:rsidRPr="0070512F">
              <w:t xml:space="preserve"> and for</w:t>
            </w:r>
            <w:r w:rsidR="006C6F95">
              <w:t>,</w:t>
            </w:r>
            <w:r w:rsidRPr="0070512F">
              <w:t xml:space="preserve"> the government policy community</w:t>
            </w:r>
          </w:p>
        </w:tc>
        <w:tc>
          <w:tcPr>
            <w:tcW w:w="1842" w:type="dxa"/>
          </w:tcPr>
          <w:p w:rsidR="00597176" w:rsidRDefault="007B73D2" w:rsidP="00597176">
            <w:pPr>
              <w:pStyle w:val="SSCBodytext"/>
            </w:pPr>
            <w:r>
              <w:t>December 2016</w:t>
            </w:r>
          </w:p>
        </w:tc>
        <w:tc>
          <w:tcPr>
            <w:tcW w:w="1808" w:type="dxa"/>
          </w:tcPr>
          <w:p w:rsidR="00597176" w:rsidRDefault="007B73D2" w:rsidP="00597176">
            <w:pPr>
              <w:pStyle w:val="SSCBodytext"/>
            </w:pPr>
            <w:r>
              <w:t>April 2017</w:t>
            </w:r>
          </w:p>
        </w:tc>
      </w:tr>
      <w:tr w:rsidR="0070512F">
        <w:tc>
          <w:tcPr>
            <w:tcW w:w="5524" w:type="dxa"/>
            <w:gridSpan w:val="2"/>
          </w:tcPr>
          <w:p w:rsidR="0070512F" w:rsidRPr="0070512F" w:rsidRDefault="0070512F" w:rsidP="00F0045E">
            <w:pPr>
              <w:pStyle w:val="SSCBodytext"/>
              <w:ind w:left="29" w:right="176"/>
            </w:pPr>
            <w:r w:rsidRPr="0070512F">
              <w:t>Launch  and commence change management and communications campaign</w:t>
            </w:r>
          </w:p>
        </w:tc>
        <w:tc>
          <w:tcPr>
            <w:tcW w:w="1842" w:type="dxa"/>
          </w:tcPr>
          <w:p w:rsidR="0070512F" w:rsidRDefault="007B73D2" w:rsidP="00597176">
            <w:pPr>
              <w:pStyle w:val="SSCBodytext"/>
            </w:pPr>
            <w:r>
              <w:t>April 2017</w:t>
            </w:r>
          </w:p>
        </w:tc>
        <w:tc>
          <w:tcPr>
            <w:tcW w:w="1808" w:type="dxa"/>
          </w:tcPr>
          <w:p w:rsidR="0070512F" w:rsidRDefault="004A2ADC" w:rsidP="00597176">
            <w:pPr>
              <w:pStyle w:val="SSCBodytext"/>
            </w:pPr>
            <w:r>
              <w:t>June 2017</w:t>
            </w:r>
          </w:p>
        </w:tc>
      </w:tr>
    </w:tbl>
    <w:p w:rsidR="00D03379" w:rsidRDefault="00D03379">
      <w:pPr>
        <w:spacing w:after="200" w:line="276" w:lineRule="auto"/>
        <w:jc w:val="left"/>
        <w:rPr>
          <w:rFonts w:eastAsiaTheme="majorEastAsia" w:cstheme="majorBidi"/>
          <w:b/>
          <w:bCs/>
          <w:color w:val="563F5C"/>
          <w:sz w:val="32"/>
          <w:szCs w:val="32"/>
        </w:rPr>
      </w:pPr>
      <w:r>
        <w:rPr>
          <w:color w:val="563F5C"/>
          <w:sz w:val="32"/>
          <w:szCs w:val="32"/>
        </w:rPr>
        <w:br w:type="page"/>
      </w:r>
    </w:p>
    <w:p w:rsidR="00D06441" w:rsidRDefault="00F543E6" w:rsidP="00C237C1">
      <w:pPr>
        <w:pStyle w:val="Heading1"/>
        <w:ind w:left="426" w:right="679"/>
        <w:rPr>
          <w:color w:val="563F5C"/>
          <w:sz w:val="32"/>
          <w:szCs w:val="32"/>
        </w:rPr>
      </w:pPr>
      <w:bookmarkStart w:id="31" w:name="_Toc465411834"/>
      <w:r>
        <w:rPr>
          <w:color w:val="563F5C"/>
          <w:sz w:val="32"/>
          <w:szCs w:val="32"/>
        </w:rPr>
        <w:t xml:space="preserve">Appendix </w:t>
      </w:r>
      <w:r w:rsidR="00DE3106">
        <w:rPr>
          <w:color w:val="563F5C"/>
          <w:sz w:val="32"/>
          <w:szCs w:val="32"/>
        </w:rPr>
        <w:t>A</w:t>
      </w:r>
      <w:r>
        <w:rPr>
          <w:color w:val="563F5C"/>
          <w:sz w:val="32"/>
          <w:szCs w:val="32"/>
        </w:rPr>
        <w:t xml:space="preserve"> – Plan development</w:t>
      </w:r>
      <w:r w:rsidR="00DE3106">
        <w:rPr>
          <w:color w:val="563F5C"/>
          <w:sz w:val="32"/>
          <w:szCs w:val="32"/>
        </w:rPr>
        <w:t xml:space="preserve"> and engagement</w:t>
      </w:r>
      <w:bookmarkEnd w:id="31"/>
    </w:p>
    <w:p w:rsidR="00F543E6" w:rsidRDefault="00F543E6" w:rsidP="00C237C1">
      <w:pPr>
        <w:pStyle w:val="SSCBodytext"/>
        <w:ind w:left="426" w:right="679"/>
        <w:rPr>
          <w:i/>
          <w:color w:val="563F5C"/>
          <w:sz w:val="28"/>
          <w:szCs w:val="28"/>
        </w:rPr>
      </w:pPr>
      <w:r w:rsidRPr="00F543E6">
        <w:rPr>
          <w:i/>
          <w:color w:val="563F5C"/>
          <w:sz w:val="28"/>
          <w:szCs w:val="28"/>
        </w:rPr>
        <w:t xml:space="preserve">He waka eke </w:t>
      </w:r>
      <w:proofErr w:type="spellStart"/>
      <w:r w:rsidRPr="00F543E6">
        <w:rPr>
          <w:i/>
          <w:color w:val="563F5C"/>
          <w:sz w:val="28"/>
          <w:szCs w:val="28"/>
        </w:rPr>
        <w:t>noa</w:t>
      </w:r>
      <w:proofErr w:type="spellEnd"/>
    </w:p>
    <w:p w:rsidR="00F543E6" w:rsidRDefault="00F543E6" w:rsidP="00C237C1">
      <w:pPr>
        <w:pStyle w:val="SSCBodytext"/>
        <w:ind w:left="426" w:right="679"/>
        <w:rPr>
          <w:color w:val="563F5C"/>
          <w:sz w:val="28"/>
          <w:szCs w:val="28"/>
        </w:rPr>
      </w:pPr>
      <w:r>
        <w:rPr>
          <w:color w:val="563F5C"/>
          <w:sz w:val="28"/>
          <w:szCs w:val="28"/>
        </w:rPr>
        <w:t>A canoe we are all in, with no exception</w:t>
      </w:r>
    </w:p>
    <w:p w:rsidR="00F543E6" w:rsidRDefault="00F543E6" w:rsidP="00C237C1">
      <w:pPr>
        <w:pStyle w:val="SSCBodytext"/>
        <w:ind w:left="426" w:right="679"/>
        <w:rPr>
          <w:szCs w:val="22"/>
        </w:rPr>
      </w:pPr>
    </w:p>
    <w:p w:rsidR="00F543E6" w:rsidRDefault="007B7145" w:rsidP="00C237C1">
      <w:pPr>
        <w:pStyle w:val="SSCBodytext"/>
        <w:ind w:left="426" w:right="679"/>
        <w:jc w:val="left"/>
        <w:rPr>
          <w:szCs w:val="22"/>
        </w:rPr>
      </w:pPr>
      <w:r>
        <w:rPr>
          <w:szCs w:val="22"/>
        </w:rPr>
        <w:t>Being part of the</w:t>
      </w:r>
      <w:r w:rsidR="00F543E6" w:rsidRPr="00F543E6">
        <w:rPr>
          <w:szCs w:val="22"/>
        </w:rPr>
        <w:t xml:space="preserve"> Open Government Partnership is </w:t>
      </w:r>
      <w:r>
        <w:rPr>
          <w:szCs w:val="22"/>
        </w:rPr>
        <w:t>to recognise that government and citizens</w:t>
      </w:r>
      <w:r w:rsidR="00264FDF">
        <w:rPr>
          <w:szCs w:val="22"/>
        </w:rPr>
        <w:t xml:space="preserve"> </w:t>
      </w:r>
      <w:r w:rsidR="00F369B3">
        <w:rPr>
          <w:szCs w:val="22"/>
        </w:rPr>
        <w:t xml:space="preserve">are </w:t>
      </w:r>
      <w:r w:rsidR="00264FDF">
        <w:rPr>
          <w:szCs w:val="22"/>
        </w:rPr>
        <w:t xml:space="preserve">all </w:t>
      </w:r>
      <w:r w:rsidR="00F369B3">
        <w:rPr>
          <w:szCs w:val="22"/>
        </w:rPr>
        <w:t xml:space="preserve">in the same </w:t>
      </w:r>
      <w:r w:rsidR="00F369B3" w:rsidRPr="00872A21">
        <w:rPr>
          <w:i/>
          <w:szCs w:val="22"/>
        </w:rPr>
        <w:t>waka</w:t>
      </w:r>
      <w:r w:rsidR="00872A21">
        <w:rPr>
          <w:szCs w:val="22"/>
        </w:rPr>
        <w:t xml:space="preserve"> – the M</w:t>
      </w:r>
      <w:r w:rsidR="00872A21">
        <w:rPr>
          <w:rFonts w:cs="Arial"/>
          <w:szCs w:val="22"/>
        </w:rPr>
        <w:t>ā</w:t>
      </w:r>
      <w:r w:rsidR="00872A21">
        <w:rPr>
          <w:szCs w:val="22"/>
        </w:rPr>
        <w:t>ori term for canoe</w:t>
      </w:r>
      <w:r w:rsidR="00F369B3">
        <w:rPr>
          <w:szCs w:val="22"/>
        </w:rPr>
        <w:t>.</w:t>
      </w:r>
    </w:p>
    <w:p w:rsidR="00F543E6" w:rsidRDefault="00F543E6" w:rsidP="00C237C1">
      <w:pPr>
        <w:pStyle w:val="SSCBodytext"/>
        <w:ind w:left="426" w:right="679"/>
        <w:rPr>
          <w:szCs w:val="22"/>
        </w:rPr>
      </w:pPr>
    </w:p>
    <w:p w:rsidR="00F369B3" w:rsidRPr="00F369B3" w:rsidRDefault="00F543E6" w:rsidP="00C237C1">
      <w:pPr>
        <w:pStyle w:val="SSCBodytext"/>
        <w:ind w:left="426" w:right="679"/>
        <w:jc w:val="left"/>
        <w:rPr>
          <w:szCs w:val="22"/>
        </w:rPr>
      </w:pPr>
      <w:r w:rsidRPr="00F543E6">
        <w:rPr>
          <w:szCs w:val="22"/>
        </w:rPr>
        <w:t xml:space="preserve">The engagement approach developed for </w:t>
      </w:r>
      <w:r w:rsidRPr="00F543E6">
        <w:rPr>
          <w:i/>
          <w:szCs w:val="22"/>
        </w:rPr>
        <w:t>New Zealand’s National Action Plan: 2016-18</w:t>
      </w:r>
      <w:r w:rsidRPr="00F543E6">
        <w:rPr>
          <w:szCs w:val="22"/>
        </w:rPr>
        <w:t xml:space="preserve"> was catalysed by </w:t>
      </w:r>
      <w:r w:rsidR="00872A21">
        <w:rPr>
          <w:szCs w:val="22"/>
        </w:rPr>
        <w:t>a</w:t>
      </w:r>
      <w:r w:rsidRPr="00F543E6">
        <w:rPr>
          <w:szCs w:val="22"/>
        </w:rPr>
        <w:t xml:space="preserve"> call </w:t>
      </w:r>
      <w:r w:rsidR="00F369B3">
        <w:rPr>
          <w:szCs w:val="22"/>
        </w:rPr>
        <w:t>for a more inclusive approach by civil society,</w:t>
      </w:r>
      <w:r w:rsidRPr="00F543E6">
        <w:rPr>
          <w:szCs w:val="22"/>
        </w:rPr>
        <w:t xml:space="preserve"> </w:t>
      </w:r>
      <w:r w:rsidR="00F369B3">
        <w:rPr>
          <w:szCs w:val="22"/>
        </w:rPr>
        <w:t>reinforced through</w:t>
      </w:r>
      <w:r w:rsidRPr="00F543E6">
        <w:rPr>
          <w:szCs w:val="22"/>
        </w:rPr>
        <w:t xml:space="preserve"> the </w:t>
      </w:r>
      <w:r w:rsidR="00BF6DC5">
        <w:rPr>
          <w:szCs w:val="22"/>
        </w:rPr>
        <w:t>Independent</w:t>
      </w:r>
      <w:r w:rsidRPr="00F543E6">
        <w:rPr>
          <w:szCs w:val="22"/>
        </w:rPr>
        <w:t xml:space="preserve"> Review Mechanism.</w:t>
      </w:r>
      <w:r w:rsidR="00F369B3">
        <w:rPr>
          <w:szCs w:val="22"/>
        </w:rPr>
        <w:t xml:space="preserve"> </w:t>
      </w:r>
      <w:r w:rsidR="00F369B3" w:rsidRPr="00F369B3">
        <w:rPr>
          <w:szCs w:val="22"/>
        </w:rPr>
        <w:t>There was a desire to increase the s</w:t>
      </w:r>
      <w:r w:rsidR="00F369B3">
        <w:rPr>
          <w:szCs w:val="22"/>
        </w:rPr>
        <w:t xml:space="preserve">cope and span of engagement </w:t>
      </w:r>
      <w:r w:rsidR="00F369B3" w:rsidRPr="00F369B3">
        <w:rPr>
          <w:szCs w:val="22"/>
        </w:rPr>
        <w:t>in three key areas</w:t>
      </w:r>
      <w:r w:rsidR="006C6F95">
        <w:rPr>
          <w:szCs w:val="22"/>
        </w:rPr>
        <w:t xml:space="preserve"> to</w:t>
      </w:r>
      <w:r w:rsidR="00F369B3" w:rsidRPr="00F369B3">
        <w:rPr>
          <w:szCs w:val="22"/>
        </w:rPr>
        <w:t>:</w:t>
      </w:r>
    </w:p>
    <w:p w:rsidR="00F369B3" w:rsidRPr="00F369B3" w:rsidRDefault="00F369B3" w:rsidP="00982D51">
      <w:pPr>
        <w:pStyle w:val="SSCBodytext"/>
        <w:numPr>
          <w:ilvl w:val="0"/>
          <w:numId w:val="19"/>
        </w:numPr>
        <w:spacing w:before="120" w:after="120"/>
        <w:ind w:right="680"/>
      </w:pPr>
      <w:r w:rsidRPr="00F369B3">
        <w:t>broaden engagement, so more civil society voices could be heard</w:t>
      </w:r>
    </w:p>
    <w:p w:rsidR="00F369B3" w:rsidRPr="00F369B3" w:rsidRDefault="00F369B3" w:rsidP="00982D51">
      <w:pPr>
        <w:pStyle w:val="SSCBodytext"/>
        <w:numPr>
          <w:ilvl w:val="0"/>
          <w:numId w:val="19"/>
        </w:numPr>
        <w:spacing w:before="120" w:after="120"/>
        <w:ind w:right="680"/>
      </w:pPr>
      <w:r w:rsidRPr="00F369B3">
        <w:t>partner with civil society more effectively, so new c</w:t>
      </w:r>
      <w:r w:rsidR="00872A21">
        <w:t>ommitments could be designed together</w:t>
      </w:r>
    </w:p>
    <w:p w:rsidR="00F369B3" w:rsidRPr="00F369B3" w:rsidRDefault="00F369B3" w:rsidP="00982D51">
      <w:pPr>
        <w:pStyle w:val="SSCBodytext"/>
        <w:numPr>
          <w:ilvl w:val="0"/>
          <w:numId w:val="19"/>
        </w:numPr>
        <w:spacing w:before="120" w:after="120"/>
        <w:ind w:right="680"/>
      </w:pPr>
      <w:proofErr w:type="gramStart"/>
      <w:r w:rsidRPr="00F369B3">
        <w:t>dedicate</w:t>
      </w:r>
      <w:proofErr w:type="gramEnd"/>
      <w:r w:rsidRPr="00F369B3">
        <w:t xml:space="preserve"> more time to consultation.</w:t>
      </w:r>
    </w:p>
    <w:p w:rsidR="00F369B3" w:rsidRPr="00F369B3" w:rsidRDefault="00F369B3" w:rsidP="00C237C1">
      <w:pPr>
        <w:pStyle w:val="SSCBodytext"/>
        <w:ind w:left="426" w:right="679"/>
        <w:jc w:val="left"/>
      </w:pPr>
      <w:r w:rsidRPr="00F369B3">
        <w:t>The engagement that facilitated this plan represents a</w:t>
      </w:r>
      <w:r>
        <w:t>n</w:t>
      </w:r>
      <w:r w:rsidRPr="00F369B3">
        <w:t xml:space="preserve"> </w:t>
      </w:r>
      <w:r>
        <w:t>increase in the scope of consultation and the partnership used to develop</w:t>
      </w:r>
      <w:r w:rsidRPr="00F369B3">
        <w:t xml:space="preserve"> commitment</w:t>
      </w:r>
      <w:r>
        <w:t>s</w:t>
      </w:r>
      <w:r w:rsidRPr="00F369B3">
        <w:t>. However</w:t>
      </w:r>
      <w:r w:rsidR="00872A21">
        <w:t>,</w:t>
      </w:r>
      <w:r w:rsidRPr="00F369B3">
        <w:t xml:space="preserve"> we acknowledge that this plan would have benefitted from more time, specifically</w:t>
      </w:r>
      <w:r w:rsidR="006C6F95">
        <w:t xml:space="preserve"> to</w:t>
      </w:r>
      <w:r w:rsidRPr="00F369B3">
        <w:t>:</w:t>
      </w:r>
    </w:p>
    <w:p w:rsidR="00F369B3" w:rsidRPr="00F369B3" w:rsidRDefault="00F369B3" w:rsidP="00982D51">
      <w:pPr>
        <w:pStyle w:val="SSCBodytext"/>
        <w:numPr>
          <w:ilvl w:val="0"/>
          <w:numId w:val="20"/>
        </w:numPr>
        <w:spacing w:before="120" w:after="120"/>
        <w:ind w:left="1134" w:right="680"/>
      </w:pPr>
      <w:r w:rsidRPr="00F369B3">
        <w:t xml:space="preserve">enable wider awareness-building activities – encouraging greater involvement </w:t>
      </w:r>
    </w:p>
    <w:p w:rsidR="00F369B3" w:rsidRPr="00F369B3" w:rsidRDefault="00F369B3" w:rsidP="00982D51">
      <w:pPr>
        <w:pStyle w:val="SSCBodytext"/>
        <w:numPr>
          <w:ilvl w:val="0"/>
          <w:numId w:val="20"/>
        </w:numPr>
        <w:spacing w:before="120" w:after="120"/>
        <w:ind w:left="1134" w:right="680"/>
      </w:pPr>
      <w:r w:rsidRPr="00F369B3">
        <w:t>leverage compl</w:t>
      </w:r>
      <w:r w:rsidR="006C6F95">
        <w:t>e</w:t>
      </w:r>
      <w:r w:rsidRPr="00F369B3">
        <w:t>mentary events</w:t>
      </w:r>
      <w:r w:rsidR="006C6F95">
        <w:t>,</w:t>
      </w:r>
      <w:r w:rsidRPr="00F369B3">
        <w:t xml:space="preserve"> like conferences and community meetings</w:t>
      </w:r>
      <w:r w:rsidR="00BF6DC5">
        <w:t xml:space="preserve"> </w:t>
      </w:r>
    </w:p>
    <w:p w:rsidR="00F369B3" w:rsidRPr="00F369B3" w:rsidRDefault="00872A21" w:rsidP="00982D51">
      <w:pPr>
        <w:pStyle w:val="SSCBodytext"/>
        <w:numPr>
          <w:ilvl w:val="0"/>
          <w:numId w:val="20"/>
        </w:numPr>
        <w:spacing w:before="120" w:after="120"/>
        <w:ind w:left="1134" w:right="680"/>
      </w:pPr>
      <w:proofErr w:type="gramStart"/>
      <w:r>
        <w:t>allow</w:t>
      </w:r>
      <w:proofErr w:type="gramEnd"/>
      <w:r w:rsidRPr="00F369B3">
        <w:t xml:space="preserve"> </w:t>
      </w:r>
      <w:r w:rsidR="00F369B3" w:rsidRPr="00F369B3">
        <w:t>more time for comment from</w:t>
      </w:r>
      <w:r w:rsidR="00F369B3">
        <w:t>,</w:t>
      </w:r>
      <w:r w:rsidR="00F369B3" w:rsidRPr="00F369B3">
        <w:t xml:space="preserve"> and commitment-building with</w:t>
      </w:r>
      <w:r w:rsidR="006C6F95">
        <w:t>,</w:t>
      </w:r>
      <w:r w:rsidR="00F369B3" w:rsidRPr="00F369B3">
        <w:t xml:space="preserve"> </w:t>
      </w:r>
      <w:r>
        <w:t xml:space="preserve">New Zealand </w:t>
      </w:r>
      <w:r w:rsidR="002434BC">
        <w:t>communiti</w:t>
      </w:r>
      <w:r>
        <w:t>es</w:t>
      </w:r>
      <w:r w:rsidR="00F369B3" w:rsidRPr="00F369B3">
        <w:t>.</w:t>
      </w:r>
    </w:p>
    <w:p w:rsidR="00F369B3" w:rsidRPr="00F369B3" w:rsidRDefault="00F369B3" w:rsidP="00C237C1">
      <w:pPr>
        <w:pStyle w:val="SSCBodytext"/>
        <w:ind w:left="426" w:right="679"/>
      </w:pPr>
    </w:p>
    <w:p w:rsidR="00F369B3" w:rsidRDefault="00F369B3" w:rsidP="00C237C1">
      <w:pPr>
        <w:pStyle w:val="SSCBodytext"/>
        <w:ind w:left="426" w:right="679"/>
        <w:jc w:val="left"/>
      </w:pPr>
      <w:r w:rsidRPr="00F369B3">
        <w:t>Given the short timeframe</w:t>
      </w:r>
      <w:r w:rsidR="006C6F95">
        <w:t>,</w:t>
      </w:r>
      <w:r w:rsidRPr="00F369B3">
        <w:t xml:space="preserve"> </w:t>
      </w:r>
      <w:r w:rsidR="00872A21">
        <w:t xml:space="preserve">we are especially grateful to our partners in </w:t>
      </w:r>
      <w:r w:rsidRPr="00F369B3">
        <w:t xml:space="preserve">civil society and government </w:t>
      </w:r>
      <w:r w:rsidR="00872A21">
        <w:t>who were able to</w:t>
      </w:r>
      <w:r w:rsidR="00872A21" w:rsidRPr="00F369B3">
        <w:t xml:space="preserve"> </w:t>
      </w:r>
      <w:r w:rsidRPr="00F369B3">
        <w:t>engage, at pace, in the complexities of designing commitments</w:t>
      </w:r>
      <w:r w:rsidR="006C6F95">
        <w:t>,</w:t>
      </w:r>
      <w:r w:rsidRPr="00F369B3">
        <w:t xml:space="preserve"> which will further enhance the openness of government in New Zealand.</w:t>
      </w:r>
    </w:p>
    <w:p w:rsidR="00F369B3" w:rsidRPr="00F369B3" w:rsidRDefault="00F369B3" w:rsidP="00C237C1">
      <w:pPr>
        <w:pStyle w:val="Heading2"/>
        <w:ind w:left="426" w:right="679"/>
        <w:rPr>
          <w:rFonts w:eastAsiaTheme="minorHAnsi" w:cstheme="minorBidi"/>
          <w:b w:val="0"/>
          <w:bCs w:val="0"/>
          <w:i w:val="0"/>
          <w:color w:val="563F5C"/>
          <w:sz w:val="28"/>
          <w:szCs w:val="28"/>
        </w:rPr>
      </w:pPr>
      <w:bookmarkStart w:id="32" w:name="_Toc464037108"/>
      <w:bookmarkStart w:id="33" w:name="_Toc464037348"/>
      <w:bookmarkStart w:id="34" w:name="_Toc465253361"/>
      <w:bookmarkStart w:id="35" w:name="_Toc465411675"/>
      <w:bookmarkStart w:id="36" w:name="_Toc465411835"/>
      <w:r w:rsidRPr="00F369B3">
        <w:rPr>
          <w:rFonts w:eastAsiaTheme="minorHAnsi" w:cstheme="minorBidi"/>
          <w:b w:val="0"/>
          <w:bCs w:val="0"/>
          <w:i w:val="0"/>
          <w:color w:val="563F5C"/>
          <w:sz w:val="28"/>
          <w:szCs w:val="28"/>
        </w:rPr>
        <w:t>Developing this plan</w:t>
      </w:r>
      <w:bookmarkEnd w:id="32"/>
      <w:bookmarkEnd w:id="33"/>
      <w:bookmarkEnd w:id="34"/>
      <w:bookmarkEnd w:id="35"/>
      <w:bookmarkEnd w:id="36"/>
    </w:p>
    <w:p w:rsidR="00F369B3" w:rsidRPr="00F369B3" w:rsidRDefault="00F369B3" w:rsidP="00C237C1">
      <w:pPr>
        <w:pStyle w:val="Heading2"/>
        <w:ind w:left="426" w:right="679"/>
        <w:rPr>
          <w:rFonts w:eastAsiaTheme="minorHAnsi" w:cstheme="minorBidi"/>
          <w:b w:val="0"/>
          <w:bCs w:val="0"/>
          <w:color w:val="563F5C"/>
          <w:sz w:val="26"/>
        </w:rPr>
      </w:pPr>
      <w:bookmarkStart w:id="37" w:name="_Toc464037109"/>
      <w:bookmarkStart w:id="38" w:name="_Toc464037349"/>
      <w:bookmarkStart w:id="39" w:name="_Toc465253362"/>
      <w:bookmarkStart w:id="40" w:name="_Toc465411676"/>
      <w:bookmarkStart w:id="41" w:name="_Toc465411836"/>
      <w:r w:rsidRPr="00F369B3">
        <w:rPr>
          <w:rFonts w:eastAsiaTheme="minorHAnsi" w:cstheme="minorBidi"/>
          <w:b w:val="0"/>
          <w:bCs w:val="0"/>
          <w:color w:val="563F5C"/>
          <w:sz w:val="26"/>
        </w:rPr>
        <w:t>Schedule and submissions</w:t>
      </w:r>
      <w:bookmarkEnd w:id="37"/>
      <w:bookmarkEnd w:id="38"/>
      <w:bookmarkEnd w:id="39"/>
      <w:bookmarkEnd w:id="40"/>
      <w:bookmarkEnd w:id="41"/>
    </w:p>
    <w:p w:rsidR="00F369B3" w:rsidRPr="00F369B3" w:rsidRDefault="00F369B3" w:rsidP="00C237C1">
      <w:pPr>
        <w:pStyle w:val="SSCBodytext"/>
        <w:ind w:left="426" w:right="679"/>
        <w:jc w:val="left"/>
      </w:pPr>
      <w:r w:rsidRPr="00F369B3">
        <w:t>The change in publishing date of New Zealand’s action plan, from June t</w:t>
      </w:r>
      <w:r w:rsidR="006C6F95">
        <w:t>o</w:t>
      </w:r>
      <w:r w:rsidRPr="00F369B3">
        <w:t xml:space="preserve"> October, was posted on </w:t>
      </w:r>
      <w:r w:rsidR="00872A21">
        <w:t>SSC</w:t>
      </w:r>
      <w:r w:rsidR="000E4509">
        <w:t>’s</w:t>
      </w:r>
      <w:r w:rsidRPr="00F369B3">
        <w:t xml:space="preserve"> website in April 2016. It invited comment and four submissions were received</w:t>
      </w:r>
      <w:r w:rsidR="00872A21">
        <w:t>. The responses covered these topics</w:t>
      </w:r>
      <w:r w:rsidR="006C6F95">
        <w:t>:</w:t>
      </w:r>
    </w:p>
    <w:p w:rsidR="00F369B3" w:rsidRPr="00F369B3" w:rsidRDefault="006C6F95" w:rsidP="00982D51">
      <w:pPr>
        <w:pStyle w:val="SSCBodytext"/>
        <w:numPr>
          <w:ilvl w:val="0"/>
          <w:numId w:val="12"/>
        </w:numPr>
        <w:spacing w:before="120" w:after="120"/>
        <w:ind w:left="1134" w:right="680" w:hanging="357"/>
      </w:pPr>
      <w:r>
        <w:t>t</w:t>
      </w:r>
      <w:r w:rsidR="00F369B3" w:rsidRPr="00F369B3">
        <w:t xml:space="preserve">wo expressed concern in the delay and criticised the approach taken to engagement in our previous action plan, with one suggesting </w:t>
      </w:r>
      <w:r w:rsidR="0018103A">
        <w:t xml:space="preserve">that </w:t>
      </w:r>
      <w:r w:rsidR="00F369B3" w:rsidRPr="00F369B3">
        <w:t>an online wiki</w:t>
      </w:r>
      <w:r>
        <w:t xml:space="preserve"> </w:t>
      </w:r>
      <w:r w:rsidR="00F369B3" w:rsidRPr="00F369B3">
        <w:t>approach</w:t>
      </w:r>
      <w:r>
        <w:t>,</w:t>
      </w:r>
      <w:r w:rsidR="00F369B3" w:rsidRPr="00F369B3">
        <w:t xml:space="preserve"> supported by workshops and public meetings</w:t>
      </w:r>
      <w:r>
        <w:t>,</w:t>
      </w:r>
      <w:r w:rsidR="00F369B3" w:rsidRPr="00F369B3">
        <w:t xml:space="preserve"> would deliver better collaboration with civil society</w:t>
      </w:r>
    </w:p>
    <w:p w:rsidR="00F369B3" w:rsidRPr="00F369B3" w:rsidRDefault="006C6F95" w:rsidP="00982D51">
      <w:pPr>
        <w:pStyle w:val="SSCBodytext"/>
        <w:numPr>
          <w:ilvl w:val="0"/>
          <w:numId w:val="12"/>
        </w:numPr>
        <w:spacing w:before="120" w:after="120"/>
        <w:ind w:left="1134" w:right="680" w:hanging="357"/>
      </w:pPr>
      <w:r>
        <w:t>o</w:t>
      </w:r>
      <w:r w:rsidR="00F369B3" w:rsidRPr="00F369B3">
        <w:t xml:space="preserve">ne suggested creating a commitment around organic food and public transportation </w:t>
      </w:r>
    </w:p>
    <w:p w:rsidR="00F369B3" w:rsidRDefault="006C6F95" w:rsidP="00982D51">
      <w:pPr>
        <w:pStyle w:val="SSCBodytext"/>
        <w:numPr>
          <w:ilvl w:val="0"/>
          <w:numId w:val="12"/>
        </w:numPr>
        <w:spacing w:before="120" w:after="120"/>
        <w:ind w:left="1134" w:right="680" w:hanging="357"/>
      </w:pPr>
      <w:proofErr w:type="gramStart"/>
      <w:r>
        <w:t>o</w:t>
      </w:r>
      <w:r w:rsidR="00F369B3" w:rsidRPr="00F369B3">
        <w:t>ne</w:t>
      </w:r>
      <w:proofErr w:type="gramEnd"/>
      <w:r w:rsidR="00F369B3" w:rsidRPr="00F369B3">
        <w:t xml:space="preserve"> suggested public consultation in connection with universities and town events.</w:t>
      </w:r>
    </w:p>
    <w:p w:rsidR="00406B51" w:rsidRPr="00406B51" w:rsidRDefault="0018103A" w:rsidP="00C237C1">
      <w:pPr>
        <w:pStyle w:val="Heading2"/>
        <w:ind w:left="426" w:right="679"/>
        <w:rPr>
          <w:rFonts w:eastAsiaTheme="minorHAnsi" w:cstheme="minorBidi"/>
          <w:b w:val="0"/>
          <w:bCs w:val="0"/>
          <w:color w:val="563F5C"/>
          <w:sz w:val="26"/>
        </w:rPr>
      </w:pPr>
      <w:r>
        <w:rPr>
          <w:rFonts w:eastAsiaTheme="minorHAnsi" w:cstheme="minorBidi"/>
          <w:b w:val="0"/>
          <w:bCs w:val="0"/>
          <w:color w:val="563F5C"/>
          <w:sz w:val="26"/>
        </w:rPr>
        <w:t>Start Local conference</w:t>
      </w:r>
    </w:p>
    <w:p w:rsidR="00406B51" w:rsidRDefault="00406B51" w:rsidP="00C237C1">
      <w:pPr>
        <w:pStyle w:val="SSCBodytext"/>
        <w:ind w:left="426" w:right="679"/>
        <w:jc w:val="left"/>
      </w:pPr>
      <w:r>
        <w:t xml:space="preserve">As part of developing an engagement plan and exploring possible commitments with civil society, </w:t>
      </w:r>
      <w:r w:rsidR="000E4509">
        <w:t>SSC</w:t>
      </w:r>
      <w:r>
        <w:t xml:space="preserve"> developed a workshop as part of the </w:t>
      </w:r>
      <w:r w:rsidR="007C6979" w:rsidRPr="0018103A">
        <w:rPr>
          <w:i/>
        </w:rPr>
        <w:t>Start Local. Let it happen, m</w:t>
      </w:r>
      <w:r w:rsidR="0034001B" w:rsidRPr="0018103A">
        <w:rPr>
          <w:i/>
        </w:rPr>
        <w:t>ake i</w:t>
      </w:r>
      <w:r w:rsidR="007C6979" w:rsidRPr="0018103A">
        <w:rPr>
          <w:i/>
        </w:rPr>
        <w:t xml:space="preserve">t </w:t>
      </w:r>
      <w:r w:rsidR="0034001B" w:rsidRPr="0018103A">
        <w:rPr>
          <w:i/>
        </w:rPr>
        <w:t>w</w:t>
      </w:r>
      <w:r w:rsidR="007C6979" w:rsidRPr="0018103A">
        <w:rPr>
          <w:i/>
        </w:rPr>
        <w:t>ork</w:t>
      </w:r>
      <w:r w:rsidR="007C6979">
        <w:t xml:space="preserve"> conference </w:t>
      </w:r>
      <w:r>
        <w:t xml:space="preserve">in June 2016. </w:t>
      </w:r>
      <w:r w:rsidR="0034001B">
        <w:t xml:space="preserve">The conference was sponsored by Inspiring Communities, Victoria University’s Institute for Governance and Policy Studies, and Local Government New Zealand. </w:t>
      </w:r>
      <w:r>
        <w:t>Four key themes were discussed between government and civil society:</w:t>
      </w:r>
    </w:p>
    <w:p w:rsidR="00406B51" w:rsidRDefault="00BF6DC5" w:rsidP="00982D51">
      <w:pPr>
        <w:pStyle w:val="SSCBodytext"/>
        <w:numPr>
          <w:ilvl w:val="0"/>
          <w:numId w:val="10"/>
        </w:numPr>
        <w:spacing w:before="120" w:after="120"/>
        <w:ind w:left="993" w:right="680" w:hanging="357"/>
      </w:pPr>
      <w:r>
        <w:t>t</w:t>
      </w:r>
      <w:r w:rsidR="00406B51">
        <w:t>h</w:t>
      </w:r>
      <w:r w:rsidR="00AB5C6E">
        <w:t xml:space="preserve">e need </w:t>
      </w:r>
      <w:r w:rsidR="00872A21">
        <w:t>to strengthen</w:t>
      </w:r>
      <w:r w:rsidR="00AB5C6E">
        <w:t xml:space="preserve"> relationships,</w:t>
      </w:r>
      <w:r w:rsidR="00406B51">
        <w:t xml:space="preserve"> communication</w:t>
      </w:r>
      <w:r w:rsidR="00994E68">
        <w:t>,</w:t>
      </w:r>
      <w:r w:rsidR="00406B51">
        <w:t xml:space="preserve"> and accountability between gove</w:t>
      </w:r>
      <w:r w:rsidR="00AB5C6E">
        <w:t>rnment (central and local), iwi</w:t>
      </w:r>
      <w:r>
        <w:t xml:space="preserve"> and civil society</w:t>
      </w:r>
    </w:p>
    <w:p w:rsidR="00406B51" w:rsidRDefault="00BF6DC5" w:rsidP="00982D51">
      <w:pPr>
        <w:pStyle w:val="SSCBodytext"/>
        <w:numPr>
          <w:ilvl w:val="0"/>
          <w:numId w:val="10"/>
        </w:numPr>
        <w:spacing w:before="120" w:after="120"/>
        <w:ind w:left="993" w:right="680" w:hanging="357"/>
      </w:pPr>
      <w:r>
        <w:t>f</w:t>
      </w:r>
      <w:r w:rsidR="00406B51">
        <w:t>or the national action plan to emphasise outcomes</w:t>
      </w:r>
      <w:r w:rsidR="00872A21">
        <w:t>,</w:t>
      </w:r>
      <w:r>
        <w:t xml:space="preserve"> not outputs</w:t>
      </w:r>
    </w:p>
    <w:p w:rsidR="00406B51" w:rsidRDefault="00BF6DC5" w:rsidP="00982D51">
      <w:pPr>
        <w:pStyle w:val="SSCBodytext"/>
        <w:numPr>
          <w:ilvl w:val="0"/>
          <w:numId w:val="10"/>
        </w:numPr>
        <w:spacing w:before="120" w:after="120"/>
        <w:ind w:left="993" w:right="680" w:hanging="357"/>
      </w:pPr>
      <w:r>
        <w:t>t</w:t>
      </w:r>
      <w:r w:rsidR="00406B51">
        <w:t xml:space="preserve">he need for definitions and language used in and around the action plan to </w:t>
      </w:r>
      <w:r w:rsidR="00AB5C6E">
        <w:t>encourage New Zealanders t</w:t>
      </w:r>
      <w:r w:rsidR="00406B51">
        <w:t>o play a part in</w:t>
      </w:r>
      <w:r>
        <w:t xml:space="preserve"> shaping open government</w:t>
      </w:r>
    </w:p>
    <w:p w:rsidR="00406B51" w:rsidRDefault="00BF6DC5" w:rsidP="00982D51">
      <w:pPr>
        <w:pStyle w:val="SSCBodytext"/>
        <w:numPr>
          <w:ilvl w:val="0"/>
          <w:numId w:val="10"/>
        </w:numPr>
        <w:spacing w:before="120" w:after="120"/>
        <w:ind w:left="993" w:right="680" w:hanging="357"/>
      </w:pPr>
      <w:proofErr w:type="gramStart"/>
      <w:r>
        <w:t>o</w:t>
      </w:r>
      <w:r w:rsidR="00406B51">
        <w:t>pen</w:t>
      </w:r>
      <w:proofErr w:type="gramEnd"/>
      <w:r w:rsidR="00406B51">
        <w:t xml:space="preserve"> data </w:t>
      </w:r>
      <w:r>
        <w:t xml:space="preserve">being seen as </w:t>
      </w:r>
      <w:r w:rsidR="0013181C">
        <w:t xml:space="preserve">a </w:t>
      </w:r>
      <w:r w:rsidR="00406B51">
        <w:t>critical enabler of open government, including open information</w:t>
      </w:r>
      <w:r w:rsidR="00AB5C6E">
        <w:t xml:space="preserve"> about government</w:t>
      </w:r>
      <w:r w:rsidR="00406B51">
        <w:t>.</w:t>
      </w:r>
    </w:p>
    <w:p w:rsidR="00F369B3" w:rsidRPr="00F369B3" w:rsidRDefault="00F369B3" w:rsidP="00C237C1">
      <w:pPr>
        <w:pStyle w:val="Heading2"/>
        <w:ind w:left="426" w:right="679"/>
        <w:rPr>
          <w:rFonts w:eastAsiaTheme="minorHAnsi" w:cstheme="minorBidi"/>
          <w:b w:val="0"/>
          <w:bCs w:val="0"/>
          <w:color w:val="563F5C"/>
          <w:szCs w:val="28"/>
        </w:rPr>
      </w:pPr>
      <w:bookmarkStart w:id="42" w:name="_Toc464037111"/>
      <w:bookmarkStart w:id="43" w:name="_Toc464037351"/>
      <w:bookmarkStart w:id="44" w:name="_Toc465253364"/>
      <w:bookmarkStart w:id="45" w:name="_Toc465411678"/>
      <w:bookmarkStart w:id="46" w:name="_Toc465411838"/>
      <w:r w:rsidRPr="00F369B3">
        <w:rPr>
          <w:rFonts w:eastAsiaTheme="minorHAnsi" w:cstheme="minorBidi"/>
          <w:b w:val="0"/>
          <w:bCs w:val="0"/>
          <w:color w:val="563F5C"/>
          <w:szCs w:val="28"/>
        </w:rPr>
        <w:t xml:space="preserve">Independent </w:t>
      </w:r>
      <w:r w:rsidRPr="00F369B3">
        <w:rPr>
          <w:rFonts w:eastAsiaTheme="minorHAnsi" w:cstheme="minorBidi"/>
          <w:b w:val="0"/>
          <w:bCs w:val="0"/>
          <w:color w:val="563F5C"/>
          <w:sz w:val="26"/>
        </w:rPr>
        <w:t>facilitators</w:t>
      </w:r>
      <w:bookmarkEnd w:id="42"/>
      <w:bookmarkEnd w:id="43"/>
      <w:bookmarkEnd w:id="44"/>
      <w:bookmarkEnd w:id="45"/>
      <w:bookmarkEnd w:id="46"/>
    </w:p>
    <w:p w:rsidR="00F369B3" w:rsidRDefault="00F369B3" w:rsidP="00C237C1">
      <w:pPr>
        <w:pStyle w:val="SSCBodytext"/>
        <w:ind w:left="426" w:right="679"/>
        <w:jc w:val="left"/>
      </w:pPr>
      <w:r>
        <w:t xml:space="preserve">In July 2016 </w:t>
      </w:r>
      <w:r w:rsidR="000E4509">
        <w:t>SSC</w:t>
      </w:r>
      <w:r>
        <w:t xml:space="preserve"> commissioned engage2 to raise awareness about the OGP and </w:t>
      </w:r>
      <w:r w:rsidR="006C6F95">
        <w:t xml:space="preserve">to </w:t>
      </w:r>
      <w:r>
        <w:t>invite New Zealanders to participate in the development of the national action plan.</w:t>
      </w:r>
    </w:p>
    <w:p w:rsidR="00F369B3" w:rsidRDefault="00F369B3" w:rsidP="00C237C1">
      <w:pPr>
        <w:pStyle w:val="SSCBodytext"/>
        <w:ind w:left="426" w:right="679"/>
      </w:pPr>
    </w:p>
    <w:p w:rsidR="00F369B3" w:rsidRDefault="00872A21" w:rsidP="00C237C1">
      <w:pPr>
        <w:pStyle w:val="SSCBodytext"/>
        <w:ind w:left="426" w:right="679"/>
        <w:jc w:val="left"/>
      </w:pPr>
      <w:r>
        <w:t>E</w:t>
      </w:r>
      <w:r w:rsidR="00F369B3">
        <w:t xml:space="preserve">ngage2 designed an engagement </w:t>
      </w:r>
      <w:r>
        <w:t xml:space="preserve">programme </w:t>
      </w:r>
      <w:r w:rsidR="00F369B3">
        <w:t xml:space="preserve">to encourage people to comment on the proposed background and vision sections of the draft action plan, to suggest actions and to work with government officials to </w:t>
      </w:r>
      <w:r>
        <w:t>jointly draft</w:t>
      </w:r>
      <w:r w:rsidR="00F369B3">
        <w:t xml:space="preserve"> recommendations for government to consider for inclusion.</w:t>
      </w:r>
    </w:p>
    <w:p w:rsidR="00D03379" w:rsidRDefault="00D03379" w:rsidP="00C237C1">
      <w:pPr>
        <w:pStyle w:val="SSCBodytext"/>
        <w:ind w:left="426" w:right="679"/>
        <w:jc w:val="left"/>
      </w:pPr>
      <w:r>
        <w:rPr>
          <w:noProof/>
          <w:lang w:eastAsia="en-NZ"/>
        </w:rPr>
        <w:drawing>
          <wp:anchor distT="0" distB="0" distL="114300" distR="114300" simplePos="0" relativeHeight="251660288" behindDoc="0" locked="0" layoutInCell="1" allowOverlap="1" wp14:anchorId="7A021903" wp14:editId="3D867B68">
            <wp:simplePos x="0" y="0"/>
            <wp:positionH relativeFrom="column">
              <wp:posOffset>37630</wp:posOffset>
            </wp:positionH>
            <wp:positionV relativeFrom="paragraph">
              <wp:posOffset>120733</wp:posOffset>
            </wp:positionV>
            <wp:extent cx="5676265" cy="397137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extLst>
                        <a:ext uri="{28A0092B-C50C-407E-A947-70E740481C1C}">
                          <a14:useLocalDpi xmlns:a14="http://schemas.microsoft.com/office/drawing/2010/main" val="0"/>
                        </a:ext>
                      </a:extLst>
                    </a:blip>
                    <a:srcRect l="1143" t="3185" r="1522"/>
                    <a:stretch/>
                  </pic:blipFill>
                  <pic:spPr bwMode="auto">
                    <a:xfrm>
                      <a:off x="0" y="0"/>
                      <a:ext cx="5676265" cy="3971370"/>
                    </a:xfrm>
                    <a:prstGeom prst="rect">
                      <a:avLst/>
                    </a:prstGeom>
                    <a:ln>
                      <a:noFill/>
                    </a:ln>
                    <a:extLst>
                      <a:ext uri="{53640926-AAD7-44D8-BBD7-CCE9431645EC}">
                        <a14:shadowObscured xmlns:a14="http://schemas.microsoft.com/office/drawing/2010/main"/>
                      </a:ext>
                    </a:extLst>
                  </pic:spPr>
                </pic:pic>
              </a:graphicData>
            </a:graphic>
          </wp:anchor>
        </w:drawing>
      </w:r>
    </w:p>
    <w:p w:rsidR="00D03379" w:rsidRDefault="00D03379" w:rsidP="00C237C1">
      <w:pPr>
        <w:pStyle w:val="SSCBodytext"/>
        <w:ind w:left="426" w:right="679"/>
        <w:jc w:val="left"/>
      </w:pPr>
    </w:p>
    <w:p w:rsidR="00D03379" w:rsidRDefault="00D03379" w:rsidP="00C237C1">
      <w:pPr>
        <w:pStyle w:val="SSCBodytext"/>
        <w:ind w:left="426" w:right="679"/>
        <w:jc w:val="left"/>
      </w:pPr>
    </w:p>
    <w:p w:rsidR="00D03379" w:rsidRDefault="00D03379" w:rsidP="00C237C1">
      <w:pPr>
        <w:pStyle w:val="SSCBodytext"/>
        <w:ind w:left="426" w:right="679"/>
        <w:jc w:val="left"/>
      </w:pPr>
    </w:p>
    <w:p w:rsidR="00D03379" w:rsidRDefault="00D03379" w:rsidP="00C237C1">
      <w:pPr>
        <w:pStyle w:val="SSCBodytext"/>
        <w:ind w:left="426" w:right="679"/>
        <w:jc w:val="left"/>
      </w:pPr>
    </w:p>
    <w:p w:rsidR="00D03379" w:rsidRDefault="00D03379" w:rsidP="00C237C1">
      <w:pPr>
        <w:pStyle w:val="SSCBodytext"/>
        <w:ind w:left="426" w:right="679"/>
        <w:jc w:val="left"/>
      </w:pPr>
    </w:p>
    <w:p w:rsidR="00D03379" w:rsidRDefault="00D03379" w:rsidP="00C237C1">
      <w:pPr>
        <w:pStyle w:val="SSCBodytext"/>
        <w:ind w:left="426" w:right="679"/>
        <w:jc w:val="left"/>
      </w:pPr>
    </w:p>
    <w:p w:rsidR="00D03379" w:rsidRDefault="00D03379" w:rsidP="00C237C1">
      <w:pPr>
        <w:pStyle w:val="SSCBodytext"/>
        <w:ind w:left="426" w:right="679"/>
        <w:jc w:val="left"/>
      </w:pPr>
    </w:p>
    <w:p w:rsidR="00D03379" w:rsidRDefault="00D03379" w:rsidP="00C237C1">
      <w:pPr>
        <w:pStyle w:val="SSCBodytext"/>
        <w:ind w:left="426" w:right="679"/>
        <w:jc w:val="left"/>
      </w:pPr>
    </w:p>
    <w:p w:rsidR="00D03379" w:rsidRDefault="00D03379" w:rsidP="00C237C1">
      <w:pPr>
        <w:pStyle w:val="SSCBodytext"/>
        <w:ind w:left="426" w:right="679"/>
        <w:jc w:val="left"/>
      </w:pPr>
    </w:p>
    <w:p w:rsidR="00D03379" w:rsidRDefault="00D03379" w:rsidP="00C237C1">
      <w:pPr>
        <w:pStyle w:val="SSCBodytext"/>
        <w:ind w:left="426" w:right="679"/>
        <w:jc w:val="left"/>
      </w:pPr>
    </w:p>
    <w:p w:rsidR="00D03379" w:rsidRDefault="00D03379" w:rsidP="00C237C1">
      <w:pPr>
        <w:pStyle w:val="SSCBodytext"/>
        <w:ind w:left="426" w:right="679"/>
        <w:jc w:val="left"/>
      </w:pPr>
    </w:p>
    <w:p w:rsidR="00D03379" w:rsidRDefault="00D03379" w:rsidP="00C237C1">
      <w:pPr>
        <w:pStyle w:val="SSCBodytext"/>
        <w:ind w:left="426" w:right="679"/>
        <w:jc w:val="left"/>
      </w:pPr>
    </w:p>
    <w:p w:rsidR="00D03379" w:rsidRDefault="00D03379" w:rsidP="00C237C1">
      <w:pPr>
        <w:pStyle w:val="SSCBodytext"/>
        <w:ind w:left="426" w:right="679"/>
        <w:jc w:val="left"/>
      </w:pPr>
    </w:p>
    <w:p w:rsidR="00D03379" w:rsidRDefault="00D03379" w:rsidP="00C237C1">
      <w:pPr>
        <w:pStyle w:val="SSCBodytext"/>
        <w:ind w:left="426" w:right="679"/>
        <w:jc w:val="left"/>
      </w:pPr>
    </w:p>
    <w:p w:rsidR="00D03379" w:rsidRDefault="00D03379" w:rsidP="00C237C1">
      <w:pPr>
        <w:pStyle w:val="SSCBodytext"/>
        <w:ind w:left="426" w:right="679"/>
        <w:jc w:val="left"/>
      </w:pPr>
    </w:p>
    <w:p w:rsidR="00D03379" w:rsidRDefault="00D03379" w:rsidP="00C237C1">
      <w:pPr>
        <w:pStyle w:val="SSCBodytext"/>
        <w:ind w:left="426" w:right="679"/>
        <w:jc w:val="left"/>
      </w:pPr>
    </w:p>
    <w:p w:rsidR="00D03379" w:rsidRDefault="00D03379" w:rsidP="00C237C1">
      <w:pPr>
        <w:pStyle w:val="SSCBodytext"/>
        <w:ind w:left="426" w:right="679"/>
        <w:jc w:val="left"/>
      </w:pPr>
    </w:p>
    <w:p w:rsidR="00D03379" w:rsidRDefault="00D03379" w:rsidP="00C237C1">
      <w:pPr>
        <w:pStyle w:val="SSCBodytext"/>
        <w:ind w:left="426" w:right="679"/>
        <w:jc w:val="left"/>
      </w:pPr>
    </w:p>
    <w:p w:rsidR="00D03379" w:rsidRDefault="00D03379" w:rsidP="00C237C1">
      <w:pPr>
        <w:pStyle w:val="SSCBodytext"/>
        <w:ind w:left="426" w:right="679"/>
        <w:jc w:val="left"/>
      </w:pPr>
    </w:p>
    <w:p w:rsidR="00D03379" w:rsidRDefault="00D03379" w:rsidP="00C237C1">
      <w:pPr>
        <w:pStyle w:val="SSCBodytext"/>
        <w:ind w:left="426" w:right="679"/>
        <w:jc w:val="left"/>
      </w:pPr>
    </w:p>
    <w:p w:rsidR="00D03379" w:rsidRDefault="00D03379" w:rsidP="00C237C1">
      <w:pPr>
        <w:pStyle w:val="SSCBodytext"/>
        <w:ind w:left="426" w:right="679"/>
        <w:jc w:val="left"/>
      </w:pPr>
    </w:p>
    <w:p w:rsidR="00D03379" w:rsidRDefault="00D03379" w:rsidP="00C237C1">
      <w:pPr>
        <w:pStyle w:val="SSCBodytext"/>
        <w:ind w:left="426" w:right="679"/>
        <w:jc w:val="left"/>
      </w:pPr>
    </w:p>
    <w:p w:rsidR="00D03379" w:rsidRDefault="00D03379" w:rsidP="00C237C1">
      <w:pPr>
        <w:pStyle w:val="SSCBodytext"/>
        <w:ind w:left="426" w:right="679"/>
        <w:jc w:val="left"/>
      </w:pPr>
    </w:p>
    <w:p w:rsidR="00D03379" w:rsidRDefault="00D03379" w:rsidP="00C237C1">
      <w:pPr>
        <w:pStyle w:val="SSCBodytext"/>
        <w:ind w:left="426" w:right="679"/>
        <w:jc w:val="left"/>
      </w:pPr>
    </w:p>
    <w:p w:rsidR="00F369B3" w:rsidRDefault="00F369B3" w:rsidP="00C237C1">
      <w:pPr>
        <w:pStyle w:val="SSCBodytext"/>
        <w:ind w:left="426" w:right="679"/>
        <w:rPr>
          <w:sz w:val="24"/>
          <w:szCs w:val="22"/>
        </w:rPr>
      </w:pPr>
    </w:p>
    <w:p w:rsidR="00F369B3" w:rsidRDefault="00F369B3" w:rsidP="00C237C1">
      <w:pPr>
        <w:pStyle w:val="SSCBodytext"/>
        <w:ind w:left="426" w:right="679"/>
        <w:rPr>
          <w:i/>
          <w:sz w:val="20"/>
        </w:rPr>
      </w:pPr>
      <w:r w:rsidRPr="00651E08">
        <w:rPr>
          <w:i/>
          <w:sz w:val="20"/>
        </w:rPr>
        <w:t>NZ’s national action plan 2016-18 development timeline</w:t>
      </w:r>
    </w:p>
    <w:p w:rsidR="00F369B3" w:rsidRDefault="00F369B3" w:rsidP="00C237C1">
      <w:pPr>
        <w:pStyle w:val="SSCBodytext"/>
        <w:ind w:left="426" w:right="679"/>
        <w:rPr>
          <w:i/>
          <w:sz w:val="20"/>
        </w:rPr>
      </w:pPr>
    </w:p>
    <w:p w:rsidR="00F369B3" w:rsidRDefault="006C6F95" w:rsidP="00C237C1">
      <w:pPr>
        <w:pStyle w:val="SSCBodytext"/>
        <w:ind w:left="426" w:right="679"/>
        <w:jc w:val="left"/>
        <w:rPr>
          <w:szCs w:val="22"/>
        </w:rPr>
      </w:pPr>
      <w:r>
        <w:rPr>
          <w:szCs w:val="22"/>
        </w:rPr>
        <w:t>In July 2016</w:t>
      </w:r>
      <w:r w:rsidR="00F369B3" w:rsidRPr="00F369B3">
        <w:rPr>
          <w:szCs w:val="22"/>
        </w:rPr>
        <w:t xml:space="preserve"> </w:t>
      </w:r>
      <w:r w:rsidR="000E4509">
        <w:rPr>
          <w:szCs w:val="22"/>
        </w:rPr>
        <w:t>SSC</w:t>
      </w:r>
      <w:r w:rsidR="00F369B3" w:rsidRPr="00F369B3">
        <w:rPr>
          <w:szCs w:val="22"/>
        </w:rPr>
        <w:t xml:space="preserve"> release</w:t>
      </w:r>
      <w:r w:rsidR="00F24FBC">
        <w:rPr>
          <w:szCs w:val="22"/>
        </w:rPr>
        <w:t xml:space="preserve">d the </w:t>
      </w:r>
      <w:hyperlink r:id="rId39" w:tgtFrame="_blank" w:tooltip="PDF timeline showing engagement from July to October 2016. " w:history="1">
        <w:r w:rsidR="00F24FBC" w:rsidRPr="00F24FBC">
          <w:rPr>
            <w:rStyle w:val="Hyperlink"/>
            <w:szCs w:val="22"/>
            <w:lang w:val="en"/>
          </w:rPr>
          <w:t>timeline</w:t>
        </w:r>
      </w:hyperlink>
      <w:r w:rsidR="00F24FBC">
        <w:rPr>
          <w:szCs w:val="22"/>
        </w:rPr>
        <w:t xml:space="preserve"> (PDF, 52KB)</w:t>
      </w:r>
      <w:r>
        <w:rPr>
          <w:szCs w:val="22"/>
        </w:rPr>
        <w:t>. It was also on</w:t>
      </w:r>
      <w:r w:rsidR="00F369B3" w:rsidRPr="00F369B3">
        <w:rPr>
          <w:szCs w:val="22"/>
        </w:rPr>
        <w:t xml:space="preserve"> engage2’s website in July 2016. </w:t>
      </w:r>
    </w:p>
    <w:p w:rsidR="008D0D60" w:rsidRPr="008D0D60" w:rsidRDefault="008D0D60" w:rsidP="00C237C1">
      <w:pPr>
        <w:pStyle w:val="Heading2"/>
        <w:ind w:left="426" w:right="679"/>
        <w:rPr>
          <w:rFonts w:eastAsiaTheme="minorHAnsi" w:cstheme="minorBidi"/>
          <w:b w:val="0"/>
          <w:bCs w:val="0"/>
          <w:color w:val="563F5C"/>
          <w:sz w:val="26"/>
        </w:rPr>
      </w:pPr>
      <w:bookmarkStart w:id="47" w:name="_Toc464037112"/>
      <w:bookmarkStart w:id="48" w:name="_Toc464037352"/>
      <w:bookmarkStart w:id="49" w:name="_Toc465253365"/>
      <w:bookmarkStart w:id="50" w:name="_Toc465411679"/>
      <w:bookmarkStart w:id="51" w:name="_Toc465411839"/>
      <w:r>
        <w:rPr>
          <w:rFonts w:eastAsiaTheme="minorHAnsi" w:cstheme="minorBidi"/>
          <w:b w:val="0"/>
          <w:bCs w:val="0"/>
          <w:color w:val="563F5C"/>
          <w:sz w:val="26"/>
        </w:rPr>
        <w:t>Civil society</w:t>
      </w:r>
      <w:r w:rsidRPr="004F4A95">
        <w:rPr>
          <w:rFonts w:eastAsiaTheme="minorHAnsi" w:cstheme="minorBidi"/>
          <w:b w:val="0"/>
          <w:bCs w:val="0"/>
          <w:color w:val="563F5C"/>
          <w:sz w:val="26"/>
        </w:rPr>
        <w:t xml:space="preserve"> </w:t>
      </w:r>
      <w:r w:rsidR="000F08AB">
        <w:rPr>
          <w:rFonts w:eastAsiaTheme="minorHAnsi" w:cstheme="minorBidi"/>
          <w:b w:val="0"/>
          <w:bCs w:val="0"/>
          <w:color w:val="563F5C"/>
          <w:sz w:val="26"/>
        </w:rPr>
        <w:t>contributions</w:t>
      </w:r>
      <w:bookmarkEnd w:id="47"/>
      <w:bookmarkEnd w:id="48"/>
      <w:bookmarkEnd w:id="49"/>
      <w:bookmarkEnd w:id="50"/>
      <w:bookmarkEnd w:id="51"/>
    </w:p>
    <w:p w:rsidR="008D0D60" w:rsidRDefault="008D0D60" w:rsidP="00C237C1">
      <w:pPr>
        <w:pStyle w:val="SSCBodytext"/>
        <w:ind w:left="426" w:right="679"/>
        <w:jc w:val="left"/>
      </w:pPr>
      <w:r>
        <w:t xml:space="preserve">The civil society groups Hui E! </w:t>
      </w:r>
      <w:proofErr w:type="gramStart"/>
      <w:r>
        <w:t>and</w:t>
      </w:r>
      <w:proofErr w:type="gramEnd"/>
      <w:r>
        <w:t xml:space="preserve"> </w:t>
      </w:r>
      <w:r w:rsidR="00BE75A9">
        <w:t xml:space="preserve">the </w:t>
      </w:r>
      <w:r>
        <w:t>Environment and Conservation Organisations of Aotearoa New Zealand (ECO) surveyed their networ</w:t>
      </w:r>
      <w:r w:rsidR="0015449F">
        <w:t>ks to</w:t>
      </w:r>
      <w:r w:rsidR="00BE75A9">
        <w:t xml:space="preserve"> facilitate and</w:t>
      </w:r>
      <w:r w:rsidR="0015449F">
        <w:t xml:space="preserve"> support </w:t>
      </w:r>
      <w:r w:rsidR="00BE75A9">
        <w:t xml:space="preserve">community </w:t>
      </w:r>
      <w:r w:rsidR="0015449F">
        <w:t>engagement</w:t>
      </w:r>
      <w:r>
        <w:t xml:space="preserve">. Hui E! </w:t>
      </w:r>
      <w:proofErr w:type="gramStart"/>
      <w:r>
        <w:t>provided</w:t>
      </w:r>
      <w:proofErr w:type="gramEnd"/>
      <w:r>
        <w:t xml:space="preserve"> </w:t>
      </w:r>
      <w:r w:rsidR="00BE75A9">
        <w:t xml:space="preserve">a selection of </w:t>
      </w:r>
      <w:r>
        <w:t xml:space="preserve">prioritised submissions on behalf of </w:t>
      </w:r>
      <w:r w:rsidR="00BE75A9">
        <w:t>its</w:t>
      </w:r>
      <w:r>
        <w:t xml:space="preserve"> civil society membership through </w:t>
      </w:r>
      <w:r w:rsidR="00BE75A9">
        <w:t xml:space="preserve">engage2’s </w:t>
      </w:r>
      <w:r w:rsidR="00EB35FA">
        <w:t>wiki site</w:t>
      </w:r>
      <w:r>
        <w:t xml:space="preserve">. </w:t>
      </w:r>
    </w:p>
    <w:p w:rsidR="008D0D60" w:rsidRDefault="008D0D60" w:rsidP="00C237C1">
      <w:pPr>
        <w:pStyle w:val="SSCBodytext"/>
        <w:ind w:left="426" w:right="679"/>
      </w:pPr>
    </w:p>
    <w:p w:rsidR="00F00FD8" w:rsidRDefault="008D0D60" w:rsidP="00C237C1">
      <w:pPr>
        <w:pStyle w:val="SSCBodytext"/>
        <w:ind w:left="426" w:right="679"/>
        <w:jc w:val="left"/>
      </w:pPr>
      <w:r>
        <w:t>Hui E!’</w:t>
      </w:r>
      <w:proofErr w:type="gramStart"/>
      <w:r>
        <w:t>s</w:t>
      </w:r>
      <w:proofErr w:type="gramEnd"/>
      <w:r>
        <w:t xml:space="preserve"> submissions communicated the need for</w:t>
      </w:r>
      <w:r w:rsidR="00F00FD8">
        <w:t>:</w:t>
      </w:r>
      <w:r>
        <w:t xml:space="preserve"> </w:t>
      </w:r>
    </w:p>
    <w:p w:rsidR="00F00FD8" w:rsidRDefault="008D0D60" w:rsidP="00982D51">
      <w:pPr>
        <w:pStyle w:val="SSCBodytext"/>
        <w:numPr>
          <w:ilvl w:val="0"/>
          <w:numId w:val="21"/>
        </w:numPr>
        <w:ind w:right="679"/>
        <w:jc w:val="left"/>
      </w:pPr>
      <w:r>
        <w:t xml:space="preserve">increased connections between government and civil society </w:t>
      </w:r>
    </w:p>
    <w:p w:rsidR="00F00FD8" w:rsidRDefault="008D0D60" w:rsidP="00982D51">
      <w:pPr>
        <w:pStyle w:val="SSCBodytext"/>
        <w:numPr>
          <w:ilvl w:val="0"/>
          <w:numId w:val="21"/>
        </w:numPr>
        <w:ind w:right="679"/>
        <w:jc w:val="left"/>
      </w:pPr>
      <w:r>
        <w:t>affirmations of the right of civil society and citizens to speak freely</w:t>
      </w:r>
      <w:r w:rsidR="00F00FD8">
        <w:t xml:space="preserve"> </w:t>
      </w:r>
    </w:p>
    <w:p w:rsidR="008D0D60" w:rsidRDefault="008D0D60" w:rsidP="00982D51">
      <w:pPr>
        <w:pStyle w:val="SSCBodytext"/>
        <w:numPr>
          <w:ilvl w:val="0"/>
          <w:numId w:val="21"/>
        </w:numPr>
        <w:ind w:right="679"/>
        <w:jc w:val="left"/>
      </w:pPr>
      <w:proofErr w:type="gramStart"/>
      <w:r>
        <w:t>increase</w:t>
      </w:r>
      <w:r w:rsidR="00F00FD8">
        <w:t>d</w:t>
      </w:r>
      <w:proofErr w:type="gramEnd"/>
      <w:r>
        <w:t xml:space="preserve"> openness, transparency and accountability within the </w:t>
      </w:r>
      <w:hyperlink r:id="rId40" w:history="1">
        <w:r w:rsidRPr="006B29EA">
          <w:rPr>
            <w:rStyle w:val="Hyperlink"/>
          </w:rPr>
          <w:t>www.legislation.govt.nz</w:t>
        </w:r>
      </w:hyperlink>
      <w:r>
        <w:t xml:space="preserve"> website.</w:t>
      </w:r>
    </w:p>
    <w:p w:rsidR="008D0D60" w:rsidRDefault="008D0D60" w:rsidP="00C237C1">
      <w:pPr>
        <w:pStyle w:val="SSCBodytext"/>
        <w:ind w:left="426" w:right="679"/>
      </w:pPr>
    </w:p>
    <w:p w:rsidR="008D0D60" w:rsidRDefault="000F08AB" w:rsidP="00C237C1">
      <w:pPr>
        <w:pStyle w:val="SSCBodytext"/>
        <w:ind w:left="426" w:right="679"/>
      </w:pPr>
      <w:r>
        <w:t>A member of its</w:t>
      </w:r>
      <w:r w:rsidR="008D0D60">
        <w:t xml:space="preserve"> leadership team joined with SSC </w:t>
      </w:r>
      <w:r w:rsidR="00B50311">
        <w:t xml:space="preserve">in September 2016 </w:t>
      </w:r>
      <w:r w:rsidR="008D0D60">
        <w:t xml:space="preserve">to </w:t>
      </w:r>
      <w:r>
        <w:t>further shape</w:t>
      </w:r>
      <w:r w:rsidR="00B50311">
        <w:t xml:space="preserve"> </w:t>
      </w:r>
      <w:r w:rsidR="00F00FD8">
        <w:t>commitments</w:t>
      </w:r>
      <w:r w:rsidR="00B50311">
        <w:t xml:space="preserve"> </w:t>
      </w:r>
      <w:r w:rsidR="00BE75A9">
        <w:t>aimed at ad</w:t>
      </w:r>
      <w:r w:rsidR="00B50311">
        <w:t>vanc</w:t>
      </w:r>
      <w:r w:rsidR="00BE75A9">
        <w:t>ing</w:t>
      </w:r>
      <w:r w:rsidR="00B50311">
        <w:t xml:space="preserve"> community engagement</w:t>
      </w:r>
      <w:r w:rsidR="008D0D60">
        <w:t>.</w:t>
      </w:r>
    </w:p>
    <w:p w:rsidR="008D0D60" w:rsidRDefault="008D0D60" w:rsidP="00C237C1">
      <w:pPr>
        <w:pStyle w:val="SSCBodytext"/>
        <w:ind w:left="426" w:right="679"/>
      </w:pPr>
    </w:p>
    <w:p w:rsidR="008D0D60" w:rsidRDefault="008D0D60" w:rsidP="00C237C1">
      <w:pPr>
        <w:pStyle w:val="SSCBodytext"/>
        <w:ind w:left="426" w:right="679"/>
        <w:jc w:val="left"/>
        <w:rPr>
          <w:i/>
          <w:color w:val="563F5C"/>
          <w:sz w:val="24"/>
          <w:szCs w:val="28"/>
        </w:rPr>
      </w:pPr>
      <w:r w:rsidRPr="008D0D60">
        <w:rPr>
          <w:i/>
          <w:color w:val="563F5C"/>
          <w:sz w:val="24"/>
          <w:szCs w:val="28"/>
        </w:rPr>
        <w:t xml:space="preserve">Stage 2 </w:t>
      </w:r>
    </w:p>
    <w:p w:rsidR="00F369B3" w:rsidRPr="00F369B3" w:rsidRDefault="00C40F4B" w:rsidP="00C237C1">
      <w:pPr>
        <w:pStyle w:val="SSCBodytext"/>
        <w:spacing w:after="240"/>
        <w:ind w:left="426" w:right="679"/>
        <w:jc w:val="left"/>
        <w:rPr>
          <w:szCs w:val="22"/>
        </w:rPr>
      </w:pPr>
      <w:r>
        <w:rPr>
          <w:szCs w:val="22"/>
        </w:rPr>
        <w:t>Stage 2 of the engagement ran from 25 July to 5 August 2016. During this stage</w:t>
      </w:r>
      <w:r w:rsidR="00F369B3" w:rsidRPr="00F369B3">
        <w:rPr>
          <w:szCs w:val="22"/>
        </w:rPr>
        <w:t xml:space="preserve"> 28 people provided 29 input</w:t>
      </w:r>
      <w:r w:rsidR="00D82DD6">
        <w:rPr>
          <w:szCs w:val="22"/>
        </w:rPr>
        <w:t>s</w:t>
      </w:r>
      <w:r w:rsidR="00F369B3" w:rsidRPr="00F369B3">
        <w:rPr>
          <w:szCs w:val="22"/>
        </w:rPr>
        <w:t xml:space="preserve"> on the background and vision of </w:t>
      </w:r>
      <w:r w:rsidR="00872A21">
        <w:rPr>
          <w:szCs w:val="22"/>
        </w:rPr>
        <w:t>the draft action plan.</w:t>
      </w:r>
    </w:p>
    <w:p w:rsidR="00F369B3" w:rsidRPr="00EB35FA" w:rsidRDefault="00F369B3" w:rsidP="00C237C1">
      <w:pPr>
        <w:pStyle w:val="SSCBodytext"/>
        <w:spacing w:after="240"/>
        <w:ind w:left="426" w:right="679"/>
        <w:rPr>
          <w:b/>
          <w:color w:val="563F5C"/>
          <w:sz w:val="20"/>
          <w:szCs w:val="22"/>
        </w:rPr>
      </w:pPr>
      <w:r w:rsidRPr="008D0D60">
        <w:rPr>
          <w:b/>
          <w:color w:val="563F5C"/>
          <w:sz w:val="20"/>
          <w:szCs w:val="22"/>
        </w:rPr>
        <w:t>Numbers of submissions by stakeholder type</w:t>
      </w:r>
    </w:p>
    <w:tbl>
      <w:tblPr>
        <w:tblW w:w="4293" w:type="dxa"/>
        <w:tblInd w:w="51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537"/>
        <w:gridCol w:w="2118"/>
      </w:tblGrid>
      <w:tr w:rsidR="00F369B3" w:rsidRPr="00E052D2">
        <w:trPr>
          <w:trHeight w:val="297"/>
        </w:trPr>
        <w:tc>
          <w:tcPr>
            <w:tcW w:w="2537" w:type="dxa"/>
            <w:tcBorders>
              <w:top w:val="single" w:sz="12" w:space="0" w:color="563F5C"/>
              <w:left w:val="single" w:sz="12" w:space="0" w:color="563F5C"/>
              <w:bottom w:val="single" w:sz="12" w:space="0" w:color="563F5C"/>
              <w:right w:val="single" w:sz="12" w:space="0" w:color="563F5C"/>
            </w:tcBorders>
            <w:shd w:val="clear" w:color="auto" w:fill="E2D7E5"/>
            <w:noWrap/>
            <w:vAlign w:val="center"/>
          </w:tcPr>
          <w:p w:rsidR="00F369B3" w:rsidRPr="008D0D60" w:rsidRDefault="00D03379" w:rsidP="00D03379">
            <w:pPr>
              <w:pStyle w:val="TableHeader"/>
              <w:ind w:right="679"/>
              <w:rPr>
                <w:szCs w:val="22"/>
              </w:rPr>
            </w:pPr>
            <w:r>
              <w:rPr>
                <w:color w:val="563F5C"/>
                <w:szCs w:val="22"/>
              </w:rPr>
              <w:t xml:space="preserve">Stakeholder </w:t>
            </w:r>
            <w:r w:rsidR="00F369B3" w:rsidRPr="008D0D60">
              <w:rPr>
                <w:color w:val="563F5C"/>
                <w:szCs w:val="22"/>
              </w:rPr>
              <w:t>type</w:t>
            </w:r>
          </w:p>
        </w:tc>
        <w:tc>
          <w:tcPr>
            <w:tcW w:w="1756" w:type="dxa"/>
            <w:tcBorders>
              <w:top w:val="single" w:sz="12" w:space="0" w:color="563F5C"/>
              <w:left w:val="single" w:sz="12" w:space="0" w:color="563F5C"/>
              <w:bottom w:val="single" w:sz="12" w:space="0" w:color="563F5C"/>
              <w:right w:val="single" w:sz="12" w:space="0" w:color="563F5C"/>
            </w:tcBorders>
            <w:shd w:val="clear" w:color="auto" w:fill="E2D7E5"/>
            <w:noWrap/>
            <w:vAlign w:val="center"/>
          </w:tcPr>
          <w:p w:rsidR="00F369B3" w:rsidRPr="008D0D60" w:rsidRDefault="000236A0" w:rsidP="00D03379">
            <w:pPr>
              <w:pStyle w:val="TableHeader"/>
              <w:ind w:right="679"/>
              <w:rPr>
                <w:szCs w:val="22"/>
              </w:rPr>
            </w:pPr>
            <w:r w:rsidRPr="008D0D60">
              <w:rPr>
                <w:color w:val="563F5C"/>
                <w:szCs w:val="22"/>
              </w:rPr>
              <w:t>Number</w:t>
            </w:r>
            <w:r w:rsidR="00F369B3" w:rsidRPr="008D0D60">
              <w:rPr>
                <w:color w:val="563F5C"/>
                <w:szCs w:val="22"/>
              </w:rPr>
              <w:t xml:space="preserve"> of submissions</w:t>
            </w:r>
          </w:p>
        </w:tc>
      </w:tr>
      <w:tr w:rsidR="00F369B3" w:rsidRPr="00E052D2">
        <w:trPr>
          <w:trHeight w:val="297"/>
        </w:trPr>
        <w:tc>
          <w:tcPr>
            <w:tcW w:w="2537" w:type="dxa"/>
            <w:tcBorders>
              <w:top w:val="single" w:sz="12" w:space="0" w:color="563F5C"/>
              <w:left w:val="single" w:sz="12" w:space="0" w:color="563F5C"/>
              <w:bottom w:val="single" w:sz="12" w:space="0" w:color="563F5C"/>
              <w:right w:val="single" w:sz="12" w:space="0" w:color="563F5C"/>
            </w:tcBorders>
            <w:shd w:val="clear" w:color="auto" w:fill="auto"/>
            <w:noWrap/>
            <w:vAlign w:val="center"/>
          </w:tcPr>
          <w:p w:rsidR="00F369B3" w:rsidRPr="00D03379" w:rsidRDefault="00F369B3" w:rsidP="00D03379">
            <w:pPr>
              <w:pStyle w:val="TableText"/>
              <w:ind w:right="679"/>
              <w:rPr>
                <w:sz w:val="20"/>
                <w:szCs w:val="22"/>
              </w:rPr>
            </w:pPr>
            <w:r w:rsidRPr="00D03379">
              <w:rPr>
                <w:sz w:val="20"/>
                <w:szCs w:val="22"/>
              </w:rPr>
              <w:t>Business</w:t>
            </w:r>
          </w:p>
        </w:tc>
        <w:tc>
          <w:tcPr>
            <w:tcW w:w="1756" w:type="dxa"/>
            <w:tcBorders>
              <w:top w:val="single" w:sz="12" w:space="0" w:color="563F5C"/>
              <w:left w:val="single" w:sz="12" w:space="0" w:color="563F5C"/>
              <w:bottom w:val="single" w:sz="12" w:space="0" w:color="563F5C"/>
              <w:right w:val="single" w:sz="12" w:space="0" w:color="563F5C"/>
            </w:tcBorders>
            <w:shd w:val="clear" w:color="auto" w:fill="auto"/>
            <w:noWrap/>
            <w:vAlign w:val="center"/>
          </w:tcPr>
          <w:p w:rsidR="00F369B3" w:rsidRPr="00D03379" w:rsidRDefault="00F369B3" w:rsidP="00D03379">
            <w:pPr>
              <w:pStyle w:val="TableText"/>
              <w:ind w:right="679"/>
              <w:rPr>
                <w:sz w:val="20"/>
                <w:szCs w:val="22"/>
              </w:rPr>
            </w:pPr>
            <w:r w:rsidRPr="00D03379">
              <w:rPr>
                <w:sz w:val="20"/>
                <w:szCs w:val="22"/>
              </w:rPr>
              <w:t>1</w:t>
            </w:r>
          </w:p>
        </w:tc>
      </w:tr>
      <w:tr w:rsidR="00F369B3" w:rsidRPr="00E052D2">
        <w:trPr>
          <w:trHeight w:val="297"/>
        </w:trPr>
        <w:tc>
          <w:tcPr>
            <w:tcW w:w="2537" w:type="dxa"/>
            <w:tcBorders>
              <w:top w:val="single" w:sz="12" w:space="0" w:color="563F5C"/>
              <w:left w:val="single" w:sz="12" w:space="0" w:color="563F5C"/>
              <w:bottom w:val="single" w:sz="12" w:space="0" w:color="563F5C"/>
              <w:right w:val="single" w:sz="12" w:space="0" w:color="563F5C"/>
            </w:tcBorders>
            <w:shd w:val="clear" w:color="auto" w:fill="auto"/>
            <w:noWrap/>
            <w:vAlign w:val="center"/>
          </w:tcPr>
          <w:p w:rsidR="00F369B3" w:rsidRPr="00D03379" w:rsidRDefault="00F369B3" w:rsidP="00D03379">
            <w:pPr>
              <w:pStyle w:val="TableText"/>
              <w:ind w:right="679"/>
              <w:rPr>
                <w:sz w:val="20"/>
                <w:szCs w:val="22"/>
              </w:rPr>
            </w:pPr>
            <w:r w:rsidRPr="00D03379">
              <w:rPr>
                <w:sz w:val="20"/>
                <w:szCs w:val="22"/>
              </w:rPr>
              <w:t>Citizen</w:t>
            </w:r>
          </w:p>
        </w:tc>
        <w:tc>
          <w:tcPr>
            <w:tcW w:w="1756" w:type="dxa"/>
            <w:tcBorders>
              <w:top w:val="single" w:sz="12" w:space="0" w:color="563F5C"/>
              <w:left w:val="single" w:sz="12" w:space="0" w:color="563F5C"/>
              <w:bottom w:val="single" w:sz="12" w:space="0" w:color="563F5C"/>
              <w:right w:val="single" w:sz="12" w:space="0" w:color="563F5C"/>
            </w:tcBorders>
            <w:shd w:val="clear" w:color="auto" w:fill="auto"/>
            <w:noWrap/>
            <w:vAlign w:val="center"/>
          </w:tcPr>
          <w:p w:rsidR="00F369B3" w:rsidRPr="00D03379" w:rsidRDefault="00F369B3" w:rsidP="00D03379">
            <w:pPr>
              <w:pStyle w:val="TableText"/>
              <w:ind w:right="679"/>
              <w:rPr>
                <w:sz w:val="20"/>
                <w:szCs w:val="22"/>
              </w:rPr>
            </w:pPr>
            <w:r w:rsidRPr="00D03379">
              <w:rPr>
                <w:sz w:val="20"/>
                <w:szCs w:val="22"/>
              </w:rPr>
              <w:t>18</w:t>
            </w:r>
          </w:p>
        </w:tc>
      </w:tr>
      <w:tr w:rsidR="00F369B3" w:rsidRPr="00E052D2">
        <w:trPr>
          <w:trHeight w:val="297"/>
        </w:trPr>
        <w:tc>
          <w:tcPr>
            <w:tcW w:w="2537" w:type="dxa"/>
            <w:tcBorders>
              <w:top w:val="single" w:sz="12" w:space="0" w:color="563F5C"/>
              <w:left w:val="single" w:sz="12" w:space="0" w:color="563F5C"/>
              <w:bottom w:val="single" w:sz="12" w:space="0" w:color="563F5C"/>
              <w:right w:val="single" w:sz="12" w:space="0" w:color="563F5C"/>
            </w:tcBorders>
            <w:shd w:val="clear" w:color="auto" w:fill="auto"/>
            <w:noWrap/>
            <w:vAlign w:val="center"/>
          </w:tcPr>
          <w:p w:rsidR="00F369B3" w:rsidRPr="00D03379" w:rsidRDefault="00F369B3" w:rsidP="00D03379">
            <w:pPr>
              <w:pStyle w:val="TableText"/>
              <w:ind w:right="679"/>
              <w:rPr>
                <w:sz w:val="20"/>
                <w:szCs w:val="22"/>
              </w:rPr>
            </w:pPr>
            <w:r w:rsidRPr="00D03379">
              <w:rPr>
                <w:sz w:val="20"/>
                <w:szCs w:val="22"/>
              </w:rPr>
              <w:t>Community Group</w:t>
            </w:r>
          </w:p>
        </w:tc>
        <w:tc>
          <w:tcPr>
            <w:tcW w:w="1756" w:type="dxa"/>
            <w:tcBorders>
              <w:top w:val="single" w:sz="12" w:space="0" w:color="563F5C"/>
              <w:left w:val="single" w:sz="12" w:space="0" w:color="563F5C"/>
              <w:bottom w:val="single" w:sz="12" w:space="0" w:color="563F5C"/>
              <w:right w:val="single" w:sz="12" w:space="0" w:color="563F5C"/>
            </w:tcBorders>
            <w:shd w:val="clear" w:color="auto" w:fill="auto"/>
            <w:noWrap/>
            <w:vAlign w:val="center"/>
          </w:tcPr>
          <w:p w:rsidR="00F369B3" w:rsidRPr="00D03379" w:rsidRDefault="00F369B3" w:rsidP="00D03379">
            <w:pPr>
              <w:pStyle w:val="TableText"/>
              <w:ind w:right="679"/>
              <w:rPr>
                <w:sz w:val="20"/>
                <w:szCs w:val="22"/>
              </w:rPr>
            </w:pPr>
            <w:r w:rsidRPr="00D03379">
              <w:rPr>
                <w:sz w:val="20"/>
                <w:szCs w:val="22"/>
              </w:rPr>
              <w:t>2</w:t>
            </w:r>
          </w:p>
        </w:tc>
      </w:tr>
      <w:tr w:rsidR="00F369B3" w:rsidRPr="00E052D2">
        <w:trPr>
          <w:trHeight w:val="297"/>
        </w:trPr>
        <w:tc>
          <w:tcPr>
            <w:tcW w:w="2537" w:type="dxa"/>
            <w:tcBorders>
              <w:top w:val="single" w:sz="12" w:space="0" w:color="563F5C"/>
              <w:left w:val="single" w:sz="12" w:space="0" w:color="563F5C"/>
              <w:bottom w:val="single" w:sz="12" w:space="0" w:color="563F5C"/>
              <w:right w:val="single" w:sz="12" w:space="0" w:color="563F5C"/>
            </w:tcBorders>
            <w:shd w:val="clear" w:color="auto" w:fill="auto"/>
            <w:noWrap/>
            <w:vAlign w:val="center"/>
          </w:tcPr>
          <w:p w:rsidR="00F369B3" w:rsidRPr="00D03379" w:rsidRDefault="00F369B3" w:rsidP="00D03379">
            <w:pPr>
              <w:pStyle w:val="TableText"/>
              <w:ind w:right="679"/>
              <w:rPr>
                <w:sz w:val="20"/>
                <w:szCs w:val="22"/>
              </w:rPr>
            </w:pPr>
            <w:r w:rsidRPr="00D03379">
              <w:rPr>
                <w:sz w:val="20"/>
                <w:szCs w:val="22"/>
              </w:rPr>
              <w:t>Local Government</w:t>
            </w:r>
          </w:p>
        </w:tc>
        <w:tc>
          <w:tcPr>
            <w:tcW w:w="1756" w:type="dxa"/>
            <w:tcBorders>
              <w:top w:val="single" w:sz="12" w:space="0" w:color="563F5C"/>
              <w:left w:val="single" w:sz="12" w:space="0" w:color="563F5C"/>
              <w:bottom w:val="single" w:sz="12" w:space="0" w:color="563F5C"/>
              <w:right w:val="single" w:sz="12" w:space="0" w:color="563F5C"/>
            </w:tcBorders>
            <w:shd w:val="clear" w:color="auto" w:fill="auto"/>
            <w:noWrap/>
            <w:vAlign w:val="center"/>
          </w:tcPr>
          <w:p w:rsidR="00F369B3" w:rsidRPr="00D03379" w:rsidRDefault="00F369B3" w:rsidP="00D03379">
            <w:pPr>
              <w:pStyle w:val="TableText"/>
              <w:ind w:right="679"/>
              <w:rPr>
                <w:sz w:val="20"/>
                <w:szCs w:val="22"/>
              </w:rPr>
            </w:pPr>
            <w:r w:rsidRPr="00D03379">
              <w:rPr>
                <w:sz w:val="20"/>
                <w:szCs w:val="22"/>
              </w:rPr>
              <w:t>1</w:t>
            </w:r>
          </w:p>
        </w:tc>
      </w:tr>
      <w:tr w:rsidR="00F369B3" w:rsidRPr="00E052D2">
        <w:trPr>
          <w:trHeight w:val="297"/>
        </w:trPr>
        <w:tc>
          <w:tcPr>
            <w:tcW w:w="2537" w:type="dxa"/>
            <w:tcBorders>
              <w:top w:val="single" w:sz="12" w:space="0" w:color="563F5C"/>
              <w:left w:val="single" w:sz="12" w:space="0" w:color="563F5C"/>
              <w:bottom w:val="single" w:sz="12" w:space="0" w:color="563F5C"/>
              <w:right w:val="single" w:sz="12" w:space="0" w:color="563F5C"/>
            </w:tcBorders>
            <w:shd w:val="clear" w:color="auto" w:fill="auto"/>
            <w:noWrap/>
            <w:vAlign w:val="center"/>
          </w:tcPr>
          <w:p w:rsidR="00F369B3" w:rsidRPr="00D03379" w:rsidRDefault="00F369B3" w:rsidP="00D03379">
            <w:pPr>
              <w:pStyle w:val="TableText"/>
              <w:ind w:right="679"/>
              <w:rPr>
                <w:sz w:val="20"/>
                <w:szCs w:val="22"/>
              </w:rPr>
            </w:pPr>
            <w:r w:rsidRPr="00D03379">
              <w:rPr>
                <w:sz w:val="20"/>
                <w:szCs w:val="22"/>
              </w:rPr>
              <w:t>Other</w:t>
            </w:r>
          </w:p>
        </w:tc>
        <w:tc>
          <w:tcPr>
            <w:tcW w:w="1756" w:type="dxa"/>
            <w:tcBorders>
              <w:top w:val="single" w:sz="12" w:space="0" w:color="563F5C"/>
              <w:left w:val="single" w:sz="12" w:space="0" w:color="563F5C"/>
              <w:bottom w:val="single" w:sz="12" w:space="0" w:color="563F5C"/>
              <w:right w:val="single" w:sz="12" w:space="0" w:color="563F5C"/>
            </w:tcBorders>
            <w:shd w:val="clear" w:color="auto" w:fill="auto"/>
            <w:noWrap/>
            <w:vAlign w:val="center"/>
          </w:tcPr>
          <w:p w:rsidR="00F369B3" w:rsidRPr="00D03379" w:rsidRDefault="000236A0" w:rsidP="00D03379">
            <w:pPr>
              <w:pStyle w:val="TableText"/>
              <w:ind w:right="679"/>
              <w:rPr>
                <w:sz w:val="20"/>
                <w:szCs w:val="22"/>
              </w:rPr>
            </w:pPr>
            <w:r w:rsidRPr="00D03379">
              <w:rPr>
                <w:sz w:val="20"/>
                <w:szCs w:val="22"/>
              </w:rPr>
              <w:t>6</w:t>
            </w:r>
          </w:p>
        </w:tc>
      </w:tr>
    </w:tbl>
    <w:p w:rsidR="000236A0" w:rsidRPr="008D0D60" w:rsidRDefault="000236A0" w:rsidP="00C237C1">
      <w:pPr>
        <w:pStyle w:val="SSCBodytext"/>
        <w:spacing w:before="240" w:after="240"/>
        <w:ind w:left="426" w:right="679"/>
        <w:rPr>
          <w:b/>
          <w:color w:val="563F5C"/>
          <w:sz w:val="20"/>
          <w:szCs w:val="22"/>
        </w:rPr>
      </w:pPr>
      <w:r w:rsidRPr="008D0D60">
        <w:rPr>
          <w:b/>
          <w:color w:val="563F5C"/>
          <w:sz w:val="20"/>
          <w:szCs w:val="22"/>
        </w:rPr>
        <w:t xml:space="preserve">Number of submissions by theme </w:t>
      </w:r>
    </w:p>
    <w:tbl>
      <w:tblPr>
        <w:tblW w:w="4594" w:type="dxa"/>
        <w:tblInd w:w="4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10"/>
        <w:gridCol w:w="2118"/>
      </w:tblGrid>
      <w:tr w:rsidR="000236A0" w:rsidRPr="00E052D2">
        <w:trPr>
          <w:trHeight w:val="223"/>
        </w:trPr>
        <w:tc>
          <w:tcPr>
            <w:tcW w:w="2610" w:type="dxa"/>
            <w:tcBorders>
              <w:top w:val="single" w:sz="12" w:space="0" w:color="563F5C"/>
              <w:left w:val="single" w:sz="12" w:space="0" w:color="563F5C"/>
              <w:bottom w:val="single" w:sz="12" w:space="0" w:color="563F5C"/>
              <w:right w:val="single" w:sz="12" w:space="0" w:color="563F5C"/>
            </w:tcBorders>
            <w:shd w:val="clear" w:color="auto" w:fill="E2D7E5"/>
            <w:noWrap/>
            <w:vAlign w:val="center"/>
          </w:tcPr>
          <w:p w:rsidR="000236A0" w:rsidRPr="008D0D60" w:rsidRDefault="000236A0" w:rsidP="00D03379">
            <w:pPr>
              <w:pStyle w:val="TableHeader"/>
              <w:ind w:right="679"/>
              <w:rPr>
                <w:color w:val="563F5C"/>
                <w:szCs w:val="22"/>
              </w:rPr>
            </w:pPr>
            <w:r w:rsidRPr="008D0D60">
              <w:rPr>
                <w:color w:val="563F5C"/>
                <w:szCs w:val="22"/>
              </w:rPr>
              <w:t>Theme</w:t>
            </w:r>
          </w:p>
        </w:tc>
        <w:tc>
          <w:tcPr>
            <w:tcW w:w="1984" w:type="dxa"/>
            <w:tcBorders>
              <w:top w:val="single" w:sz="12" w:space="0" w:color="563F5C"/>
              <w:left w:val="single" w:sz="12" w:space="0" w:color="563F5C"/>
              <w:bottom w:val="single" w:sz="12" w:space="0" w:color="563F5C"/>
              <w:right w:val="single" w:sz="12" w:space="0" w:color="563F5C"/>
            </w:tcBorders>
            <w:shd w:val="clear" w:color="auto" w:fill="E2D7E5"/>
            <w:noWrap/>
            <w:vAlign w:val="center"/>
          </w:tcPr>
          <w:p w:rsidR="000236A0" w:rsidRPr="008D0D60" w:rsidRDefault="00D03379" w:rsidP="00D03379">
            <w:pPr>
              <w:pStyle w:val="TableHeader"/>
              <w:ind w:right="679"/>
              <w:rPr>
                <w:color w:val="563F5C"/>
                <w:szCs w:val="22"/>
              </w:rPr>
            </w:pPr>
            <w:r>
              <w:rPr>
                <w:color w:val="563F5C"/>
                <w:szCs w:val="22"/>
              </w:rPr>
              <w:t xml:space="preserve">Number of </w:t>
            </w:r>
            <w:r w:rsidR="000236A0" w:rsidRPr="008D0D60">
              <w:rPr>
                <w:color w:val="563F5C"/>
                <w:szCs w:val="22"/>
              </w:rPr>
              <w:t>submissions</w:t>
            </w:r>
          </w:p>
        </w:tc>
      </w:tr>
      <w:tr w:rsidR="00D03379" w:rsidRPr="00E052D2">
        <w:trPr>
          <w:trHeight w:val="223"/>
        </w:trPr>
        <w:tc>
          <w:tcPr>
            <w:tcW w:w="2610" w:type="dxa"/>
            <w:tcBorders>
              <w:top w:val="single" w:sz="12" w:space="0" w:color="563F5C"/>
              <w:left w:val="single" w:sz="12" w:space="0" w:color="563F5C"/>
              <w:bottom w:val="single" w:sz="12" w:space="0" w:color="563F5C"/>
              <w:right w:val="single" w:sz="12" w:space="0" w:color="563F5C"/>
            </w:tcBorders>
            <w:shd w:val="clear" w:color="auto" w:fill="auto"/>
            <w:noWrap/>
            <w:vAlign w:val="center"/>
          </w:tcPr>
          <w:p w:rsidR="00D03379" w:rsidRPr="00D03379" w:rsidRDefault="00D03379" w:rsidP="00D03379">
            <w:pPr>
              <w:pStyle w:val="TableText"/>
              <w:ind w:right="679"/>
              <w:rPr>
                <w:sz w:val="20"/>
                <w:szCs w:val="22"/>
              </w:rPr>
            </w:pPr>
            <w:r w:rsidRPr="00D03379">
              <w:rPr>
                <w:sz w:val="20"/>
              </w:rPr>
              <w:t>Public Integrity</w:t>
            </w:r>
          </w:p>
        </w:tc>
        <w:tc>
          <w:tcPr>
            <w:tcW w:w="1984" w:type="dxa"/>
            <w:tcBorders>
              <w:top w:val="single" w:sz="12" w:space="0" w:color="563F5C"/>
              <w:left w:val="single" w:sz="12" w:space="0" w:color="563F5C"/>
              <w:bottom w:val="single" w:sz="12" w:space="0" w:color="563F5C"/>
              <w:right w:val="single" w:sz="12" w:space="0" w:color="563F5C"/>
            </w:tcBorders>
            <w:shd w:val="clear" w:color="auto" w:fill="auto"/>
            <w:noWrap/>
            <w:vAlign w:val="center"/>
          </w:tcPr>
          <w:p w:rsidR="00D03379" w:rsidRPr="00D03379" w:rsidRDefault="00D03379" w:rsidP="00D03379">
            <w:pPr>
              <w:pStyle w:val="TableText"/>
              <w:ind w:right="679"/>
              <w:rPr>
                <w:sz w:val="20"/>
                <w:szCs w:val="22"/>
              </w:rPr>
            </w:pPr>
            <w:r w:rsidRPr="00D03379">
              <w:rPr>
                <w:sz w:val="20"/>
              </w:rPr>
              <w:t>17</w:t>
            </w:r>
          </w:p>
        </w:tc>
      </w:tr>
      <w:tr w:rsidR="00D03379" w:rsidRPr="00E052D2">
        <w:trPr>
          <w:trHeight w:val="223"/>
        </w:trPr>
        <w:tc>
          <w:tcPr>
            <w:tcW w:w="2610" w:type="dxa"/>
            <w:tcBorders>
              <w:top w:val="single" w:sz="12" w:space="0" w:color="563F5C"/>
              <w:left w:val="single" w:sz="12" w:space="0" w:color="563F5C"/>
              <w:bottom w:val="single" w:sz="12" w:space="0" w:color="563F5C"/>
              <w:right w:val="single" w:sz="12" w:space="0" w:color="563F5C"/>
            </w:tcBorders>
            <w:shd w:val="clear" w:color="auto" w:fill="auto"/>
            <w:noWrap/>
            <w:vAlign w:val="center"/>
          </w:tcPr>
          <w:p w:rsidR="00D03379" w:rsidRPr="00D03379" w:rsidRDefault="00D03379" w:rsidP="00D03379">
            <w:pPr>
              <w:pStyle w:val="TableText"/>
              <w:ind w:right="679"/>
              <w:rPr>
                <w:sz w:val="20"/>
                <w:szCs w:val="22"/>
              </w:rPr>
            </w:pPr>
            <w:r w:rsidRPr="00D03379">
              <w:rPr>
                <w:sz w:val="20"/>
              </w:rPr>
              <w:t>Public Resources</w:t>
            </w:r>
          </w:p>
        </w:tc>
        <w:tc>
          <w:tcPr>
            <w:tcW w:w="1984" w:type="dxa"/>
            <w:tcBorders>
              <w:top w:val="single" w:sz="12" w:space="0" w:color="563F5C"/>
              <w:left w:val="single" w:sz="12" w:space="0" w:color="563F5C"/>
              <w:bottom w:val="single" w:sz="12" w:space="0" w:color="563F5C"/>
              <w:right w:val="single" w:sz="12" w:space="0" w:color="563F5C"/>
            </w:tcBorders>
            <w:shd w:val="clear" w:color="auto" w:fill="auto"/>
            <w:noWrap/>
            <w:vAlign w:val="center"/>
          </w:tcPr>
          <w:p w:rsidR="00D03379" w:rsidRPr="00D03379" w:rsidRDefault="00D03379" w:rsidP="00D03379">
            <w:pPr>
              <w:pStyle w:val="TableText"/>
              <w:ind w:right="679"/>
              <w:rPr>
                <w:sz w:val="20"/>
                <w:szCs w:val="22"/>
              </w:rPr>
            </w:pPr>
            <w:r w:rsidRPr="00D03379">
              <w:rPr>
                <w:sz w:val="20"/>
              </w:rPr>
              <w:t>6</w:t>
            </w:r>
          </w:p>
        </w:tc>
      </w:tr>
      <w:tr w:rsidR="00D03379" w:rsidRPr="00E052D2">
        <w:trPr>
          <w:trHeight w:val="223"/>
        </w:trPr>
        <w:tc>
          <w:tcPr>
            <w:tcW w:w="2610" w:type="dxa"/>
            <w:tcBorders>
              <w:top w:val="single" w:sz="12" w:space="0" w:color="563F5C"/>
              <w:left w:val="single" w:sz="12" w:space="0" w:color="563F5C"/>
              <w:bottom w:val="single" w:sz="12" w:space="0" w:color="563F5C"/>
              <w:right w:val="single" w:sz="12" w:space="0" w:color="563F5C"/>
            </w:tcBorders>
            <w:shd w:val="clear" w:color="auto" w:fill="auto"/>
            <w:noWrap/>
            <w:vAlign w:val="center"/>
          </w:tcPr>
          <w:p w:rsidR="00D03379" w:rsidRPr="00D03379" w:rsidRDefault="00D03379" w:rsidP="00D03379">
            <w:pPr>
              <w:pStyle w:val="TableText"/>
              <w:ind w:right="679"/>
              <w:rPr>
                <w:sz w:val="20"/>
                <w:szCs w:val="22"/>
              </w:rPr>
            </w:pPr>
            <w:r w:rsidRPr="00D03379">
              <w:rPr>
                <w:sz w:val="20"/>
              </w:rPr>
              <w:t>Public Service</w:t>
            </w:r>
          </w:p>
        </w:tc>
        <w:tc>
          <w:tcPr>
            <w:tcW w:w="1984" w:type="dxa"/>
            <w:tcBorders>
              <w:top w:val="single" w:sz="12" w:space="0" w:color="563F5C"/>
              <w:left w:val="single" w:sz="12" w:space="0" w:color="563F5C"/>
              <w:bottom w:val="single" w:sz="12" w:space="0" w:color="563F5C"/>
              <w:right w:val="single" w:sz="12" w:space="0" w:color="563F5C"/>
            </w:tcBorders>
            <w:shd w:val="clear" w:color="auto" w:fill="auto"/>
            <w:noWrap/>
            <w:vAlign w:val="center"/>
          </w:tcPr>
          <w:p w:rsidR="00D03379" w:rsidRPr="00D03379" w:rsidRDefault="00D03379" w:rsidP="00D03379">
            <w:pPr>
              <w:pStyle w:val="TableText"/>
              <w:ind w:right="679"/>
              <w:rPr>
                <w:sz w:val="20"/>
                <w:szCs w:val="22"/>
              </w:rPr>
            </w:pPr>
            <w:r w:rsidRPr="00D03379">
              <w:rPr>
                <w:sz w:val="20"/>
              </w:rPr>
              <w:t>5</w:t>
            </w:r>
          </w:p>
        </w:tc>
      </w:tr>
    </w:tbl>
    <w:p w:rsidR="00C40F4B" w:rsidRDefault="00C40F4B" w:rsidP="00C237C1">
      <w:pPr>
        <w:pStyle w:val="SSCBodytext"/>
        <w:ind w:left="426" w:right="679"/>
        <w:rPr>
          <w:b/>
          <w:color w:val="563F5C"/>
          <w:szCs w:val="22"/>
        </w:rPr>
      </w:pPr>
    </w:p>
    <w:p w:rsidR="000236A0" w:rsidRDefault="00F82896" w:rsidP="00C237C1">
      <w:pPr>
        <w:pStyle w:val="SSCBodytext"/>
        <w:ind w:left="426" w:right="679"/>
        <w:rPr>
          <w:b/>
          <w:color w:val="563F5C"/>
          <w:szCs w:val="22"/>
        </w:rPr>
      </w:pPr>
      <w:r>
        <w:rPr>
          <w:b/>
          <w:color w:val="563F5C"/>
          <w:szCs w:val="22"/>
        </w:rPr>
        <w:t>Summary of online feedback</w:t>
      </w:r>
    </w:p>
    <w:p w:rsidR="00F82896" w:rsidRDefault="00F82896" w:rsidP="00697C0D">
      <w:pPr>
        <w:pStyle w:val="SSCBodytext"/>
        <w:ind w:left="426" w:right="679"/>
        <w:jc w:val="left"/>
      </w:pPr>
      <w:r>
        <w:t xml:space="preserve">Feedback about the draft strongly emphasised the need for more engagement by government with </w:t>
      </w:r>
      <w:r w:rsidR="00763EA3">
        <w:t>New Zealand communities</w:t>
      </w:r>
      <w:r>
        <w:t xml:space="preserve">. There were also </w:t>
      </w:r>
      <w:r w:rsidR="00763EA3">
        <w:t>t</w:t>
      </w:r>
      <w:r>
        <w:t xml:space="preserve">hemes around </w:t>
      </w:r>
      <w:r w:rsidR="0013181C">
        <w:t>improving</w:t>
      </w:r>
      <w:r w:rsidR="0013181C" w:rsidRPr="0013181C">
        <w:t xml:space="preserve"> agency practices around the Official Information Act</w:t>
      </w:r>
      <w:r>
        <w:t>, anti-corruption measures, and fiscal transparency.</w:t>
      </w:r>
    </w:p>
    <w:p w:rsidR="00F82896" w:rsidRDefault="00F82896" w:rsidP="00C237C1">
      <w:pPr>
        <w:pStyle w:val="SSCBodytext"/>
        <w:ind w:left="426" w:right="679"/>
      </w:pPr>
    </w:p>
    <w:p w:rsidR="00F82896" w:rsidRDefault="00F82896" w:rsidP="00C237C1">
      <w:pPr>
        <w:pStyle w:val="SSCBodytext"/>
        <w:ind w:left="426" w:right="679"/>
        <w:jc w:val="left"/>
      </w:pPr>
      <w:r>
        <w:t>There were clear differences across submitters’ opinions</w:t>
      </w:r>
      <w:r w:rsidR="00787B6E">
        <w:t xml:space="preserve">, </w:t>
      </w:r>
      <w:r>
        <w:t xml:space="preserve">with statements </w:t>
      </w:r>
      <w:r w:rsidR="00787B6E">
        <w:t xml:space="preserve">asking that </w:t>
      </w:r>
      <w:r>
        <w:t xml:space="preserve">open data be a critical feature of the plan and those </w:t>
      </w:r>
      <w:r w:rsidR="00994E68">
        <w:t xml:space="preserve">opposing </w:t>
      </w:r>
      <w:r>
        <w:t xml:space="preserve">its inclusion. A number of statements requested that specific data programmes not </w:t>
      </w:r>
      <w:r w:rsidR="00787B6E">
        <w:t xml:space="preserve">be </w:t>
      </w:r>
      <w:r>
        <w:t xml:space="preserve">included in the action plan. </w:t>
      </w:r>
      <w:r w:rsidR="00787B6E">
        <w:t>S</w:t>
      </w:r>
      <w:r>
        <w:t xml:space="preserve">ome submissions </w:t>
      </w:r>
      <w:r w:rsidR="00787B6E">
        <w:t>suggested</w:t>
      </w:r>
      <w:r>
        <w:t xml:space="preserve"> that the programme </w:t>
      </w:r>
      <w:r w:rsidR="00763EA3">
        <w:t xml:space="preserve">in </w:t>
      </w:r>
      <w:r>
        <w:t xml:space="preserve">the action plan </w:t>
      </w:r>
      <w:r w:rsidR="00787B6E">
        <w:t xml:space="preserve">should </w:t>
      </w:r>
      <w:r>
        <w:t xml:space="preserve">continue the work begun </w:t>
      </w:r>
      <w:r w:rsidRPr="005D5DE2">
        <w:t xml:space="preserve">in </w:t>
      </w:r>
      <w:r w:rsidRPr="005D5DE2">
        <w:rPr>
          <w:i/>
        </w:rPr>
        <w:t>New Zealand’s Action Plan: 2014-16</w:t>
      </w:r>
      <w:r>
        <w:t xml:space="preserve"> and others asked us to be more ambitious and not include extensions of the previous commitments. </w:t>
      </w:r>
      <w:r w:rsidR="00787B6E">
        <w:t xml:space="preserve">We have taken on board feedback from the OGP’s independent reviewer, and other submitters, and opted to start afresh with a suite of new commitments. </w:t>
      </w:r>
    </w:p>
    <w:p w:rsidR="00F82896" w:rsidRDefault="00F82896" w:rsidP="00C237C1">
      <w:pPr>
        <w:pStyle w:val="SSCBodytext"/>
        <w:ind w:left="426" w:right="679"/>
        <w:rPr>
          <w:szCs w:val="22"/>
        </w:rPr>
      </w:pPr>
    </w:p>
    <w:p w:rsidR="00C40F4B" w:rsidRPr="008D0D60" w:rsidRDefault="00C40F4B" w:rsidP="00C237C1">
      <w:pPr>
        <w:pStyle w:val="SSCBodytext"/>
        <w:ind w:left="426" w:right="679"/>
        <w:jc w:val="left"/>
        <w:rPr>
          <w:i/>
          <w:color w:val="563F5C"/>
          <w:sz w:val="24"/>
          <w:szCs w:val="28"/>
        </w:rPr>
      </w:pPr>
      <w:r w:rsidRPr="008D0D60">
        <w:rPr>
          <w:i/>
          <w:color w:val="563F5C"/>
          <w:sz w:val="24"/>
          <w:szCs w:val="28"/>
        </w:rPr>
        <w:t>Stage 3</w:t>
      </w:r>
    </w:p>
    <w:p w:rsidR="00C40F4B" w:rsidRDefault="00C40F4B" w:rsidP="00C237C1">
      <w:pPr>
        <w:pStyle w:val="SSCBodytext"/>
        <w:ind w:left="426" w:right="679"/>
        <w:jc w:val="left"/>
        <w:rPr>
          <w:szCs w:val="22"/>
        </w:rPr>
      </w:pPr>
      <w:r>
        <w:rPr>
          <w:szCs w:val="22"/>
        </w:rPr>
        <w:t>Stage 3 of the engagement process ran from 5 to 24 August 2016.</w:t>
      </w:r>
      <w:r w:rsidR="009D4470">
        <w:rPr>
          <w:szCs w:val="22"/>
        </w:rPr>
        <w:t xml:space="preserve"> It included public meeting</w:t>
      </w:r>
      <w:r w:rsidR="00787B6E">
        <w:rPr>
          <w:szCs w:val="22"/>
        </w:rPr>
        <w:t>s</w:t>
      </w:r>
      <w:r w:rsidR="009D4470">
        <w:rPr>
          <w:szCs w:val="22"/>
        </w:rPr>
        <w:t xml:space="preserve">, </w:t>
      </w:r>
      <w:r w:rsidR="00C87718">
        <w:rPr>
          <w:szCs w:val="22"/>
        </w:rPr>
        <w:t>a</w:t>
      </w:r>
      <w:r w:rsidR="009D4470">
        <w:rPr>
          <w:szCs w:val="22"/>
        </w:rPr>
        <w:t xml:space="preserve"> wiki</w:t>
      </w:r>
      <w:r w:rsidR="00C87718">
        <w:rPr>
          <w:szCs w:val="22"/>
        </w:rPr>
        <w:t xml:space="preserve"> site</w:t>
      </w:r>
      <w:r w:rsidR="009D4470">
        <w:rPr>
          <w:szCs w:val="22"/>
        </w:rPr>
        <w:t xml:space="preserve"> where </w:t>
      </w:r>
      <w:r w:rsidR="00787B6E">
        <w:rPr>
          <w:szCs w:val="22"/>
        </w:rPr>
        <w:t>people</w:t>
      </w:r>
      <w:r w:rsidR="009D4470">
        <w:rPr>
          <w:szCs w:val="22"/>
        </w:rPr>
        <w:t xml:space="preserve"> could provide </w:t>
      </w:r>
      <w:r w:rsidR="00787B6E">
        <w:rPr>
          <w:szCs w:val="22"/>
        </w:rPr>
        <w:t>ideas for</w:t>
      </w:r>
      <w:r w:rsidR="009D4470">
        <w:rPr>
          <w:szCs w:val="22"/>
        </w:rPr>
        <w:t xml:space="preserve"> commitments, teleconferences, webinars</w:t>
      </w:r>
      <w:r w:rsidR="00994E68">
        <w:rPr>
          <w:szCs w:val="22"/>
        </w:rPr>
        <w:t>,</w:t>
      </w:r>
      <w:r w:rsidR="009D4470">
        <w:rPr>
          <w:szCs w:val="22"/>
        </w:rPr>
        <w:t xml:space="preserve"> and a conference workshop</w:t>
      </w:r>
      <w:r w:rsidR="00B5761D">
        <w:rPr>
          <w:szCs w:val="22"/>
        </w:rPr>
        <w:t>.</w:t>
      </w:r>
    </w:p>
    <w:p w:rsidR="00C40F4B" w:rsidRDefault="00C40F4B" w:rsidP="00C237C1">
      <w:pPr>
        <w:pStyle w:val="SSCBodytext"/>
        <w:ind w:left="426" w:right="679"/>
        <w:rPr>
          <w:szCs w:val="22"/>
        </w:rPr>
      </w:pPr>
    </w:p>
    <w:p w:rsidR="00C40F4B" w:rsidRPr="00C40F4B" w:rsidRDefault="00C40F4B" w:rsidP="00C237C1">
      <w:pPr>
        <w:pStyle w:val="SSCBodytext"/>
        <w:ind w:left="426" w:right="679"/>
        <w:rPr>
          <w:b/>
          <w:color w:val="563F5C"/>
          <w:szCs w:val="22"/>
        </w:rPr>
      </w:pPr>
      <w:r w:rsidRPr="00C40F4B">
        <w:rPr>
          <w:b/>
          <w:color w:val="563F5C"/>
          <w:szCs w:val="22"/>
        </w:rPr>
        <w:t>Public meetings</w:t>
      </w:r>
    </w:p>
    <w:p w:rsidR="00C40F4B" w:rsidRDefault="00C40F4B" w:rsidP="00C237C1">
      <w:pPr>
        <w:pStyle w:val="SSCBodytext"/>
        <w:ind w:left="426" w:right="679"/>
        <w:jc w:val="left"/>
      </w:pPr>
      <w:r>
        <w:t xml:space="preserve">Public meetings were held in Auckland and Christchurch on 17 and 23 August respectively. Awareness was built through an online event tool, stakeholder networks, </w:t>
      </w:r>
      <w:r w:rsidR="00763EA3">
        <w:t>community group</w:t>
      </w:r>
      <w:r>
        <w:t xml:space="preserve"> newsletters, social media and the engage2 blog.</w:t>
      </w:r>
    </w:p>
    <w:p w:rsidR="00C40F4B" w:rsidRDefault="00C40F4B" w:rsidP="00C237C1">
      <w:pPr>
        <w:pStyle w:val="SSCBodytext"/>
        <w:ind w:left="426" w:right="679"/>
        <w:rPr>
          <w:b/>
          <w:color w:val="563F5C"/>
          <w:szCs w:val="22"/>
        </w:rPr>
      </w:pPr>
    </w:p>
    <w:p w:rsidR="00C40F4B" w:rsidRPr="00C40F4B" w:rsidRDefault="00C40F4B" w:rsidP="00C237C1">
      <w:pPr>
        <w:pStyle w:val="SSCBodytext"/>
        <w:ind w:left="426" w:right="679"/>
        <w:rPr>
          <w:i/>
          <w:color w:val="563F5C"/>
          <w:szCs w:val="22"/>
        </w:rPr>
      </w:pPr>
      <w:r w:rsidRPr="00C40F4B">
        <w:rPr>
          <w:i/>
          <w:color w:val="563F5C"/>
          <w:szCs w:val="22"/>
        </w:rPr>
        <w:t>Auckland</w:t>
      </w:r>
    </w:p>
    <w:p w:rsidR="00AF006C" w:rsidRPr="00994E68" w:rsidRDefault="00AF006C" w:rsidP="00AF006C">
      <w:pPr>
        <w:pStyle w:val="SSCBodytext"/>
        <w:ind w:left="426" w:right="679"/>
        <w:jc w:val="left"/>
        <w:rPr>
          <w:iCs/>
        </w:rPr>
      </w:pPr>
      <w:r w:rsidRPr="00994E68">
        <w:rPr>
          <w:iCs/>
        </w:rPr>
        <w:t xml:space="preserve">The Auckland event on 17 August was supported by Victoria University’s Institute for Governance and Policy Studies. This support included hosting the event on </w:t>
      </w:r>
      <w:r w:rsidR="004F0F86" w:rsidRPr="00994E68">
        <w:rPr>
          <w:iCs/>
        </w:rPr>
        <w:t xml:space="preserve">its </w:t>
      </w:r>
      <w:r w:rsidRPr="00994E68">
        <w:rPr>
          <w:iCs/>
        </w:rPr>
        <w:t>Auckland campus</w:t>
      </w:r>
      <w:r w:rsidR="004F0F86" w:rsidRPr="00994E68">
        <w:rPr>
          <w:iCs/>
        </w:rPr>
        <w:t xml:space="preserve"> and providing</w:t>
      </w:r>
      <w:r w:rsidRPr="00994E68">
        <w:rPr>
          <w:iCs/>
        </w:rPr>
        <w:t xml:space="preserve"> materials </w:t>
      </w:r>
      <w:r w:rsidR="004F0F86" w:rsidRPr="00994E68">
        <w:rPr>
          <w:iCs/>
        </w:rPr>
        <w:t>for</w:t>
      </w:r>
      <w:r w:rsidRPr="00994E68">
        <w:rPr>
          <w:iCs/>
        </w:rPr>
        <w:t xml:space="preserve"> the event.</w:t>
      </w:r>
    </w:p>
    <w:p w:rsidR="00AF006C" w:rsidRDefault="00AF006C" w:rsidP="00AF006C">
      <w:pPr>
        <w:pStyle w:val="SSCBodytext"/>
        <w:ind w:left="426" w:right="679"/>
        <w:jc w:val="left"/>
      </w:pPr>
    </w:p>
    <w:p w:rsidR="00C40F4B" w:rsidRDefault="00C40F4B" w:rsidP="00AF006C">
      <w:pPr>
        <w:pStyle w:val="SSCBodytext"/>
        <w:ind w:left="426" w:right="679"/>
        <w:jc w:val="left"/>
      </w:pPr>
      <w:r>
        <w:t>The workshop was noted by participants as a positive first step in increasing openness and broader views in the development of the action plan. For some participants this was their first engagement with OGP, rather than using the online engagement platforms.</w:t>
      </w:r>
    </w:p>
    <w:p w:rsidR="00C40F4B" w:rsidRDefault="00C40F4B" w:rsidP="00C237C1">
      <w:pPr>
        <w:pStyle w:val="SSCBodytext"/>
        <w:ind w:left="426" w:right="679"/>
      </w:pPr>
    </w:p>
    <w:p w:rsidR="00C40F4B" w:rsidRDefault="00C40F4B" w:rsidP="00C237C1">
      <w:pPr>
        <w:pStyle w:val="SSCBodytext"/>
        <w:ind w:left="426" w:right="679"/>
      </w:pPr>
      <w:r>
        <w:t>There were three key areas of discussion:</w:t>
      </w:r>
    </w:p>
    <w:p w:rsidR="00C40F4B" w:rsidRDefault="00C40F4B" w:rsidP="00982D51">
      <w:pPr>
        <w:pStyle w:val="SSCBodytext"/>
        <w:numPr>
          <w:ilvl w:val="0"/>
          <w:numId w:val="22"/>
        </w:numPr>
        <w:spacing w:before="120" w:after="120"/>
        <w:ind w:left="1077" w:right="680" w:hanging="357"/>
      </w:pPr>
      <w:r>
        <w:t>Engagement</w:t>
      </w:r>
      <w:r w:rsidR="00505A48">
        <w:t xml:space="preserve"> </w:t>
      </w:r>
      <w:r>
        <w:t>from government</w:t>
      </w:r>
    </w:p>
    <w:p w:rsidR="00C40F4B" w:rsidRDefault="00C40F4B" w:rsidP="00982D51">
      <w:pPr>
        <w:pStyle w:val="SSCBodytext"/>
        <w:numPr>
          <w:ilvl w:val="0"/>
          <w:numId w:val="22"/>
        </w:numPr>
        <w:spacing w:before="120" w:after="120"/>
        <w:ind w:left="1077" w:right="680" w:hanging="357"/>
      </w:pPr>
      <w:r>
        <w:t xml:space="preserve">Strengthening </w:t>
      </w:r>
      <w:r w:rsidR="0013181C">
        <w:t xml:space="preserve">practices </w:t>
      </w:r>
      <w:r w:rsidR="00505A48">
        <w:t>around</w:t>
      </w:r>
      <w:r w:rsidR="0013181C">
        <w:t xml:space="preserve"> </w:t>
      </w:r>
      <w:r>
        <w:t>the Official Information Act</w:t>
      </w:r>
    </w:p>
    <w:p w:rsidR="00C40F4B" w:rsidRDefault="00C40F4B" w:rsidP="00982D51">
      <w:pPr>
        <w:pStyle w:val="SSCBodytext"/>
        <w:numPr>
          <w:ilvl w:val="0"/>
          <w:numId w:val="22"/>
        </w:numPr>
        <w:spacing w:before="120" w:after="120"/>
        <w:ind w:left="1077" w:right="680" w:hanging="357"/>
      </w:pPr>
      <w:r>
        <w:t>Transparency and accountability in decision-making in government</w:t>
      </w:r>
      <w:r w:rsidR="00787B6E">
        <w:t>.</w:t>
      </w:r>
    </w:p>
    <w:p w:rsidR="00C40F4B" w:rsidRDefault="00C40F4B" w:rsidP="00C237C1">
      <w:pPr>
        <w:pStyle w:val="SSCBodytext"/>
        <w:ind w:left="426" w:right="679"/>
      </w:pPr>
    </w:p>
    <w:p w:rsidR="00C40F4B" w:rsidRDefault="00C40F4B" w:rsidP="00C237C1">
      <w:pPr>
        <w:pStyle w:val="SSCBodytext"/>
        <w:ind w:left="426" w:right="679"/>
      </w:pPr>
      <w:r>
        <w:t>Overarching approaches to the action plan were discussed including:</w:t>
      </w:r>
    </w:p>
    <w:p w:rsidR="00C40F4B" w:rsidRDefault="00C40F4B" w:rsidP="00982D51">
      <w:pPr>
        <w:pStyle w:val="SSCBodytext"/>
        <w:numPr>
          <w:ilvl w:val="0"/>
          <w:numId w:val="23"/>
        </w:numPr>
        <w:spacing w:before="120" w:after="120"/>
        <w:ind w:left="1077" w:right="680" w:hanging="357"/>
      </w:pPr>
      <w:r>
        <w:t xml:space="preserve">ensuring that the </w:t>
      </w:r>
      <w:r w:rsidR="00213D75">
        <w:t>g</w:t>
      </w:r>
      <w:r>
        <w:t xml:space="preserve">overnment was willing to listen to, and act in response to, the concerns of </w:t>
      </w:r>
      <w:r w:rsidR="00763EA3">
        <w:t>New Zealand communities</w:t>
      </w:r>
    </w:p>
    <w:p w:rsidR="00C40F4B" w:rsidRDefault="00787B6E" w:rsidP="00982D51">
      <w:pPr>
        <w:pStyle w:val="SSCBodytext"/>
        <w:numPr>
          <w:ilvl w:val="0"/>
          <w:numId w:val="23"/>
        </w:numPr>
        <w:spacing w:before="120" w:after="120"/>
        <w:ind w:left="1077" w:right="680" w:hanging="357"/>
      </w:pPr>
      <w:r>
        <w:t>ensuring the new plan include</w:t>
      </w:r>
      <w:r w:rsidR="00B5761D">
        <w:t>d</w:t>
      </w:r>
      <w:r>
        <w:t xml:space="preserve"> </w:t>
      </w:r>
      <w:r w:rsidR="00C40F4B">
        <w:t xml:space="preserve">new commitments, rather than </w:t>
      </w:r>
      <w:r>
        <w:t>simply reflect</w:t>
      </w:r>
      <w:r w:rsidR="0052518E">
        <w:t>ing</w:t>
      </w:r>
      <w:r>
        <w:t xml:space="preserve"> </w:t>
      </w:r>
      <w:r w:rsidR="00C40F4B">
        <w:t>ongoing government work</w:t>
      </w:r>
    </w:p>
    <w:p w:rsidR="00C40F4B" w:rsidRDefault="00787B6E" w:rsidP="00982D51">
      <w:pPr>
        <w:pStyle w:val="SSCBodytext"/>
        <w:numPr>
          <w:ilvl w:val="0"/>
          <w:numId w:val="23"/>
        </w:numPr>
        <w:spacing w:before="120" w:after="120"/>
        <w:ind w:left="1077" w:right="680" w:hanging="357"/>
      </w:pPr>
      <w:proofErr w:type="gramStart"/>
      <w:r>
        <w:t>that</w:t>
      </w:r>
      <w:proofErr w:type="gramEnd"/>
      <w:r>
        <w:t xml:space="preserve"> </w:t>
      </w:r>
      <w:r w:rsidR="00C40F4B">
        <w:t>the action plan should be made up of a number of small steps building toward a more transparent and accountable future for New Zealand.</w:t>
      </w:r>
    </w:p>
    <w:p w:rsidR="009D4470" w:rsidRDefault="009D4470" w:rsidP="00C237C1">
      <w:pPr>
        <w:pStyle w:val="SSCBodytext"/>
        <w:ind w:left="426" w:right="679"/>
      </w:pPr>
    </w:p>
    <w:p w:rsidR="00C40F4B" w:rsidRPr="009D4470" w:rsidRDefault="00C40F4B" w:rsidP="00C237C1">
      <w:pPr>
        <w:pStyle w:val="SSCBodytext"/>
        <w:ind w:left="426" w:right="679"/>
        <w:rPr>
          <w:i/>
          <w:color w:val="563F5C"/>
          <w:szCs w:val="22"/>
        </w:rPr>
      </w:pPr>
      <w:r w:rsidRPr="009D4470">
        <w:rPr>
          <w:i/>
          <w:color w:val="563F5C"/>
          <w:szCs w:val="22"/>
        </w:rPr>
        <w:t>Christchurch</w:t>
      </w:r>
    </w:p>
    <w:p w:rsidR="00C40F4B" w:rsidRDefault="004B0DBB" w:rsidP="00C237C1">
      <w:pPr>
        <w:pStyle w:val="SSCBodytext"/>
        <w:ind w:left="426" w:right="679"/>
      </w:pPr>
      <w:r>
        <w:t>There were five</w:t>
      </w:r>
      <w:r w:rsidR="00C40F4B">
        <w:t xml:space="preserve"> key areas of discussion in Christchurch</w:t>
      </w:r>
      <w:r w:rsidR="00787B6E">
        <w:t>. These were:</w:t>
      </w:r>
    </w:p>
    <w:p w:rsidR="00C40F4B" w:rsidRDefault="00C40F4B" w:rsidP="00982D51">
      <w:pPr>
        <w:pStyle w:val="SSCBodytext"/>
        <w:numPr>
          <w:ilvl w:val="0"/>
          <w:numId w:val="24"/>
        </w:numPr>
        <w:spacing w:before="120" w:after="120"/>
        <w:ind w:left="1077" w:right="680" w:hanging="357"/>
      </w:pPr>
      <w:r>
        <w:t>The need for increased opportunity for engagement with government, at both central and local government level, where there was a</w:t>
      </w:r>
      <w:r w:rsidR="00787B6E">
        <w:t xml:space="preserve"> presumption of </w:t>
      </w:r>
      <w:r>
        <w:t>equality between the two parties inherent in the process</w:t>
      </w:r>
    </w:p>
    <w:p w:rsidR="00C40F4B" w:rsidRDefault="00505A48" w:rsidP="00982D51">
      <w:pPr>
        <w:pStyle w:val="SSCBodytext"/>
        <w:numPr>
          <w:ilvl w:val="0"/>
          <w:numId w:val="24"/>
        </w:numPr>
        <w:spacing w:before="120" w:after="120"/>
        <w:ind w:left="1077" w:right="680" w:hanging="357"/>
      </w:pPr>
      <w:r>
        <w:t>The challenge civil society organisations have in responding to government requests for engagement</w:t>
      </w:r>
      <w:r w:rsidR="00B5761D">
        <w:t>,</w:t>
      </w:r>
      <w:r>
        <w:t xml:space="preserve"> given tight resources</w:t>
      </w:r>
    </w:p>
    <w:p w:rsidR="00C40F4B" w:rsidRDefault="00C40F4B" w:rsidP="00982D51">
      <w:pPr>
        <w:pStyle w:val="SSCBodytext"/>
        <w:numPr>
          <w:ilvl w:val="0"/>
          <w:numId w:val="24"/>
        </w:numPr>
        <w:spacing w:before="120" w:after="120"/>
        <w:ind w:left="1077" w:right="680" w:hanging="357"/>
      </w:pPr>
      <w:r>
        <w:t xml:space="preserve">The need for access to government-held data and </w:t>
      </w:r>
      <w:r w:rsidR="00B23DD9">
        <w:t>questions about the use of copyright on government websites</w:t>
      </w:r>
    </w:p>
    <w:p w:rsidR="00505A48" w:rsidRDefault="00C40F4B" w:rsidP="00982D51">
      <w:pPr>
        <w:pStyle w:val="SSCBodytext"/>
        <w:numPr>
          <w:ilvl w:val="0"/>
          <w:numId w:val="24"/>
        </w:numPr>
        <w:spacing w:before="120" w:after="120"/>
        <w:ind w:left="1077" w:right="680" w:hanging="357"/>
      </w:pPr>
      <w:r>
        <w:t xml:space="preserve">The strengthening of the application and approach used by government </w:t>
      </w:r>
      <w:r w:rsidR="00505A48">
        <w:t xml:space="preserve">with requests for official information </w:t>
      </w:r>
    </w:p>
    <w:p w:rsidR="00C40F4B" w:rsidRDefault="00C40F4B" w:rsidP="00982D51">
      <w:pPr>
        <w:pStyle w:val="SSCBodytext"/>
        <w:numPr>
          <w:ilvl w:val="0"/>
          <w:numId w:val="24"/>
        </w:numPr>
        <w:spacing w:before="120" w:after="120"/>
        <w:ind w:left="1077" w:right="680" w:hanging="357"/>
      </w:pPr>
      <w:r>
        <w:t>The use of</w:t>
      </w:r>
      <w:r w:rsidR="008D3E83">
        <w:t xml:space="preserve"> the</w:t>
      </w:r>
      <w:r>
        <w:t xml:space="preserve"> </w:t>
      </w:r>
      <w:r w:rsidR="00505A48" w:rsidRPr="008D3E83">
        <w:rPr>
          <w:i/>
        </w:rPr>
        <w:t>International Association for Public Participation</w:t>
      </w:r>
      <w:r w:rsidR="008D3E83">
        <w:rPr>
          <w:i/>
        </w:rPr>
        <w:t>’s</w:t>
      </w:r>
      <w:r>
        <w:t xml:space="preserve"> s</w:t>
      </w:r>
      <w:r w:rsidR="008D3E83">
        <w:t>pectrum</w:t>
      </w:r>
      <w:r>
        <w:t xml:space="preserve"> </w:t>
      </w:r>
      <w:r w:rsidR="008D3E83">
        <w:t>of public participat</w:t>
      </w:r>
      <w:r w:rsidR="00E5447D">
        <w:t>ion</w:t>
      </w:r>
      <w:r w:rsidR="008D3E83">
        <w:t xml:space="preserve"> to define and communicate the level of</w:t>
      </w:r>
      <w:r>
        <w:t xml:space="preserve"> government engagement.</w:t>
      </w:r>
    </w:p>
    <w:p w:rsidR="00C40F4B" w:rsidRPr="009D4470" w:rsidRDefault="00C40F4B" w:rsidP="00C237C1">
      <w:pPr>
        <w:pStyle w:val="Heading5"/>
        <w:ind w:left="426" w:right="679"/>
        <w:rPr>
          <w:rFonts w:eastAsiaTheme="minorHAnsi" w:cstheme="minorBidi"/>
          <w:color w:val="563F5C"/>
          <w:sz w:val="22"/>
          <w:szCs w:val="22"/>
        </w:rPr>
      </w:pPr>
      <w:r w:rsidRPr="009D4470">
        <w:rPr>
          <w:rFonts w:eastAsiaTheme="minorHAnsi" w:cstheme="minorBidi"/>
          <w:color w:val="563F5C"/>
          <w:sz w:val="22"/>
          <w:szCs w:val="22"/>
        </w:rPr>
        <w:t>Conference attendance</w:t>
      </w:r>
    </w:p>
    <w:p w:rsidR="009D4470" w:rsidRPr="009D4470" w:rsidRDefault="009D4470" w:rsidP="00C237C1">
      <w:pPr>
        <w:pStyle w:val="SSCBodytext"/>
        <w:ind w:left="426" w:right="679"/>
        <w:rPr>
          <w:i/>
          <w:color w:val="563F5C"/>
          <w:szCs w:val="22"/>
        </w:rPr>
      </w:pPr>
      <w:r w:rsidRPr="009D4470">
        <w:rPr>
          <w:i/>
          <w:color w:val="563F5C"/>
          <w:szCs w:val="22"/>
        </w:rPr>
        <w:t>OS//OS</w:t>
      </w:r>
    </w:p>
    <w:p w:rsidR="00D03379" w:rsidRDefault="00C40F4B" w:rsidP="00F0045E">
      <w:pPr>
        <w:pStyle w:val="SSCBodytext"/>
        <w:ind w:left="426" w:right="679"/>
      </w:pPr>
      <w:r w:rsidRPr="000E4424">
        <w:rPr>
          <w:i/>
        </w:rPr>
        <w:t>Open Source//Open Society</w:t>
      </w:r>
      <w:r w:rsidR="009D4470">
        <w:t xml:space="preserve"> (OS//OS) ran on two days in</w:t>
      </w:r>
      <w:r>
        <w:t xml:space="preserve"> Wellington</w:t>
      </w:r>
      <w:r w:rsidR="009D4470">
        <w:t xml:space="preserve"> in August. </w:t>
      </w:r>
      <w:r w:rsidR="008D3E83">
        <w:t xml:space="preserve">This conference </w:t>
      </w:r>
      <w:r w:rsidR="009D4470">
        <w:t>explore</w:t>
      </w:r>
      <w:r w:rsidR="00B5761D">
        <w:t>d</w:t>
      </w:r>
      <w:r w:rsidR="009D4470">
        <w:t xml:space="preserve"> how</w:t>
      </w:r>
      <w:r w:rsidR="009D4470" w:rsidRPr="009D4470">
        <w:t xml:space="preserve"> technology and open wa</w:t>
      </w:r>
      <w:r w:rsidR="009D4470">
        <w:t xml:space="preserve">ys of working can transform life, work, </w:t>
      </w:r>
      <w:r w:rsidR="009D4470" w:rsidRPr="009D4470">
        <w:t>organisation</w:t>
      </w:r>
      <w:r w:rsidR="009D4470">
        <w:t xml:space="preserve">s and </w:t>
      </w:r>
      <w:r w:rsidR="009D4470" w:rsidRPr="009D4470">
        <w:t>society</w:t>
      </w:r>
      <w:r w:rsidR="009D4470">
        <w:t xml:space="preserve">. </w:t>
      </w:r>
      <w:r w:rsidR="00B5761D">
        <w:t xml:space="preserve">On 23 August </w:t>
      </w:r>
      <w:r w:rsidR="00B23DD9">
        <w:t>SSC</w:t>
      </w:r>
      <w:r w:rsidR="009D4470">
        <w:t xml:space="preserve"> co-hosted </w:t>
      </w:r>
      <w:r w:rsidR="00B23DD9">
        <w:t xml:space="preserve">a </w:t>
      </w:r>
      <w:r w:rsidR="009D4470">
        <w:t xml:space="preserve">session </w:t>
      </w:r>
      <w:r w:rsidR="00D24B10">
        <w:t xml:space="preserve">at the conference </w:t>
      </w:r>
      <w:r w:rsidR="00B23DD9">
        <w:t xml:space="preserve">to </w:t>
      </w:r>
      <w:r w:rsidR="009D4470">
        <w:t xml:space="preserve">develop commitments and themes for the </w:t>
      </w:r>
      <w:r w:rsidR="00E5447D">
        <w:t>next</w:t>
      </w:r>
      <w:r w:rsidR="009D4470">
        <w:t xml:space="preserve"> action plan</w:t>
      </w:r>
      <w:r w:rsidR="00F0045E">
        <w:t xml:space="preserve">. </w:t>
      </w:r>
    </w:p>
    <w:p w:rsidR="00D03379" w:rsidRDefault="00D03379" w:rsidP="00C237C1">
      <w:pPr>
        <w:pStyle w:val="SSCBodytext"/>
        <w:ind w:left="426" w:right="679"/>
      </w:pPr>
    </w:p>
    <w:p w:rsidR="00C40F4B" w:rsidRDefault="00C40F4B" w:rsidP="00C237C1">
      <w:pPr>
        <w:pStyle w:val="SSCBodytext"/>
        <w:ind w:left="426" w:right="679"/>
      </w:pPr>
      <w:r>
        <w:t>Three themes were discussed</w:t>
      </w:r>
      <w:r w:rsidR="00B23DD9">
        <w:t>:</w:t>
      </w:r>
    </w:p>
    <w:p w:rsidR="00C40F4B" w:rsidRDefault="00C40F4B" w:rsidP="00982D51">
      <w:pPr>
        <w:pStyle w:val="SSCBodytext"/>
        <w:numPr>
          <w:ilvl w:val="0"/>
          <w:numId w:val="25"/>
        </w:numPr>
        <w:spacing w:before="120" w:after="120"/>
        <w:ind w:left="1077" w:right="680" w:hanging="357"/>
      </w:pPr>
      <w:r>
        <w:t xml:space="preserve">How can government make it easier for people to find out about opportunities to engage in decision-making processes? How can we make the decision-making process more transparent? </w:t>
      </w:r>
    </w:p>
    <w:p w:rsidR="00C40F4B" w:rsidRDefault="00C40F4B" w:rsidP="00982D51">
      <w:pPr>
        <w:pStyle w:val="SSCBodytext"/>
        <w:numPr>
          <w:ilvl w:val="0"/>
          <w:numId w:val="25"/>
        </w:numPr>
        <w:spacing w:before="120" w:after="120"/>
        <w:ind w:left="1077" w:right="680" w:hanging="357"/>
      </w:pPr>
      <w:r>
        <w:t>How can technology increase engagement with government?</w:t>
      </w:r>
    </w:p>
    <w:p w:rsidR="00C40F4B" w:rsidRDefault="00C40F4B" w:rsidP="00982D51">
      <w:pPr>
        <w:pStyle w:val="SSCBodytext"/>
        <w:numPr>
          <w:ilvl w:val="0"/>
          <w:numId w:val="25"/>
        </w:numPr>
        <w:spacing w:before="120" w:after="120"/>
        <w:ind w:left="1077" w:right="680" w:hanging="357"/>
      </w:pPr>
      <w:r>
        <w:t>How could young people be more involved i</w:t>
      </w:r>
      <w:r w:rsidR="00D03379">
        <w:t>n engagement with government?</w:t>
      </w:r>
    </w:p>
    <w:p w:rsidR="00C40F4B" w:rsidRDefault="00C40F4B" w:rsidP="00C237C1">
      <w:pPr>
        <w:pStyle w:val="SSCBodytext"/>
        <w:ind w:left="426" w:right="679"/>
      </w:pPr>
    </w:p>
    <w:p w:rsidR="00C40F4B" w:rsidRDefault="00B23DD9" w:rsidP="00C237C1">
      <w:pPr>
        <w:pStyle w:val="SSCBodytext"/>
        <w:ind w:left="426" w:right="679"/>
      </w:pPr>
      <w:r>
        <w:t xml:space="preserve">Outputs from </w:t>
      </w:r>
      <w:r w:rsidR="00C40F4B">
        <w:t xml:space="preserve">this discussion were </w:t>
      </w:r>
      <w:r>
        <w:t>included in a</w:t>
      </w:r>
      <w:r w:rsidR="00C40F4B">
        <w:t xml:space="preserve"> co-creation workshop in Wellington on 26 August </w:t>
      </w:r>
      <w:r>
        <w:t>where government officials</w:t>
      </w:r>
      <w:r w:rsidR="00763EA3">
        <w:t>,</w:t>
      </w:r>
      <w:r>
        <w:t xml:space="preserve"> </w:t>
      </w:r>
      <w:r w:rsidR="00763EA3">
        <w:t>community groups and individuals</w:t>
      </w:r>
      <w:r>
        <w:t xml:space="preserve"> worked together to draft possible commitments for the plan.</w:t>
      </w:r>
    </w:p>
    <w:p w:rsidR="00C40F4B" w:rsidRPr="009D4470" w:rsidRDefault="00C40F4B" w:rsidP="00C237C1">
      <w:pPr>
        <w:pStyle w:val="Heading5"/>
        <w:ind w:left="426" w:right="679"/>
        <w:rPr>
          <w:rFonts w:eastAsiaTheme="minorHAnsi" w:cstheme="minorBidi"/>
          <w:color w:val="563F5C"/>
          <w:sz w:val="22"/>
          <w:szCs w:val="22"/>
        </w:rPr>
      </w:pPr>
      <w:r w:rsidRPr="009D4470">
        <w:rPr>
          <w:rFonts w:eastAsiaTheme="minorHAnsi" w:cstheme="minorBidi"/>
          <w:color w:val="563F5C"/>
          <w:sz w:val="22"/>
          <w:szCs w:val="22"/>
        </w:rPr>
        <w:t>Online feedback</w:t>
      </w:r>
    </w:p>
    <w:p w:rsidR="00C40F4B" w:rsidRDefault="009D4470" w:rsidP="00C237C1">
      <w:pPr>
        <w:pStyle w:val="SSCBodytext"/>
        <w:ind w:left="426" w:right="679"/>
      </w:pPr>
      <w:r>
        <w:t xml:space="preserve">In August, </w:t>
      </w:r>
      <w:r w:rsidR="00C40F4B">
        <w:t>64 people provided 87 submissions</w:t>
      </w:r>
      <w:r w:rsidR="00EB35FA">
        <w:t xml:space="preserve"> on the wiki site</w:t>
      </w:r>
      <w:r>
        <w:t xml:space="preserve">. </w:t>
      </w:r>
    </w:p>
    <w:p w:rsidR="00C40F4B" w:rsidRDefault="00C40F4B" w:rsidP="00C237C1">
      <w:pPr>
        <w:pStyle w:val="SSCBodytext"/>
        <w:ind w:left="426" w:right="679"/>
      </w:pPr>
    </w:p>
    <w:p w:rsidR="00C40F4B" w:rsidRDefault="00C40F4B" w:rsidP="00C237C1">
      <w:pPr>
        <w:pStyle w:val="SSCBodytext"/>
        <w:ind w:left="426" w:right="679"/>
      </w:pPr>
      <w:r>
        <w:t>Of the 87 submissions, eight themes emerged:</w:t>
      </w:r>
    </w:p>
    <w:p w:rsidR="00C40F4B" w:rsidRDefault="00763EA3" w:rsidP="00982D51">
      <w:pPr>
        <w:pStyle w:val="SSCBodytext"/>
        <w:numPr>
          <w:ilvl w:val="0"/>
          <w:numId w:val="11"/>
        </w:numPr>
        <w:spacing w:before="120" w:after="120"/>
        <w:ind w:left="851" w:right="680"/>
      </w:pPr>
      <w:r>
        <w:t>Community group capacity</w:t>
      </w:r>
      <w:r w:rsidR="00C40F4B" w:rsidRPr="00E052D2">
        <w:t xml:space="preserve"> </w:t>
      </w:r>
      <w:r w:rsidR="00B23DD9">
        <w:t>and</w:t>
      </w:r>
      <w:r w:rsidR="00B23DD9" w:rsidRPr="00E052D2">
        <w:t xml:space="preserve"> </w:t>
      </w:r>
      <w:r w:rsidR="00C40F4B" w:rsidRPr="00E052D2">
        <w:t>participation</w:t>
      </w:r>
      <w:r w:rsidR="00B23DD9">
        <w:t xml:space="preserve"> in government </w:t>
      </w:r>
    </w:p>
    <w:p w:rsidR="00C40F4B" w:rsidRDefault="00C40F4B" w:rsidP="00982D51">
      <w:pPr>
        <w:pStyle w:val="SSCBodytext"/>
        <w:numPr>
          <w:ilvl w:val="0"/>
          <w:numId w:val="11"/>
        </w:numPr>
        <w:spacing w:before="120" w:after="120"/>
        <w:ind w:left="851" w:right="680"/>
      </w:pPr>
      <w:r w:rsidRPr="00E052D2">
        <w:t>Fiscal transparency</w:t>
      </w:r>
    </w:p>
    <w:p w:rsidR="00C40F4B" w:rsidRDefault="00C40F4B" w:rsidP="00982D51">
      <w:pPr>
        <w:pStyle w:val="SSCBodytext"/>
        <w:numPr>
          <w:ilvl w:val="0"/>
          <w:numId w:val="11"/>
        </w:numPr>
        <w:spacing w:before="120" w:after="120"/>
        <w:ind w:left="851" w:right="680"/>
      </w:pPr>
      <w:r w:rsidRPr="00E052D2">
        <w:t xml:space="preserve">Involving </w:t>
      </w:r>
      <w:r w:rsidR="00B23DD9">
        <w:t>citizens </w:t>
      </w:r>
      <w:r>
        <w:t>in public policy and p</w:t>
      </w:r>
      <w:r w:rsidRPr="00E052D2">
        <w:t>rogramme development</w:t>
      </w:r>
    </w:p>
    <w:p w:rsidR="00C40F4B" w:rsidRDefault="007C6979" w:rsidP="00982D51">
      <w:pPr>
        <w:pStyle w:val="SSCBodytext"/>
        <w:numPr>
          <w:ilvl w:val="0"/>
          <w:numId w:val="11"/>
        </w:numPr>
        <w:spacing w:before="120" w:after="120"/>
        <w:ind w:left="851" w:right="680"/>
      </w:pPr>
      <w:r>
        <w:t>T</w:t>
      </w:r>
      <w:r w:rsidR="00B23DD9">
        <w:t>he Official Information Act</w:t>
      </w:r>
    </w:p>
    <w:p w:rsidR="00C40F4B" w:rsidRDefault="00C40F4B" w:rsidP="00982D51">
      <w:pPr>
        <w:pStyle w:val="SSCBodytext"/>
        <w:numPr>
          <w:ilvl w:val="0"/>
          <w:numId w:val="11"/>
        </w:numPr>
        <w:spacing w:before="120" w:after="120"/>
        <w:ind w:left="851" w:right="680"/>
      </w:pPr>
      <w:r w:rsidRPr="00E052D2">
        <w:t xml:space="preserve">Ongoing OGP </w:t>
      </w:r>
      <w:r w:rsidR="00B23DD9">
        <w:t>e</w:t>
      </w:r>
      <w:r w:rsidR="00B23DD9" w:rsidRPr="00E052D2">
        <w:t>ngagement</w:t>
      </w:r>
    </w:p>
    <w:p w:rsidR="00C40F4B" w:rsidRDefault="00C40F4B" w:rsidP="00982D51">
      <w:pPr>
        <w:pStyle w:val="SSCBodytext"/>
        <w:numPr>
          <w:ilvl w:val="0"/>
          <w:numId w:val="11"/>
        </w:numPr>
        <w:spacing w:before="120" w:after="120"/>
        <w:ind w:left="851" w:right="680"/>
      </w:pPr>
      <w:r>
        <w:t>Open data</w:t>
      </w:r>
    </w:p>
    <w:p w:rsidR="00C40F4B" w:rsidRDefault="00C40F4B" w:rsidP="00982D51">
      <w:pPr>
        <w:pStyle w:val="SSCBodytext"/>
        <w:numPr>
          <w:ilvl w:val="0"/>
          <w:numId w:val="11"/>
        </w:numPr>
        <w:spacing w:before="120" w:after="120"/>
        <w:ind w:left="851" w:right="680"/>
      </w:pPr>
      <w:r w:rsidRPr="00E052D2">
        <w:t xml:space="preserve">Standards </w:t>
      </w:r>
      <w:r w:rsidR="00B23DD9">
        <w:t xml:space="preserve">and </w:t>
      </w:r>
      <w:r>
        <w:t>culture around open d</w:t>
      </w:r>
      <w:r w:rsidRPr="00E052D2">
        <w:t>ata/</w:t>
      </w:r>
      <w:r>
        <w:t>o</w:t>
      </w:r>
      <w:r w:rsidRPr="00E052D2">
        <w:t xml:space="preserve">pen </w:t>
      </w:r>
      <w:r>
        <w:t>i</w:t>
      </w:r>
      <w:r w:rsidRPr="00E052D2">
        <w:t>nformation</w:t>
      </w:r>
    </w:p>
    <w:p w:rsidR="00C40F4B" w:rsidRDefault="00C40F4B" w:rsidP="00982D51">
      <w:pPr>
        <w:pStyle w:val="SSCBodytext"/>
        <w:numPr>
          <w:ilvl w:val="0"/>
          <w:numId w:val="11"/>
        </w:numPr>
        <w:spacing w:before="120" w:after="120"/>
        <w:ind w:left="851" w:right="680"/>
      </w:pPr>
      <w:r w:rsidRPr="00E052D2">
        <w:t>Transparency</w:t>
      </w:r>
      <w:r w:rsidR="00B5761D">
        <w:t>.</w:t>
      </w:r>
    </w:p>
    <w:p w:rsidR="00F0045E" w:rsidRDefault="00F0045E">
      <w:pPr>
        <w:spacing w:after="200" w:line="276" w:lineRule="auto"/>
        <w:jc w:val="left"/>
      </w:pPr>
      <w:r>
        <w:br w:type="page"/>
      </w:r>
    </w:p>
    <w:p w:rsidR="00C40F4B" w:rsidRPr="008D0D60" w:rsidRDefault="00C40F4B" w:rsidP="00C237C1">
      <w:pPr>
        <w:pStyle w:val="SSCBodytext"/>
        <w:spacing w:after="240"/>
        <w:ind w:left="426" w:right="679"/>
        <w:rPr>
          <w:b/>
          <w:color w:val="563F5C"/>
          <w:sz w:val="20"/>
          <w:szCs w:val="22"/>
        </w:rPr>
      </w:pPr>
      <w:r w:rsidRPr="008D0D60">
        <w:rPr>
          <w:b/>
          <w:color w:val="563F5C"/>
          <w:sz w:val="20"/>
          <w:szCs w:val="22"/>
        </w:rPr>
        <w:t xml:space="preserve">Number of submissions by theme </w:t>
      </w:r>
    </w:p>
    <w:tbl>
      <w:tblPr>
        <w:tblStyle w:val="TableGrid"/>
        <w:tblW w:w="8773" w:type="dxa"/>
        <w:tblInd w:w="411" w:type="dxa"/>
        <w:tblLook w:val="04A0" w:firstRow="1" w:lastRow="0" w:firstColumn="1" w:lastColumn="0" w:noHBand="0" w:noVBand="1"/>
      </w:tblPr>
      <w:tblGrid>
        <w:gridCol w:w="6520"/>
        <w:gridCol w:w="2253"/>
      </w:tblGrid>
      <w:tr w:rsidR="00C40F4B" w:rsidRPr="004A2D27">
        <w:trPr>
          <w:trHeight w:val="172"/>
        </w:trPr>
        <w:tc>
          <w:tcPr>
            <w:tcW w:w="6520" w:type="dxa"/>
            <w:tcBorders>
              <w:top w:val="single" w:sz="12" w:space="0" w:color="563F5C"/>
              <w:left w:val="single" w:sz="12" w:space="0" w:color="563F5C"/>
              <w:bottom w:val="single" w:sz="12" w:space="0" w:color="563F5C"/>
              <w:right w:val="single" w:sz="12" w:space="0" w:color="563F5C"/>
            </w:tcBorders>
            <w:shd w:val="clear" w:color="auto" w:fill="E2D7E5"/>
            <w:noWrap/>
          </w:tcPr>
          <w:p w:rsidR="00C40F4B" w:rsidRPr="00EB35FA" w:rsidRDefault="00C40F4B" w:rsidP="00D03379">
            <w:pPr>
              <w:pStyle w:val="TableHeader"/>
              <w:ind w:right="679"/>
              <w:rPr>
                <w:color w:val="563F5C"/>
              </w:rPr>
            </w:pPr>
            <w:r w:rsidRPr="00EB35FA">
              <w:rPr>
                <w:color w:val="563F5C"/>
              </w:rPr>
              <w:t>Stage 3 Theme</w:t>
            </w:r>
          </w:p>
        </w:tc>
        <w:tc>
          <w:tcPr>
            <w:tcW w:w="2253" w:type="dxa"/>
            <w:tcBorders>
              <w:top w:val="single" w:sz="12" w:space="0" w:color="563F5C"/>
              <w:left w:val="single" w:sz="12" w:space="0" w:color="563F5C"/>
              <w:bottom w:val="single" w:sz="12" w:space="0" w:color="563F5C"/>
              <w:right w:val="single" w:sz="12" w:space="0" w:color="563F5C"/>
            </w:tcBorders>
            <w:shd w:val="clear" w:color="auto" w:fill="E2D7E5"/>
            <w:noWrap/>
          </w:tcPr>
          <w:p w:rsidR="00C40F4B" w:rsidRPr="00EB35FA" w:rsidRDefault="00C40F4B" w:rsidP="00D03379">
            <w:pPr>
              <w:pStyle w:val="TableHeader"/>
              <w:ind w:right="679"/>
              <w:rPr>
                <w:color w:val="563F5C"/>
              </w:rPr>
            </w:pPr>
            <w:r w:rsidRPr="00EB35FA">
              <w:rPr>
                <w:color w:val="563F5C"/>
                <w:szCs w:val="22"/>
              </w:rPr>
              <w:t>Number of Actions</w:t>
            </w:r>
          </w:p>
        </w:tc>
      </w:tr>
      <w:tr w:rsidR="00C40F4B" w:rsidRPr="004A2D27">
        <w:trPr>
          <w:trHeight w:val="172"/>
        </w:trPr>
        <w:tc>
          <w:tcPr>
            <w:tcW w:w="6520" w:type="dxa"/>
            <w:tcBorders>
              <w:top w:val="single" w:sz="12" w:space="0" w:color="563F5C"/>
              <w:left w:val="single" w:sz="12" w:space="0" w:color="563F5C"/>
              <w:bottom w:val="single" w:sz="12" w:space="0" w:color="563F5C"/>
              <w:right w:val="single" w:sz="12" w:space="0" w:color="563F5C"/>
            </w:tcBorders>
            <w:noWrap/>
          </w:tcPr>
          <w:p w:rsidR="00C40F4B" w:rsidRPr="00D03379" w:rsidRDefault="00C40F4B" w:rsidP="00D03379">
            <w:pPr>
              <w:pStyle w:val="TableText"/>
              <w:ind w:right="679"/>
              <w:rPr>
                <w:sz w:val="20"/>
              </w:rPr>
            </w:pPr>
            <w:r w:rsidRPr="00D03379">
              <w:rPr>
                <w:sz w:val="20"/>
                <w:szCs w:val="22"/>
              </w:rPr>
              <w:t xml:space="preserve">Civil Society capacity </w:t>
            </w:r>
            <w:r w:rsidR="00B23DD9" w:rsidRPr="00D03379">
              <w:rPr>
                <w:sz w:val="20"/>
                <w:szCs w:val="22"/>
              </w:rPr>
              <w:t xml:space="preserve">and </w:t>
            </w:r>
            <w:r w:rsidRPr="00D03379">
              <w:rPr>
                <w:sz w:val="20"/>
                <w:szCs w:val="22"/>
              </w:rPr>
              <w:t>participation</w:t>
            </w:r>
          </w:p>
        </w:tc>
        <w:tc>
          <w:tcPr>
            <w:tcW w:w="2253" w:type="dxa"/>
            <w:tcBorders>
              <w:top w:val="single" w:sz="12" w:space="0" w:color="563F5C"/>
              <w:left w:val="single" w:sz="12" w:space="0" w:color="563F5C"/>
              <w:bottom w:val="single" w:sz="12" w:space="0" w:color="563F5C"/>
              <w:right w:val="single" w:sz="12" w:space="0" w:color="563F5C"/>
            </w:tcBorders>
            <w:noWrap/>
          </w:tcPr>
          <w:p w:rsidR="00C40F4B" w:rsidRPr="00D03379" w:rsidRDefault="00C40F4B" w:rsidP="00D03379">
            <w:pPr>
              <w:pStyle w:val="TableText"/>
              <w:ind w:right="679"/>
              <w:rPr>
                <w:sz w:val="20"/>
                <w:szCs w:val="22"/>
              </w:rPr>
            </w:pPr>
            <w:r w:rsidRPr="00D03379">
              <w:rPr>
                <w:sz w:val="20"/>
                <w:szCs w:val="22"/>
              </w:rPr>
              <w:t>16</w:t>
            </w:r>
          </w:p>
        </w:tc>
      </w:tr>
      <w:tr w:rsidR="00C40F4B" w:rsidRPr="004A2D27">
        <w:trPr>
          <w:trHeight w:val="172"/>
        </w:trPr>
        <w:tc>
          <w:tcPr>
            <w:tcW w:w="6520" w:type="dxa"/>
            <w:tcBorders>
              <w:top w:val="single" w:sz="12" w:space="0" w:color="563F5C"/>
              <w:left w:val="single" w:sz="12" w:space="0" w:color="563F5C"/>
              <w:bottom w:val="single" w:sz="12" w:space="0" w:color="563F5C"/>
              <w:right w:val="single" w:sz="12" w:space="0" w:color="563F5C"/>
            </w:tcBorders>
            <w:noWrap/>
          </w:tcPr>
          <w:p w:rsidR="00C40F4B" w:rsidRPr="00D03379" w:rsidRDefault="00C40F4B" w:rsidP="00D03379">
            <w:pPr>
              <w:pStyle w:val="TableText"/>
              <w:ind w:right="679"/>
              <w:rPr>
                <w:sz w:val="20"/>
              </w:rPr>
            </w:pPr>
            <w:r w:rsidRPr="00D03379">
              <w:rPr>
                <w:sz w:val="20"/>
                <w:szCs w:val="22"/>
              </w:rPr>
              <w:t>Fiscal transparency</w:t>
            </w:r>
          </w:p>
        </w:tc>
        <w:tc>
          <w:tcPr>
            <w:tcW w:w="2253" w:type="dxa"/>
            <w:tcBorders>
              <w:top w:val="single" w:sz="12" w:space="0" w:color="563F5C"/>
              <w:left w:val="single" w:sz="12" w:space="0" w:color="563F5C"/>
              <w:bottom w:val="single" w:sz="12" w:space="0" w:color="563F5C"/>
              <w:right w:val="single" w:sz="12" w:space="0" w:color="563F5C"/>
            </w:tcBorders>
            <w:noWrap/>
          </w:tcPr>
          <w:p w:rsidR="00C40F4B" w:rsidRPr="00D03379" w:rsidRDefault="00C40F4B" w:rsidP="00D03379">
            <w:pPr>
              <w:pStyle w:val="TableText"/>
              <w:ind w:right="679"/>
              <w:rPr>
                <w:sz w:val="20"/>
                <w:szCs w:val="22"/>
              </w:rPr>
            </w:pPr>
            <w:r w:rsidRPr="00D03379">
              <w:rPr>
                <w:sz w:val="20"/>
                <w:szCs w:val="22"/>
              </w:rPr>
              <w:t>8</w:t>
            </w:r>
          </w:p>
        </w:tc>
      </w:tr>
      <w:tr w:rsidR="00C40F4B" w:rsidRPr="004A2D27">
        <w:trPr>
          <w:trHeight w:val="172"/>
        </w:trPr>
        <w:tc>
          <w:tcPr>
            <w:tcW w:w="6520" w:type="dxa"/>
            <w:tcBorders>
              <w:top w:val="single" w:sz="12" w:space="0" w:color="563F5C"/>
              <w:left w:val="single" w:sz="12" w:space="0" w:color="563F5C"/>
              <w:bottom w:val="single" w:sz="12" w:space="0" w:color="563F5C"/>
              <w:right w:val="single" w:sz="12" w:space="0" w:color="563F5C"/>
            </w:tcBorders>
            <w:noWrap/>
          </w:tcPr>
          <w:p w:rsidR="00C40F4B" w:rsidRPr="00D03379" w:rsidRDefault="00C40F4B" w:rsidP="00D03379">
            <w:pPr>
              <w:pStyle w:val="TableText"/>
              <w:ind w:right="679"/>
              <w:rPr>
                <w:sz w:val="20"/>
              </w:rPr>
            </w:pPr>
            <w:r w:rsidRPr="00D03379">
              <w:rPr>
                <w:sz w:val="20"/>
                <w:szCs w:val="22"/>
              </w:rPr>
              <w:t xml:space="preserve">Involving </w:t>
            </w:r>
            <w:r w:rsidR="00B23DD9" w:rsidRPr="00D03379">
              <w:rPr>
                <w:sz w:val="20"/>
                <w:szCs w:val="22"/>
              </w:rPr>
              <w:t>citizens </w:t>
            </w:r>
            <w:r w:rsidRPr="00D03379">
              <w:rPr>
                <w:sz w:val="20"/>
                <w:szCs w:val="22"/>
              </w:rPr>
              <w:t>in public policy and programme development</w:t>
            </w:r>
          </w:p>
        </w:tc>
        <w:tc>
          <w:tcPr>
            <w:tcW w:w="2253" w:type="dxa"/>
            <w:tcBorders>
              <w:top w:val="single" w:sz="12" w:space="0" w:color="563F5C"/>
              <w:left w:val="single" w:sz="12" w:space="0" w:color="563F5C"/>
              <w:bottom w:val="single" w:sz="12" w:space="0" w:color="563F5C"/>
              <w:right w:val="single" w:sz="12" w:space="0" w:color="563F5C"/>
            </w:tcBorders>
            <w:noWrap/>
          </w:tcPr>
          <w:p w:rsidR="00C40F4B" w:rsidRPr="00D03379" w:rsidRDefault="00C40F4B" w:rsidP="00D03379">
            <w:pPr>
              <w:pStyle w:val="TableText"/>
              <w:ind w:right="679"/>
              <w:rPr>
                <w:sz w:val="20"/>
                <w:szCs w:val="22"/>
              </w:rPr>
            </w:pPr>
            <w:r w:rsidRPr="00D03379">
              <w:rPr>
                <w:sz w:val="20"/>
                <w:szCs w:val="22"/>
              </w:rPr>
              <w:t>15</w:t>
            </w:r>
          </w:p>
        </w:tc>
      </w:tr>
      <w:tr w:rsidR="00C40F4B" w:rsidRPr="004A2D27">
        <w:trPr>
          <w:trHeight w:val="172"/>
        </w:trPr>
        <w:tc>
          <w:tcPr>
            <w:tcW w:w="6520" w:type="dxa"/>
            <w:tcBorders>
              <w:top w:val="single" w:sz="12" w:space="0" w:color="563F5C"/>
              <w:left w:val="single" w:sz="12" w:space="0" w:color="563F5C"/>
              <w:bottom w:val="single" w:sz="12" w:space="0" w:color="563F5C"/>
              <w:right w:val="single" w:sz="12" w:space="0" w:color="563F5C"/>
            </w:tcBorders>
            <w:noWrap/>
          </w:tcPr>
          <w:p w:rsidR="00C40F4B" w:rsidRPr="00D03379" w:rsidRDefault="00C40F4B" w:rsidP="00D03379">
            <w:pPr>
              <w:pStyle w:val="TableText"/>
              <w:ind w:right="679"/>
              <w:rPr>
                <w:sz w:val="20"/>
              </w:rPr>
            </w:pPr>
            <w:r w:rsidRPr="00D03379">
              <w:rPr>
                <w:sz w:val="20"/>
                <w:szCs w:val="22"/>
              </w:rPr>
              <w:t>O</w:t>
            </w:r>
            <w:r w:rsidR="009D4470" w:rsidRPr="00D03379">
              <w:rPr>
                <w:sz w:val="20"/>
                <w:szCs w:val="22"/>
              </w:rPr>
              <w:t xml:space="preserve">fficial </w:t>
            </w:r>
            <w:r w:rsidRPr="00D03379">
              <w:rPr>
                <w:sz w:val="20"/>
                <w:szCs w:val="22"/>
              </w:rPr>
              <w:t>I</w:t>
            </w:r>
            <w:r w:rsidR="009D4470" w:rsidRPr="00D03379">
              <w:rPr>
                <w:sz w:val="20"/>
                <w:szCs w:val="22"/>
              </w:rPr>
              <w:t xml:space="preserve">nformation </w:t>
            </w:r>
            <w:r w:rsidRPr="00D03379">
              <w:rPr>
                <w:sz w:val="20"/>
                <w:szCs w:val="22"/>
              </w:rPr>
              <w:t>A</w:t>
            </w:r>
            <w:r w:rsidR="009D4470" w:rsidRPr="00D03379">
              <w:rPr>
                <w:sz w:val="20"/>
                <w:szCs w:val="22"/>
              </w:rPr>
              <w:t>ct</w:t>
            </w:r>
          </w:p>
        </w:tc>
        <w:tc>
          <w:tcPr>
            <w:tcW w:w="2253" w:type="dxa"/>
            <w:tcBorders>
              <w:top w:val="single" w:sz="12" w:space="0" w:color="563F5C"/>
              <w:left w:val="single" w:sz="12" w:space="0" w:color="563F5C"/>
              <w:bottom w:val="single" w:sz="12" w:space="0" w:color="563F5C"/>
              <w:right w:val="single" w:sz="12" w:space="0" w:color="563F5C"/>
            </w:tcBorders>
            <w:noWrap/>
          </w:tcPr>
          <w:p w:rsidR="00C40F4B" w:rsidRPr="00D03379" w:rsidRDefault="00C40F4B" w:rsidP="00D03379">
            <w:pPr>
              <w:pStyle w:val="TableText"/>
              <w:ind w:right="679"/>
              <w:rPr>
                <w:sz w:val="20"/>
                <w:szCs w:val="22"/>
              </w:rPr>
            </w:pPr>
            <w:r w:rsidRPr="00D03379">
              <w:rPr>
                <w:sz w:val="20"/>
                <w:szCs w:val="22"/>
              </w:rPr>
              <w:t>13</w:t>
            </w:r>
          </w:p>
        </w:tc>
      </w:tr>
      <w:tr w:rsidR="00C40F4B" w:rsidRPr="004A2D27">
        <w:trPr>
          <w:trHeight w:val="172"/>
        </w:trPr>
        <w:tc>
          <w:tcPr>
            <w:tcW w:w="6520" w:type="dxa"/>
            <w:tcBorders>
              <w:top w:val="single" w:sz="12" w:space="0" w:color="563F5C"/>
              <w:left w:val="single" w:sz="12" w:space="0" w:color="563F5C"/>
              <w:bottom w:val="single" w:sz="12" w:space="0" w:color="563F5C"/>
              <w:right w:val="single" w:sz="12" w:space="0" w:color="563F5C"/>
            </w:tcBorders>
            <w:noWrap/>
          </w:tcPr>
          <w:p w:rsidR="00C40F4B" w:rsidRPr="00D03379" w:rsidRDefault="00C40F4B" w:rsidP="00D03379">
            <w:pPr>
              <w:pStyle w:val="TableText"/>
              <w:ind w:right="679"/>
              <w:rPr>
                <w:sz w:val="20"/>
              </w:rPr>
            </w:pPr>
            <w:r w:rsidRPr="00D03379">
              <w:rPr>
                <w:sz w:val="20"/>
                <w:szCs w:val="22"/>
              </w:rPr>
              <w:t>Ongoing OGP engagement</w:t>
            </w:r>
          </w:p>
        </w:tc>
        <w:tc>
          <w:tcPr>
            <w:tcW w:w="2253" w:type="dxa"/>
            <w:tcBorders>
              <w:top w:val="single" w:sz="12" w:space="0" w:color="563F5C"/>
              <w:left w:val="single" w:sz="12" w:space="0" w:color="563F5C"/>
              <w:bottom w:val="single" w:sz="12" w:space="0" w:color="563F5C"/>
              <w:right w:val="single" w:sz="12" w:space="0" w:color="563F5C"/>
            </w:tcBorders>
            <w:noWrap/>
          </w:tcPr>
          <w:p w:rsidR="00C40F4B" w:rsidRPr="00D03379" w:rsidRDefault="00C40F4B" w:rsidP="00D03379">
            <w:pPr>
              <w:pStyle w:val="TableText"/>
              <w:ind w:right="679"/>
              <w:rPr>
                <w:sz w:val="20"/>
                <w:szCs w:val="22"/>
              </w:rPr>
            </w:pPr>
            <w:r w:rsidRPr="00D03379">
              <w:rPr>
                <w:sz w:val="20"/>
                <w:szCs w:val="22"/>
              </w:rPr>
              <w:t>1</w:t>
            </w:r>
          </w:p>
        </w:tc>
      </w:tr>
      <w:tr w:rsidR="00C40F4B" w:rsidRPr="004A2D27">
        <w:trPr>
          <w:trHeight w:val="172"/>
        </w:trPr>
        <w:tc>
          <w:tcPr>
            <w:tcW w:w="6520" w:type="dxa"/>
            <w:tcBorders>
              <w:top w:val="single" w:sz="12" w:space="0" w:color="563F5C"/>
              <w:left w:val="single" w:sz="12" w:space="0" w:color="563F5C"/>
              <w:bottom w:val="single" w:sz="12" w:space="0" w:color="563F5C"/>
              <w:right w:val="single" w:sz="12" w:space="0" w:color="563F5C"/>
            </w:tcBorders>
            <w:noWrap/>
          </w:tcPr>
          <w:p w:rsidR="00C40F4B" w:rsidRPr="00D03379" w:rsidRDefault="00C40F4B" w:rsidP="00D03379">
            <w:pPr>
              <w:pStyle w:val="TableText"/>
              <w:ind w:right="679"/>
              <w:rPr>
                <w:sz w:val="20"/>
                <w:szCs w:val="22"/>
              </w:rPr>
            </w:pPr>
            <w:r w:rsidRPr="00D03379">
              <w:rPr>
                <w:sz w:val="20"/>
                <w:szCs w:val="22"/>
              </w:rPr>
              <w:t>Open data</w:t>
            </w:r>
          </w:p>
        </w:tc>
        <w:tc>
          <w:tcPr>
            <w:tcW w:w="2253" w:type="dxa"/>
            <w:tcBorders>
              <w:top w:val="single" w:sz="12" w:space="0" w:color="563F5C"/>
              <w:left w:val="single" w:sz="12" w:space="0" w:color="563F5C"/>
              <w:bottom w:val="single" w:sz="12" w:space="0" w:color="563F5C"/>
              <w:right w:val="single" w:sz="12" w:space="0" w:color="563F5C"/>
            </w:tcBorders>
            <w:noWrap/>
          </w:tcPr>
          <w:p w:rsidR="00C40F4B" w:rsidRPr="00D03379" w:rsidRDefault="00C40F4B" w:rsidP="00D03379">
            <w:pPr>
              <w:pStyle w:val="TableText"/>
              <w:ind w:right="679"/>
              <w:rPr>
                <w:sz w:val="20"/>
                <w:szCs w:val="22"/>
              </w:rPr>
            </w:pPr>
            <w:r w:rsidRPr="00D03379">
              <w:rPr>
                <w:sz w:val="20"/>
                <w:szCs w:val="22"/>
              </w:rPr>
              <w:t>13</w:t>
            </w:r>
          </w:p>
        </w:tc>
      </w:tr>
      <w:tr w:rsidR="00C40F4B" w:rsidRPr="004A2D27">
        <w:trPr>
          <w:trHeight w:val="172"/>
        </w:trPr>
        <w:tc>
          <w:tcPr>
            <w:tcW w:w="6520" w:type="dxa"/>
            <w:tcBorders>
              <w:top w:val="single" w:sz="12" w:space="0" w:color="563F5C"/>
              <w:left w:val="single" w:sz="12" w:space="0" w:color="563F5C"/>
              <w:bottom w:val="single" w:sz="12" w:space="0" w:color="563F5C"/>
              <w:right w:val="single" w:sz="12" w:space="0" w:color="563F5C"/>
            </w:tcBorders>
            <w:noWrap/>
          </w:tcPr>
          <w:p w:rsidR="00C40F4B" w:rsidRPr="00D03379" w:rsidRDefault="00C40F4B" w:rsidP="00D03379">
            <w:pPr>
              <w:pStyle w:val="TableText"/>
              <w:ind w:right="679"/>
              <w:rPr>
                <w:sz w:val="20"/>
                <w:szCs w:val="22"/>
              </w:rPr>
            </w:pPr>
            <w:r w:rsidRPr="00D03379">
              <w:rPr>
                <w:sz w:val="20"/>
                <w:szCs w:val="22"/>
              </w:rPr>
              <w:t>Standards &amp; culture around open data / open information</w:t>
            </w:r>
          </w:p>
        </w:tc>
        <w:tc>
          <w:tcPr>
            <w:tcW w:w="2253" w:type="dxa"/>
            <w:tcBorders>
              <w:top w:val="single" w:sz="12" w:space="0" w:color="563F5C"/>
              <w:left w:val="single" w:sz="12" w:space="0" w:color="563F5C"/>
              <w:bottom w:val="single" w:sz="12" w:space="0" w:color="563F5C"/>
              <w:right w:val="single" w:sz="12" w:space="0" w:color="563F5C"/>
            </w:tcBorders>
            <w:noWrap/>
          </w:tcPr>
          <w:p w:rsidR="00C40F4B" w:rsidRPr="00D03379" w:rsidRDefault="00C40F4B" w:rsidP="00D03379">
            <w:pPr>
              <w:pStyle w:val="TableText"/>
              <w:ind w:right="679"/>
              <w:rPr>
                <w:sz w:val="20"/>
                <w:szCs w:val="22"/>
              </w:rPr>
            </w:pPr>
            <w:r w:rsidRPr="00D03379">
              <w:rPr>
                <w:sz w:val="20"/>
                <w:szCs w:val="22"/>
              </w:rPr>
              <w:t>8</w:t>
            </w:r>
          </w:p>
        </w:tc>
      </w:tr>
      <w:tr w:rsidR="00C40F4B" w:rsidRPr="004A2D27">
        <w:trPr>
          <w:trHeight w:val="180"/>
        </w:trPr>
        <w:tc>
          <w:tcPr>
            <w:tcW w:w="6520" w:type="dxa"/>
            <w:tcBorders>
              <w:top w:val="single" w:sz="12" w:space="0" w:color="563F5C"/>
              <w:left w:val="single" w:sz="12" w:space="0" w:color="563F5C"/>
              <w:bottom w:val="single" w:sz="12" w:space="0" w:color="563F5C"/>
              <w:right w:val="single" w:sz="12" w:space="0" w:color="563F5C"/>
            </w:tcBorders>
            <w:noWrap/>
          </w:tcPr>
          <w:p w:rsidR="00C40F4B" w:rsidRPr="00D03379" w:rsidRDefault="00C40F4B" w:rsidP="00D03379">
            <w:pPr>
              <w:pStyle w:val="TableText"/>
              <w:ind w:right="679"/>
              <w:rPr>
                <w:sz w:val="20"/>
              </w:rPr>
            </w:pPr>
            <w:r w:rsidRPr="00D03379">
              <w:rPr>
                <w:sz w:val="20"/>
              </w:rPr>
              <w:t>T</w:t>
            </w:r>
            <w:r w:rsidRPr="00D03379">
              <w:rPr>
                <w:sz w:val="20"/>
                <w:szCs w:val="22"/>
              </w:rPr>
              <w:t>ransparency</w:t>
            </w:r>
          </w:p>
        </w:tc>
        <w:tc>
          <w:tcPr>
            <w:tcW w:w="2253" w:type="dxa"/>
            <w:tcBorders>
              <w:top w:val="single" w:sz="12" w:space="0" w:color="563F5C"/>
              <w:left w:val="single" w:sz="12" w:space="0" w:color="563F5C"/>
              <w:bottom w:val="single" w:sz="12" w:space="0" w:color="563F5C"/>
              <w:right w:val="single" w:sz="12" w:space="0" w:color="563F5C"/>
            </w:tcBorders>
            <w:noWrap/>
          </w:tcPr>
          <w:p w:rsidR="00C40F4B" w:rsidRPr="00D03379" w:rsidRDefault="00C40F4B" w:rsidP="00D03379">
            <w:pPr>
              <w:pStyle w:val="TableText"/>
              <w:ind w:right="679"/>
              <w:rPr>
                <w:sz w:val="20"/>
                <w:szCs w:val="22"/>
              </w:rPr>
            </w:pPr>
            <w:r w:rsidRPr="00D03379">
              <w:rPr>
                <w:sz w:val="20"/>
                <w:szCs w:val="22"/>
              </w:rPr>
              <w:t>13</w:t>
            </w:r>
          </w:p>
        </w:tc>
      </w:tr>
    </w:tbl>
    <w:p w:rsidR="00C87718" w:rsidRDefault="00C87718" w:rsidP="00C87718">
      <w:pPr>
        <w:pStyle w:val="SSCBodytext"/>
        <w:ind w:left="426" w:right="679"/>
        <w:jc w:val="left"/>
        <w:rPr>
          <w:i/>
          <w:color w:val="563F5C"/>
          <w:sz w:val="24"/>
          <w:szCs w:val="28"/>
        </w:rPr>
      </w:pPr>
      <w:bookmarkStart w:id="52" w:name="_Toc464037113"/>
      <w:bookmarkStart w:id="53" w:name="_Toc464037353"/>
    </w:p>
    <w:p w:rsidR="00C87718" w:rsidRPr="008D0D60" w:rsidRDefault="00C87718" w:rsidP="00C87718">
      <w:pPr>
        <w:pStyle w:val="SSCBodytext"/>
        <w:ind w:left="426" w:right="679"/>
        <w:jc w:val="left"/>
        <w:rPr>
          <w:i/>
          <w:color w:val="563F5C"/>
          <w:sz w:val="24"/>
          <w:szCs w:val="28"/>
        </w:rPr>
      </w:pPr>
      <w:r>
        <w:rPr>
          <w:i/>
          <w:color w:val="563F5C"/>
          <w:sz w:val="24"/>
          <w:szCs w:val="28"/>
        </w:rPr>
        <w:t>Stage 4</w:t>
      </w:r>
    </w:p>
    <w:bookmarkEnd w:id="52"/>
    <w:bookmarkEnd w:id="53"/>
    <w:p w:rsidR="009D4470" w:rsidRDefault="009D4470" w:rsidP="00C237C1">
      <w:pPr>
        <w:pStyle w:val="SSCBodytext"/>
        <w:spacing w:after="240"/>
        <w:ind w:left="426" w:right="679"/>
      </w:pPr>
      <w:r w:rsidRPr="009D4470">
        <w:t xml:space="preserve">Stage </w:t>
      </w:r>
      <w:r w:rsidR="00B23DD9">
        <w:t>4</w:t>
      </w:r>
      <w:r w:rsidR="00B23DD9" w:rsidRPr="009D4470">
        <w:t xml:space="preserve"> </w:t>
      </w:r>
      <w:r w:rsidRPr="009D4470">
        <w:t>of the engagement process ran from</w:t>
      </w:r>
      <w:r w:rsidR="008D3E83">
        <w:t xml:space="preserve"> 21 to 30 August 2016.</w:t>
      </w:r>
    </w:p>
    <w:p w:rsidR="00C40F4B" w:rsidRPr="00E5447D" w:rsidRDefault="00C40F4B" w:rsidP="00C237C1">
      <w:pPr>
        <w:pStyle w:val="SSCBodytext"/>
        <w:ind w:left="426" w:right="679"/>
        <w:rPr>
          <w:i/>
          <w:color w:val="563F5C"/>
          <w:szCs w:val="22"/>
        </w:rPr>
      </w:pPr>
      <w:r w:rsidRPr="00E5447D">
        <w:rPr>
          <w:i/>
          <w:color w:val="563F5C"/>
          <w:szCs w:val="22"/>
        </w:rPr>
        <w:t>Co-creation workshop</w:t>
      </w:r>
    </w:p>
    <w:p w:rsidR="00C40F4B" w:rsidRDefault="00B23DD9" w:rsidP="00C237C1">
      <w:pPr>
        <w:pStyle w:val="SSCBodytext"/>
        <w:ind w:left="426" w:right="679"/>
      </w:pPr>
      <w:r>
        <w:t xml:space="preserve">A </w:t>
      </w:r>
      <w:r w:rsidR="00C40F4B">
        <w:t xml:space="preserve">co-creation workshop was held in Wellington on 26 August 2016. </w:t>
      </w:r>
      <w:r>
        <w:t>This included</w:t>
      </w:r>
      <w:r w:rsidR="00C40F4B">
        <w:t xml:space="preserve"> a </w:t>
      </w:r>
      <w:r w:rsidR="00C40F4B" w:rsidRPr="00AB2FF9">
        <w:t>webcast</w:t>
      </w:r>
      <w:r w:rsidR="00C40F4B">
        <w:t xml:space="preserve"> of</w:t>
      </w:r>
      <w:r w:rsidR="00C40F4B" w:rsidRPr="00AB2FF9">
        <w:t xml:space="preserve"> the scene-setting presentations live from 9am</w:t>
      </w:r>
      <w:r w:rsidR="00C40F4B">
        <w:t xml:space="preserve"> for those who could not travel to the event</w:t>
      </w:r>
      <w:r w:rsidR="008D3E83">
        <w:t>.</w:t>
      </w:r>
    </w:p>
    <w:p w:rsidR="00C40F4B" w:rsidRDefault="00C40F4B" w:rsidP="00C237C1">
      <w:pPr>
        <w:pStyle w:val="SSCBodytext"/>
        <w:ind w:left="426" w:right="679"/>
      </w:pPr>
    </w:p>
    <w:p w:rsidR="00C40F4B" w:rsidRDefault="00B5761D" w:rsidP="00C237C1">
      <w:pPr>
        <w:pStyle w:val="SSCBodytext"/>
        <w:ind w:left="426" w:right="679"/>
      </w:pPr>
      <w:r>
        <w:t>Thirty</w:t>
      </w:r>
      <w:r w:rsidR="00C40F4B">
        <w:t xml:space="preserve"> people participated in the workshop: </w:t>
      </w:r>
      <w:r w:rsidR="008A34DB">
        <w:t>individuals;</w:t>
      </w:r>
      <w:r w:rsidR="00C40F4B" w:rsidRPr="00AB2FF9">
        <w:t xml:space="preserve"> representatives of non</w:t>
      </w:r>
      <w:r w:rsidR="00C40F4B">
        <w:t>-government organisations</w:t>
      </w:r>
      <w:r w:rsidR="008A34DB">
        <w:t>;</w:t>
      </w:r>
      <w:r w:rsidR="00C40F4B">
        <w:t xml:space="preserve"> and </w:t>
      </w:r>
      <w:r w:rsidR="00C40F4B" w:rsidRPr="00AB2FF9">
        <w:t xml:space="preserve">officials from government agencies (including the Department of Internal Affairs, Land Information New Zealand, Statistics New Zealand, the Ministry of Foreign Affairs </w:t>
      </w:r>
      <w:r w:rsidR="00B23DD9">
        <w:t>and</w:t>
      </w:r>
      <w:r w:rsidR="00B23DD9" w:rsidRPr="00AB2FF9">
        <w:t xml:space="preserve"> </w:t>
      </w:r>
      <w:r w:rsidR="00C40F4B" w:rsidRPr="00AB2FF9">
        <w:t xml:space="preserve">Trade, </w:t>
      </w:r>
      <w:r>
        <w:t>t</w:t>
      </w:r>
      <w:r w:rsidR="00C40F4B" w:rsidRPr="00AB2FF9">
        <w:t>he Treasury, the Ministry of Justice</w:t>
      </w:r>
      <w:r w:rsidR="008A34DB">
        <w:t>,</w:t>
      </w:r>
      <w:r w:rsidR="00C40F4B" w:rsidRPr="00AB2FF9">
        <w:t xml:space="preserve"> and the State Services Commission).</w:t>
      </w:r>
    </w:p>
    <w:p w:rsidR="00C40F4B" w:rsidRDefault="00C40F4B" w:rsidP="00C237C1">
      <w:pPr>
        <w:pStyle w:val="SSCBodytext"/>
        <w:ind w:left="426" w:right="679"/>
      </w:pPr>
    </w:p>
    <w:p w:rsidR="00C40F4B" w:rsidRDefault="00C40F4B" w:rsidP="00C237C1">
      <w:pPr>
        <w:pStyle w:val="SSCBodytext"/>
        <w:ind w:left="426" w:right="679"/>
      </w:pPr>
      <w:r w:rsidRPr="007138CB">
        <w:t xml:space="preserve">The </w:t>
      </w:r>
      <w:r>
        <w:t>workshop was divided into two stages. In the first, submissions were</w:t>
      </w:r>
      <w:r w:rsidRPr="007138CB">
        <w:t xml:space="preserve"> discussed</w:t>
      </w:r>
      <w:r w:rsidR="00E5447D">
        <w:t xml:space="preserve"> </w:t>
      </w:r>
      <w:r w:rsidRPr="007138CB">
        <w:t xml:space="preserve">and </w:t>
      </w:r>
      <w:r w:rsidR="00B23DD9">
        <w:t>prioritised</w:t>
      </w:r>
      <w:r w:rsidRPr="007138CB">
        <w:t>.</w:t>
      </w:r>
      <w:r>
        <w:t xml:space="preserve"> In the second, participants</w:t>
      </w:r>
      <w:r w:rsidRPr="007138CB">
        <w:t xml:space="preserve"> </w:t>
      </w:r>
      <w:r>
        <w:t xml:space="preserve">attempted to </w:t>
      </w:r>
      <w:r w:rsidRPr="007138CB">
        <w:t>complete OGP commitment</w:t>
      </w:r>
      <w:r>
        <w:t xml:space="preserve"> templates</w:t>
      </w:r>
      <w:r w:rsidR="00B5761D">
        <w:t>,</w:t>
      </w:r>
      <w:r>
        <w:t xml:space="preserve"> drawing on the submission</w:t>
      </w:r>
      <w:r w:rsidRPr="007138CB">
        <w:t xml:space="preserve">s under each theme.  </w:t>
      </w:r>
    </w:p>
    <w:p w:rsidR="00C40F4B" w:rsidRDefault="00C40F4B" w:rsidP="00C237C1">
      <w:pPr>
        <w:pStyle w:val="SSCBodytext"/>
        <w:ind w:left="426" w:right="679"/>
      </w:pPr>
    </w:p>
    <w:p w:rsidR="00C40F4B" w:rsidRPr="00AB2FF9" w:rsidRDefault="00C40F4B" w:rsidP="00C237C1">
      <w:pPr>
        <w:pStyle w:val="SSCBodytext"/>
        <w:ind w:left="426" w:right="679"/>
      </w:pPr>
      <w:r>
        <w:t xml:space="preserve">These templates were provided to </w:t>
      </w:r>
      <w:r w:rsidR="000E4509">
        <w:t>SSC</w:t>
      </w:r>
      <w:r>
        <w:t xml:space="preserve"> to </w:t>
      </w:r>
      <w:r w:rsidR="00B23DD9">
        <w:t xml:space="preserve">continue </w:t>
      </w:r>
      <w:r>
        <w:t>the conversation with government agencies</w:t>
      </w:r>
      <w:r w:rsidR="00B23DD9">
        <w:t xml:space="preserve"> that might h</w:t>
      </w:r>
      <w:r w:rsidR="00E5447D">
        <w:t>ave accountability to deliver</w:t>
      </w:r>
      <w:r w:rsidR="00B23DD9">
        <w:t xml:space="preserve"> the proposed commitments</w:t>
      </w:r>
      <w:r>
        <w:t>.</w:t>
      </w:r>
    </w:p>
    <w:p w:rsidR="00C40F4B" w:rsidRPr="00E5447D" w:rsidRDefault="008D0D60" w:rsidP="00C237C1">
      <w:pPr>
        <w:pStyle w:val="Heading2"/>
        <w:ind w:left="426" w:right="679"/>
        <w:rPr>
          <w:rFonts w:eastAsiaTheme="minorHAnsi" w:cstheme="minorBidi"/>
          <w:b w:val="0"/>
          <w:bCs w:val="0"/>
          <w:i w:val="0"/>
          <w:color w:val="563F5C"/>
          <w:sz w:val="28"/>
          <w:szCs w:val="28"/>
        </w:rPr>
      </w:pPr>
      <w:bookmarkStart w:id="54" w:name="_Toc464037114"/>
      <w:bookmarkStart w:id="55" w:name="_Toc464037354"/>
      <w:bookmarkStart w:id="56" w:name="_Toc465253366"/>
      <w:bookmarkStart w:id="57" w:name="_Toc465411680"/>
      <w:bookmarkStart w:id="58" w:name="_Toc465411840"/>
      <w:r>
        <w:rPr>
          <w:rFonts w:eastAsiaTheme="minorHAnsi" w:cstheme="minorBidi"/>
          <w:b w:val="0"/>
          <w:bCs w:val="0"/>
          <w:i w:val="0"/>
          <w:color w:val="563F5C"/>
          <w:sz w:val="28"/>
          <w:szCs w:val="28"/>
        </w:rPr>
        <w:t>E</w:t>
      </w:r>
      <w:r w:rsidR="00C40F4B" w:rsidRPr="00E5447D">
        <w:rPr>
          <w:rFonts w:eastAsiaTheme="minorHAnsi" w:cstheme="minorBidi"/>
          <w:b w:val="0"/>
          <w:bCs w:val="0"/>
          <w:i w:val="0"/>
          <w:color w:val="563F5C"/>
          <w:sz w:val="28"/>
          <w:szCs w:val="28"/>
        </w:rPr>
        <w:t>ngagement highlights</w:t>
      </w:r>
      <w:bookmarkEnd w:id="54"/>
      <w:bookmarkEnd w:id="55"/>
      <w:bookmarkEnd w:id="56"/>
      <w:bookmarkEnd w:id="57"/>
      <w:bookmarkEnd w:id="58"/>
    </w:p>
    <w:p w:rsidR="00C40F4B" w:rsidRDefault="00C40F4B" w:rsidP="00982D51">
      <w:pPr>
        <w:pStyle w:val="SSCBodytext"/>
        <w:numPr>
          <w:ilvl w:val="0"/>
          <w:numId w:val="26"/>
        </w:numPr>
        <w:spacing w:before="120" w:after="120"/>
        <w:ind w:left="1077" w:right="680" w:hanging="357"/>
      </w:pPr>
      <w:r>
        <w:t xml:space="preserve">845 stakeholders </w:t>
      </w:r>
      <w:r w:rsidR="00EB35FA">
        <w:t>directly</w:t>
      </w:r>
      <w:r>
        <w:t xml:space="preserve"> informed about the opportunity to participate in the process </w:t>
      </w:r>
      <w:r w:rsidR="00E5447D">
        <w:t>from 8 to</w:t>
      </w:r>
      <w:r w:rsidR="00B23DD9">
        <w:t xml:space="preserve"> 30 August 2016</w:t>
      </w:r>
    </w:p>
    <w:p w:rsidR="00EB35FA" w:rsidRDefault="00EB35FA" w:rsidP="00982D51">
      <w:pPr>
        <w:pStyle w:val="SSCBodytext"/>
        <w:numPr>
          <w:ilvl w:val="0"/>
          <w:numId w:val="26"/>
        </w:numPr>
        <w:spacing w:before="120" w:after="120"/>
        <w:ind w:left="1077" w:right="680" w:hanging="357"/>
      </w:pPr>
      <w:r>
        <w:t>87 subm</w:t>
      </w:r>
      <w:r w:rsidR="002C5D6F">
        <w:t>issions on the wiki</w:t>
      </w:r>
      <w:r w:rsidR="00B5761D">
        <w:t xml:space="preserve"> </w:t>
      </w:r>
      <w:r w:rsidR="002C5D6F">
        <w:t>site</w:t>
      </w:r>
    </w:p>
    <w:p w:rsidR="00C40F4B" w:rsidRDefault="00C40F4B" w:rsidP="00982D51">
      <w:pPr>
        <w:pStyle w:val="SSCBodytext"/>
        <w:numPr>
          <w:ilvl w:val="0"/>
          <w:numId w:val="26"/>
        </w:numPr>
        <w:spacing w:before="120" w:after="120"/>
        <w:ind w:left="1077" w:right="680" w:hanging="357"/>
      </w:pPr>
      <w:r>
        <w:t>30 people participated in the co-creation workshop in Wellington.</w:t>
      </w:r>
    </w:p>
    <w:p w:rsidR="00F82896" w:rsidRPr="00F369B3" w:rsidRDefault="00E5447D" w:rsidP="00C237C1">
      <w:pPr>
        <w:pStyle w:val="SSCBodytext"/>
        <w:ind w:left="426" w:right="679"/>
        <w:rPr>
          <w:szCs w:val="22"/>
        </w:rPr>
      </w:pPr>
      <w:r>
        <w:t>While this programme marks</w:t>
      </w:r>
      <w:r w:rsidR="00C40F4B">
        <w:t xml:space="preserve"> a sizeable increase in the scope of engagement and awareness-raising activities within the development of this action plan</w:t>
      </w:r>
      <w:r w:rsidR="00B23DD9">
        <w:t xml:space="preserve"> over the 2014-16 plan, we recognise there remains </w:t>
      </w:r>
      <w:r w:rsidR="00B5761D">
        <w:t xml:space="preserve">a </w:t>
      </w:r>
      <w:r w:rsidR="00C40F4B">
        <w:t xml:space="preserve">great deal of </w:t>
      </w:r>
      <w:r w:rsidR="00B23DD9">
        <w:t xml:space="preserve">scope </w:t>
      </w:r>
      <w:r w:rsidR="00C40F4B">
        <w:t>for improvement</w:t>
      </w:r>
      <w:r w:rsidR="00B23DD9">
        <w:t xml:space="preserve">. We see the greatest </w:t>
      </w:r>
      <w:r w:rsidR="00046E01">
        <w:t xml:space="preserve">areas for improvement to be around the </w:t>
      </w:r>
      <w:r w:rsidR="00C40F4B">
        <w:t xml:space="preserve">time </w:t>
      </w:r>
      <w:r w:rsidR="00C87718">
        <w:t xml:space="preserve">allocated </w:t>
      </w:r>
      <w:r w:rsidR="00C40F4B">
        <w:t xml:space="preserve">for commitment and plan development and </w:t>
      </w:r>
      <w:r w:rsidR="00046E01">
        <w:t xml:space="preserve">in making better use of </w:t>
      </w:r>
      <w:r w:rsidR="00C40F4B">
        <w:t>technology to further increase public involvement.</w:t>
      </w:r>
    </w:p>
    <w:sectPr w:rsidR="00F82896" w:rsidRPr="00F369B3" w:rsidSect="00C237C1">
      <w:type w:val="continuous"/>
      <w:pgSz w:w="11906" w:h="16838" w:code="9"/>
      <w:pgMar w:top="1560" w:right="1361" w:bottom="1361" w:left="1361"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3DD3" w:rsidRDefault="00173DD3" w:rsidP="00E877F9">
      <w:pPr>
        <w:spacing w:after="0"/>
      </w:pPr>
      <w:r>
        <w:separator/>
      </w:r>
    </w:p>
  </w:endnote>
  <w:endnote w:type="continuationSeparator" w:id="0">
    <w:p w:rsidR="00173DD3" w:rsidRDefault="00173DD3" w:rsidP="00E877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Mäori">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217" w:rsidRPr="004C2BE4" w:rsidRDefault="00631217" w:rsidP="004C2BE4">
    <w:pPr>
      <w:tabs>
        <w:tab w:val="center" w:pos="4513"/>
        <w:tab w:val="right" w:pos="9026"/>
      </w:tabs>
      <w:spacing w:after="0"/>
      <w:jc w:val="right"/>
      <w:rPr>
        <w:rFonts w:eastAsia="Times New Roman" w:cs="Times New Roman"/>
        <w:color w:val="563F5C"/>
        <w:sz w:val="16"/>
        <w:szCs w:val="16"/>
      </w:rPr>
    </w:pPr>
    <w:r>
      <w:tab/>
    </w:r>
    <w:r w:rsidRPr="00143703">
      <w:rPr>
        <w:rFonts w:eastAsia="Times New Roman" w:cs="Times New Roman"/>
        <w:color w:val="563F5C"/>
        <w:sz w:val="16"/>
        <w:szCs w:val="16"/>
      </w:rPr>
      <w:t xml:space="preserve">Open Government Partnership New Zealand </w:t>
    </w:r>
    <w:r>
      <w:rPr>
        <w:rFonts w:eastAsia="Times New Roman" w:cs="Times New Roman"/>
        <w:color w:val="563F5C"/>
        <w:sz w:val="16"/>
        <w:szCs w:val="16"/>
      </w:rPr>
      <w:t>National Action Plan 2016-18</w:t>
    </w:r>
    <w:r w:rsidRPr="00143703">
      <w:rPr>
        <w:rFonts w:eastAsia="Times New Roman" w:cs="Times New Roman"/>
        <w:color w:val="563F5C"/>
        <w:sz w:val="16"/>
        <w:szCs w:val="16"/>
      </w:rPr>
      <w:t xml:space="preserve"> </w:t>
    </w:r>
    <w:r>
      <w:rPr>
        <w:rFonts w:eastAsia="Times New Roman" w:cs="Times New Roman"/>
        <w:color w:val="563F5C"/>
        <w:sz w:val="16"/>
        <w:szCs w:val="16"/>
      </w:rPr>
      <w:t>|</w:t>
    </w:r>
    <w:r w:rsidRPr="00143703">
      <w:rPr>
        <w:rFonts w:eastAsia="Times New Roman" w:cs="Times New Roman"/>
        <w:color w:val="563F5C"/>
        <w:sz w:val="16"/>
        <w:szCs w:val="16"/>
      </w:rPr>
      <w:t xml:space="preserve"> </w:t>
    </w:r>
    <w:r>
      <w:fldChar w:fldCharType="begin"/>
    </w:r>
    <w:r>
      <w:instrText xml:space="preserve"> PAGE   \* MERGEFORMAT </w:instrText>
    </w:r>
    <w:r>
      <w:fldChar w:fldCharType="separate"/>
    </w:r>
    <w:r w:rsidR="007C2D7D" w:rsidRPr="007C2D7D">
      <w:rPr>
        <w:rFonts w:eastAsia="Times New Roman" w:cs="Times New Roman"/>
        <w:b/>
        <w:noProof/>
        <w:color w:val="563F5C"/>
        <w:sz w:val="16"/>
        <w:szCs w:val="16"/>
      </w:rPr>
      <w:t>21</w:t>
    </w:r>
    <w:r>
      <w:rPr>
        <w:rFonts w:eastAsia="Times New Roman" w:cs="Times New Roman"/>
        <w:b/>
        <w:noProof/>
        <w:color w:val="563F5C"/>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217" w:rsidRPr="007F5BF2" w:rsidRDefault="00631217" w:rsidP="0098150B">
    <w:pPr>
      <w:tabs>
        <w:tab w:val="center" w:pos="4513"/>
        <w:tab w:val="right" w:pos="9026"/>
      </w:tabs>
      <w:spacing w:after="0"/>
      <w:jc w:val="right"/>
      <w:rPr>
        <w:rFonts w:eastAsia="Times New Roman" w:cs="Times New Roman"/>
        <w:color w:val="563F5C"/>
        <w:sz w:val="16"/>
        <w:szCs w:val="16"/>
      </w:rPr>
    </w:pPr>
    <w:r>
      <w:tab/>
    </w:r>
  </w:p>
  <w:p w:rsidR="00631217" w:rsidRDefault="00631217" w:rsidP="004C2BE4">
    <w:pPr>
      <w:pStyle w:val="Footer"/>
      <w:jc w:val="right"/>
    </w:pPr>
    <w:r w:rsidRPr="00143703">
      <w:rPr>
        <w:rFonts w:eastAsia="Times New Roman" w:cs="Times New Roman"/>
        <w:color w:val="563F5C"/>
        <w:sz w:val="16"/>
        <w:szCs w:val="16"/>
      </w:rPr>
      <w:t xml:space="preserve">Open Government Partnership New Zealand </w:t>
    </w:r>
    <w:r>
      <w:rPr>
        <w:rFonts w:eastAsia="Times New Roman" w:cs="Times New Roman"/>
        <w:color w:val="563F5C"/>
        <w:sz w:val="16"/>
        <w:szCs w:val="16"/>
      </w:rPr>
      <w:t>National Action Plan 2016-18</w:t>
    </w:r>
    <w:r w:rsidRPr="00143703">
      <w:rPr>
        <w:rFonts w:eastAsia="Times New Roman" w:cs="Times New Roman"/>
        <w:color w:val="563F5C"/>
        <w:sz w:val="16"/>
        <w:szCs w:val="16"/>
      </w:rPr>
      <w:t xml:space="preserve"> </w:t>
    </w:r>
    <w:r>
      <w:rPr>
        <w:rFonts w:eastAsia="Times New Roman" w:cs="Times New Roman"/>
        <w:color w:val="563F5C"/>
        <w:sz w:val="16"/>
        <w:szCs w:val="16"/>
      </w:rPr>
      <w:t>|</w:t>
    </w:r>
    <w:r w:rsidRPr="00143703">
      <w:rPr>
        <w:rFonts w:eastAsia="Times New Roman" w:cs="Times New Roman"/>
        <w:color w:val="563F5C"/>
        <w:sz w:val="16"/>
        <w:szCs w:val="16"/>
      </w:rPr>
      <w:t xml:space="preserve"> </w:t>
    </w:r>
    <w:r>
      <w:fldChar w:fldCharType="begin"/>
    </w:r>
    <w:r>
      <w:instrText xml:space="preserve"> PAGE   \* MERGEFORMAT </w:instrText>
    </w:r>
    <w:r>
      <w:fldChar w:fldCharType="separate"/>
    </w:r>
    <w:r w:rsidR="007C2D7D" w:rsidRPr="007C2D7D">
      <w:rPr>
        <w:rFonts w:eastAsia="Times New Roman" w:cs="Times New Roman"/>
        <w:b/>
        <w:noProof/>
        <w:color w:val="563F5C"/>
        <w:sz w:val="16"/>
        <w:szCs w:val="16"/>
      </w:rPr>
      <w:t>10</w:t>
    </w:r>
    <w:r>
      <w:rPr>
        <w:rFonts w:eastAsia="Times New Roman" w:cs="Times New Roman"/>
        <w:b/>
        <w:noProof/>
        <w:color w:val="563F5C"/>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3DD3" w:rsidRDefault="00173DD3" w:rsidP="00E877F9">
      <w:pPr>
        <w:spacing w:after="0"/>
      </w:pPr>
      <w:r>
        <w:separator/>
      </w:r>
    </w:p>
  </w:footnote>
  <w:footnote w:type="continuationSeparator" w:id="0">
    <w:p w:rsidR="00173DD3" w:rsidRDefault="00173DD3" w:rsidP="00E877F9">
      <w:pPr>
        <w:spacing w:after="0"/>
      </w:pPr>
      <w:r>
        <w:continuationSeparator/>
      </w:r>
    </w:p>
  </w:footnote>
  <w:footnote w:id="1">
    <w:p w:rsidR="00631217" w:rsidRDefault="00631217">
      <w:pPr>
        <w:pStyle w:val="FootnoteText"/>
      </w:pPr>
      <w:r>
        <w:rPr>
          <w:rStyle w:val="FootnoteReference"/>
        </w:rPr>
        <w:footnoteRef/>
      </w:r>
      <w:r>
        <w:t xml:space="preserve"> The timeline was updated following public consultation in June 2017: </w:t>
      </w:r>
      <w:hyperlink r:id="rId1" w:history="1">
        <w:r w:rsidRPr="005B4EDA">
          <w:rPr>
            <w:rStyle w:val="Hyperlink"/>
          </w:rPr>
          <w:t>https://www.opengovpartnership.nz/achieving-our-open-data-milestones</w:t>
        </w:r>
      </w:hyperlink>
      <w:r>
        <w:t>. This changed the start and end date of some milestones.</w:t>
      </w:r>
    </w:p>
  </w:footnote>
  <w:footnote w:id="2">
    <w:p w:rsidR="00631217" w:rsidRDefault="00631217">
      <w:pPr>
        <w:pStyle w:val="FootnoteText"/>
      </w:pPr>
      <w:r>
        <w:rPr>
          <w:rStyle w:val="FootnoteReference"/>
        </w:rPr>
        <w:footnoteRef/>
      </w:r>
      <w:r>
        <w:t xml:space="preserve"> The timeline was updated following public consultation in June 2017: </w:t>
      </w:r>
      <w:hyperlink r:id="rId2" w:history="1">
        <w:r w:rsidRPr="005B4EDA">
          <w:rPr>
            <w:rStyle w:val="Hyperlink"/>
          </w:rPr>
          <w:t>https://www.opengovpartnership.nz/achieving-our-open-data-milestones</w:t>
        </w:r>
      </w:hyperlink>
      <w:r>
        <w:t xml:space="preserve">. This changed the start and end date of all milestones.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087B64"/>
    <w:multiLevelType w:val="hybridMultilevel"/>
    <w:tmpl w:val="EAA8B01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A411CB2"/>
    <w:multiLevelType w:val="multilevel"/>
    <w:tmpl w:val="6DEA3A0E"/>
    <w:styleLink w:val="SSCTableNumberedList"/>
    <w:lvl w:ilvl="0">
      <w:start w:val="1"/>
      <w:numFmt w:val="decimal"/>
      <w:pStyle w:val="SSCTableNumbered"/>
      <w:lvlText w:val="%1"/>
      <w:lvlJc w:val="left"/>
      <w:pPr>
        <w:tabs>
          <w:tab w:val="num" w:pos="284"/>
        </w:tabs>
        <w:ind w:left="284" w:hanging="284"/>
      </w:pPr>
      <w:rPr>
        <w:rFonts w:ascii="Arial" w:hAnsi="Arial" w:hint="default"/>
        <w:b w:val="0"/>
        <w:i w:val="0"/>
        <w:color w:val="auto"/>
        <w:sz w:val="20"/>
      </w:rPr>
    </w:lvl>
    <w:lvl w:ilvl="1">
      <w:start w:val="1"/>
      <w:numFmt w:val="decimal"/>
      <w:pStyle w:val="SSCTableNumbered2"/>
      <w:lvlText w:val="%1.%2"/>
      <w:lvlJc w:val="left"/>
      <w:pPr>
        <w:tabs>
          <w:tab w:val="num" w:pos="680"/>
        </w:tabs>
        <w:ind w:left="680" w:hanging="396"/>
      </w:pPr>
      <w:rPr>
        <w:rFonts w:ascii="Arial" w:hAnsi="Arial" w:hint="default"/>
        <w:b w:val="0"/>
        <w:i w:val="0"/>
        <w:color w:val="auto"/>
        <w:sz w:val="20"/>
      </w:rPr>
    </w:lvl>
    <w:lvl w:ilvl="2">
      <w:start w:val="1"/>
      <w:numFmt w:val="decimal"/>
      <w:pStyle w:val="SSCTableNumbered3"/>
      <w:lvlText w:val="%1.%2.%3"/>
      <w:lvlJc w:val="left"/>
      <w:pPr>
        <w:tabs>
          <w:tab w:val="num" w:pos="1247"/>
        </w:tabs>
        <w:ind w:left="1247" w:hanging="567"/>
      </w:pPr>
      <w:rPr>
        <w:rFonts w:ascii="Arial" w:hAnsi="Arial"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5A34FA6"/>
    <w:multiLevelType w:val="hybridMultilevel"/>
    <w:tmpl w:val="CBB8F9E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 w15:restartNumberingAfterBreak="0">
    <w:nsid w:val="1CC2083C"/>
    <w:multiLevelType w:val="multilevel"/>
    <w:tmpl w:val="2AF2D320"/>
    <w:styleLink w:val="SSCBulletList"/>
    <w:lvl w:ilvl="0">
      <w:start w:val="1"/>
      <w:numFmt w:val="bullet"/>
      <w:pStyle w:val="SSCBullet"/>
      <w:lvlText w:val=""/>
      <w:lvlJc w:val="left"/>
      <w:pPr>
        <w:tabs>
          <w:tab w:val="num" w:pos="1134"/>
        </w:tabs>
        <w:ind w:left="1134" w:hanging="567"/>
      </w:pPr>
      <w:rPr>
        <w:rFonts w:ascii="Symbol" w:hAnsi="Symbol" w:hint="default"/>
        <w:color w:val="auto"/>
        <w:sz w:val="22"/>
      </w:rPr>
    </w:lvl>
    <w:lvl w:ilvl="1">
      <w:start w:val="1"/>
      <w:numFmt w:val="bullet"/>
      <w:lvlText w:val=""/>
      <w:lvlJc w:val="left"/>
      <w:pPr>
        <w:tabs>
          <w:tab w:val="num" w:pos="1701"/>
        </w:tabs>
        <w:ind w:left="1701" w:hanging="567"/>
      </w:pPr>
      <w:rPr>
        <w:rFonts w:ascii="Symbol" w:hAnsi="Symbol" w:hint="default"/>
        <w:b w:val="0"/>
        <w:i w:val="0"/>
        <w:color w:val="auto"/>
        <w:sz w:val="22"/>
      </w:rPr>
    </w:lvl>
    <w:lvl w:ilvl="2">
      <w:start w:val="1"/>
      <w:numFmt w:val="bullet"/>
      <w:pStyle w:val="SSCBullet3"/>
      <w:lvlText w:val="–"/>
      <w:lvlJc w:val="left"/>
      <w:pPr>
        <w:tabs>
          <w:tab w:val="num" w:pos="2268"/>
        </w:tabs>
        <w:ind w:left="2268" w:hanging="567"/>
      </w:pPr>
      <w:rPr>
        <w:rFonts w:ascii="Courier New" w:hAnsi="Courier New" w:hint="default"/>
        <w:b w:val="0"/>
        <w:i w:val="0"/>
        <w:color w:val="auto"/>
        <w:sz w:val="22"/>
      </w:rPr>
    </w:lvl>
    <w:lvl w:ilvl="3">
      <w:start w:val="1"/>
      <w:numFmt w:val="bullet"/>
      <w:pStyle w:val="SSCBullet4"/>
      <w:lvlText w:val="–"/>
      <w:lvlJc w:val="left"/>
      <w:pPr>
        <w:tabs>
          <w:tab w:val="num" w:pos="2835"/>
        </w:tabs>
        <w:ind w:left="2835" w:hanging="567"/>
      </w:pPr>
      <w:rPr>
        <w:rFonts w:ascii="Courier New" w:hAnsi="Courier New"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E7938A6"/>
    <w:multiLevelType w:val="hybridMultilevel"/>
    <w:tmpl w:val="13480670"/>
    <w:lvl w:ilvl="0" w:tplc="1409000F">
      <w:start w:val="1"/>
      <w:numFmt w:val="decimal"/>
      <w:lvlText w:val="%1."/>
      <w:lvlJc w:val="lef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242C57BA"/>
    <w:multiLevelType w:val="hybridMultilevel"/>
    <w:tmpl w:val="8734619C"/>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30E21E22"/>
    <w:multiLevelType w:val="hybridMultilevel"/>
    <w:tmpl w:val="6BC033A2"/>
    <w:lvl w:ilvl="0" w:tplc="14090001">
      <w:start w:val="1"/>
      <w:numFmt w:val="bullet"/>
      <w:lvlText w:val=""/>
      <w:lvlJc w:val="left"/>
      <w:pPr>
        <w:ind w:left="787" w:hanging="360"/>
      </w:pPr>
      <w:rPr>
        <w:rFonts w:ascii="Symbol" w:hAnsi="Symbol" w:hint="default"/>
      </w:rPr>
    </w:lvl>
    <w:lvl w:ilvl="1" w:tplc="14090003" w:tentative="1">
      <w:start w:val="1"/>
      <w:numFmt w:val="bullet"/>
      <w:lvlText w:val="o"/>
      <w:lvlJc w:val="left"/>
      <w:pPr>
        <w:ind w:left="1507" w:hanging="360"/>
      </w:pPr>
      <w:rPr>
        <w:rFonts w:ascii="Courier New" w:hAnsi="Courier New" w:cs="Courier New" w:hint="default"/>
      </w:rPr>
    </w:lvl>
    <w:lvl w:ilvl="2" w:tplc="14090005" w:tentative="1">
      <w:start w:val="1"/>
      <w:numFmt w:val="bullet"/>
      <w:lvlText w:val=""/>
      <w:lvlJc w:val="left"/>
      <w:pPr>
        <w:ind w:left="2227" w:hanging="360"/>
      </w:pPr>
      <w:rPr>
        <w:rFonts w:ascii="Wingdings" w:hAnsi="Wingdings" w:hint="default"/>
      </w:rPr>
    </w:lvl>
    <w:lvl w:ilvl="3" w:tplc="14090001" w:tentative="1">
      <w:start w:val="1"/>
      <w:numFmt w:val="bullet"/>
      <w:lvlText w:val=""/>
      <w:lvlJc w:val="left"/>
      <w:pPr>
        <w:ind w:left="2947" w:hanging="360"/>
      </w:pPr>
      <w:rPr>
        <w:rFonts w:ascii="Symbol" w:hAnsi="Symbol" w:hint="default"/>
      </w:rPr>
    </w:lvl>
    <w:lvl w:ilvl="4" w:tplc="14090003" w:tentative="1">
      <w:start w:val="1"/>
      <w:numFmt w:val="bullet"/>
      <w:lvlText w:val="o"/>
      <w:lvlJc w:val="left"/>
      <w:pPr>
        <w:ind w:left="3667" w:hanging="360"/>
      </w:pPr>
      <w:rPr>
        <w:rFonts w:ascii="Courier New" w:hAnsi="Courier New" w:cs="Courier New" w:hint="default"/>
      </w:rPr>
    </w:lvl>
    <w:lvl w:ilvl="5" w:tplc="14090005" w:tentative="1">
      <w:start w:val="1"/>
      <w:numFmt w:val="bullet"/>
      <w:lvlText w:val=""/>
      <w:lvlJc w:val="left"/>
      <w:pPr>
        <w:ind w:left="4387" w:hanging="360"/>
      </w:pPr>
      <w:rPr>
        <w:rFonts w:ascii="Wingdings" w:hAnsi="Wingdings" w:hint="default"/>
      </w:rPr>
    </w:lvl>
    <w:lvl w:ilvl="6" w:tplc="14090001" w:tentative="1">
      <w:start w:val="1"/>
      <w:numFmt w:val="bullet"/>
      <w:lvlText w:val=""/>
      <w:lvlJc w:val="left"/>
      <w:pPr>
        <w:ind w:left="5107" w:hanging="360"/>
      </w:pPr>
      <w:rPr>
        <w:rFonts w:ascii="Symbol" w:hAnsi="Symbol" w:hint="default"/>
      </w:rPr>
    </w:lvl>
    <w:lvl w:ilvl="7" w:tplc="14090003" w:tentative="1">
      <w:start w:val="1"/>
      <w:numFmt w:val="bullet"/>
      <w:lvlText w:val="o"/>
      <w:lvlJc w:val="left"/>
      <w:pPr>
        <w:ind w:left="5827" w:hanging="360"/>
      </w:pPr>
      <w:rPr>
        <w:rFonts w:ascii="Courier New" w:hAnsi="Courier New" w:cs="Courier New" w:hint="default"/>
      </w:rPr>
    </w:lvl>
    <w:lvl w:ilvl="8" w:tplc="14090005" w:tentative="1">
      <w:start w:val="1"/>
      <w:numFmt w:val="bullet"/>
      <w:lvlText w:val=""/>
      <w:lvlJc w:val="left"/>
      <w:pPr>
        <w:ind w:left="6547" w:hanging="360"/>
      </w:pPr>
      <w:rPr>
        <w:rFonts w:ascii="Wingdings" w:hAnsi="Wingdings" w:hint="default"/>
      </w:rPr>
    </w:lvl>
  </w:abstractNum>
  <w:abstractNum w:abstractNumId="7" w15:restartNumberingAfterBreak="0">
    <w:nsid w:val="31431E06"/>
    <w:multiLevelType w:val="hybridMultilevel"/>
    <w:tmpl w:val="FA483C7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8" w15:restartNumberingAfterBreak="0">
    <w:nsid w:val="31BC3D64"/>
    <w:multiLevelType w:val="multilevel"/>
    <w:tmpl w:val="2AF2D320"/>
    <w:numStyleLink w:val="SSCBulletList"/>
  </w:abstractNum>
  <w:abstractNum w:abstractNumId="9" w15:restartNumberingAfterBreak="0">
    <w:nsid w:val="326E51FA"/>
    <w:multiLevelType w:val="hybridMultilevel"/>
    <w:tmpl w:val="4CE2E6A8"/>
    <w:lvl w:ilvl="0" w:tplc="14090001">
      <w:start w:val="1"/>
      <w:numFmt w:val="bullet"/>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0" w15:restartNumberingAfterBreak="0">
    <w:nsid w:val="33034A7B"/>
    <w:multiLevelType w:val="hybridMultilevel"/>
    <w:tmpl w:val="2EE224C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1" w15:restartNumberingAfterBreak="0">
    <w:nsid w:val="34E31AAA"/>
    <w:multiLevelType w:val="hybridMultilevel"/>
    <w:tmpl w:val="31620406"/>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2" w15:restartNumberingAfterBreak="0">
    <w:nsid w:val="3606344B"/>
    <w:multiLevelType w:val="hybridMultilevel"/>
    <w:tmpl w:val="A1BAF704"/>
    <w:lvl w:ilvl="0" w:tplc="1409000F">
      <w:start w:val="1"/>
      <w:numFmt w:val="decimal"/>
      <w:lvlText w:val="%1."/>
      <w:lvlJc w:val="left"/>
      <w:pPr>
        <w:ind w:left="1080" w:hanging="360"/>
      </w:pPr>
      <w:rPr>
        <w:rFont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3" w15:restartNumberingAfterBreak="0">
    <w:nsid w:val="38CD4C49"/>
    <w:multiLevelType w:val="multilevel"/>
    <w:tmpl w:val="0358A68A"/>
    <w:numStyleLink w:val="SSCTableBulletList"/>
  </w:abstractNum>
  <w:abstractNum w:abstractNumId="14" w15:restartNumberingAfterBreak="0">
    <w:nsid w:val="3CE4463B"/>
    <w:multiLevelType w:val="hybridMultilevel"/>
    <w:tmpl w:val="0E3C76D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5" w15:restartNumberingAfterBreak="0">
    <w:nsid w:val="42574161"/>
    <w:multiLevelType w:val="hybridMultilevel"/>
    <w:tmpl w:val="D696B970"/>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16" w15:restartNumberingAfterBreak="0">
    <w:nsid w:val="431E26DB"/>
    <w:multiLevelType w:val="multilevel"/>
    <w:tmpl w:val="618CAC90"/>
    <w:lvl w:ilvl="0">
      <w:start w:val="1"/>
      <w:numFmt w:val="bullet"/>
      <w:lvlText w:val=""/>
      <w:lvlJc w:val="left"/>
      <w:pPr>
        <w:tabs>
          <w:tab w:val="num" w:pos="284"/>
        </w:tabs>
        <w:ind w:left="284" w:hanging="284"/>
      </w:pPr>
      <w:rPr>
        <w:rFonts w:ascii="Symbol" w:hAnsi="Symbol" w:hint="default"/>
        <w:color w:val="auto"/>
        <w:sz w:val="20"/>
      </w:rPr>
    </w:lvl>
    <w:lvl w:ilvl="1">
      <w:start w:val="1"/>
      <w:numFmt w:val="bullet"/>
      <w:pStyle w:val="SSCTableBullet2"/>
      <w:lvlText w:val="o"/>
      <w:lvlJc w:val="left"/>
      <w:pPr>
        <w:tabs>
          <w:tab w:val="num" w:pos="567"/>
        </w:tabs>
        <w:ind w:left="567" w:hanging="283"/>
      </w:pPr>
      <w:rPr>
        <w:rFonts w:ascii="Courier New" w:hAnsi="Courier New" w:cs="Courier New" w:hint="default"/>
        <w:color w:val="auto"/>
        <w:sz w:val="20"/>
      </w:rPr>
    </w:lvl>
    <w:lvl w:ilvl="2">
      <w:start w:val="1"/>
      <w:numFmt w:val="bullet"/>
      <w:lvlText w:val="–"/>
      <w:lvlJc w:val="left"/>
      <w:pPr>
        <w:tabs>
          <w:tab w:val="num" w:pos="851"/>
        </w:tabs>
        <w:ind w:left="851" w:hanging="284"/>
      </w:pPr>
      <w:rPr>
        <w:rFonts w:ascii="Courier New" w:hAnsi="Courier New"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82158EE"/>
    <w:multiLevelType w:val="multilevel"/>
    <w:tmpl w:val="0358A68A"/>
    <w:styleLink w:val="SSCTableBulletList"/>
    <w:lvl w:ilvl="0">
      <w:start w:val="1"/>
      <w:numFmt w:val="bullet"/>
      <w:pStyle w:val="SSCTableBullet"/>
      <w:lvlText w:val=""/>
      <w:lvlJc w:val="left"/>
      <w:pPr>
        <w:tabs>
          <w:tab w:val="num" w:pos="284"/>
        </w:tabs>
        <w:ind w:left="284" w:hanging="284"/>
      </w:pPr>
      <w:rPr>
        <w:rFonts w:ascii="Symbol" w:hAnsi="Symbol" w:hint="default"/>
        <w:color w:val="auto"/>
        <w:sz w:val="20"/>
      </w:rPr>
    </w:lvl>
    <w:lvl w:ilvl="1">
      <w:start w:val="1"/>
      <w:numFmt w:val="bullet"/>
      <w:lvlText w:val=""/>
      <w:lvlJc w:val="left"/>
      <w:pPr>
        <w:tabs>
          <w:tab w:val="num" w:pos="567"/>
        </w:tabs>
        <w:ind w:left="567" w:hanging="283"/>
      </w:pPr>
      <w:rPr>
        <w:rFonts w:ascii="Symbol" w:hAnsi="Symbol" w:hint="default"/>
        <w:color w:val="auto"/>
        <w:sz w:val="20"/>
      </w:rPr>
    </w:lvl>
    <w:lvl w:ilvl="2">
      <w:start w:val="1"/>
      <w:numFmt w:val="bullet"/>
      <w:pStyle w:val="SSCTableBullet3"/>
      <w:lvlText w:val="–"/>
      <w:lvlJc w:val="left"/>
      <w:pPr>
        <w:tabs>
          <w:tab w:val="num" w:pos="851"/>
        </w:tabs>
        <w:ind w:left="851" w:hanging="284"/>
      </w:pPr>
      <w:rPr>
        <w:rFonts w:ascii="Courier New" w:hAnsi="Courier New" w:hint="default"/>
        <w:b w:val="0"/>
        <w:i w:val="0"/>
        <w:color w:val="auto"/>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A4866C7"/>
    <w:multiLevelType w:val="hybridMultilevel"/>
    <w:tmpl w:val="66CC3D86"/>
    <w:lvl w:ilvl="0" w:tplc="14090001">
      <w:start w:val="1"/>
      <w:numFmt w:val="bullet"/>
      <w:lvlText w:val=""/>
      <w:lvlJc w:val="left"/>
      <w:pPr>
        <w:ind w:left="786" w:hanging="360"/>
      </w:pPr>
      <w:rPr>
        <w:rFonts w:ascii="Symbol" w:hAnsi="Symbol" w:hint="default"/>
      </w:rPr>
    </w:lvl>
    <w:lvl w:ilvl="1" w:tplc="14090003" w:tentative="1">
      <w:start w:val="1"/>
      <w:numFmt w:val="bullet"/>
      <w:lvlText w:val="o"/>
      <w:lvlJc w:val="left"/>
      <w:pPr>
        <w:ind w:left="1506" w:hanging="360"/>
      </w:pPr>
      <w:rPr>
        <w:rFonts w:ascii="Courier New" w:hAnsi="Courier New" w:cs="Courier New" w:hint="default"/>
      </w:rPr>
    </w:lvl>
    <w:lvl w:ilvl="2" w:tplc="14090005" w:tentative="1">
      <w:start w:val="1"/>
      <w:numFmt w:val="bullet"/>
      <w:lvlText w:val=""/>
      <w:lvlJc w:val="left"/>
      <w:pPr>
        <w:ind w:left="2226" w:hanging="360"/>
      </w:pPr>
      <w:rPr>
        <w:rFonts w:ascii="Wingdings" w:hAnsi="Wingdings" w:hint="default"/>
      </w:rPr>
    </w:lvl>
    <w:lvl w:ilvl="3" w:tplc="14090001" w:tentative="1">
      <w:start w:val="1"/>
      <w:numFmt w:val="bullet"/>
      <w:lvlText w:val=""/>
      <w:lvlJc w:val="left"/>
      <w:pPr>
        <w:ind w:left="2946" w:hanging="360"/>
      </w:pPr>
      <w:rPr>
        <w:rFonts w:ascii="Symbol" w:hAnsi="Symbol" w:hint="default"/>
      </w:rPr>
    </w:lvl>
    <w:lvl w:ilvl="4" w:tplc="14090003" w:tentative="1">
      <w:start w:val="1"/>
      <w:numFmt w:val="bullet"/>
      <w:lvlText w:val="o"/>
      <w:lvlJc w:val="left"/>
      <w:pPr>
        <w:ind w:left="3666" w:hanging="360"/>
      </w:pPr>
      <w:rPr>
        <w:rFonts w:ascii="Courier New" w:hAnsi="Courier New" w:cs="Courier New" w:hint="default"/>
      </w:rPr>
    </w:lvl>
    <w:lvl w:ilvl="5" w:tplc="14090005" w:tentative="1">
      <w:start w:val="1"/>
      <w:numFmt w:val="bullet"/>
      <w:lvlText w:val=""/>
      <w:lvlJc w:val="left"/>
      <w:pPr>
        <w:ind w:left="4386" w:hanging="360"/>
      </w:pPr>
      <w:rPr>
        <w:rFonts w:ascii="Wingdings" w:hAnsi="Wingdings" w:hint="default"/>
      </w:rPr>
    </w:lvl>
    <w:lvl w:ilvl="6" w:tplc="14090001" w:tentative="1">
      <w:start w:val="1"/>
      <w:numFmt w:val="bullet"/>
      <w:lvlText w:val=""/>
      <w:lvlJc w:val="left"/>
      <w:pPr>
        <w:ind w:left="5106" w:hanging="360"/>
      </w:pPr>
      <w:rPr>
        <w:rFonts w:ascii="Symbol" w:hAnsi="Symbol" w:hint="default"/>
      </w:rPr>
    </w:lvl>
    <w:lvl w:ilvl="7" w:tplc="14090003" w:tentative="1">
      <w:start w:val="1"/>
      <w:numFmt w:val="bullet"/>
      <w:lvlText w:val="o"/>
      <w:lvlJc w:val="left"/>
      <w:pPr>
        <w:ind w:left="5826" w:hanging="360"/>
      </w:pPr>
      <w:rPr>
        <w:rFonts w:ascii="Courier New" w:hAnsi="Courier New" w:cs="Courier New" w:hint="default"/>
      </w:rPr>
    </w:lvl>
    <w:lvl w:ilvl="8" w:tplc="14090005" w:tentative="1">
      <w:start w:val="1"/>
      <w:numFmt w:val="bullet"/>
      <w:lvlText w:val=""/>
      <w:lvlJc w:val="left"/>
      <w:pPr>
        <w:ind w:left="6546" w:hanging="360"/>
      </w:pPr>
      <w:rPr>
        <w:rFonts w:ascii="Wingdings" w:hAnsi="Wingdings" w:hint="default"/>
      </w:rPr>
    </w:lvl>
  </w:abstractNum>
  <w:abstractNum w:abstractNumId="19" w15:restartNumberingAfterBreak="0">
    <w:nsid w:val="4B415252"/>
    <w:multiLevelType w:val="multilevel"/>
    <w:tmpl w:val="6DEA3A0E"/>
    <w:numStyleLink w:val="SSCTableNumberedList"/>
  </w:abstractNum>
  <w:abstractNum w:abstractNumId="20" w15:restartNumberingAfterBreak="0">
    <w:nsid w:val="4D561CDD"/>
    <w:multiLevelType w:val="hybridMultilevel"/>
    <w:tmpl w:val="64ACB79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638D7156"/>
    <w:multiLevelType w:val="multilevel"/>
    <w:tmpl w:val="CEC2A0B2"/>
    <w:lvl w:ilvl="0">
      <w:start w:val="1"/>
      <w:numFmt w:val="bullet"/>
      <w:lvlText w:val=""/>
      <w:lvlJc w:val="left"/>
      <w:pPr>
        <w:tabs>
          <w:tab w:val="num" w:pos="1134"/>
        </w:tabs>
        <w:ind w:left="1134" w:hanging="567"/>
      </w:pPr>
      <w:rPr>
        <w:rFonts w:ascii="Symbol" w:hAnsi="Symbol" w:hint="default"/>
        <w:color w:val="auto"/>
        <w:sz w:val="22"/>
      </w:rPr>
    </w:lvl>
    <w:lvl w:ilvl="1">
      <w:start w:val="1"/>
      <w:numFmt w:val="bullet"/>
      <w:pStyle w:val="SSCBullet2"/>
      <w:lvlText w:val="o"/>
      <w:lvlJc w:val="left"/>
      <w:pPr>
        <w:tabs>
          <w:tab w:val="num" w:pos="1701"/>
        </w:tabs>
        <w:ind w:left="1701" w:hanging="567"/>
      </w:pPr>
      <w:rPr>
        <w:rFonts w:ascii="Courier New" w:hAnsi="Courier New" w:cs="Courier New" w:hint="default"/>
        <w:b w:val="0"/>
        <w:i w:val="0"/>
        <w:color w:val="auto"/>
        <w:sz w:val="22"/>
      </w:rPr>
    </w:lvl>
    <w:lvl w:ilvl="2">
      <w:start w:val="1"/>
      <w:numFmt w:val="bullet"/>
      <w:lvlText w:val="–"/>
      <w:lvlJc w:val="left"/>
      <w:pPr>
        <w:tabs>
          <w:tab w:val="num" w:pos="2268"/>
        </w:tabs>
        <w:ind w:left="2268" w:hanging="567"/>
      </w:pPr>
      <w:rPr>
        <w:rFonts w:ascii="Courier New" w:hAnsi="Courier New" w:hint="default"/>
        <w:b w:val="0"/>
        <w:i w:val="0"/>
        <w:color w:val="auto"/>
        <w:sz w:val="22"/>
      </w:rPr>
    </w:lvl>
    <w:lvl w:ilvl="3">
      <w:start w:val="1"/>
      <w:numFmt w:val="bullet"/>
      <w:lvlText w:val="–"/>
      <w:lvlJc w:val="left"/>
      <w:pPr>
        <w:tabs>
          <w:tab w:val="num" w:pos="2835"/>
        </w:tabs>
        <w:ind w:left="2835" w:hanging="567"/>
      </w:pPr>
      <w:rPr>
        <w:rFonts w:ascii="Courier New" w:hAnsi="Courier New"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7B6103D"/>
    <w:multiLevelType w:val="hybridMultilevel"/>
    <w:tmpl w:val="46FE14B6"/>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3" w15:restartNumberingAfterBreak="0">
    <w:nsid w:val="69583562"/>
    <w:multiLevelType w:val="multilevel"/>
    <w:tmpl w:val="F89C1C48"/>
    <w:styleLink w:val="SSCNumberedList"/>
    <w:lvl w:ilvl="0">
      <w:start w:val="1"/>
      <w:numFmt w:val="decimal"/>
      <w:pStyle w:val="SSCNumbered"/>
      <w:lvlText w:val="%1"/>
      <w:lvlJc w:val="left"/>
      <w:pPr>
        <w:tabs>
          <w:tab w:val="num" w:pos="567"/>
        </w:tabs>
        <w:ind w:left="567" w:hanging="567"/>
      </w:pPr>
      <w:rPr>
        <w:rFonts w:ascii="Arial" w:hAnsi="Arial" w:hint="default"/>
        <w:b w:val="0"/>
        <w:i w:val="0"/>
        <w:color w:val="auto"/>
        <w:sz w:val="22"/>
      </w:rPr>
    </w:lvl>
    <w:lvl w:ilvl="1">
      <w:start w:val="1"/>
      <w:numFmt w:val="decimal"/>
      <w:pStyle w:val="SSCNumbered2"/>
      <w:lvlText w:val="%1.%2"/>
      <w:lvlJc w:val="left"/>
      <w:pPr>
        <w:tabs>
          <w:tab w:val="num" w:pos="1134"/>
        </w:tabs>
        <w:ind w:left="1134" w:hanging="567"/>
      </w:pPr>
      <w:rPr>
        <w:rFonts w:ascii="Arial" w:hAnsi="Arial" w:hint="default"/>
        <w:b w:val="0"/>
        <w:i w:val="0"/>
        <w:color w:val="auto"/>
        <w:sz w:val="22"/>
      </w:rPr>
    </w:lvl>
    <w:lvl w:ilvl="2">
      <w:start w:val="1"/>
      <w:numFmt w:val="decimal"/>
      <w:pStyle w:val="SSCNumbered3"/>
      <w:lvlText w:val="%1.%2.%3"/>
      <w:lvlJc w:val="left"/>
      <w:pPr>
        <w:tabs>
          <w:tab w:val="num" w:pos="1985"/>
        </w:tabs>
        <w:ind w:left="1985" w:hanging="851"/>
      </w:pPr>
      <w:rPr>
        <w:rFonts w:ascii="Arial" w:hAnsi="Arial" w:hint="default"/>
        <w:b w:val="0"/>
        <w:i w:val="0"/>
        <w:color w:val="auto"/>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5C71DA1"/>
    <w:multiLevelType w:val="hybridMultilevel"/>
    <w:tmpl w:val="9C48F99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5" w15:restartNumberingAfterBreak="0">
    <w:nsid w:val="75E810EA"/>
    <w:multiLevelType w:val="hybridMultilevel"/>
    <w:tmpl w:val="78FCC3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BFE1815"/>
    <w:multiLevelType w:val="hybridMultilevel"/>
    <w:tmpl w:val="2F18074A"/>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7" w15:restartNumberingAfterBreak="0">
    <w:nsid w:val="7D2E3002"/>
    <w:multiLevelType w:val="hybridMultilevel"/>
    <w:tmpl w:val="10562D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23"/>
  </w:num>
  <w:num w:numId="3">
    <w:abstractNumId w:val="17"/>
  </w:num>
  <w:num w:numId="4">
    <w:abstractNumId w:val="1"/>
  </w:num>
  <w:num w:numId="5">
    <w:abstractNumId w:val="8"/>
  </w:num>
  <w:num w:numId="6">
    <w:abstractNumId w:val="13"/>
  </w:num>
  <w:num w:numId="7">
    <w:abstractNumId w:val="19"/>
  </w:num>
  <w:num w:numId="8">
    <w:abstractNumId w:val="21"/>
  </w:num>
  <w:num w:numId="9">
    <w:abstractNumId w:val="16"/>
  </w:num>
  <w:num w:numId="10">
    <w:abstractNumId w:val="25"/>
  </w:num>
  <w:num w:numId="11">
    <w:abstractNumId w:val="20"/>
  </w:num>
  <w:num w:numId="12">
    <w:abstractNumId w:val="6"/>
  </w:num>
  <w:num w:numId="13">
    <w:abstractNumId w:val="18"/>
  </w:num>
  <w:num w:numId="14">
    <w:abstractNumId w:val="24"/>
  </w:num>
  <w:num w:numId="15">
    <w:abstractNumId w:val="22"/>
  </w:num>
  <w:num w:numId="16">
    <w:abstractNumId w:val="26"/>
  </w:num>
  <w:num w:numId="17">
    <w:abstractNumId w:val="0"/>
  </w:num>
  <w:num w:numId="18">
    <w:abstractNumId w:val="27"/>
  </w:num>
  <w:num w:numId="19">
    <w:abstractNumId w:val="14"/>
  </w:num>
  <w:num w:numId="20">
    <w:abstractNumId w:val="15"/>
  </w:num>
  <w:num w:numId="21">
    <w:abstractNumId w:val="5"/>
  </w:num>
  <w:num w:numId="22">
    <w:abstractNumId w:val="4"/>
  </w:num>
  <w:num w:numId="23">
    <w:abstractNumId w:val="7"/>
  </w:num>
  <w:num w:numId="24">
    <w:abstractNumId w:val="11"/>
  </w:num>
  <w:num w:numId="25">
    <w:abstractNumId w:val="12"/>
  </w:num>
  <w:num w:numId="26">
    <w:abstractNumId w:val="10"/>
  </w:num>
  <w:num w:numId="27">
    <w:abstractNumId w:val="2"/>
  </w:num>
  <w:num w:numId="28">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17150"/>
    <w:rsid w:val="000040A7"/>
    <w:rsid w:val="000121FE"/>
    <w:rsid w:val="000236A0"/>
    <w:rsid w:val="0002798A"/>
    <w:rsid w:val="00033DB9"/>
    <w:rsid w:val="00037BE8"/>
    <w:rsid w:val="00042272"/>
    <w:rsid w:val="00042D97"/>
    <w:rsid w:val="00045992"/>
    <w:rsid w:val="00046E01"/>
    <w:rsid w:val="00047954"/>
    <w:rsid w:val="00052007"/>
    <w:rsid w:val="00054F27"/>
    <w:rsid w:val="00054F77"/>
    <w:rsid w:val="00054FB4"/>
    <w:rsid w:val="00061384"/>
    <w:rsid w:val="00062F14"/>
    <w:rsid w:val="000711F3"/>
    <w:rsid w:val="00073792"/>
    <w:rsid w:val="00085DA1"/>
    <w:rsid w:val="0009021F"/>
    <w:rsid w:val="0009482F"/>
    <w:rsid w:val="000A7C20"/>
    <w:rsid w:val="000B0912"/>
    <w:rsid w:val="000B6C34"/>
    <w:rsid w:val="000C11CB"/>
    <w:rsid w:val="000D60C9"/>
    <w:rsid w:val="000E2532"/>
    <w:rsid w:val="000E3922"/>
    <w:rsid w:val="000E4509"/>
    <w:rsid w:val="000E79AB"/>
    <w:rsid w:val="000E7A99"/>
    <w:rsid w:val="000F08AB"/>
    <w:rsid w:val="0010181D"/>
    <w:rsid w:val="00103540"/>
    <w:rsid w:val="0010501D"/>
    <w:rsid w:val="001170D0"/>
    <w:rsid w:val="001315DE"/>
    <w:rsid w:val="0013181C"/>
    <w:rsid w:val="00136BF8"/>
    <w:rsid w:val="0014100C"/>
    <w:rsid w:val="00151DA4"/>
    <w:rsid w:val="0015449F"/>
    <w:rsid w:val="0015458F"/>
    <w:rsid w:val="00156A01"/>
    <w:rsid w:val="00162543"/>
    <w:rsid w:val="001631A1"/>
    <w:rsid w:val="00164363"/>
    <w:rsid w:val="00171251"/>
    <w:rsid w:val="00173DD3"/>
    <w:rsid w:val="00174AD4"/>
    <w:rsid w:val="00176A55"/>
    <w:rsid w:val="0018103A"/>
    <w:rsid w:val="001873A0"/>
    <w:rsid w:val="00195904"/>
    <w:rsid w:val="00197D47"/>
    <w:rsid w:val="001A426A"/>
    <w:rsid w:val="001A457C"/>
    <w:rsid w:val="001B0D69"/>
    <w:rsid w:val="001B6302"/>
    <w:rsid w:val="001B7098"/>
    <w:rsid w:val="001C18AC"/>
    <w:rsid w:val="001C7750"/>
    <w:rsid w:val="001C794F"/>
    <w:rsid w:val="001D233D"/>
    <w:rsid w:val="001E3281"/>
    <w:rsid w:val="001F01ED"/>
    <w:rsid w:val="002071D5"/>
    <w:rsid w:val="002120D0"/>
    <w:rsid w:val="0021318B"/>
    <w:rsid w:val="00213D75"/>
    <w:rsid w:val="00214178"/>
    <w:rsid w:val="0022227B"/>
    <w:rsid w:val="002247A5"/>
    <w:rsid w:val="00224FA6"/>
    <w:rsid w:val="00233844"/>
    <w:rsid w:val="00235C5B"/>
    <w:rsid w:val="002411B0"/>
    <w:rsid w:val="002417D8"/>
    <w:rsid w:val="002434BC"/>
    <w:rsid w:val="00243C36"/>
    <w:rsid w:val="00244B54"/>
    <w:rsid w:val="002456A3"/>
    <w:rsid w:val="00253273"/>
    <w:rsid w:val="00255FC7"/>
    <w:rsid w:val="00257733"/>
    <w:rsid w:val="00264FDF"/>
    <w:rsid w:val="00267D78"/>
    <w:rsid w:val="002763A3"/>
    <w:rsid w:val="00283B9D"/>
    <w:rsid w:val="002877F6"/>
    <w:rsid w:val="002905C6"/>
    <w:rsid w:val="00290E44"/>
    <w:rsid w:val="0029380E"/>
    <w:rsid w:val="0029711D"/>
    <w:rsid w:val="002A6441"/>
    <w:rsid w:val="002B11D0"/>
    <w:rsid w:val="002C5D6F"/>
    <w:rsid w:val="003018F1"/>
    <w:rsid w:val="00303C9F"/>
    <w:rsid w:val="00304183"/>
    <w:rsid w:val="003042AE"/>
    <w:rsid w:val="003071DF"/>
    <w:rsid w:val="003160FE"/>
    <w:rsid w:val="00323D50"/>
    <w:rsid w:val="0034001B"/>
    <w:rsid w:val="003408AB"/>
    <w:rsid w:val="0034429D"/>
    <w:rsid w:val="00344D79"/>
    <w:rsid w:val="00346063"/>
    <w:rsid w:val="00361B45"/>
    <w:rsid w:val="00363B91"/>
    <w:rsid w:val="003654E5"/>
    <w:rsid w:val="00366994"/>
    <w:rsid w:val="003757A2"/>
    <w:rsid w:val="0039012F"/>
    <w:rsid w:val="003919E4"/>
    <w:rsid w:val="003A4EB6"/>
    <w:rsid w:val="003A7778"/>
    <w:rsid w:val="003B2659"/>
    <w:rsid w:val="003C2B09"/>
    <w:rsid w:val="003C7A1B"/>
    <w:rsid w:val="003D02A2"/>
    <w:rsid w:val="003D114D"/>
    <w:rsid w:val="003D134A"/>
    <w:rsid w:val="003D645E"/>
    <w:rsid w:val="003E0D2F"/>
    <w:rsid w:val="003F0B12"/>
    <w:rsid w:val="00406B51"/>
    <w:rsid w:val="00414B98"/>
    <w:rsid w:val="00415019"/>
    <w:rsid w:val="00421CC4"/>
    <w:rsid w:val="00431C11"/>
    <w:rsid w:val="004362CF"/>
    <w:rsid w:val="00440136"/>
    <w:rsid w:val="00472313"/>
    <w:rsid w:val="00473B11"/>
    <w:rsid w:val="00474C90"/>
    <w:rsid w:val="004778CA"/>
    <w:rsid w:val="00497F23"/>
    <w:rsid w:val="004A018E"/>
    <w:rsid w:val="004A2ADC"/>
    <w:rsid w:val="004A2B2A"/>
    <w:rsid w:val="004A5A76"/>
    <w:rsid w:val="004A6510"/>
    <w:rsid w:val="004B0DBB"/>
    <w:rsid w:val="004B1B5C"/>
    <w:rsid w:val="004C2BE4"/>
    <w:rsid w:val="004C58F9"/>
    <w:rsid w:val="004D0E54"/>
    <w:rsid w:val="004D3FB7"/>
    <w:rsid w:val="004E0562"/>
    <w:rsid w:val="004E1B73"/>
    <w:rsid w:val="004E49F0"/>
    <w:rsid w:val="004F0479"/>
    <w:rsid w:val="004F0CA4"/>
    <w:rsid w:val="004F0F86"/>
    <w:rsid w:val="004F38CA"/>
    <w:rsid w:val="00502BF2"/>
    <w:rsid w:val="00505A48"/>
    <w:rsid w:val="0052518E"/>
    <w:rsid w:val="005255C2"/>
    <w:rsid w:val="00526A6E"/>
    <w:rsid w:val="00527FC8"/>
    <w:rsid w:val="00536D2B"/>
    <w:rsid w:val="005376B5"/>
    <w:rsid w:val="005473EA"/>
    <w:rsid w:val="005557AC"/>
    <w:rsid w:val="00561F2D"/>
    <w:rsid w:val="0056510C"/>
    <w:rsid w:val="005656F7"/>
    <w:rsid w:val="00567502"/>
    <w:rsid w:val="00582474"/>
    <w:rsid w:val="005830C6"/>
    <w:rsid w:val="00587373"/>
    <w:rsid w:val="0059587D"/>
    <w:rsid w:val="00597176"/>
    <w:rsid w:val="005A074F"/>
    <w:rsid w:val="005A3B3D"/>
    <w:rsid w:val="005D02E1"/>
    <w:rsid w:val="005D44C0"/>
    <w:rsid w:val="005D75EC"/>
    <w:rsid w:val="005E2300"/>
    <w:rsid w:val="005E6157"/>
    <w:rsid w:val="005F2D70"/>
    <w:rsid w:val="005F6A63"/>
    <w:rsid w:val="006149C0"/>
    <w:rsid w:val="00617103"/>
    <w:rsid w:val="006216C4"/>
    <w:rsid w:val="006248F7"/>
    <w:rsid w:val="00625FE7"/>
    <w:rsid w:val="00630662"/>
    <w:rsid w:val="00631217"/>
    <w:rsid w:val="006332AB"/>
    <w:rsid w:val="00651857"/>
    <w:rsid w:val="00651E3B"/>
    <w:rsid w:val="00663068"/>
    <w:rsid w:val="00667B9B"/>
    <w:rsid w:val="00676E85"/>
    <w:rsid w:val="00677A05"/>
    <w:rsid w:val="00694A19"/>
    <w:rsid w:val="00697C0D"/>
    <w:rsid w:val="006A3AFC"/>
    <w:rsid w:val="006A4D19"/>
    <w:rsid w:val="006A7257"/>
    <w:rsid w:val="006B29E0"/>
    <w:rsid w:val="006B5548"/>
    <w:rsid w:val="006B7AA6"/>
    <w:rsid w:val="006C4CB1"/>
    <w:rsid w:val="006C6F95"/>
    <w:rsid w:val="006D1D34"/>
    <w:rsid w:val="006D32CA"/>
    <w:rsid w:val="006D4735"/>
    <w:rsid w:val="006D682A"/>
    <w:rsid w:val="006E310E"/>
    <w:rsid w:val="006F4589"/>
    <w:rsid w:val="0070086F"/>
    <w:rsid w:val="0070235C"/>
    <w:rsid w:val="0070512F"/>
    <w:rsid w:val="007160A0"/>
    <w:rsid w:val="0071776C"/>
    <w:rsid w:val="007227ED"/>
    <w:rsid w:val="00727CB1"/>
    <w:rsid w:val="007323C3"/>
    <w:rsid w:val="00732757"/>
    <w:rsid w:val="00734621"/>
    <w:rsid w:val="0074669B"/>
    <w:rsid w:val="00762692"/>
    <w:rsid w:val="00763EA3"/>
    <w:rsid w:val="00766F84"/>
    <w:rsid w:val="00767760"/>
    <w:rsid w:val="00771F7C"/>
    <w:rsid w:val="007752AD"/>
    <w:rsid w:val="00783801"/>
    <w:rsid w:val="00787B6E"/>
    <w:rsid w:val="00790519"/>
    <w:rsid w:val="00793783"/>
    <w:rsid w:val="007A20E7"/>
    <w:rsid w:val="007A6EDD"/>
    <w:rsid w:val="007A7119"/>
    <w:rsid w:val="007B0D5D"/>
    <w:rsid w:val="007B3117"/>
    <w:rsid w:val="007B45C3"/>
    <w:rsid w:val="007B7145"/>
    <w:rsid w:val="007B73D2"/>
    <w:rsid w:val="007C1F0B"/>
    <w:rsid w:val="007C2D7D"/>
    <w:rsid w:val="007C6204"/>
    <w:rsid w:val="007C6979"/>
    <w:rsid w:val="007D1B0A"/>
    <w:rsid w:val="007D3EA9"/>
    <w:rsid w:val="007D54B9"/>
    <w:rsid w:val="007E4048"/>
    <w:rsid w:val="007F04A3"/>
    <w:rsid w:val="007F0986"/>
    <w:rsid w:val="007F0C7D"/>
    <w:rsid w:val="007F3AA7"/>
    <w:rsid w:val="00801207"/>
    <w:rsid w:val="0081007C"/>
    <w:rsid w:val="008142E3"/>
    <w:rsid w:val="00821947"/>
    <w:rsid w:val="008363AF"/>
    <w:rsid w:val="0084104C"/>
    <w:rsid w:val="0084302C"/>
    <w:rsid w:val="008432F5"/>
    <w:rsid w:val="00844CEE"/>
    <w:rsid w:val="0085096C"/>
    <w:rsid w:val="00851694"/>
    <w:rsid w:val="0085341D"/>
    <w:rsid w:val="008549A6"/>
    <w:rsid w:val="008550B5"/>
    <w:rsid w:val="0085571C"/>
    <w:rsid w:val="0086022F"/>
    <w:rsid w:val="00861D69"/>
    <w:rsid w:val="00872A21"/>
    <w:rsid w:val="00874BAF"/>
    <w:rsid w:val="00875746"/>
    <w:rsid w:val="00880422"/>
    <w:rsid w:val="00880ABB"/>
    <w:rsid w:val="008937BC"/>
    <w:rsid w:val="00896643"/>
    <w:rsid w:val="008A1EEE"/>
    <w:rsid w:val="008A34DB"/>
    <w:rsid w:val="008A6763"/>
    <w:rsid w:val="008C522D"/>
    <w:rsid w:val="008C5FDF"/>
    <w:rsid w:val="008D0B61"/>
    <w:rsid w:val="008D0D60"/>
    <w:rsid w:val="008D3E83"/>
    <w:rsid w:val="008D4AEF"/>
    <w:rsid w:val="008D69F1"/>
    <w:rsid w:val="008D6F14"/>
    <w:rsid w:val="008E47F9"/>
    <w:rsid w:val="008F0324"/>
    <w:rsid w:val="008F4539"/>
    <w:rsid w:val="00902AFE"/>
    <w:rsid w:val="009056CB"/>
    <w:rsid w:val="0091619A"/>
    <w:rsid w:val="00920CB6"/>
    <w:rsid w:val="00925CE5"/>
    <w:rsid w:val="009314CC"/>
    <w:rsid w:val="009334F5"/>
    <w:rsid w:val="00935ED0"/>
    <w:rsid w:val="00941B85"/>
    <w:rsid w:val="009426FE"/>
    <w:rsid w:val="009440EA"/>
    <w:rsid w:val="00954B86"/>
    <w:rsid w:val="009622E0"/>
    <w:rsid w:val="009666BF"/>
    <w:rsid w:val="009737A2"/>
    <w:rsid w:val="00973AB6"/>
    <w:rsid w:val="00974BE2"/>
    <w:rsid w:val="00975B1D"/>
    <w:rsid w:val="00976880"/>
    <w:rsid w:val="00977B44"/>
    <w:rsid w:val="0098150B"/>
    <w:rsid w:val="00982D51"/>
    <w:rsid w:val="00984E8F"/>
    <w:rsid w:val="00987C12"/>
    <w:rsid w:val="00992AAF"/>
    <w:rsid w:val="00993498"/>
    <w:rsid w:val="00994E68"/>
    <w:rsid w:val="009A169F"/>
    <w:rsid w:val="009A1AC6"/>
    <w:rsid w:val="009B1BF3"/>
    <w:rsid w:val="009B5D05"/>
    <w:rsid w:val="009B7469"/>
    <w:rsid w:val="009C0BA1"/>
    <w:rsid w:val="009C2286"/>
    <w:rsid w:val="009C27A0"/>
    <w:rsid w:val="009C40BB"/>
    <w:rsid w:val="009D1A01"/>
    <w:rsid w:val="009D4470"/>
    <w:rsid w:val="009D4FBB"/>
    <w:rsid w:val="009E1BC2"/>
    <w:rsid w:val="009E2246"/>
    <w:rsid w:val="009E26E5"/>
    <w:rsid w:val="009E3545"/>
    <w:rsid w:val="009E3D12"/>
    <w:rsid w:val="009E5EE5"/>
    <w:rsid w:val="009F282E"/>
    <w:rsid w:val="009F51A6"/>
    <w:rsid w:val="00A01C16"/>
    <w:rsid w:val="00A03889"/>
    <w:rsid w:val="00A048B6"/>
    <w:rsid w:val="00A04D90"/>
    <w:rsid w:val="00A10250"/>
    <w:rsid w:val="00A12B95"/>
    <w:rsid w:val="00A243AE"/>
    <w:rsid w:val="00A24B65"/>
    <w:rsid w:val="00A25B3E"/>
    <w:rsid w:val="00A40D60"/>
    <w:rsid w:val="00A45080"/>
    <w:rsid w:val="00A4578E"/>
    <w:rsid w:val="00A6483A"/>
    <w:rsid w:val="00A679D7"/>
    <w:rsid w:val="00A708A8"/>
    <w:rsid w:val="00A7450E"/>
    <w:rsid w:val="00A77AFD"/>
    <w:rsid w:val="00A90E08"/>
    <w:rsid w:val="00A93A6F"/>
    <w:rsid w:val="00AB4F21"/>
    <w:rsid w:val="00AB5C6E"/>
    <w:rsid w:val="00AC222C"/>
    <w:rsid w:val="00AC246A"/>
    <w:rsid w:val="00AC2FDB"/>
    <w:rsid w:val="00AC5E4A"/>
    <w:rsid w:val="00AC6B60"/>
    <w:rsid w:val="00AD6FA4"/>
    <w:rsid w:val="00AE62C2"/>
    <w:rsid w:val="00AE630C"/>
    <w:rsid w:val="00AE7839"/>
    <w:rsid w:val="00AF006C"/>
    <w:rsid w:val="00AF29EA"/>
    <w:rsid w:val="00B06B7D"/>
    <w:rsid w:val="00B12565"/>
    <w:rsid w:val="00B13C06"/>
    <w:rsid w:val="00B17150"/>
    <w:rsid w:val="00B23DD9"/>
    <w:rsid w:val="00B243E4"/>
    <w:rsid w:val="00B26BDC"/>
    <w:rsid w:val="00B30D3B"/>
    <w:rsid w:val="00B31DC4"/>
    <w:rsid w:val="00B4016E"/>
    <w:rsid w:val="00B45A44"/>
    <w:rsid w:val="00B50311"/>
    <w:rsid w:val="00B5761D"/>
    <w:rsid w:val="00B62EAF"/>
    <w:rsid w:val="00B65169"/>
    <w:rsid w:val="00B66887"/>
    <w:rsid w:val="00B718F5"/>
    <w:rsid w:val="00B7226C"/>
    <w:rsid w:val="00B8189A"/>
    <w:rsid w:val="00B85759"/>
    <w:rsid w:val="00B91282"/>
    <w:rsid w:val="00B91896"/>
    <w:rsid w:val="00B94215"/>
    <w:rsid w:val="00BA50D0"/>
    <w:rsid w:val="00BC06EE"/>
    <w:rsid w:val="00BC08EC"/>
    <w:rsid w:val="00BC3742"/>
    <w:rsid w:val="00BD1807"/>
    <w:rsid w:val="00BE0056"/>
    <w:rsid w:val="00BE3A4B"/>
    <w:rsid w:val="00BE4F19"/>
    <w:rsid w:val="00BE75A9"/>
    <w:rsid w:val="00BF6DC5"/>
    <w:rsid w:val="00C05898"/>
    <w:rsid w:val="00C11554"/>
    <w:rsid w:val="00C1260E"/>
    <w:rsid w:val="00C17647"/>
    <w:rsid w:val="00C237C1"/>
    <w:rsid w:val="00C23B35"/>
    <w:rsid w:val="00C40F4B"/>
    <w:rsid w:val="00C51443"/>
    <w:rsid w:val="00C561D7"/>
    <w:rsid w:val="00C64EB1"/>
    <w:rsid w:val="00C7325B"/>
    <w:rsid w:val="00C76BD8"/>
    <w:rsid w:val="00C87718"/>
    <w:rsid w:val="00C9409C"/>
    <w:rsid w:val="00CA1C4E"/>
    <w:rsid w:val="00CA43C6"/>
    <w:rsid w:val="00CA7CC3"/>
    <w:rsid w:val="00CC143B"/>
    <w:rsid w:val="00CD1312"/>
    <w:rsid w:val="00CE259F"/>
    <w:rsid w:val="00CE6C49"/>
    <w:rsid w:val="00CE7DA8"/>
    <w:rsid w:val="00CF13E1"/>
    <w:rsid w:val="00CF41D7"/>
    <w:rsid w:val="00D03379"/>
    <w:rsid w:val="00D06441"/>
    <w:rsid w:val="00D06E70"/>
    <w:rsid w:val="00D10233"/>
    <w:rsid w:val="00D11945"/>
    <w:rsid w:val="00D1452E"/>
    <w:rsid w:val="00D179F4"/>
    <w:rsid w:val="00D23B77"/>
    <w:rsid w:val="00D24B10"/>
    <w:rsid w:val="00D27D2D"/>
    <w:rsid w:val="00D31061"/>
    <w:rsid w:val="00D321B5"/>
    <w:rsid w:val="00D52C74"/>
    <w:rsid w:val="00D5346B"/>
    <w:rsid w:val="00D82DD6"/>
    <w:rsid w:val="00D83473"/>
    <w:rsid w:val="00D87FFA"/>
    <w:rsid w:val="00D9355F"/>
    <w:rsid w:val="00D94223"/>
    <w:rsid w:val="00D94281"/>
    <w:rsid w:val="00DA6072"/>
    <w:rsid w:val="00DB4A16"/>
    <w:rsid w:val="00DD032B"/>
    <w:rsid w:val="00DD3EB8"/>
    <w:rsid w:val="00DD415E"/>
    <w:rsid w:val="00DD43AF"/>
    <w:rsid w:val="00DE0CD7"/>
    <w:rsid w:val="00DE3106"/>
    <w:rsid w:val="00DE32CC"/>
    <w:rsid w:val="00DE57F3"/>
    <w:rsid w:val="00DE75E3"/>
    <w:rsid w:val="00DF28C0"/>
    <w:rsid w:val="00E02030"/>
    <w:rsid w:val="00E10C11"/>
    <w:rsid w:val="00E14ED3"/>
    <w:rsid w:val="00E23354"/>
    <w:rsid w:val="00E26214"/>
    <w:rsid w:val="00E429B7"/>
    <w:rsid w:val="00E4557C"/>
    <w:rsid w:val="00E5447D"/>
    <w:rsid w:val="00E63B71"/>
    <w:rsid w:val="00E66402"/>
    <w:rsid w:val="00E831C4"/>
    <w:rsid w:val="00E86210"/>
    <w:rsid w:val="00E877F9"/>
    <w:rsid w:val="00E90BC3"/>
    <w:rsid w:val="00E96D53"/>
    <w:rsid w:val="00EA2B8A"/>
    <w:rsid w:val="00EA338F"/>
    <w:rsid w:val="00EA4EA7"/>
    <w:rsid w:val="00EB042D"/>
    <w:rsid w:val="00EB1C5F"/>
    <w:rsid w:val="00EB35FA"/>
    <w:rsid w:val="00EC026E"/>
    <w:rsid w:val="00EC349B"/>
    <w:rsid w:val="00EC6397"/>
    <w:rsid w:val="00EC7369"/>
    <w:rsid w:val="00EC77CE"/>
    <w:rsid w:val="00ED01A2"/>
    <w:rsid w:val="00ED21C3"/>
    <w:rsid w:val="00ED41A3"/>
    <w:rsid w:val="00EE013A"/>
    <w:rsid w:val="00EE5EA5"/>
    <w:rsid w:val="00EF1AA6"/>
    <w:rsid w:val="00EF4A6B"/>
    <w:rsid w:val="00EF5C7C"/>
    <w:rsid w:val="00F0045E"/>
    <w:rsid w:val="00F00FD8"/>
    <w:rsid w:val="00F02301"/>
    <w:rsid w:val="00F05FE4"/>
    <w:rsid w:val="00F154E1"/>
    <w:rsid w:val="00F16A0C"/>
    <w:rsid w:val="00F17748"/>
    <w:rsid w:val="00F21021"/>
    <w:rsid w:val="00F24FBC"/>
    <w:rsid w:val="00F342A0"/>
    <w:rsid w:val="00F369B3"/>
    <w:rsid w:val="00F458D7"/>
    <w:rsid w:val="00F543E6"/>
    <w:rsid w:val="00F7182D"/>
    <w:rsid w:val="00F71CDF"/>
    <w:rsid w:val="00F720D1"/>
    <w:rsid w:val="00F82896"/>
    <w:rsid w:val="00F84841"/>
    <w:rsid w:val="00F90AED"/>
    <w:rsid w:val="00F959DB"/>
    <w:rsid w:val="00FA5795"/>
    <w:rsid w:val="00FB6678"/>
    <w:rsid w:val="00FC28E3"/>
    <w:rsid w:val="00FC290D"/>
    <w:rsid w:val="00FC771E"/>
    <w:rsid w:val="00FD191A"/>
    <w:rsid w:val="00FD4A35"/>
    <w:rsid w:val="00FD78C0"/>
    <w:rsid w:val="00FE0019"/>
    <w:rsid w:val="00FE2090"/>
    <w:rsid w:val="00FE2829"/>
    <w:rsid w:val="00FF21AB"/>
    <w:rsid w:val="00FF347E"/>
  </w:rsids>
  <m:mathPr>
    <m:mathFont m:val="Cambria Math"/>
    <m:brkBin m:val="before"/>
    <m:brkBinSub m:val="--"/>
    <m:smallFrac/>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51BAA"/>
  <w15:docId w15:val="{FB4104B1-FD6D-4F24-A4D8-962E6BB05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sz w:val="24"/>
        <w:szCs w:val="24"/>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1" w:qFormat="1"/>
    <w:lsdException w:name="heading 2" w:semiHidden="1" w:uiPriority="1" w:unhideWhenUsed="1" w:qFormat="1"/>
    <w:lsdException w:name="heading 3" w:uiPriority="1" w:qFormat="1"/>
    <w:lsdException w:name="heading 4" w:uiPriority="9" w:qFormat="1"/>
    <w:lsdException w:name="heading 5" w:uiPriority="9" w:qFormat="1"/>
    <w:lsdException w:name="heading 6" w:uiPriority="9" w:qFormat="1"/>
    <w:lsdException w:name="heading 7" w:semiHidden="1"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12"/>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lsdException w:name="Salutation" w:semiHidden="1" w:unhideWhenUsed="1"/>
    <w:lsdException w:name="Date" w:uiPriority="14"/>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15458F"/>
    <w:pPr>
      <w:spacing w:after="120" w:line="240" w:lineRule="auto"/>
      <w:jc w:val="both"/>
    </w:pPr>
    <w:rPr>
      <w:rFonts w:ascii="Arial" w:hAnsi="Arial"/>
      <w:sz w:val="22"/>
    </w:rPr>
  </w:style>
  <w:style w:type="paragraph" w:styleId="Heading1">
    <w:name w:val="heading 1"/>
    <w:basedOn w:val="Normal"/>
    <w:next w:val="SSCBodytext"/>
    <w:link w:val="Heading1Char"/>
    <w:uiPriority w:val="1"/>
    <w:qFormat/>
    <w:rsid w:val="008C5FDF"/>
    <w:pPr>
      <w:keepNext/>
      <w:spacing w:before="120"/>
      <w:outlineLvl w:val="0"/>
    </w:pPr>
    <w:rPr>
      <w:rFonts w:eastAsiaTheme="majorEastAsia" w:cstheme="majorBidi"/>
      <w:b/>
      <w:bCs/>
      <w:sz w:val="24"/>
      <w:szCs w:val="28"/>
    </w:rPr>
  </w:style>
  <w:style w:type="paragraph" w:styleId="Heading2">
    <w:name w:val="heading 2"/>
    <w:basedOn w:val="Normal"/>
    <w:next w:val="SSCBodytext"/>
    <w:link w:val="Heading2Char"/>
    <w:uiPriority w:val="1"/>
    <w:qFormat/>
    <w:rsid w:val="008C5FDF"/>
    <w:pPr>
      <w:keepNext/>
      <w:spacing w:before="120"/>
      <w:jc w:val="left"/>
      <w:outlineLvl w:val="1"/>
    </w:pPr>
    <w:rPr>
      <w:rFonts w:eastAsiaTheme="majorEastAsia" w:cstheme="majorBidi"/>
      <w:b/>
      <w:bCs/>
      <w:i/>
      <w:sz w:val="24"/>
      <w:szCs w:val="26"/>
    </w:rPr>
  </w:style>
  <w:style w:type="paragraph" w:styleId="Heading3">
    <w:name w:val="heading 3"/>
    <w:basedOn w:val="Normal"/>
    <w:next w:val="SSCBodytext"/>
    <w:link w:val="Heading3Char"/>
    <w:uiPriority w:val="1"/>
    <w:qFormat/>
    <w:rsid w:val="008C5FDF"/>
    <w:pPr>
      <w:keepNext/>
      <w:keepLines/>
      <w:spacing w:before="120"/>
      <w:outlineLvl w:val="2"/>
    </w:pPr>
    <w:rPr>
      <w:rFonts w:eastAsiaTheme="majorEastAsia" w:cstheme="majorBidi"/>
      <w:b/>
      <w:bCs/>
    </w:rPr>
  </w:style>
  <w:style w:type="paragraph" w:styleId="Heading4">
    <w:name w:val="heading 4"/>
    <w:basedOn w:val="Normal"/>
    <w:next w:val="SSCBodytext"/>
    <w:link w:val="Heading4Char"/>
    <w:uiPriority w:val="9"/>
    <w:qFormat/>
    <w:rsid w:val="00B13C06"/>
    <w:pPr>
      <w:keepNext/>
      <w:keepLines/>
      <w:spacing w:before="240"/>
      <w:outlineLvl w:val="3"/>
    </w:pPr>
    <w:rPr>
      <w:rFonts w:eastAsiaTheme="majorEastAsia" w:cstheme="majorBidi"/>
      <w:b/>
      <w:bCs/>
      <w:i/>
      <w:iCs/>
    </w:rPr>
  </w:style>
  <w:style w:type="paragraph" w:styleId="Heading5">
    <w:name w:val="heading 5"/>
    <w:basedOn w:val="Normal"/>
    <w:next w:val="SSCBodytext"/>
    <w:link w:val="Heading5Char"/>
    <w:uiPriority w:val="9"/>
    <w:qFormat/>
    <w:rsid w:val="00B13C06"/>
    <w:pPr>
      <w:keepNext/>
      <w:keepLines/>
      <w:spacing w:before="240"/>
      <w:outlineLvl w:val="4"/>
    </w:pPr>
    <w:rPr>
      <w:rFonts w:eastAsiaTheme="majorEastAsia" w:cstheme="majorBidi"/>
      <w:b/>
      <w:sz w:val="20"/>
    </w:rPr>
  </w:style>
  <w:style w:type="paragraph" w:styleId="Heading6">
    <w:name w:val="heading 6"/>
    <w:basedOn w:val="Normal"/>
    <w:next w:val="SSCBodytext"/>
    <w:link w:val="Heading6Char"/>
    <w:uiPriority w:val="9"/>
    <w:qFormat/>
    <w:rsid w:val="00B13C06"/>
    <w:pPr>
      <w:keepNext/>
      <w:keepLines/>
      <w:spacing w:before="240"/>
      <w:outlineLvl w:val="5"/>
    </w:pPr>
    <w:rPr>
      <w:rFonts w:eastAsiaTheme="majorEastAsia" w:cstheme="majorBidi"/>
      <w:b/>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SSCBodytext"/>
    <w:next w:val="SSCBodytext"/>
    <w:link w:val="TitleChar"/>
    <w:uiPriority w:val="8"/>
    <w:qFormat/>
    <w:rsid w:val="00527FC8"/>
    <w:pPr>
      <w:pBdr>
        <w:bottom w:val="single" w:sz="12" w:space="1" w:color="auto"/>
      </w:pBdr>
      <w:spacing w:after="240"/>
      <w:contextualSpacing/>
    </w:pPr>
    <w:rPr>
      <w:spacing w:val="5"/>
      <w:kern w:val="28"/>
      <w:sz w:val="24"/>
      <w:szCs w:val="52"/>
    </w:rPr>
  </w:style>
  <w:style w:type="character" w:customStyle="1" w:styleId="TitleChar">
    <w:name w:val="Title Char"/>
    <w:basedOn w:val="DefaultParagraphFont"/>
    <w:link w:val="Title"/>
    <w:uiPriority w:val="8"/>
    <w:rsid w:val="00527FC8"/>
    <w:rPr>
      <w:rFonts w:ascii="Arial" w:hAnsi="Arial"/>
      <w:spacing w:val="5"/>
      <w:kern w:val="28"/>
      <w:szCs w:val="52"/>
    </w:rPr>
  </w:style>
  <w:style w:type="character" w:customStyle="1" w:styleId="Heading1Char">
    <w:name w:val="Heading 1 Char"/>
    <w:basedOn w:val="DefaultParagraphFont"/>
    <w:link w:val="Heading1"/>
    <w:uiPriority w:val="1"/>
    <w:rsid w:val="0015458F"/>
    <w:rPr>
      <w:rFonts w:ascii="Arial" w:eastAsiaTheme="majorEastAsia" w:hAnsi="Arial" w:cstheme="majorBidi"/>
      <w:b/>
      <w:bCs/>
      <w:szCs w:val="28"/>
    </w:rPr>
  </w:style>
  <w:style w:type="character" w:customStyle="1" w:styleId="Heading2Char">
    <w:name w:val="Heading 2 Char"/>
    <w:basedOn w:val="DefaultParagraphFont"/>
    <w:link w:val="Heading2"/>
    <w:uiPriority w:val="1"/>
    <w:rsid w:val="0015458F"/>
    <w:rPr>
      <w:rFonts w:ascii="Arial" w:eastAsiaTheme="majorEastAsia" w:hAnsi="Arial" w:cstheme="majorBidi"/>
      <w:b/>
      <w:bCs/>
      <w:i/>
      <w:szCs w:val="26"/>
    </w:rPr>
  </w:style>
  <w:style w:type="paragraph" w:customStyle="1" w:styleId="SSCBodytext">
    <w:name w:val="SSC Body text"/>
    <w:basedOn w:val="Normal"/>
    <w:link w:val="SSCBodytextChar"/>
    <w:qFormat/>
    <w:rsid w:val="00874BAF"/>
    <w:pPr>
      <w:spacing w:after="0"/>
    </w:pPr>
  </w:style>
  <w:style w:type="paragraph" w:customStyle="1" w:styleId="SSCBodytextBold">
    <w:name w:val="SSC Body text Bold"/>
    <w:basedOn w:val="SSCBodytext"/>
    <w:next w:val="SSCBodytext"/>
    <w:link w:val="SSCBodytextBoldChar"/>
    <w:semiHidden/>
    <w:rsid w:val="00793783"/>
    <w:rPr>
      <w:b/>
    </w:rPr>
  </w:style>
  <w:style w:type="paragraph" w:styleId="Date">
    <w:name w:val="Date"/>
    <w:basedOn w:val="Normal"/>
    <w:next w:val="Normal"/>
    <w:link w:val="DateChar"/>
    <w:autoRedefine/>
    <w:uiPriority w:val="99"/>
    <w:semiHidden/>
    <w:rsid w:val="007B45C3"/>
  </w:style>
  <w:style w:type="character" w:customStyle="1" w:styleId="DateChar">
    <w:name w:val="Date Char"/>
    <w:basedOn w:val="DefaultParagraphFont"/>
    <w:link w:val="Date"/>
    <w:uiPriority w:val="99"/>
    <w:semiHidden/>
    <w:rsid w:val="007B45C3"/>
  </w:style>
  <w:style w:type="paragraph" w:styleId="FootnoteText">
    <w:name w:val="footnote text"/>
    <w:basedOn w:val="Normal"/>
    <w:link w:val="FootnoteTextChar"/>
    <w:uiPriority w:val="10"/>
    <w:rsid w:val="00233844"/>
    <w:pPr>
      <w:spacing w:after="0"/>
    </w:pPr>
    <w:rPr>
      <w:sz w:val="16"/>
      <w:szCs w:val="20"/>
    </w:rPr>
  </w:style>
  <w:style w:type="character" w:customStyle="1" w:styleId="FootnoteTextChar">
    <w:name w:val="Footnote Text Char"/>
    <w:basedOn w:val="DefaultParagraphFont"/>
    <w:link w:val="FootnoteText"/>
    <w:uiPriority w:val="10"/>
    <w:rsid w:val="00162543"/>
    <w:rPr>
      <w:rFonts w:ascii="Arial" w:hAnsi="Arial"/>
      <w:sz w:val="16"/>
      <w:szCs w:val="20"/>
    </w:rPr>
  </w:style>
  <w:style w:type="character" w:customStyle="1" w:styleId="Heading3Char">
    <w:name w:val="Heading 3 Char"/>
    <w:basedOn w:val="DefaultParagraphFont"/>
    <w:link w:val="Heading3"/>
    <w:uiPriority w:val="1"/>
    <w:rsid w:val="0015458F"/>
    <w:rPr>
      <w:rFonts w:ascii="Arial" w:eastAsiaTheme="majorEastAsia" w:hAnsi="Arial" w:cstheme="majorBidi"/>
      <w:b/>
      <w:bCs/>
      <w:sz w:val="22"/>
    </w:rPr>
  </w:style>
  <w:style w:type="character" w:customStyle="1" w:styleId="Heading4Char">
    <w:name w:val="Heading 4 Char"/>
    <w:basedOn w:val="DefaultParagraphFont"/>
    <w:link w:val="Heading4"/>
    <w:uiPriority w:val="9"/>
    <w:rsid w:val="00B13C06"/>
    <w:rPr>
      <w:rFonts w:ascii="Arial" w:eastAsiaTheme="majorEastAsia" w:hAnsi="Arial" w:cstheme="majorBidi"/>
      <w:b/>
      <w:bCs/>
      <w:i/>
      <w:iCs/>
      <w:sz w:val="22"/>
    </w:rPr>
  </w:style>
  <w:style w:type="character" w:customStyle="1" w:styleId="Heading5Char">
    <w:name w:val="Heading 5 Char"/>
    <w:basedOn w:val="DefaultParagraphFont"/>
    <w:link w:val="Heading5"/>
    <w:uiPriority w:val="9"/>
    <w:rsid w:val="00B13C06"/>
    <w:rPr>
      <w:rFonts w:ascii="Arial" w:eastAsiaTheme="majorEastAsia" w:hAnsi="Arial" w:cstheme="majorBidi"/>
      <w:b/>
      <w:sz w:val="20"/>
    </w:rPr>
  </w:style>
  <w:style w:type="character" w:customStyle="1" w:styleId="Heading6Char">
    <w:name w:val="Heading 6 Char"/>
    <w:basedOn w:val="DefaultParagraphFont"/>
    <w:link w:val="Heading6"/>
    <w:uiPriority w:val="9"/>
    <w:rsid w:val="00B13C06"/>
    <w:rPr>
      <w:rFonts w:ascii="Arial" w:eastAsiaTheme="majorEastAsia" w:hAnsi="Arial" w:cstheme="majorBidi"/>
      <w:b/>
      <w:i/>
      <w:iCs/>
      <w:sz w:val="20"/>
    </w:rPr>
  </w:style>
  <w:style w:type="paragraph" w:styleId="Footer">
    <w:name w:val="footer"/>
    <w:basedOn w:val="Normal"/>
    <w:link w:val="FooterChar"/>
    <w:uiPriority w:val="11"/>
    <w:rsid w:val="00A25B3E"/>
    <w:pPr>
      <w:tabs>
        <w:tab w:val="center" w:pos="4513"/>
        <w:tab w:val="right" w:pos="9026"/>
      </w:tabs>
      <w:spacing w:after="0"/>
    </w:pPr>
    <w:rPr>
      <w:i/>
      <w:sz w:val="18"/>
    </w:rPr>
  </w:style>
  <w:style w:type="character" w:customStyle="1" w:styleId="FooterChar">
    <w:name w:val="Footer Char"/>
    <w:basedOn w:val="DefaultParagraphFont"/>
    <w:link w:val="Footer"/>
    <w:uiPriority w:val="11"/>
    <w:rsid w:val="00A25B3E"/>
    <w:rPr>
      <w:rFonts w:ascii="Arial" w:hAnsi="Arial"/>
      <w:i/>
      <w:sz w:val="18"/>
    </w:rPr>
  </w:style>
  <w:style w:type="paragraph" w:styleId="Header">
    <w:name w:val="header"/>
    <w:basedOn w:val="Normal"/>
    <w:link w:val="HeaderChar"/>
    <w:uiPriority w:val="99"/>
    <w:unhideWhenUsed/>
    <w:rsid w:val="002456A3"/>
    <w:pPr>
      <w:tabs>
        <w:tab w:val="center" w:pos="4513"/>
        <w:tab w:val="right" w:pos="9026"/>
      </w:tabs>
      <w:spacing w:after="0"/>
    </w:pPr>
  </w:style>
  <w:style w:type="character" w:customStyle="1" w:styleId="HeaderChar">
    <w:name w:val="Header Char"/>
    <w:basedOn w:val="DefaultParagraphFont"/>
    <w:link w:val="Header"/>
    <w:uiPriority w:val="99"/>
    <w:rsid w:val="002456A3"/>
  </w:style>
  <w:style w:type="paragraph" w:styleId="EndnoteText">
    <w:name w:val="endnote text"/>
    <w:basedOn w:val="Normal"/>
    <w:link w:val="EndnoteTextChar"/>
    <w:uiPriority w:val="99"/>
    <w:semiHidden/>
    <w:unhideWhenUsed/>
    <w:rsid w:val="002456A3"/>
    <w:pPr>
      <w:spacing w:after="0"/>
    </w:pPr>
    <w:rPr>
      <w:sz w:val="20"/>
      <w:szCs w:val="20"/>
    </w:rPr>
  </w:style>
  <w:style w:type="character" w:customStyle="1" w:styleId="EndnoteTextChar">
    <w:name w:val="Endnote Text Char"/>
    <w:basedOn w:val="DefaultParagraphFont"/>
    <w:link w:val="EndnoteText"/>
    <w:uiPriority w:val="99"/>
    <w:semiHidden/>
    <w:rsid w:val="002456A3"/>
    <w:rPr>
      <w:sz w:val="20"/>
      <w:szCs w:val="20"/>
    </w:rPr>
  </w:style>
  <w:style w:type="character" w:styleId="EndnoteReference">
    <w:name w:val="endnote reference"/>
    <w:basedOn w:val="DefaultParagraphFont"/>
    <w:uiPriority w:val="99"/>
    <w:semiHidden/>
    <w:unhideWhenUsed/>
    <w:rsid w:val="002456A3"/>
    <w:rPr>
      <w:vertAlign w:val="superscript"/>
    </w:rPr>
  </w:style>
  <w:style w:type="character" w:styleId="FootnoteReference">
    <w:name w:val="footnote reference"/>
    <w:basedOn w:val="DefaultParagraphFont"/>
    <w:uiPriority w:val="99"/>
    <w:semiHidden/>
    <w:unhideWhenUsed/>
    <w:rsid w:val="002456A3"/>
    <w:rPr>
      <w:vertAlign w:val="superscript"/>
    </w:rPr>
  </w:style>
  <w:style w:type="paragraph" w:customStyle="1" w:styleId="SSCTableTitle">
    <w:name w:val="SSC Table Title"/>
    <w:basedOn w:val="SSCTableText"/>
    <w:next w:val="SSCTableText"/>
    <w:link w:val="SSCTableTitleChar"/>
    <w:uiPriority w:val="15"/>
    <w:qFormat/>
    <w:rsid w:val="00667B9B"/>
    <w:pPr>
      <w:spacing w:before="240"/>
    </w:pPr>
    <w:rPr>
      <w:b/>
      <w:sz w:val="24"/>
    </w:rPr>
  </w:style>
  <w:style w:type="paragraph" w:customStyle="1" w:styleId="SSCTableText">
    <w:name w:val="SSC Table Text"/>
    <w:basedOn w:val="SSCBodytext"/>
    <w:link w:val="SSCTableTextChar"/>
    <w:uiPriority w:val="17"/>
    <w:qFormat/>
    <w:rsid w:val="007323C3"/>
    <w:rPr>
      <w:sz w:val="20"/>
    </w:rPr>
  </w:style>
  <w:style w:type="paragraph" w:customStyle="1" w:styleId="SSCTableHeaderTop">
    <w:name w:val="SSC Table Header Top"/>
    <w:basedOn w:val="SSCTableText"/>
    <w:next w:val="SSCTableText"/>
    <w:link w:val="SSCTableHeaderTopChar"/>
    <w:uiPriority w:val="16"/>
    <w:qFormat/>
    <w:rsid w:val="00EA2B8A"/>
    <w:pPr>
      <w:jc w:val="center"/>
    </w:pPr>
    <w:rPr>
      <w:b/>
    </w:rPr>
  </w:style>
  <w:style w:type="paragraph" w:customStyle="1" w:styleId="SSCTableHeaderLeft">
    <w:name w:val="SSC Table Header Left"/>
    <w:basedOn w:val="SSCTableText"/>
    <w:next w:val="SSCTableText"/>
    <w:link w:val="SSCTableHeaderLeftChar"/>
    <w:uiPriority w:val="17"/>
    <w:qFormat/>
    <w:rsid w:val="007323C3"/>
    <w:pPr>
      <w:jc w:val="left"/>
    </w:pPr>
    <w:rPr>
      <w:b/>
    </w:rPr>
  </w:style>
  <w:style w:type="character" w:styleId="PlaceholderText">
    <w:name w:val="Placeholder Text"/>
    <w:basedOn w:val="DefaultParagraphFont"/>
    <w:uiPriority w:val="99"/>
    <w:semiHidden/>
    <w:rsid w:val="006F4589"/>
    <w:rPr>
      <w:color w:val="808080"/>
    </w:rPr>
  </w:style>
  <w:style w:type="paragraph" w:styleId="BalloonText">
    <w:name w:val="Balloon Text"/>
    <w:basedOn w:val="Normal"/>
    <w:link w:val="BalloonTextChar"/>
    <w:uiPriority w:val="99"/>
    <w:semiHidden/>
    <w:unhideWhenUsed/>
    <w:rsid w:val="006F458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4589"/>
    <w:rPr>
      <w:rFonts w:ascii="Tahoma" w:hAnsi="Tahoma" w:cs="Tahoma"/>
      <w:sz w:val="16"/>
      <w:szCs w:val="16"/>
    </w:rPr>
  </w:style>
  <w:style w:type="character" w:customStyle="1" w:styleId="SSCBodytextChar">
    <w:name w:val="SSC Body text Char"/>
    <w:basedOn w:val="DefaultParagraphFont"/>
    <w:link w:val="SSCBodytext"/>
    <w:rsid w:val="00874BAF"/>
    <w:rPr>
      <w:rFonts w:ascii="Arial" w:hAnsi="Arial"/>
      <w:sz w:val="22"/>
    </w:rPr>
  </w:style>
  <w:style w:type="character" w:customStyle="1" w:styleId="SSCBodytextBoldChar">
    <w:name w:val="SSC Body text Bold Char"/>
    <w:basedOn w:val="SSCBodytextChar"/>
    <w:link w:val="SSCBodytextBold"/>
    <w:semiHidden/>
    <w:rsid w:val="0015458F"/>
    <w:rPr>
      <w:rFonts w:ascii="Arial" w:hAnsi="Arial"/>
      <w:b/>
      <w:sz w:val="22"/>
    </w:rPr>
  </w:style>
  <w:style w:type="character" w:customStyle="1" w:styleId="SSCTableTextChar">
    <w:name w:val="SSC Table Text Char"/>
    <w:basedOn w:val="DefaultParagraphFont"/>
    <w:link w:val="SSCTableText"/>
    <w:uiPriority w:val="17"/>
    <w:rsid w:val="007323C3"/>
    <w:rPr>
      <w:rFonts w:ascii="Arial" w:hAnsi="Arial"/>
      <w:sz w:val="20"/>
    </w:rPr>
  </w:style>
  <w:style w:type="character" w:customStyle="1" w:styleId="SSCTableTitleChar">
    <w:name w:val="SSC Table Title Char"/>
    <w:basedOn w:val="DefaultParagraphFont"/>
    <w:link w:val="SSCTableTitle"/>
    <w:uiPriority w:val="15"/>
    <w:rsid w:val="00667B9B"/>
    <w:rPr>
      <w:rFonts w:ascii="Arial" w:hAnsi="Arial"/>
      <w:b/>
    </w:rPr>
  </w:style>
  <w:style w:type="character" w:customStyle="1" w:styleId="SSCTableHeaderTopChar">
    <w:name w:val="SSC Table Header Top Char"/>
    <w:basedOn w:val="SSCBodytextChar"/>
    <w:link w:val="SSCTableHeaderTop"/>
    <w:uiPriority w:val="16"/>
    <w:rsid w:val="00EA2B8A"/>
    <w:rPr>
      <w:rFonts w:ascii="Arial" w:hAnsi="Arial"/>
      <w:b/>
      <w:sz w:val="20"/>
    </w:rPr>
  </w:style>
  <w:style w:type="character" w:customStyle="1" w:styleId="SSCTableHeaderLeftChar">
    <w:name w:val="SSC Table Header Left Char"/>
    <w:basedOn w:val="SSCTableHeaderTopChar"/>
    <w:link w:val="SSCTableHeaderLeft"/>
    <w:uiPriority w:val="17"/>
    <w:rsid w:val="007323C3"/>
    <w:rPr>
      <w:rFonts w:ascii="Arial" w:hAnsi="Arial"/>
      <w:b/>
      <w:sz w:val="20"/>
    </w:rPr>
  </w:style>
  <w:style w:type="paragraph" w:customStyle="1" w:styleId="SSCBullet">
    <w:name w:val="SSC Bullet"/>
    <w:basedOn w:val="SSCBodytext"/>
    <w:uiPriority w:val="1"/>
    <w:qFormat/>
    <w:rsid w:val="00874BAF"/>
    <w:pPr>
      <w:numPr>
        <w:numId w:val="5"/>
      </w:numPr>
      <w:tabs>
        <w:tab w:val="num" w:pos="567"/>
      </w:tabs>
      <w:spacing w:after="120"/>
      <w:ind w:left="567"/>
    </w:pPr>
  </w:style>
  <w:style w:type="paragraph" w:customStyle="1" w:styleId="SSCBullet2">
    <w:name w:val="SSC Bullet 2"/>
    <w:basedOn w:val="SSCBodytext"/>
    <w:uiPriority w:val="1"/>
    <w:qFormat/>
    <w:rsid w:val="00874BAF"/>
    <w:pPr>
      <w:numPr>
        <w:ilvl w:val="1"/>
        <w:numId w:val="8"/>
      </w:numPr>
      <w:tabs>
        <w:tab w:val="clear" w:pos="1701"/>
        <w:tab w:val="num" w:pos="1134"/>
      </w:tabs>
      <w:spacing w:after="120"/>
      <w:ind w:left="1134"/>
    </w:pPr>
  </w:style>
  <w:style w:type="paragraph" w:customStyle="1" w:styleId="SSCBullet3">
    <w:name w:val="SSC Bullet 3"/>
    <w:basedOn w:val="SSCBodytext"/>
    <w:uiPriority w:val="1"/>
    <w:qFormat/>
    <w:rsid w:val="00874BAF"/>
    <w:pPr>
      <w:numPr>
        <w:ilvl w:val="2"/>
        <w:numId w:val="5"/>
      </w:numPr>
      <w:tabs>
        <w:tab w:val="num" w:pos="1701"/>
      </w:tabs>
      <w:spacing w:after="120"/>
      <w:ind w:left="1701"/>
    </w:pPr>
  </w:style>
  <w:style w:type="numbering" w:customStyle="1" w:styleId="SSCBulletList">
    <w:name w:val="SSC Bullet List"/>
    <w:uiPriority w:val="99"/>
    <w:rsid w:val="00A90E08"/>
    <w:pPr>
      <w:numPr>
        <w:numId w:val="1"/>
      </w:numPr>
    </w:pPr>
  </w:style>
  <w:style w:type="paragraph" w:customStyle="1" w:styleId="SSCNumbered">
    <w:name w:val="SSC Numbered"/>
    <w:basedOn w:val="SSCBodytext"/>
    <w:uiPriority w:val="2"/>
    <w:qFormat/>
    <w:rsid w:val="00874BAF"/>
    <w:pPr>
      <w:numPr>
        <w:numId w:val="2"/>
      </w:numPr>
      <w:spacing w:after="120"/>
    </w:pPr>
  </w:style>
  <w:style w:type="paragraph" w:customStyle="1" w:styleId="SSCNumbered2">
    <w:name w:val="SSC Numbered 2"/>
    <w:basedOn w:val="SSCBodytext"/>
    <w:uiPriority w:val="2"/>
    <w:qFormat/>
    <w:rsid w:val="00874BAF"/>
    <w:pPr>
      <w:numPr>
        <w:ilvl w:val="1"/>
        <w:numId w:val="2"/>
      </w:numPr>
      <w:spacing w:after="120"/>
    </w:pPr>
  </w:style>
  <w:style w:type="paragraph" w:customStyle="1" w:styleId="SSCNumbered3">
    <w:name w:val="SSC Numbered 3"/>
    <w:basedOn w:val="SSCBodytext"/>
    <w:uiPriority w:val="2"/>
    <w:qFormat/>
    <w:rsid w:val="00874BAF"/>
    <w:pPr>
      <w:numPr>
        <w:ilvl w:val="2"/>
        <w:numId w:val="2"/>
      </w:numPr>
      <w:spacing w:after="120"/>
    </w:pPr>
  </w:style>
  <w:style w:type="numbering" w:customStyle="1" w:styleId="SSCNumberedList">
    <w:name w:val="SSC Numbered List"/>
    <w:uiPriority w:val="99"/>
    <w:rsid w:val="00151DA4"/>
    <w:pPr>
      <w:numPr>
        <w:numId w:val="2"/>
      </w:numPr>
    </w:pPr>
  </w:style>
  <w:style w:type="paragraph" w:customStyle="1" w:styleId="SSCTableBullet">
    <w:name w:val="SSC Table Bullet"/>
    <w:basedOn w:val="SSCTableText"/>
    <w:uiPriority w:val="2"/>
    <w:qFormat/>
    <w:rsid w:val="00A90E08"/>
    <w:pPr>
      <w:numPr>
        <w:numId w:val="6"/>
      </w:numPr>
    </w:pPr>
  </w:style>
  <w:style w:type="paragraph" w:customStyle="1" w:styleId="SSCTableBullet2">
    <w:name w:val="SSC Table Bullet 2"/>
    <w:basedOn w:val="SSCTableText"/>
    <w:uiPriority w:val="2"/>
    <w:qFormat/>
    <w:rsid w:val="00527FC8"/>
    <w:pPr>
      <w:numPr>
        <w:ilvl w:val="1"/>
        <w:numId w:val="9"/>
      </w:numPr>
    </w:pPr>
  </w:style>
  <w:style w:type="paragraph" w:customStyle="1" w:styleId="SSCTableBullet3">
    <w:name w:val="SSC Table Bullet 3"/>
    <w:basedOn w:val="SSCTableText"/>
    <w:uiPriority w:val="2"/>
    <w:qFormat/>
    <w:rsid w:val="00A90E08"/>
    <w:pPr>
      <w:numPr>
        <w:ilvl w:val="2"/>
        <w:numId w:val="6"/>
      </w:numPr>
    </w:pPr>
  </w:style>
  <w:style w:type="numbering" w:customStyle="1" w:styleId="SSCTableBulletList">
    <w:name w:val="SSC Table Bullet List"/>
    <w:uiPriority w:val="99"/>
    <w:rsid w:val="00A90E08"/>
    <w:pPr>
      <w:numPr>
        <w:numId w:val="3"/>
      </w:numPr>
    </w:pPr>
  </w:style>
  <w:style w:type="paragraph" w:customStyle="1" w:styleId="SSCTableNumbered">
    <w:name w:val="SSC Table Numbered"/>
    <w:basedOn w:val="SSCTableText"/>
    <w:uiPriority w:val="2"/>
    <w:qFormat/>
    <w:rsid w:val="00A90E08"/>
    <w:pPr>
      <w:numPr>
        <w:numId w:val="7"/>
      </w:numPr>
    </w:pPr>
  </w:style>
  <w:style w:type="paragraph" w:customStyle="1" w:styleId="SSCTableNumbered2">
    <w:name w:val="SSC Table Numbered 2"/>
    <w:basedOn w:val="SSCTableText"/>
    <w:uiPriority w:val="2"/>
    <w:qFormat/>
    <w:rsid w:val="00A90E08"/>
    <w:pPr>
      <w:numPr>
        <w:ilvl w:val="1"/>
        <w:numId w:val="7"/>
      </w:numPr>
    </w:pPr>
  </w:style>
  <w:style w:type="paragraph" w:customStyle="1" w:styleId="SSCTableNumbered3">
    <w:name w:val="SSC Table Numbered 3"/>
    <w:basedOn w:val="SSCTableText"/>
    <w:uiPriority w:val="2"/>
    <w:qFormat/>
    <w:rsid w:val="00A90E08"/>
    <w:pPr>
      <w:numPr>
        <w:ilvl w:val="2"/>
        <w:numId w:val="7"/>
      </w:numPr>
    </w:pPr>
  </w:style>
  <w:style w:type="numbering" w:customStyle="1" w:styleId="SSCTableNumberedList">
    <w:name w:val="SSC Table Numbered List"/>
    <w:uiPriority w:val="99"/>
    <w:rsid w:val="00A90E08"/>
    <w:pPr>
      <w:numPr>
        <w:numId w:val="4"/>
      </w:numPr>
    </w:pPr>
  </w:style>
  <w:style w:type="table" w:styleId="TableGrid">
    <w:name w:val="Table Grid"/>
    <w:basedOn w:val="TableNormal"/>
    <w:uiPriority w:val="39"/>
    <w:rsid w:val="00EA2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CName">
    <w:name w:val="SSC Name"/>
    <w:basedOn w:val="SSCBodytext"/>
    <w:next w:val="SSCBodytext"/>
    <w:uiPriority w:val="1"/>
    <w:rsid w:val="00197D47"/>
    <w:pPr>
      <w:spacing w:before="1440"/>
      <w:jc w:val="left"/>
    </w:pPr>
  </w:style>
  <w:style w:type="paragraph" w:customStyle="1" w:styleId="SSCBullet4">
    <w:name w:val="SSC Bullet 4"/>
    <w:basedOn w:val="SSCNumbered"/>
    <w:semiHidden/>
    <w:rsid w:val="00A90E08"/>
    <w:pPr>
      <w:numPr>
        <w:ilvl w:val="3"/>
        <w:numId w:val="5"/>
      </w:numPr>
    </w:pPr>
  </w:style>
  <w:style w:type="paragraph" w:customStyle="1" w:styleId="Style1">
    <w:name w:val="Style1"/>
    <w:basedOn w:val="SSCBodytext"/>
    <w:link w:val="Style1Char"/>
    <w:uiPriority w:val="5"/>
    <w:qFormat/>
    <w:rsid w:val="009E2246"/>
  </w:style>
  <w:style w:type="character" w:customStyle="1" w:styleId="Style1Char">
    <w:name w:val="Style1 Char"/>
    <w:basedOn w:val="SSCBodytextChar"/>
    <w:link w:val="Style1"/>
    <w:uiPriority w:val="5"/>
    <w:rsid w:val="0015458F"/>
    <w:rPr>
      <w:rFonts w:ascii="Arial" w:hAnsi="Arial"/>
      <w:sz w:val="22"/>
    </w:rPr>
  </w:style>
  <w:style w:type="character" w:styleId="Hyperlink">
    <w:name w:val="Hyperlink"/>
    <w:basedOn w:val="DefaultParagraphFont"/>
    <w:uiPriority w:val="99"/>
    <w:unhideWhenUsed/>
    <w:rsid w:val="00B17150"/>
    <w:rPr>
      <w:color w:val="0000FF" w:themeColor="hyperlink"/>
      <w:u w:val="single"/>
    </w:rPr>
  </w:style>
  <w:style w:type="paragraph" w:customStyle="1" w:styleId="TableText">
    <w:name w:val="TableText"/>
    <w:basedOn w:val="Normal"/>
    <w:link w:val="TableTextChar"/>
    <w:qFormat/>
    <w:rsid w:val="00F369B3"/>
    <w:pPr>
      <w:spacing w:before="60" w:after="60"/>
      <w:jc w:val="left"/>
    </w:pPr>
    <w:rPr>
      <w:rFonts w:eastAsia="Calibri" w:cs="Times New Roman"/>
      <w:sz w:val="18"/>
      <w:szCs w:val="18"/>
      <w:lang w:val="en-AU"/>
    </w:rPr>
  </w:style>
  <w:style w:type="character" w:customStyle="1" w:styleId="TableTextChar">
    <w:name w:val="TableText Char"/>
    <w:link w:val="TableText"/>
    <w:rsid w:val="00F369B3"/>
    <w:rPr>
      <w:rFonts w:ascii="Arial" w:eastAsia="Calibri" w:hAnsi="Arial" w:cs="Times New Roman"/>
      <w:sz w:val="18"/>
      <w:szCs w:val="18"/>
      <w:lang w:val="en-AU"/>
    </w:rPr>
  </w:style>
  <w:style w:type="paragraph" w:customStyle="1" w:styleId="TableHeader">
    <w:name w:val="TableHeader"/>
    <w:basedOn w:val="Normal"/>
    <w:link w:val="TableHeaderChar"/>
    <w:qFormat/>
    <w:rsid w:val="00F369B3"/>
    <w:pPr>
      <w:spacing w:before="60" w:after="60"/>
      <w:jc w:val="left"/>
    </w:pPr>
    <w:rPr>
      <w:rFonts w:eastAsia="Calibri" w:cs="Times New Roman"/>
      <w:b/>
      <w:sz w:val="20"/>
      <w:szCs w:val="20"/>
      <w:lang w:val="en-AU"/>
    </w:rPr>
  </w:style>
  <w:style w:type="character" w:customStyle="1" w:styleId="TableHeaderChar">
    <w:name w:val="TableHeader Char"/>
    <w:link w:val="TableHeader"/>
    <w:rsid w:val="00F369B3"/>
    <w:rPr>
      <w:rFonts w:ascii="Arial" w:eastAsia="Calibri" w:hAnsi="Arial" w:cs="Times New Roman"/>
      <w:b/>
      <w:sz w:val="20"/>
      <w:szCs w:val="20"/>
      <w:lang w:val="en-AU"/>
    </w:rPr>
  </w:style>
  <w:style w:type="character" w:styleId="CommentReference">
    <w:name w:val="annotation reference"/>
    <w:basedOn w:val="DefaultParagraphFont"/>
    <w:uiPriority w:val="99"/>
    <w:semiHidden/>
    <w:unhideWhenUsed/>
    <w:rsid w:val="00872A21"/>
    <w:rPr>
      <w:sz w:val="16"/>
      <w:szCs w:val="16"/>
    </w:rPr>
  </w:style>
  <w:style w:type="paragraph" w:styleId="CommentText">
    <w:name w:val="annotation text"/>
    <w:basedOn w:val="Normal"/>
    <w:link w:val="CommentTextChar"/>
    <w:uiPriority w:val="99"/>
    <w:semiHidden/>
    <w:unhideWhenUsed/>
    <w:rsid w:val="00872A21"/>
    <w:rPr>
      <w:sz w:val="20"/>
      <w:szCs w:val="20"/>
    </w:rPr>
  </w:style>
  <w:style w:type="character" w:customStyle="1" w:styleId="CommentTextChar">
    <w:name w:val="Comment Text Char"/>
    <w:basedOn w:val="DefaultParagraphFont"/>
    <w:link w:val="CommentText"/>
    <w:uiPriority w:val="99"/>
    <w:semiHidden/>
    <w:rsid w:val="00872A2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72A21"/>
    <w:rPr>
      <w:b/>
      <w:bCs/>
    </w:rPr>
  </w:style>
  <w:style w:type="character" w:customStyle="1" w:styleId="CommentSubjectChar">
    <w:name w:val="Comment Subject Char"/>
    <w:basedOn w:val="CommentTextChar"/>
    <w:link w:val="CommentSubject"/>
    <w:uiPriority w:val="99"/>
    <w:semiHidden/>
    <w:rsid w:val="00872A21"/>
    <w:rPr>
      <w:rFonts w:ascii="Arial" w:hAnsi="Arial"/>
      <w:b/>
      <w:bCs/>
      <w:sz w:val="20"/>
      <w:szCs w:val="20"/>
    </w:rPr>
  </w:style>
  <w:style w:type="character" w:styleId="FollowedHyperlink">
    <w:name w:val="FollowedHyperlink"/>
    <w:basedOn w:val="DefaultParagraphFont"/>
    <w:uiPriority w:val="99"/>
    <w:semiHidden/>
    <w:unhideWhenUsed/>
    <w:rsid w:val="00DE3106"/>
    <w:rPr>
      <w:color w:val="800080" w:themeColor="followedHyperlink"/>
      <w:u w:val="single"/>
    </w:rPr>
  </w:style>
  <w:style w:type="paragraph" w:styleId="ListParagraph">
    <w:name w:val="List Paragraph"/>
    <w:basedOn w:val="Normal"/>
    <w:uiPriority w:val="34"/>
    <w:qFormat/>
    <w:rsid w:val="00ED21C3"/>
    <w:pPr>
      <w:spacing w:after="0"/>
      <w:ind w:left="720"/>
      <w:contextualSpacing/>
      <w:jc w:val="left"/>
    </w:pPr>
    <w:rPr>
      <w:rFonts w:ascii="Arial Mäori" w:eastAsia="Times New Roman" w:hAnsi="Arial Mäori" w:cs="Times New Roman"/>
      <w:sz w:val="24"/>
    </w:rPr>
  </w:style>
  <w:style w:type="paragraph" w:styleId="TOC1">
    <w:name w:val="toc 1"/>
    <w:basedOn w:val="Normal"/>
    <w:next w:val="Normal"/>
    <w:autoRedefine/>
    <w:uiPriority w:val="39"/>
    <w:unhideWhenUsed/>
    <w:rsid w:val="009D1A01"/>
    <w:pPr>
      <w:spacing w:after="100"/>
    </w:pPr>
  </w:style>
  <w:style w:type="paragraph" w:styleId="TOC2">
    <w:name w:val="toc 2"/>
    <w:basedOn w:val="Normal"/>
    <w:next w:val="Normal"/>
    <w:autoRedefine/>
    <w:uiPriority w:val="39"/>
    <w:unhideWhenUsed/>
    <w:rsid w:val="009D1A0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8740">
      <w:bodyDiv w:val="1"/>
      <w:marLeft w:val="0"/>
      <w:marRight w:val="0"/>
      <w:marTop w:val="0"/>
      <w:marBottom w:val="0"/>
      <w:divBdr>
        <w:top w:val="none" w:sz="0" w:space="0" w:color="auto"/>
        <w:left w:val="none" w:sz="0" w:space="0" w:color="auto"/>
        <w:bottom w:val="none" w:sz="0" w:space="0" w:color="auto"/>
        <w:right w:val="none" w:sz="0" w:space="0" w:color="auto"/>
      </w:divBdr>
    </w:div>
    <w:div w:id="142163283">
      <w:bodyDiv w:val="1"/>
      <w:marLeft w:val="0"/>
      <w:marRight w:val="0"/>
      <w:marTop w:val="0"/>
      <w:marBottom w:val="0"/>
      <w:divBdr>
        <w:top w:val="none" w:sz="0" w:space="0" w:color="auto"/>
        <w:left w:val="none" w:sz="0" w:space="0" w:color="auto"/>
        <w:bottom w:val="none" w:sz="0" w:space="0" w:color="auto"/>
        <w:right w:val="none" w:sz="0" w:space="0" w:color="auto"/>
      </w:divBdr>
    </w:div>
    <w:div w:id="356349301">
      <w:bodyDiv w:val="1"/>
      <w:marLeft w:val="0"/>
      <w:marRight w:val="0"/>
      <w:marTop w:val="0"/>
      <w:marBottom w:val="0"/>
      <w:divBdr>
        <w:top w:val="none" w:sz="0" w:space="0" w:color="auto"/>
        <w:left w:val="none" w:sz="0" w:space="0" w:color="auto"/>
        <w:bottom w:val="none" w:sz="0" w:space="0" w:color="auto"/>
        <w:right w:val="none" w:sz="0" w:space="0" w:color="auto"/>
      </w:divBdr>
    </w:div>
    <w:div w:id="384253435">
      <w:bodyDiv w:val="1"/>
      <w:marLeft w:val="0"/>
      <w:marRight w:val="0"/>
      <w:marTop w:val="0"/>
      <w:marBottom w:val="0"/>
      <w:divBdr>
        <w:top w:val="none" w:sz="0" w:space="0" w:color="auto"/>
        <w:left w:val="none" w:sz="0" w:space="0" w:color="auto"/>
        <w:bottom w:val="none" w:sz="0" w:space="0" w:color="auto"/>
        <w:right w:val="none" w:sz="0" w:space="0" w:color="auto"/>
      </w:divBdr>
    </w:div>
    <w:div w:id="422380217">
      <w:bodyDiv w:val="1"/>
      <w:marLeft w:val="0"/>
      <w:marRight w:val="0"/>
      <w:marTop w:val="0"/>
      <w:marBottom w:val="0"/>
      <w:divBdr>
        <w:top w:val="none" w:sz="0" w:space="0" w:color="auto"/>
        <w:left w:val="none" w:sz="0" w:space="0" w:color="auto"/>
        <w:bottom w:val="none" w:sz="0" w:space="0" w:color="auto"/>
        <w:right w:val="none" w:sz="0" w:space="0" w:color="auto"/>
      </w:divBdr>
    </w:div>
    <w:div w:id="451562244">
      <w:bodyDiv w:val="1"/>
      <w:marLeft w:val="0"/>
      <w:marRight w:val="0"/>
      <w:marTop w:val="0"/>
      <w:marBottom w:val="0"/>
      <w:divBdr>
        <w:top w:val="none" w:sz="0" w:space="0" w:color="auto"/>
        <w:left w:val="none" w:sz="0" w:space="0" w:color="auto"/>
        <w:bottom w:val="none" w:sz="0" w:space="0" w:color="auto"/>
        <w:right w:val="none" w:sz="0" w:space="0" w:color="auto"/>
      </w:divBdr>
    </w:div>
    <w:div w:id="638999626">
      <w:bodyDiv w:val="1"/>
      <w:marLeft w:val="0"/>
      <w:marRight w:val="0"/>
      <w:marTop w:val="0"/>
      <w:marBottom w:val="0"/>
      <w:divBdr>
        <w:top w:val="none" w:sz="0" w:space="0" w:color="auto"/>
        <w:left w:val="none" w:sz="0" w:space="0" w:color="auto"/>
        <w:bottom w:val="none" w:sz="0" w:space="0" w:color="auto"/>
        <w:right w:val="none" w:sz="0" w:space="0" w:color="auto"/>
      </w:divBdr>
    </w:div>
    <w:div w:id="640186568">
      <w:bodyDiv w:val="1"/>
      <w:marLeft w:val="0"/>
      <w:marRight w:val="0"/>
      <w:marTop w:val="0"/>
      <w:marBottom w:val="0"/>
      <w:divBdr>
        <w:top w:val="none" w:sz="0" w:space="0" w:color="auto"/>
        <w:left w:val="none" w:sz="0" w:space="0" w:color="auto"/>
        <w:bottom w:val="none" w:sz="0" w:space="0" w:color="auto"/>
        <w:right w:val="none" w:sz="0" w:space="0" w:color="auto"/>
      </w:divBdr>
    </w:div>
    <w:div w:id="642540530">
      <w:bodyDiv w:val="1"/>
      <w:marLeft w:val="0"/>
      <w:marRight w:val="0"/>
      <w:marTop w:val="0"/>
      <w:marBottom w:val="0"/>
      <w:divBdr>
        <w:top w:val="none" w:sz="0" w:space="0" w:color="auto"/>
        <w:left w:val="none" w:sz="0" w:space="0" w:color="auto"/>
        <w:bottom w:val="none" w:sz="0" w:space="0" w:color="auto"/>
        <w:right w:val="none" w:sz="0" w:space="0" w:color="auto"/>
      </w:divBdr>
    </w:div>
    <w:div w:id="725764848">
      <w:bodyDiv w:val="1"/>
      <w:marLeft w:val="0"/>
      <w:marRight w:val="0"/>
      <w:marTop w:val="0"/>
      <w:marBottom w:val="0"/>
      <w:divBdr>
        <w:top w:val="none" w:sz="0" w:space="0" w:color="auto"/>
        <w:left w:val="none" w:sz="0" w:space="0" w:color="auto"/>
        <w:bottom w:val="none" w:sz="0" w:space="0" w:color="auto"/>
        <w:right w:val="none" w:sz="0" w:space="0" w:color="auto"/>
      </w:divBdr>
    </w:div>
    <w:div w:id="739519224">
      <w:bodyDiv w:val="1"/>
      <w:marLeft w:val="0"/>
      <w:marRight w:val="0"/>
      <w:marTop w:val="0"/>
      <w:marBottom w:val="0"/>
      <w:divBdr>
        <w:top w:val="none" w:sz="0" w:space="0" w:color="auto"/>
        <w:left w:val="none" w:sz="0" w:space="0" w:color="auto"/>
        <w:bottom w:val="none" w:sz="0" w:space="0" w:color="auto"/>
        <w:right w:val="none" w:sz="0" w:space="0" w:color="auto"/>
      </w:divBdr>
    </w:div>
    <w:div w:id="901908407">
      <w:bodyDiv w:val="1"/>
      <w:marLeft w:val="0"/>
      <w:marRight w:val="0"/>
      <w:marTop w:val="0"/>
      <w:marBottom w:val="0"/>
      <w:divBdr>
        <w:top w:val="none" w:sz="0" w:space="0" w:color="auto"/>
        <w:left w:val="none" w:sz="0" w:space="0" w:color="auto"/>
        <w:bottom w:val="none" w:sz="0" w:space="0" w:color="auto"/>
        <w:right w:val="none" w:sz="0" w:space="0" w:color="auto"/>
      </w:divBdr>
    </w:div>
    <w:div w:id="1141384591">
      <w:bodyDiv w:val="1"/>
      <w:marLeft w:val="0"/>
      <w:marRight w:val="0"/>
      <w:marTop w:val="0"/>
      <w:marBottom w:val="0"/>
      <w:divBdr>
        <w:top w:val="none" w:sz="0" w:space="0" w:color="auto"/>
        <w:left w:val="none" w:sz="0" w:space="0" w:color="auto"/>
        <w:bottom w:val="none" w:sz="0" w:space="0" w:color="auto"/>
        <w:right w:val="none" w:sz="0" w:space="0" w:color="auto"/>
      </w:divBdr>
    </w:div>
    <w:div w:id="1166365434">
      <w:bodyDiv w:val="1"/>
      <w:marLeft w:val="0"/>
      <w:marRight w:val="0"/>
      <w:marTop w:val="0"/>
      <w:marBottom w:val="0"/>
      <w:divBdr>
        <w:top w:val="none" w:sz="0" w:space="0" w:color="auto"/>
        <w:left w:val="none" w:sz="0" w:space="0" w:color="auto"/>
        <w:bottom w:val="none" w:sz="0" w:space="0" w:color="auto"/>
        <w:right w:val="none" w:sz="0" w:space="0" w:color="auto"/>
      </w:divBdr>
    </w:div>
    <w:div w:id="1188643264">
      <w:bodyDiv w:val="1"/>
      <w:marLeft w:val="0"/>
      <w:marRight w:val="0"/>
      <w:marTop w:val="0"/>
      <w:marBottom w:val="0"/>
      <w:divBdr>
        <w:top w:val="none" w:sz="0" w:space="0" w:color="auto"/>
        <w:left w:val="none" w:sz="0" w:space="0" w:color="auto"/>
        <w:bottom w:val="none" w:sz="0" w:space="0" w:color="auto"/>
        <w:right w:val="none" w:sz="0" w:space="0" w:color="auto"/>
      </w:divBdr>
    </w:div>
    <w:div w:id="1272012315">
      <w:bodyDiv w:val="1"/>
      <w:marLeft w:val="0"/>
      <w:marRight w:val="0"/>
      <w:marTop w:val="0"/>
      <w:marBottom w:val="0"/>
      <w:divBdr>
        <w:top w:val="none" w:sz="0" w:space="0" w:color="auto"/>
        <w:left w:val="none" w:sz="0" w:space="0" w:color="auto"/>
        <w:bottom w:val="none" w:sz="0" w:space="0" w:color="auto"/>
        <w:right w:val="none" w:sz="0" w:space="0" w:color="auto"/>
      </w:divBdr>
    </w:div>
    <w:div w:id="1416129026">
      <w:bodyDiv w:val="1"/>
      <w:marLeft w:val="0"/>
      <w:marRight w:val="0"/>
      <w:marTop w:val="0"/>
      <w:marBottom w:val="0"/>
      <w:divBdr>
        <w:top w:val="none" w:sz="0" w:space="0" w:color="auto"/>
        <w:left w:val="none" w:sz="0" w:space="0" w:color="auto"/>
        <w:bottom w:val="none" w:sz="0" w:space="0" w:color="auto"/>
        <w:right w:val="none" w:sz="0" w:space="0" w:color="auto"/>
      </w:divBdr>
    </w:div>
    <w:div w:id="1424497080">
      <w:bodyDiv w:val="1"/>
      <w:marLeft w:val="0"/>
      <w:marRight w:val="0"/>
      <w:marTop w:val="0"/>
      <w:marBottom w:val="0"/>
      <w:divBdr>
        <w:top w:val="none" w:sz="0" w:space="0" w:color="auto"/>
        <w:left w:val="none" w:sz="0" w:space="0" w:color="auto"/>
        <w:bottom w:val="none" w:sz="0" w:space="0" w:color="auto"/>
        <w:right w:val="none" w:sz="0" w:space="0" w:color="auto"/>
      </w:divBdr>
    </w:div>
    <w:div w:id="1554535358">
      <w:bodyDiv w:val="1"/>
      <w:marLeft w:val="0"/>
      <w:marRight w:val="0"/>
      <w:marTop w:val="0"/>
      <w:marBottom w:val="0"/>
      <w:divBdr>
        <w:top w:val="none" w:sz="0" w:space="0" w:color="auto"/>
        <w:left w:val="none" w:sz="0" w:space="0" w:color="auto"/>
        <w:bottom w:val="none" w:sz="0" w:space="0" w:color="auto"/>
        <w:right w:val="none" w:sz="0" w:space="0" w:color="auto"/>
      </w:divBdr>
    </w:div>
    <w:div w:id="1606227717">
      <w:bodyDiv w:val="1"/>
      <w:marLeft w:val="0"/>
      <w:marRight w:val="0"/>
      <w:marTop w:val="0"/>
      <w:marBottom w:val="0"/>
      <w:divBdr>
        <w:top w:val="none" w:sz="0" w:space="0" w:color="auto"/>
        <w:left w:val="none" w:sz="0" w:space="0" w:color="auto"/>
        <w:bottom w:val="none" w:sz="0" w:space="0" w:color="auto"/>
        <w:right w:val="none" w:sz="0" w:space="0" w:color="auto"/>
      </w:divBdr>
    </w:div>
    <w:div w:id="1621258301">
      <w:bodyDiv w:val="1"/>
      <w:marLeft w:val="0"/>
      <w:marRight w:val="0"/>
      <w:marTop w:val="0"/>
      <w:marBottom w:val="0"/>
      <w:divBdr>
        <w:top w:val="none" w:sz="0" w:space="0" w:color="auto"/>
        <w:left w:val="none" w:sz="0" w:space="0" w:color="auto"/>
        <w:bottom w:val="none" w:sz="0" w:space="0" w:color="auto"/>
        <w:right w:val="none" w:sz="0" w:space="0" w:color="auto"/>
      </w:divBdr>
    </w:div>
    <w:div w:id="1700624721">
      <w:bodyDiv w:val="1"/>
      <w:marLeft w:val="0"/>
      <w:marRight w:val="0"/>
      <w:marTop w:val="0"/>
      <w:marBottom w:val="0"/>
      <w:divBdr>
        <w:top w:val="none" w:sz="0" w:space="0" w:color="auto"/>
        <w:left w:val="none" w:sz="0" w:space="0" w:color="auto"/>
        <w:bottom w:val="none" w:sz="0" w:space="0" w:color="auto"/>
        <w:right w:val="none" w:sz="0" w:space="0" w:color="auto"/>
      </w:divBdr>
    </w:div>
    <w:div w:id="1715349114">
      <w:bodyDiv w:val="1"/>
      <w:marLeft w:val="0"/>
      <w:marRight w:val="0"/>
      <w:marTop w:val="0"/>
      <w:marBottom w:val="0"/>
      <w:divBdr>
        <w:top w:val="none" w:sz="0" w:space="0" w:color="auto"/>
        <w:left w:val="none" w:sz="0" w:space="0" w:color="auto"/>
        <w:bottom w:val="none" w:sz="0" w:space="0" w:color="auto"/>
        <w:right w:val="none" w:sz="0" w:space="0" w:color="auto"/>
      </w:divBdr>
    </w:div>
    <w:div w:id="1899126053">
      <w:bodyDiv w:val="1"/>
      <w:marLeft w:val="0"/>
      <w:marRight w:val="0"/>
      <w:marTop w:val="0"/>
      <w:marBottom w:val="0"/>
      <w:divBdr>
        <w:top w:val="none" w:sz="0" w:space="0" w:color="auto"/>
        <w:left w:val="none" w:sz="0" w:space="0" w:color="auto"/>
        <w:bottom w:val="none" w:sz="0" w:space="0" w:color="auto"/>
        <w:right w:val="none" w:sz="0" w:space="0" w:color="auto"/>
      </w:divBdr>
    </w:div>
    <w:div w:id="1937328216">
      <w:bodyDiv w:val="1"/>
      <w:marLeft w:val="0"/>
      <w:marRight w:val="0"/>
      <w:marTop w:val="0"/>
      <w:marBottom w:val="0"/>
      <w:divBdr>
        <w:top w:val="none" w:sz="0" w:space="0" w:color="auto"/>
        <w:left w:val="none" w:sz="0" w:space="0" w:color="auto"/>
        <w:bottom w:val="none" w:sz="0" w:space="0" w:color="auto"/>
        <w:right w:val="none" w:sz="0" w:space="0" w:color="auto"/>
      </w:divBdr>
    </w:div>
    <w:div w:id="2096898883">
      <w:bodyDiv w:val="1"/>
      <w:marLeft w:val="0"/>
      <w:marRight w:val="0"/>
      <w:marTop w:val="0"/>
      <w:marBottom w:val="0"/>
      <w:divBdr>
        <w:top w:val="none" w:sz="0" w:space="0" w:color="auto"/>
        <w:left w:val="none" w:sz="0" w:space="0" w:color="auto"/>
        <w:bottom w:val="none" w:sz="0" w:space="0" w:color="auto"/>
        <w:right w:val="none" w:sz="0" w:space="0" w:color="auto"/>
      </w:divBdr>
      <w:divsChild>
        <w:div w:id="1690790132">
          <w:marLeft w:val="0"/>
          <w:marRight w:val="0"/>
          <w:marTop w:val="0"/>
          <w:marBottom w:val="0"/>
          <w:divBdr>
            <w:top w:val="none" w:sz="0" w:space="0" w:color="auto"/>
            <w:left w:val="none" w:sz="0" w:space="0" w:color="auto"/>
            <w:bottom w:val="none" w:sz="0" w:space="0" w:color="auto"/>
            <w:right w:val="none" w:sz="0" w:space="0" w:color="auto"/>
          </w:divBdr>
          <w:divsChild>
            <w:div w:id="1833520253">
              <w:marLeft w:val="0"/>
              <w:marRight w:val="0"/>
              <w:marTop w:val="0"/>
              <w:marBottom w:val="0"/>
              <w:divBdr>
                <w:top w:val="none" w:sz="0" w:space="0" w:color="auto"/>
                <w:left w:val="none" w:sz="0" w:space="0" w:color="auto"/>
                <w:bottom w:val="none" w:sz="0" w:space="0" w:color="auto"/>
                <w:right w:val="none" w:sz="0" w:space="0" w:color="auto"/>
              </w:divBdr>
              <w:divsChild>
                <w:div w:id="746734316">
                  <w:marLeft w:val="0"/>
                  <w:marRight w:val="0"/>
                  <w:marTop w:val="0"/>
                  <w:marBottom w:val="0"/>
                  <w:divBdr>
                    <w:top w:val="none" w:sz="0" w:space="0" w:color="auto"/>
                    <w:left w:val="none" w:sz="0" w:space="0" w:color="auto"/>
                    <w:bottom w:val="none" w:sz="0" w:space="0" w:color="auto"/>
                    <w:right w:val="none" w:sz="0" w:space="0" w:color="auto"/>
                  </w:divBdr>
                  <w:divsChild>
                    <w:div w:id="935753103">
                      <w:marLeft w:val="0"/>
                      <w:marRight w:val="0"/>
                      <w:marTop w:val="0"/>
                      <w:marBottom w:val="0"/>
                      <w:divBdr>
                        <w:top w:val="none" w:sz="0" w:space="0" w:color="auto"/>
                        <w:left w:val="none" w:sz="0" w:space="0" w:color="auto"/>
                        <w:bottom w:val="none" w:sz="0" w:space="0" w:color="auto"/>
                        <w:right w:val="none" w:sz="0" w:space="0" w:color="auto"/>
                      </w:divBdr>
                      <w:divsChild>
                        <w:div w:id="1266576610">
                          <w:marLeft w:val="0"/>
                          <w:marRight w:val="0"/>
                          <w:marTop w:val="300"/>
                          <w:marBottom w:val="300"/>
                          <w:divBdr>
                            <w:top w:val="none" w:sz="0" w:space="0" w:color="auto"/>
                            <w:left w:val="none" w:sz="0" w:space="0" w:color="auto"/>
                            <w:bottom w:val="none" w:sz="0" w:space="0" w:color="auto"/>
                            <w:right w:val="none" w:sz="0" w:space="0" w:color="auto"/>
                          </w:divBdr>
                          <w:divsChild>
                            <w:div w:id="836193741">
                              <w:marLeft w:val="0"/>
                              <w:marRight w:val="0"/>
                              <w:marTop w:val="0"/>
                              <w:marBottom w:val="0"/>
                              <w:divBdr>
                                <w:top w:val="none" w:sz="0" w:space="0" w:color="auto"/>
                                <w:left w:val="none" w:sz="0" w:space="0" w:color="auto"/>
                                <w:bottom w:val="none" w:sz="0" w:space="0" w:color="auto"/>
                                <w:right w:val="none" w:sz="0" w:space="0" w:color="auto"/>
                              </w:divBdr>
                              <w:divsChild>
                                <w:div w:id="1636717752">
                                  <w:marLeft w:val="0"/>
                                  <w:marRight w:val="0"/>
                                  <w:marTop w:val="0"/>
                                  <w:marBottom w:val="0"/>
                                  <w:divBdr>
                                    <w:top w:val="none" w:sz="0" w:space="0" w:color="auto"/>
                                    <w:left w:val="none" w:sz="0" w:space="0" w:color="auto"/>
                                    <w:bottom w:val="none" w:sz="0" w:space="0" w:color="auto"/>
                                    <w:right w:val="none" w:sz="0" w:space="0" w:color="auto"/>
                                  </w:divBdr>
                                  <w:divsChild>
                                    <w:div w:id="1411536668">
                                      <w:marLeft w:val="0"/>
                                      <w:marRight w:val="0"/>
                                      <w:marTop w:val="0"/>
                                      <w:marBottom w:val="0"/>
                                      <w:divBdr>
                                        <w:top w:val="none" w:sz="0" w:space="0" w:color="auto"/>
                                        <w:left w:val="none" w:sz="0" w:space="0" w:color="auto"/>
                                        <w:bottom w:val="none" w:sz="0" w:space="0" w:color="auto"/>
                                        <w:right w:val="none" w:sz="0" w:space="0" w:color="auto"/>
                                      </w:divBdr>
                                      <w:divsChild>
                                        <w:div w:id="84640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905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creativecommons.org/licenses/by/4.0/" TargetMode="External"/><Relationship Id="rId18" Type="http://schemas.openxmlformats.org/officeDocument/2006/relationships/hyperlink" Target="http://www.linz.govt.nz/about-linz/what-were-doing/projects/open-government-information-and-data-programme" TargetMode="External"/><Relationship Id="rId26" Type="http://schemas.openxmlformats.org/officeDocument/2006/relationships/hyperlink" Target="http://www.stats.govt.nz" TargetMode="External"/><Relationship Id="rId39" Type="http://schemas.openxmlformats.org/officeDocument/2006/relationships/hyperlink" Target="http://ogp.org.nz/assets/Uploads/OGPNZ-Timeline-final-landscape.pdf" TargetMode="External"/><Relationship Id="rId3" Type="http://schemas.openxmlformats.org/officeDocument/2006/relationships/styles" Target="styles.xml"/><Relationship Id="rId21" Type="http://schemas.openxmlformats.org/officeDocument/2006/relationships/hyperlink" Target="http://www.treasury.govt.nz/" TargetMode="External"/><Relationship Id="rId34" Type="http://schemas.openxmlformats.org/officeDocument/2006/relationships/hyperlink" Target="http://www.stats.govt.nz/"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ict.govt.nz/strategy-and-action-plan/" TargetMode="External"/><Relationship Id="rId25" Type="http://schemas.openxmlformats.org/officeDocument/2006/relationships/hyperlink" Target="http://www.linz.govt.nz/" TargetMode="External"/><Relationship Id="rId33" Type="http://schemas.openxmlformats.org/officeDocument/2006/relationships/hyperlink" Target="http://www.stats.govt.nz/" TargetMode="External"/><Relationship Id="rId38"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www.ssc.govt.nz/bps-interaction-with-govt" TargetMode="External"/><Relationship Id="rId20" Type="http://schemas.openxmlformats.org/officeDocument/2006/relationships/hyperlink" Target="http://www.treaties.mfat.govt.nz/" TargetMode="External"/><Relationship Id="rId29" Type="http://schemas.openxmlformats.org/officeDocument/2006/relationships/hyperlink" Target="http://www.linz.govt.nz/"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3.0/nz/" TargetMode="External"/><Relationship Id="rId24" Type="http://schemas.openxmlformats.org/officeDocument/2006/relationships/hyperlink" Target="http://www.linz.govt.nz/" TargetMode="External"/><Relationship Id="rId32" Type="http://schemas.openxmlformats.org/officeDocument/2006/relationships/hyperlink" Target="https://www.dia.govt.nz/" TargetMode="External"/><Relationship Id="rId37" Type="http://schemas.openxmlformats.org/officeDocument/2006/relationships/hyperlink" Target="https://www.dpmc.govt.nz/" TargetMode="External"/><Relationship Id="rId40" Type="http://schemas.openxmlformats.org/officeDocument/2006/relationships/hyperlink" Target="http://www.legislation.govt.nz" TargetMode="External"/><Relationship Id="rId5" Type="http://schemas.openxmlformats.org/officeDocument/2006/relationships/webSettings" Target="webSettings.xml"/><Relationship Id="rId15" Type="http://schemas.openxmlformats.org/officeDocument/2006/relationships/hyperlink" Target="http://www.ombudsman.parliament.nz/newsroom/item/chief-ombudsman-releases-report-into-government-oia-practices" TargetMode="External"/><Relationship Id="rId23" Type="http://schemas.openxmlformats.org/officeDocument/2006/relationships/hyperlink" Target="https://www.justice.govt.nz/" TargetMode="External"/><Relationship Id="rId28" Type="http://schemas.openxmlformats.org/officeDocument/2006/relationships/hyperlink" Target="https://www.dia.govt.nz/" TargetMode="External"/><Relationship Id="rId36" Type="http://schemas.openxmlformats.org/officeDocument/2006/relationships/hyperlink" Target="http://www.pco.parliament.govt.nz/" TargetMode="External"/><Relationship Id="rId10" Type="http://schemas.openxmlformats.org/officeDocument/2006/relationships/footer" Target="footer2.xml"/><Relationship Id="rId19" Type="http://schemas.openxmlformats.org/officeDocument/2006/relationships/hyperlink" Target="http://datafutures.co.nz/" TargetMode="External"/><Relationship Id="rId31" Type="http://schemas.openxmlformats.org/officeDocument/2006/relationships/hyperlink" Target="https://www.dia.govt.nz/"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egislation.govt.nz/act/public/1981/0047/latest/whole.html" TargetMode="External"/><Relationship Id="rId22" Type="http://schemas.openxmlformats.org/officeDocument/2006/relationships/hyperlink" Target="http://www.ssc.govt.nz/)," TargetMode="External"/><Relationship Id="rId27" Type="http://schemas.openxmlformats.org/officeDocument/2006/relationships/hyperlink" Target="https://www.dia.govt.nz/" TargetMode="External"/><Relationship Id="rId30" Type="http://schemas.openxmlformats.org/officeDocument/2006/relationships/hyperlink" Target="http://www.linz.govt.nz/" TargetMode="External"/><Relationship Id="rId35" Type="http://schemas.openxmlformats.org/officeDocument/2006/relationships/hyperlink" Target="http://www.ssc.govt.nz/),"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opengovpartnership.nz/achieving-our-open-data-milestones" TargetMode="External"/><Relationship Id="rId1" Type="http://schemas.openxmlformats.org/officeDocument/2006/relationships/hyperlink" Target="https://www.opengovpartnership.nz/achieving-our-open-data-milesto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97C03-795D-4113-BE2B-28128F353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6592</Words>
  <Characters>37578</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Template 4</vt:lpstr>
    </vt:vector>
  </TitlesOfParts>
  <Company>NZ Government</Company>
  <LinksUpToDate>false</LinksUpToDate>
  <CharactersWithSpaces>44082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4</dc:title>
  <dc:subject/>
  <dc:creator>Amy White [SSC]</dc:creator>
  <cp:keywords/>
  <dc:description/>
  <cp:lastModifiedBy>Lis Cowey [SSC]</cp:lastModifiedBy>
  <cp:revision>2</cp:revision>
  <cp:lastPrinted>2016-10-19T19:36:00Z</cp:lastPrinted>
  <dcterms:created xsi:type="dcterms:W3CDTF">2017-06-30T04:43:00Z</dcterms:created>
  <dcterms:modified xsi:type="dcterms:W3CDTF">2017-06-30T04:43:00Z</dcterms:modified>
</cp:coreProperties>
</file>