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B10A3" w14:textId="08E2C8F9" w:rsidR="00416E6C" w:rsidRPr="009400F9" w:rsidRDefault="00112881" w:rsidP="00B0395A">
      <w:pPr>
        <w:pStyle w:val="Normalrglronly"/>
        <w:rPr>
          <w:lang w:val="en-GB"/>
        </w:rPr>
      </w:pPr>
      <w:r w:rsidRPr="009400F9">
        <w:rPr>
          <w:noProof/>
          <w:lang w:val="en-US"/>
        </w:rPr>
        <w:drawing>
          <wp:anchor distT="0" distB="0" distL="114300" distR="114300" simplePos="0" relativeHeight="251653632" behindDoc="0" locked="0" layoutInCell="1" allowOverlap="1" wp14:anchorId="324323C3" wp14:editId="78B3E8B1">
            <wp:simplePos x="0" y="0"/>
            <wp:positionH relativeFrom="column">
              <wp:posOffset>-44873</wp:posOffset>
            </wp:positionH>
            <wp:positionV relativeFrom="paragraph">
              <wp:posOffset>-146897</wp:posOffset>
            </wp:positionV>
            <wp:extent cx="914400" cy="914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roofErr w:type="spellStart"/>
      <w:r w:rsidR="006347ED">
        <w:rPr>
          <w:lang w:val="en-GB"/>
        </w:rPr>
        <w:t>fe</w:t>
      </w:r>
      <w:proofErr w:type="spellEnd"/>
    </w:p>
    <w:p w14:paraId="482C9960" w14:textId="77777777" w:rsidR="003178D9" w:rsidRPr="009400F9" w:rsidRDefault="003178D9" w:rsidP="00B0395A">
      <w:pPr>
        <w:pStyle w:val="Normalrglronly"/>
        <w:rPr>
          <w:lang w:val="en-GB"/>
        </w:rPr>
      </w:pPr>
    </w:p>
    <w:p w14:paraId="0061C212" w14:textId="474A441A" w:rsidR="00EF2CFA" w:rsidRPr="009400F9" w:rsidRDefault="00C73B44" w:rsidP="00416E6C">
      <w:pPr>
        <w:pStyle w:val="Title"/>
        <w:jc w:val="center"/>
        <w:rPr>
          <w:rFonts w:eastAsiaTheme="minorEastAsia"/>
          <w:smallCaps/>
          <w:sz w:val="28"/>
          <w:szCs w:val="28"/>
          <w:lang w:val="en-GB"/>
        </w:rPr>
      </w:pPr>
      <w:r w:rsidRPr="00C25A25">
        <w:rPr>
          <w:noProof/>
          <w:color w:val="1F497D" w:themeColor="text2"/>
          <w:sz w:val="28"/>
          <w:szCs w:val="28"/>
          <w:lang w:val="en-US"/>
        </w:rPr>
        <mc:AlternateContent>
          <mc:Choice Requires="wps">
            <w:drawing>
              <wp:anchor distT="0" distB="0" distL="114300" distR="114300" simplePos="0" relativeHeight="251667968" behindDoc="0" locked="0" layoutInCell="1" allowOverlap="1" wp14:anchorId="3A199D3E" wp14:editId="20CEEFFD">
                <wp:simplePos x="0" y="0"/>
                <wp:positionH relativeFrom="column">
                  <wp:posOffset>-45085</wp:posOffset>
                </wp:positionH>
                <wp:positionV relativeFrom="paragraph">
                  <wp:posOffset>407035</wp:posOffset>
                </wp:positionV>
                <wp:extent cx="6172200" cy="1145540"/>
                <wp:effectExtent l="0" t="0" r="0" b="0"/>
                <wp:wrapTight wrapText="bothSides">
                  <wp:wrapPolygon edited="0">
                    <wp:start x="89" y="0"/>
                    <wp:lineTo x="89" y="21073"/>
                    <wp:lineTo x="21422" y="21073"/>
                    <wp:lineTo x="21422" y="0"/>
                    <wp:lineTo x="89" y="0"/>
                  </wp:wrapPolygon>
                </wp:wrapTight>
                <wp:docPr id="1" name="Text Box 1"/>
                <wp:cNvGraphicFramePr/>
                <a:graphic xmlns:a="http://schemas.openxmlformats.org/drawingml/2006/main">
                  <a:graphicData uri="http://schemas.microsoft.com/office/word/2010/wordprocessingShape">
                    <wps:wsp>
                      <wps:cNvSpPr txBox="1"/>
                      <wps:spPr>
                        <a:xfrm>
                          <a:off x="0" y="0"/>
                          <a:ext cx="6172200" cy="1145540"/>
                        </a:xfrm>
                        <a:prstGeom prst="rect">
                          <a:avLst/>
                        </a:prstGeom>
                        <a:noFill/>
                        <a:ln>
                          <a:noFill/>
                        </a:ln>
                        <a:effectLst/>
                        <a:extLst>
                          <a:ext uri="{C572A759-6A51-4108-AA02-DFA0A04FC94B}">
                            <ma14:wrappingTextBoxFlag xmlns:ma14="http://schemas.microsoft.com/office/mac/drawingml/2011/main"/>
                          </a:ext>
                        </a:extLst>
                      </wps:spPr>
                      <wps:txbx>
                        <w:txbxContent>
                          <w:p w14:paraId="279CA787" w14:textId="3152A7D6" w:rsidR="00CD1FAD" w:rsidRDefault="00CD1FAD" w:rsidP="00C5711C">
                            <w:pPr>
                              <w:pStyle w:val="Pullquote"/>
                              <w:rPr>
                                <w:lang w:val="en-GB"/>
                              </w:rPr>
                            </w:pPr>
                            <w:r>
                              <w:rPr>
                                <w:lang w:val="en-GB"/>
                              </w:rPr>
                              <w:t>The Government of Ukraine has implemented fully or substantially most of its commitments under the 2014-2016 national action plan. Eight commitments had a major or outstanding impact on opening government, including measures to open communist-regime archives, disclose the assets and income of public officials online, and create e-petitions and new open data legislation. Moving forward, the government should focus on key open government commitments that are clearly relevant to OGP values, and can have a transformative impact.</w:t>
                            </w:r>
                          </w:p>
                          <w:p w14:paraId="24450B4B" w14:textId="77777777" w:rsidR="00CD1FAD" w:rsidRPr="00163080" w:rsidRDefault="00CD1FAD" w:rsidP="001630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199D3E" id="_x0000_t202" coordsize="21600,21600" o:spt="202" path="m0,0l0,21600,21600,21600,21600,0xe">
                <v:stroke joinstyle="miter"/>
                <v:path gradientshapeok="t" o:connecttype="rect"/>
              </v:shapetype>
              <v:shape id="Text Box 1" o:spid="_x0000_s1026" type="#_x0000_t202" style="position:absolute;left:0;text-align:left;margin-left:-3.55pt;margin-top:32.05pt;width:486pt;height:9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" filled="f" stroked="f">
                <v:textbox>
                  <w:txbxContent>
                    <w:p w14:paraId="279CA787" w14:textId="3152A7D6" w:rsidR="00CD1FAD" w:rsidRDefault="00CD1FAD" w:rsidP="00C5711C">
                      <w:pPr>
                        <w:pStyle w:val="Pullquote"/>
                        <w:rPr>
                          <w:lang w:val="en-GB"/>
                        </w:rPr>
                      </w:pPr>
                      <w:r>
                        <w:rPr>
                          <w:lang w:val="en-GB"/>
                        </w:rPr>
                        <w:t>The Government of Ukraine has implemented fully or substantially most of its commitments under the 2014-2016 national action plan. Eight commitments had a major or outstanding impact on opening government, including measures to open communist-regime archives, disclose the assets and income of public officials online, and create e-petitions and new open data legislation. Moving forward, the government should focus on key open government commitments that are clearly relevant to OGP values, and can have a transformative impact.</w:t>
                      </w:r>
                    </w:p>
                    <w:p w14:paraId="24450B4B" w14:textId="77777777" w:rsidR="00CD1FAD" w:rsidRPr="00163080" w:rsidRDefault="00CD1FAD" w:rsidP="00163080"/>
                  </w:txbxContent>
                </v:textbox>
                <w10:wrap type="tight"/>
              </v:shape>
            </w:pict>
          </mc:Fallback>
        </mc:AlternateContent>
      </w:r>
      <w:r w:rsidR="002B734D" w:rsidRPr="00C25A25">
        <w:rPr>
          <w:noProof/>
          <w:color w:val="1F497D" w:themeColor="text2"/>
          <w:sz w:val="28"/>
          <w:szCs w:val="28"/>
          <w:lang w:val="en-US"/>
        </w:rPr>
        <w:t>Ukraine</w:t>
      </w:r>
      <w:r w:rsidR="002B734D">
        <w:rPr>
          <w:rFonts w:ascii="Garamond" w:hAnsi="Garamond"/>
          <w:noProof/>
          <w:color w:val="1F497D" w:themeColor="text2"/>
          <w:sz w:val="28"/>
          <w:szCs w:val="28"/>
          <w:lang w:val="en-US"/>
        </w:rPr>
        <w:t>:</w:t>
      </w:r>
      <w:r w:rsidR="00EB323A" w:rsidRPr="009400F9">
        <w:rPr>
          <w:color w:val="1F497D" w:themeColor="text2"/>
          <w:sz w:val="28"/>
          <w:szCs w:val="28"/>
          <w:lang w:val="en-GB"/>
        </w:rPr>
        <w:t xml:space="preserve"> </w:t>
      </w:r>
      <w:r w:rsidR="002B734D">
        <w:rPr>
          <w:color w:val="1F497D" w:themeColor="text2"/>
          <w:sz w:val="28"/>
          <w:szCs w:val="28"/>
          <w:lang w:val="en-GB"/>
        </w:rPr>
        <w:t>201</w:t>
      </w:r>
      <w:r w:rsidR="00DD5DA5">
        <w:rPr>
          <w:color w:val="1F497D" w:themeColor="text2"/>
          <w:sz w:val="28"/>
          <w:szCs w:val="28"/>
          <w:lang w:val="en-GB"/>
        </w:rPr>
        <w:t>5</w:t>
      </w:r>
      <w:r w:rsidR="002B734D">
        <w:rPr>
          <w:color w:val="1F497D" w:themeColor="text2"/>
          <w:sz w:val="28"/>
          <w:szCs w:val="28"/>
          <w:lang w:val="en-GB"/>
        </w:rPr>
        <w:t>-201</w:t>
      </w:r>
      <w:r w:rsidR="00DD5DA5">
        <w:rPr>
          <w:color w:val="1F497D" w:themeColor="text2"/>
          <w:sz w:val="28"/>
          <w:szCs w:val="28"/>
          <w:lang w:val="en-GB"/>
        </w:rPr>
        <w:t xml:space="preserve">6 </w:t>
      </w:r>
      <w:r w:rsidR="00682E4E">
        <w:rPr>
          <w:sz w:val="28"/>
          <w:szCs w:val="28"/>
          <w:lang w:val="en-GB"/>
        </w:rPr>
        <w:t xml:space="preserve">End of </w:t>
      </w:r>
      <w:r w:rsidR="00B36A11">
        <w:rPr>
          <w:sz w:val="28"/>
          <w:szCs w:val="28"/>
          <w:lang w:val="en-GB"/>
        </w:rPr>
        <w:t>T</w:t>
      </w:r>
      <w:r w:rsidR="00EB323A" w:rsidRPr="009400F9">
        <w:rPr>
          <w:sz w:val="28"/>
          <w:szCs w:val="28"/>
          <w:lang w:val="en-GB"/>
        </w:rPr>
        <w:t>erm Report</w:t>
      </w:r>
    </w:p>
    <w:p w14:paraId="3612058C" w14:textId="025779A5" w:rsidR="00790B3C" w:rsidRPr="009400F9" w:rsidRDefault="00790B3C" w:rsidP="00B0395A">
      <w:pPr>
        <w:pStyle w:val="Normalrglronly"/>
        <w:rPr>
          <w:lang w:val="en-GB"/>
        </w:rPr>
        <w:sectPr w:rsidR="00790B3C" w:rsidRPr="009400F9" w:rsidSect="00A11978">
          <w:headerReference w:type="default" r:id="rId10"/>
          <w:footerReference w:type="even" r:id="rId11"/>
          <w:footerReference w:type="default" r:id="rId12"/>
          <w:footerReference w:type="first" r:id="rId13"/>
          <w:endnotePr>
            <w:numFmt w:val="decimal"/>
            <w:numRestart w:val="eachSect"/>
          </w:endnotePr>
          <w:type w:val="continuous"/>
          <w:pgSz w:w="11907" w:h="16839" w:code="9"/>
          <w:pgMar w:top="1134" w:right="1417" w:bottom="1417" w:left="1417" w:header="0" w:footer="0" w:gutter="0"/>
          <w:cols w:space="708"/>
          <w:titlePg/>
          <w:docGrid w:linePitch="360"/>
        </w:sectPr>
      </w:pPr>
    </w:p>
    <w:tbl>
      <w:tblPr>
        <w:tblStyle w:val="TableGrid"/>
        <w:tblpPr w:leftFromText="180" w:rightFromText="180" w:vertAnchor="page" w:horzAnchor="page" w:tblpX="6670" w:tblpY="4505"/>
        <w:tblW w:w="5000" w:type="pct"/>
        <w:tblLook w:val="04A0" w:firstRow="1" w:lastRow="0" w:firstColumn="1" w:lastColumn="0" w:noHBand="0" w:noVBand="1"/>
      </w:tblPr>
      <w:tblGrid>
        <w:gridCol w:w="2092"/>
        <w:gridCol w:w="914"/>
        <w:gridCol w:w="1166"/>
      </w:tblGrid>
      <w:tr w:rsidR="00C73B44" w:rsidRPr="009400F9" w14:paraId="5173CCEB" w14:textId="77777777" w:rsidTr="006023C3">
        <w:tc>
          <w:tcPr>
            <w:tcW w:w="5000" w:type="pct"/>
            <w:gridSpan w:val="3"/>
          </w:tcPr>
          <w:p w14:paraId="5700B6DB" w14:textId="77777777" w:rsidR="00C73B44" w:rsidRPr="009400F9" w:rsidRDefault="00C73B44" w:rsidP="00163080">
            <w:pPr>
              <w:pStyle w:val="Ataglancetitle"/>
              <w:rPr>
                <w:lang w:val="en-GB"/>
              </w:rPr>
            </w:pPr>
            <w:r w:rsidRPr="009400F9">
              <w:rPr>
                <w:lang w:val="en-GB"/>
              </w:rPr>
              <w:t>Table 1: At a Glance</w:t>
            </w:r>
          </w:p>
        </w:tc>
      </w:tr>
      <w:tr w:rsidR="00C73B44" w:rsidRPr="009400F9" w14:paraId="5D2B4F50" w14:textId="77777777" w:rsidTr="006023C3">
        <w:tc>
          <w:tcPr>
            <w:tcW w:w="2507" w:type="pct"/>
          </w:tcPr>
          <w:p w14:paraId="628939A5" w14:textId="77777777" w:rsidR="00C73B44" w:rsidRPr="009400F9" w:rsidRDefault="00C73B44" w:rsidP="00163080">
            <w:pPr>
              <w:pStyle w:val="Rowcolumntitles"/>
              <w:rPr>
                <w:lang w:val="en-GB"/>
              </w:rPr>
            </w:pPr>
          </w:p>
        </w:tc>
        <w:tc>
          <w:tcPr>
            <w:tcW w:w="1095" w:type="pct"/>
          </w:tcPr>
          <w:p w14:paraId="45756CD2" w14:textId="77777777" w:rsidR="00C73B44" w:rsidRPr="009400F9" w:rsidRDefault="00C73B44" w:rsidP="00163080">
            <w:pPr>
              <w:pStyle w:val="Ataglancesubtitle"/>
              <w:rPr>
                <w:lang w:val="en-GB"/>
              </w:rPr>
            </w:pPr>
            <w:r w:rsidRPr="009400F9">
              <w:rPr>
                <w:lang w:val="en-GB"/>
              </w:rPr>
              <w:t>Mid-term</w:t>
            </w:r>
          </w:p>
        </w:tc>
        <w:tc>
          <w:tcPr>
            <w:tcW w:w="1397" w:type="pct"/>
          </w:tcPr>
          <w:p w14:paraId="44DC941F" w14:textId="77777777" w:rsidR="00C73B44" w:rsidRPr="009400F9" w:rsidRDefault="00C73B44" w:rsidP="00163080">
            <w:pPr>
              <w:pStyle w:val="Ataglancesubtitle"/>
              <w:rPr>
                <w:lang w:val="en-GB"/>
              </w:rPr>
            </w:pPr>
            <w:r w:rsidRPr="009400F9">
              <w:rPr>
                <w:lang w:val="en-GB"/>
              </w:rPr>
              <w:t>End-of-term</w:t>
            </w:r>
          </w:p>
        </w:tc>
      </w:tr>
      <w:tr w:rsidR="003D1EC8" w:rsidRPr="009400F9" w14:paraId="1476EC29" w14:textId="77777777" w:rsidTr="006023C3">
        <w:tc>
          <w:tcPr>
            <w:tcW w:w="2507" w:type="pct"/>
          </w:tcPr>
          <w:p w14:paraId="618E9909" w14:textId="4BAE79E0" w:rsidR="003D1EC8" w:rsidRPr="009400F9" w:rsidRDefault="003D1EC8" w:rsidP="00163080">
            <w:pPr>
              <w:pStyle w:val="Rowcolumntitles"/>
              <w:rPr>
                <w:lang w:val="en-GB"/>
              </w:rPr>
            </w:pPr>
            <w:r w:rsidRPr="009400F9">
              <w:rPr>
                <w:lang w:val="en-GB"/>
              </w:rPr>
              <w:t>Number of commitments</w:t>
            </w:r>
            <w:r w:rsidR="00163080">
              <w:rPr>
                <w:lang w:val="en-GB"/>
              </w:rPr>
              <w:t>:</w:t>
            </w:r>
          </w:p>
        </w:tc>
        <w:tc>
          <w:tcPr>
            <w:tcW w:w="2493" w:type="pct"/>
            <w:gridSpan w:val="2"/>
            <w:vAlign w:val="center"/>
          </w:tcPr>
          <w:p w14:paraId="3691DA78" w14:textId="08E4BDF1" w:rsidR="003D1EC8" w:rsidRPr="009400F9" w:rsidRDefault="003D1EC8" w:rsidP="00163080">
            <w:pPr>
              <w:pStyle w:val="Rowcolumntitles"/>
              <w:jc w:val="center"/>
              <w:rPr>
                <w:lang w:val="en-GB"/>
              </w:rPr>
            </w:pPr>
            <w:r>
              <w:rPr>
                <w:lang w:val="en-GB"/>
              </w:rPr>
              <w:t>26</w:t>
            </w:r>
          </w:p>
        </w:tc>
      </w:tr>
      <w:tr w:rsidR="00C73B44" w:rsidRPr="009400F9" w14:paraId="5E4A0EF6" w14:textId="77777777" w:rsidTr="006023C3">
        <w:tc>
          <w:tcPr>
            <w:tcW w:w="2507" w:type="pct"/>
          </w:tcPr>
          <w:p w14:paraId="314EAE12" w14:textId="7F866E39" w:rsidR="00C73B44" w:rsidRPr="009400F9" w:rsidRDefault="00C73B44" w:rsidP="00163080">
            <w:pPr>
              <w:pStyle w:val="Rowcolumntitles"/>
              <w:rPr>
                <w:lang w:val="en-GB"/>
              </w:rPr>
            </w:pPr>
            <w:r w:rsidRPr="009400F9">
              <w:rPr>
                <w:lang w:val="en-GB"/>
              </w:rPr>
              <w:t>Number of milestones</w:t>
            </w:r>
            <w:r w:rsidR="00163080">
              <w:rPr>
                <w:lang w:val="en-GB"/>
              </w:rPr>
              <w:t>:</w:t>
            </w:r>
          </w:p>
        </w:tc>
        <w:tc>
          <w:tcPr>
            <w:tcW w:w="2493" w:type="pct"/>
            <w:gridSpan w:val="2"/>
            <w:vAlign w:val="center"/>
          </w:tcPr>
          <w:p w14:paraId="3278C5D3" w14:textId="4A576EDD" w:rsidR="00C73B44" w:rsidRPr="009400F9" w:rsidRDefault="003D1EC8" w:rsidP="00163080">
            <w:pPr>
              <w:pStyle w:val="Rowcolumntitles"/>
              <w:jc w:val="center"/>
              <w:rPr>
                <w:lang w:val="en-GB"/>
              </w:rPr>
            </w:pPr>
            <w:r>
              <w:rPr>
                <w:lang w:val="en-GB"/>
              </w:rPr>
              <w:t>26</w:t>
            </w:r>
          </w:p>
        </w:tc>
      </w:tr>
      <w:tr w:rsidR="00C73B44" w:rsidRPr="009400F9" w14:paraId="040E38D3" w14:textId="77777777" w:rsidTr="006023C3">
        <w:tc>
          <w:tcPr>
            <w:tcW w:w="5000" w:type="pct"/>
            <w:gridSpan w:val="3"/>
          </w:tcPr>
          <w:p w14:paraId="5A2CCF01" w14:textId="2C6AFB96" w:rsidR="00C73B44" w:rsidRPr="009400F9" w:rsidRDefault="00C73B44" w:rsidP="00163080">
            <w:pPr>
              <w:pStyle w:val="Ataglancesubtitle"/>
              <w:jc w:val="center"/>
              <w:rPr>
                <w:lang w:val="en-GB"/>
              </w:rPr>
            </w:pPr>
            <w:r w:rsidRPr="009400F9">
              <w:rPr>
                <w:lang w:val="en-GB"/>
              </w:rPr>
              <w:t>Level of completion</w:t>
            </w:r>
          </w:p>
        </w:tc>
      </w:tr>
      <w:tr w:rsidR="00C73B44" w:rsidRPr="009400F9" w14:paraId="782520D3" w14:textId="77777777" w:rsidTr="006023C3">
        <w:tc>
          <w:tcPr>
            <w:tcW w:w="2507" w:type="pct"/>
          </w:tcPr>
          <w:p w14:paraId="30A6B9DD" w14:textId="633F7777" w:rsidR="00C73B44" w:rsidRPr="009400F9" w:rsidRDefault="00C73B44" w:rsidP="00163080">
            <w:pPr>
              <w:pStyle w:val="Rowcolumntitles"/>
              <w:rPr>
                <w:lang w:val="en-GB"/>
              </w:rPr>
            </w:pPr>
            <w:r w:rsidRPr="009400F9">
              <w:rPr>
                <w:lang w:val="en-GB"/>
              </w:rPr>
              <w:t>Completed</w:t>
            </w:r>
            <w:r w:rsidR="00163080">
              <w:rPr>
                <w:lang w:val="en-GB"/>
              </w:rPr>
              <w:t>:</w:t>
            </w:r>
          </w:p>
        </w:tc>
        <w:tc>
          <w:tcPr>
            <w:tcW w:w="1095" w:type="pct"/>
            <w:vAlign w:val="center"/>
          </w:tcPr>
          <w:p w14:paraId="07352A81" w14:textId="2DEA9BE2" w:rsidR="00C73B44" w:rsidRPr="009400F9" w:rsidRDefault="002D3389" w:rsidP="00CB00A7">
            <w:pPr>
              <w:pStyle w:val="Rowcolumntitles"/>
              <w:jc w:val="center"/>
              <w:rPr>
                <w:i/>
                <w:lang w:val="en-GB"/>
              </w:rPr>
            </w:pPr>
            <w:r>
              <w:rPr>
                <w:i/>
                <w:lang w:val="en-GB"/>
              </w:rPr>
              <w:t>7</w:t>
            </w:r>
            <w:r w:rsidR="00163080">
              <w:rPr>
                <w:i/>
                <w:lang w:val="en-GB"/>
              </w:rPr>
              <w:t xml:space="preserve"> </w:t>
            </w:r>
          </w:p>
        </w:tc>
        <w:tc>
          <w:tcPr>
            <w:tcW w:w="1397" w:type="pct"/>
            <w:vAlign w:val="center"/>
          </w:tcPr>
          <w:p w14:paraId="1DAC5AD3" w14:textId="1C6B012D" w:rsidR="00C73B44" w:rsidRPr="009400F9" w:rsidRDefault="003D1EC8" w:rsidP="00CB00A7">
            <w:pPr>
              <w:pStyle w:val="Rowcolumntitles"/>
              <w:jc w:val="center"/>
              <w:rPr>
                <w:i/>
                <w:lang w:val="en-GB"/>
              </w:rPr>
            </w:pPr>
            <w:r>
              <w:rPr>
                <w:i/>
                <w:lang w:val="en-GB"/>
              </w:rPr>
              <w:t>1</w:t>
            </w:r>
            <w:r w:rsidR="00581D4D">
              <w:rPr>
                <w:i/>
                <w:lang w:val="en-GB"/>
              </w:rPr>
              <w:t>2</w:t>
            </w:r>
            <w:r w:rsidR="00163080">
              <w:rPr>
                <w:i/>
                <w:lang w:val="en-GB"/>
              </w:rPr>
              <w:t xml:space="preserve"> </w:t>
            </w:r>
          </w:p>
        </w:tc>
      </w:tr>
      <w:tr w:rsidR="00C73B44" w:rsidRPr="009400F9" w14:paraId="20BE94DC" w14:textId="77777777" w:rsidTr="006023C3">
        <w:tc>
          <w:tcPr>
            <w:tcW w:w="2507" w:type="pct"/>
          </w:tcPr>
          <w:p w14:paraId="43692621" w14:textId="14D70CB0" w:rsidR="00C73B44" w:rsidRPr="009400F9" w:rsidRDefault="00C73B44" w:rsidP="00163080">
            <w:pPr>
              <w:pStyle w:val="Rowcolumntitles"/>
              <w:rPr>
                <w:lang w:val="en-GB"/>
              </w:rPr>
            </w:pPr>
            <w:r w:rsidRPr="009400F9">
              <w:rPr>
                <w:lang w:val="en-GB"/>
              </w:rPr>
              <w:t>Substantial</w:t>
            </w:r>
            <w:r w:rsidR="00163080">
              <w:rPr>
                <w:lang w:val="en-GB"/>
              </w:rPr>
              <w:t>:</w:t>
            </w:r>
          </w:p>
        </w:tc>
        <w:tc>
          <w:tcPr>
            <w:tcW w:w="1095" w:type="pct"/>
            <w:vAlign w:val="center"/>
          </w:tcPr>
          <w:p w14:paraId="33E893FC" w14:textId="318CAFED" w:rsidR="00C73B44" w:rsidRPr="009400F9" w:rsidRDefault="00CB00A7" w:rsidP="00CB00A7">
            <w:pPr>
              <w:pStyle w:val="Rowcolumntitles"/>
              <w:rPr>
                <w:i/>
                <w:lang w:val="en-GB"/>
              </w:rPr>
            </w:pPr>
            <w:r>
              <w:rPr>
                <w:i/>
                <w:lang w:val="en-GB"/>
              </w:rPr>
              <w:t xml:space="preserve">    </w:t>
            </w:r>
            <w:r w:rsidR="003D1EC8">
              <w:rPr>
                <w:i/>
                <w:lang w:val="en-GB"/>
              </w:rPr>
              <w:t>1</w:t>
            </w:r>
            <w:r w:rsidR="002D3389">
              <w:rPr>
                <w:i/>
                <w:lang w:val="en-GB"/>
              </w:rPr>
              <w:t>0</w:t>
            </w:r>
          </w:p>
        </w:tc>
        <w:tc>
          <w:tcPr>
            <w:tcW w:w="1397" w:type="pct"/>
            <w:vAlign w:val="center"/>
          </w:tcPr>
          <w:p w14:paraId="7C81F5C6" w14:textId="63574FA9" w:rsidR="00C73B44" w:rsidRPr="009400F9" w:rsidRDefault="00581D4D" w:rsidP="00CB00A7">
            <w:pPr>
              <w:pStyle w:val="Rowcolumntitles"/>
              <w:jc w:val="center"/>
              <w:rPr>
                <w:i/>
                <w:lang w:val="en-GB"/>
              </w:rPr>
            </w:pPr>
            <w:r>
              <w:rPr>
                <w:i/>
                <w:lang w:val="en-GB"/>
              </w:rPr>
              <w:t>9</w:t>
            </w:r>
            <w:r w:rsidR="00163080">
              <w:rPr>
                <w:i/>
                <w:lang w:val="en-GB"/>
              </w:rPr>
              <w:t xml:space="preserve"> </w:t>
            </w:r>
          </w:p>
        </w:tc>
      </w:tr>
      <w:tr w:rsidR="00C73B44" w:rsidRPr="009400F9" w14:paraId="18A4121B" w14:textId="77777777" w:rsidTr="006023C3">
        <w:tc>
          <w:tcPr>
            <w:tcW w:w="2507" w:type="pct"/>
          </w:tcPr>
          <w:p w14:paraId="4A616D00" w14:textId="190E8A77" w:rsidR="00C73B44" w:rsidRPr="009400F9" w:rsidRDefault="00C73B44" w:rsidP="00163080">
            <w:pPr>
              <w:pStyle w:val="Rowcolumntitles"/>
              <w:rPr>
                <w:lang w:val="en-GB"/>
              </w:rPr>
            </w:pPr>
            <w:r w:rsidRPr="009400F9">
              <w:rPr>
                <w:lang w:val="en-GB"/>
              </w:rPr>
              <w:t>Limited</w:t>
            </w:r>
            <w:r w:rsidR="00163080">
              <w:rPr>
                <w:lang w:val="en-GB"/>
              </w:rPr>
              <w:t>:</w:t>
            </w:r>
          </w:p>
        </w:tc>
        <w:tc>
          <w:tcPr>
            <w:tcW w:w="1095" w:type="pct"/>
            <w:vAlign w:val="center"/>
          </w:tcPr>
          <w:p w14:paraId="169F71DE" w14:textId="0DFFD03B" w:rsidR="00C73B44" w:rsidRPr="009400F9" w:rsidRDefault="003D1EC8" w:rsidP="00CB00A7">
            <w:pPr>
              <w:pStyle w:val="Rowcolumntitles"/>
              <w:jc w:val="center"/>
              <w:rPr>
                <w:i/>
                <w:lang w:val="en-GB"/>
              </w:rPr>
            </w:pPr>
            <w:r>
              <w:rPr>
                <w:i/>
                <w:lang w:val="en-GB"/>
              </w:rPr>
              <w:t>7</w:t>
            </w:r>
            <w:r w:rsidR="00163080">
              <w:rPr>
                <w:i/>
                <w:lang w:val="en-GB"/>
              </w:rPr>
              <w:t xml:space="preserve"> </w:t>
            </w:r>
          </w:p>
        </w:tc>
        <w:tc>
          <w:tcPr>
            <w:tcW w:w="1397" w:type="pct"/>
            <w:vAlign w:val="center"/>
          </w:tcPr>
          <w:p w14:paraId="7DE01575" w14:textId="29E42C85" w:rsidR="00C73B44" w:rsidRPr="009400F9" w:rsidRDefault="00A8407E" w:rsidP="00CB00A7">
            <w:pPr>
              <w:pStyle w:val="Rowcolumntitles"/>
              <w:jc w:val="center"/>
              <w:rPr>
                <w:i/>
                <w:lang w:val="en-GB"/>
              </w:rPr>
            </w:pPr>
            <w:r>
              <w:rPr>
                <w:i/>
                <w:lang w:val="en-GB"/>
              </w:rPr>
              <w:t>4</w:t>
            </w:r>
            <w:r w:rsidR="00163080">
              <w:rPr>
                <w:i/>
                <w:lang w:val="en-GB"/>
              </w:rPr>
              <w:t xml:space="preserve"> </w:t>
            </w:r>
          </w:p>
        </w:tc>
      </w:tr>
      <w:tr w:rsidR="00C73B44" w:rsidRPr="009400F9" w14:paraId="2C592D3C" w14:textId="77777777" w:rsidTr="006023C3">
        <w:tc>
          <w:tcPr>
            <w:tcW w:w="2507" w:type="pct"/>
          </w:tcPr>
          <w:p w14:paraId="69575F29" w14:textId="5DE2B87E" w:rsidR="00C73B44" w:rsidRPr="009400F9" w:rsidRDefault="00C73B44" w:rsidP="00163080">
            <w:pPr>
              <w:pStyle w:val="Rowcolumntitles"/>
              <w:rPr>
                <w:lang w:val="en-GB"/>
              </w:rPr>
            </w:pPr>
            <w:r w:rsidRPr="009400F9">
              <w:rPr>
                <w:lang w:val="en-GB"/>
              </w:rPr>
              <w:t>Not started</w:t>
            </w:r>
            <w:r w:rsidR="00163080">
              <w:rPr>
                <w:lang w:val="en-GB"/>
              </w:rPr>
              <w:t>:</w:t>
            </w:r>
          </w:p>
        </w:tc>
        <w:tc>
          <w:tcPr>
            <w:tcW w:w="1095" w:type="pct"/>
            <w:vAlign w:val="center"/>
          </w:tcPr>
          <w:p w14:paraId="57EAA16D" w14:textId="7D45E71E" w:rsidR="00C73B44" w:rsidRPr="009400F9" w:rsidRDefault="003D1EC8" w:rsidP="00CB00A7">
            <w:pPr>
              <w:pStyle w:val="Rowcolumntitles"/>
              <w:jc w:val="center"/>
              <w:rPr>
                <w:i/>
                <w:lang w:val="en-GB"/>
              </w:rPr>
            </w:pPr>
            <w:r>
              <w:rPr>
                <w:i/>
                <w:lang w:val="en-GB"/>
              </w:rPr>
              <w:t>2</w:t>
            </w:r>
            <w:r w:rsidR="00163080">
              <w:rPr>
                <w:i/>
                <w:lang w:val="en-GB"/>
              </w:rPr>
              <w:t xml:space="preserve"> </w:t>
            </w:r>
          </w:p>
        </w:tc>
        <w:tc>
          <w:tcPr>
            <w:tcW w:w="1397" w:type="pct"/>
            <w:vAlign w:val="center"/>
          </w:tcPr>
          <w:p w14:paraId="5F3FC443" w14:textId="7DC069CC" w:rsidR="00C73B44" w:rsidRPr="009400F9" w:rsidRDefault="003D1EC8" w:rsidP="00CB00A7">
            <w:pPr>
              <w:pStyle w:val="Rowcolumntitles"/>
              <w:jc w:val="center"/>
              <w:rPr>
                <w:i/>
                <w:lang w:val="en-GB"/>
              </w:rPr>
            </w:pPr>
            <w:r>
              <w:rPr>
                <w:i/>
                <w:lang w:val="en-GB"/>
              </w:rPr>
              <w:t>1</w:t>
            </w:r>
            <w:r w:rsidR="00163080">
              <w:rPr>
                <w:i/>
                <w:lang w:val="en-GB"/>
              </w:rPr>
              <w:t xml:space="preserve"> </w:t>
            </w:r>
          </w:p>
        </w:tc>
      </w:tr>
      <w:tr w:rsidR="00C73B44" w:rsidRPr="009400F9" w14:paraId="6A3EBA44" w14:textId="77777777" w:rsidTr="006023C3">
        <w:tc>
          <w:tcPr>
            <w:tcW w:w="5000" w:type="pct"/>
            <w:gridSpan w:val="3"/>
          </w:tcPr>
          <w:p w14:paraId="74292A0A" w14:textId="77777777" w:rsidR="00C73B44" w:rsidRPr="009400F9" w:rsidRDefault="00C73B44" w:rsidP="00163080">
            <w:pPr>
              <w:pStyle w:val="Ataglancesubtitle"/>
              <w:jc w:val="center"/>
              <w:rPr>
                <w:lang w:val="en-GB"/>
              </w:rPr>
            </w:pPr>
            <w:r w:rsidRPr="009400F9">
              <w:rPr>
                <w:lang w:val="en-GB"/>
              </w:rPr>
              <w:t>Number of commitments with:</w:t>
            </w:r>
          </w:p>
        </w:tc>
      </w:tr>
      <w:tr w:rsidR="00C73B44" w:rsidRPr="009400F9" w14:paraId="4BA96415" w14:textId="77777777" w:rsidTr="006023C3">
        <w:tc>
          <w:tcPr>
            <w:tcW w:w="2507" w:type="pct"/>
          </w:tcPr>
          <w:p w14:paraId="037CADA1" w14:textId="5DCC9BA1" w:rsidR="00C73B44" w:rsidRPr="009400F9" w:rsidRDefault="00C73B44" w:rsidP="00163080">
            <w:pPr>
              <w:pStyle w:val="Rowcolumntitles"/>
              <w:rPr>
                <w:lang w:val="en-GB"/>
              </w:rPr>
            </w:pPr>
            <w:r w:rsidRPr="009400F9">
              <w:rPr>
                <w:lang w:val="en-GB"/>
              </w:rPr>
              <w:t>Clear relevance to OGP values</w:t>
            </w:r>
            <w:r w:rsidR="00163080">
              <w:rPr>
                <w:lang w:val="en-GB"/>
              </w:rPr>
              <w:t>:</w:t>
            </w:r>
          </w:p>
        </w:tc>
        <w:tc>
          <w:tcPr>
            <w:tcW w:w="2493" w:type="pct"/>
            <w:gridSpan w:val="2"/>
            <w:vAlign w:val="center"/>
          </w:tcPr>
          <w:p w14:paraId="611DB4AE" w14:textId="59A7B9B5" w:rsidR="00C73B44" w:rsidRPr="009400F9" w:rsidRDefault="003D1EC8" w:rsidP="00CB00A7">
            <w:pPr>
              <w:pStyle w:val="Rowcolumntitles"/>
              <w:jc w:val="center"/>
              <w:rPr>
                <w:i/>
                <w:lang w:val="en-GB"/>
              </w:rPr>
            </w:pPr>
            <w:r>
              <w:rPr>
                <w:i/>
                <w:lang w:val="en-GB"/>
              </w:rPr>
              <w:t>21</w:t>
            </w:r>
            <w:r w:rsidR="00163080">
              <w:rPr>
                <w:i/>
                <w:lang w:val="en-GB"/>
              </w:rPr>
              <w:t xml:space="preserve"> </w:t>
            </w:r>
          </w:p>
        </w:tc>
      </w:tr>
      <w:tr w:rsidR="00C73B44" w:rsidRPr="009400F9" w14:paraId="473C8C5B" w14:textId="77777777" w:rsidTr="006023C3">
        <w:tc>
          <w:tcPr>
            <w:tcW w:w="2507" w:type="pct"/>
          </w:tcPr>
          <w:p w14:paraId="3C71508C" w14:textId="2EE36B29" w:rsidR="00C73B44" w:rsidRPr="009400F9" w:rsidRDefault="00C73B44" w:rsidP="00163080">
            <w:pPr>
              <w:pStyle w:val="Rowcolumntitles"/>
              <w:rPr>
                <w:lang w:val="en-GB"/>
              </w:rPr>
            </w:pPr>
            <w:r w:rsidRPr="009400F9">
              <w:rPr>
                <w:lang w:val="en-GB"/>
              </w:rPr>
              <w:t>Transformative potential impact</w:t>
            </w:r>
            <w:r w:rsidR="00163080">
              <w:rPr>
                <w:lang w:val="en-GB"/>
              </w:rPr>
              <w:t>:</w:t>
            </w:r>
          </w:p>
        </w:tc>
        <w:tc>
          <w:tcPr>
            <w:tcW w:w="2493" w:type="pct"/>
            <w:gridSpan w:val="2"/>
            <w:vAlign w:val="center"/>
          </w:tcPr>
          <w:p w14:paraId="622BD94F" w14:textId="128C45AD" w:rsidR="00C73B44" w:rsidRPr="009400F9" w:rsidRDefault="003311FC" w:rsidP="00CB00A7">
            <w:pPr>
              <w:pStyle w:val="Rowcolumntitles"/>
              <w:jc w:val="center"/>
              <w:rPr>
                <w:i/>
                <w:lang w:val="en-GB"/>
              </w:rPr>
            </w:pPr>
            <w:r>
              <w:rPr>
                <w:i/>
                <w:lang w:val="en-GB"/>
              </w:rPr>
              <w:t>7</w:t>
            </w:r>
            <w:r w:rsidR="00163080">
              <w:rPr>
                <w:i/>
                <w:lang w:val="en-GB"/>
              </w:rPr>
              <w:t xml:space="preserve"> </w:t>
            </w:r>
          </w:p>
        </w:tc>
      </w:tr>
      <w:tr w:rsidR="00C73B44" w:rsidRPr="009400F9" w14:paraId="63E46903" w14:textId="77777777" w:rsidTr="006023C3">
        <w:tc>
          <w:tcPr>
            <w:tcW w:w="2507" w:type="pct"/>
          </w:tcPr>
          <w:p w14:paraId="78E16508" w14:textId="4F009E72" w:rsidR="00C73B44" w:rsidRPr="009400F9" w:rsidRDefault="00C73B44" w:rsidP="00163080">
            <w:pPr>
              <w:pStyle w:val="Rowcolumntitles"/>
              <w:rPr>
                <w:lang w:val="en-GB"/>
              </w:rPr>
            </w:pPr>
            <w:r w:rsidRPr="009400F9">
              <w:rPr>
                <w:lang w:val="en-GB"/>
              </w:rPr>
              <w:t>Substantial or complete implementation</w:t>
            </w:r>
            <w:r w:rsidR="00163080">
              <w:rPr>
                <w:lang w:val="en-GB"/>
              </w:rPr>
              <w:t>:</w:t>
            </w:r>
          </w:p>
        </w:tc>
        <w:tc>
          <w:tcPr>
            <w:tcW w:w="1095" w:type="pct"/>
            <w:vAlign w:val="center"/>
          </w:tcPr>
          <w:p w14:paraId="79EDEC46" w14:textId="2A59A70F" w:rsidR="00C73B44" w:rsidRPr="009400F9" w:rsidRDefault="003D1EC8" w:rsidP="00CB00A7">
            <w:pPr>
              <w:pStyle w:val="Rowcolumntitles"/>
              <w:jc w:val="center"/>
              <w:rPr>
                <w:i/>
                <w:lang w:val="en-GB"/>
              </w:rPr>
            </w:pPr>
            <w:r>
              <w:rPr>
                <w:i/>
                <w:lang w:val="en-GB"/>
              </w:rPr>
              <w:t>17</w:t>
            </w:r>
            <w:r w:rsidR="00163080">
              <w:rPr>
                <w:i/>
                <w:lang w:val="en-GB"/>
              </w:rPr>
              <w:t xml:space="preserve"> </w:t>
            </w:r>
          </w:p>
        </w:tc>
        <w:tc>
          <w:tcPr>
            <w:tcW w:w="1397" w:type="pct"/>
            <w:vAlign w:val="center"/>
          </w:tcPr>
          <w:p w14:paraId="378E29BF" w14:textId="4C6AC08B" w:rsidR="00C73B44" w:rsidRPr="009400F9" w:rsidRDefault="003D1EC8" w:rsidP="00CB00A7">
            <w:pPr>
              <w:pStyle w:val="Rowcolumntitles"/>
              <w:jc w:val="center"/>
              <w:rPr>
                <w:i/>
                <w:lang w:val="en-GB"/>
              </w:rPr>
            </w:pPr>
            <w:r>
              <w:rPr>
                <w:i/>
                <w:lang w:val="en-GB"/>
              </w:rPr>
              <w:t>2</w:t>
            </w:r>
            <w:r w:rsidR="00A8407E">
              <w:rPr>
                <w:i/>
                <w:lang w:val="en-GB"/>
              </w:rPr>
              <w:t>1</w:t>
            </w:r>
            <w:r w:rsidR="00163080">
              <w:rPr>
                <w:i/>
                <w:lang w:val="en-GB"/>
              </w:rPr>
              <w:t xml:space="preserve"> </w:t>
            </w:r>
          </w:p>
        </w:tc>
      </w:tr>
      <w:tr w:rsidR="00C73B44" w:rsidRPr="009400F9" w14:paraId="1E67B730" w14:textId="77777777" w:rsidTr="006023C3">
        <w:tc>
          <w:tcPr>
            <w:tcW w:w="2507" w:type="pct"/>
          </w:tcPr>
          <w:p w14:paraId="4C9D961E" w14:textId="77777777" w:rsidR="00C73B44" w:rsidRPr="009400F9" w:rsidRDefault="00C73B44" w:rsidP="00163080">
            <w:pPr>
              <w:pStyle w:val="Ataglancesubtitle"/>
              <w:rPr>
                <w:lang w:val="en-GB"/>
              </w:rPr>
            </w:pPr>
            <w:r w:rsidRPr="009400F9">
              <w:rPr>
                <w:lang w:val="en-GB"/>
              </w:rPr>
              <w:t>All three (</w:t>
            </w:r>
            <w:r w:rsidRPr="009400F9">
              <w:rPr>
                <w:rFonts w:ascii="Zapf Dingbats" w:hAnsi="Zapf Dingbats" w:cs="Zapf Dingbats"/>
                <w:lang w:val="en-GB"/>
              </w:rPr>
              <w:t>✪</w:t>
            </w:r>
            <w:r w:rsidRPr="009400F9">
              <w:rPr>
                <w:lang w:val="en-GB"/>
              </w:rPr>
              <w:t>)</w:t>
            </w:r>
          </w:p>
        </w:tc>
        <w:tc>
          <w:tcPr>
            <w:tcW w:w="1095" w:type="pct"/>
            <w:vAlign w:val="center"/>
          </w:tcPr>
          <w:p w14:paraId="5494EAAB" w14:textId="4594CCC1" w:rsidR="00C73B44" w:rsidRPr="009400F9" w:rsidRDefault="003311FC" w:rsidP="00163080">
            <w:pPr>
              <w:pStyle w:val="Rowcolumntitles"/>
              <w:jc w:val="center"/>
              <w:rPr>
                <w:i/>
                <w:lang w:val="en-GB"/>
              </w:rPr>
            </w:pPr>
            <w:r>
              <w:rPr>
                <w:i/>
                <w:lang w:val="en-GB"/>
              </w:rPr>
              <w:t>3</w:t>
            </w:r>
          </w:p>
        </w:tc>
        <w:tc>
          <w:tcPr>
            <w:tcW w:w="1397" w:type="pct"/>
            <w:vAlign w:val="center"/>
          </w:tcPr>
          <w:p w14:paraId="6FFB7FEE" w14:textId="57E2DA7C" w:rsidR="00C73B44" w:rsidRPr="009400F9" w:rsidRDefault="003311FC" w:rsidP="00163080">
            <w:pPr>
              <w:pStyle w:val="Rowcolumntitles"/>
              <w:jc w:val="center"/>
              <w:rPr>
                <w:i/>
                <w:lang w:val="en-GB"/>
              </w:rPr>
            </w:pPr>
            <w:r>
              <w:rPr>
                <w:i/>
                <w:lang w:val="en-GB"/>
              </w:rPr>
              <w:t>4</w:t>
            </w:r>
          </w:p>
        </w:tc>
      </w:tr>
      <w:tr w:rsidR="00D835D5" w:rsidRPr="009400F9" w14:paraId="799DBA7D" w14:textId="77777777" w:rsidTr="006023C3">
        <w:tc>
          <w:tcPr>
            <w:tcW w:w="5000" w:type="pct"/>
            <w:gridSpan w:val="3"/>
            <w:vAlign w:val="center"/>
          </w:tcPr>
          <w:p w14:paraId="5E6F946B" w14:textId="57802972" w:rsidR="00D835D5" w:rsidRDefault="00D835D5" w:rsidP="00163080">
            <w:pPr>
              <w:pStyle w:val="Rowcolumntitles"/>
              <w:jc w:val="center"/>
              <w:rPr>
                <w:i/>
                <w:lang w:val="en-GB"/>
              </w:rPr>
            </w:pPr>
            <w:r w:rsidRPr="00D835D5">
              <w:rPr>
                <w:b/>
                <w:i/>
                <w:color w:val="403152" w:themeColor="accent4" w:themeShade="80"/>
                <w:lang w:val="en-GB"/>
              </w:rPr>
              <w:t>Did it open government?</w:t>
            </w:r>
          </w:p>
        </w:tc>
      </w:tr>
      <w:tr w:rsidR="00D835D5" w:rsidRPr="009400F9" w14:paraId="7447DDEB" w14:textId="77777777" w:rsidTr="006023C3">
        <w:tc>
          <w:tcPr>
            <w:tcW w:w="2507" w:type="pct"/>
          </w:tcPr>
          <w:p w14:paraId="4C47907B" w14:textId="65CB4B5C" w:rsidR="00D835D5" w:rsidRPr="00163080" w:rsidRDefault="00D835D5" w:rsidP="00163080">
            <w:pPr>
              <w:pStyle w:val="Ataglancesubtitle"/>
              <w:rPr>
                <w:b w:val="0"/>
                <w:bCs/>
                <w:i w:val="0"/>
                <w:iCs/>
                <w:color w:val="000000" w:themeColor="text1"/>
                <w:lang w:val="en-GB"/>
              </w:rPr>
            </w:pPr>
            <w:r w:rsidRPr="00163080">
              <w:rPr>
                <w:b w:val="0"/>
                <w:bCs/>
                <w:i w:val="0"/>
                <w:iCs/>
                <w:color w:val="000000" w:themeColor="text1"/>
                <w:lang w:val="en-GB"/>
              </w:rPr>
              <w:t>Major</w:t>
            </w:r>
            <w:r w:rsidR="00163080">
              <w:rPr>
                <w:b w:val="0"/>
                <w:bCs/>
                <w:i w:val="0"/>
                <w:iCs/>
                <w:color w:val="000000" w:themeColor="text1"/>
                <w:lang w:val="en-GB"/>
              </w:rPr>
              <w:t>:</w:t>
            </w:r>
          </w:p>
        </w:tc>
        <w:tc>
          <w:tcPr>
            <w:tcW w:w="2493" w:type="pct"/>
            <w:gridSpan w:val="2"/>
            <w:vAlign w:val="center"/>
          </w:tcPr>
          <w:p w14:paraId="42E20789" w14:textId="137DD28C" w:rsidR="00D835D5" w:rsidRPr="00163080" w:rsidRDefault="00D835D5" w:rsidP="00163080">
            <w:pPr>
              <w:pStyle w:val="Rowcolumntitles"/>
              <w:jc w:val="center"/>
              <w:rPr>
                <w:i/>
                <w:lang w:val="en-GB"/>
              </w:rPr>
            </w:pPr>
            <w:r w:rsidRPr="00163080">
              <w:rPr>
                <w:i/>
                <w:lang w:val="en-GB"/>
              </w:rPr>
              <w:t>3</w:t>
            </w:r>
          </w:p>
        </w:tc>
      </w:tr>
      <w:tr w:rsidR="00CC5109" w:rsidRPr="009400F9" w14:paraId="78A6DB16" w14:textId="77777777" w:rsidTr="006023C3">
        <w:tc>
          <w:tcPr>
            <w:tcW w:w="2507" w:type="pct"/>
          </w:tcPr>
          <w:p w14:paraId="4A272D84" w14:textId="4317015B" w:rsidR="00CC5109" w:rsidRPr="00163080" w:rsidRDefault="00CC5109" w:rsidP="00163080">
            <w:pPr>
              <w:pStyle w:val="Ataglancesubtitle"/>
              <w:rPr>
                <w:b w:val="0"/>
                <w:bCs/>
                <w:i w:val="0"/>
                <w:iCs/>
                <w:color w:val="000000" w:themeColor="text1"/>
                <w:lang w:val="en-GB"/>
              </w:rPr>
            </w:pPr>
            <w:r w:rsidRPr="00163080">
              <w:rPr>
                <w:b w:val="0"/>
                <w:bCs/>
                <w:i w:val="0"/>
                <w:iCs/>
                <w:color w:val="000000" w:themeColor="text1"/>
                <w:lang w:val="en-GB"/>
              </w:rPr>
              <w:t>Outstanding</w:t>
            </w:r>
            <w:r w:rsidR="00163080">
              <w:rPr>
                <w:b w:val="0"/>
                <w:bCs/>
                <w:i w:val="0"/>
                <w:iCs/>
                <w:color w:val="000000" w:themeColor="text1"/>
                <w:lang w:val="en-GB"/>
              </w:rPr>
              <w:t>:</w:t>
            </w:r>
          </w:p>
        </w:tc>
        <w:tc>
          <w:tcPr>
            <w:tcW w:w="2493" w:type="pct"/>
            <w:gridSpan w:val="2"/>
            <w:vAlign w:val="center"/>
          </w:tcPr>
          <w:p w14:paraId="058273F3" w14:textId="1E85B426" w:rsidR="00CC5109" w:rsidRPr="00CC5109" w:rsidRDefault="00CC5109" w:rsidP="00163080">
            <w:pPr>
              <w:pStyle w:val="Rowcolumntitles"/>
              <w:jc w:val="center"/>
              <w:rPr>
                <w:i/>
                <w:lang w:val="en-GB"/>
              </w:rPr>
            </w:pPr>
            <w:r w:rsidRPr="00163080">
              <w:rPr>
                <w:i/>
                <w:lang w:val="en-GB"/>
              </w:rPr>
              <w:t>5</w:t>
            </w:r>
          </w:p>
        </w:tc>
      </w:tr>
      <w:tr w:rsidR="00D835D5" w:rsidRPr="009400F9" w14:paraId="328F7E18" w14:textId="77777777" w:rsidTr="006023C3">
        <w:tc>
          <w:tcPr>
            <w:tcW w:w="5000" w:type="pct"/>
            <w:gridSpan w:val="3"/>
          </w:tcPr>
          <w:p w14:paraId="383A605C" w14:textId="2BEC2268" w:rsidR="00D835D5" w:rsidRPr="009400F9" w:rsidRDefault="00D835D5" w:rsidP="00163080">
            <w:pPr>
              <w:pStyle w:val="Ataglancesubtitle"/>
              <w:jc w:val="center"/>
              <w:rPr>
                <w:lang w:val="en-GB"/>
              </w:rPr>
            </w:pPr>
            <w:r w:rsidRPr="009400F9">
              <w:rPr>
                <w:lang w:val="en-GB"/>
              </w:rPr>
              <w:t>Moving forward</w:t>
            </w:r>
          </w:p>
        </w:tc>
      </w:tr>
      <w:tr w:rsidR="00D835D5" w:rsidRPr="009400F9" w14:paraId="52934C7A" w14:textId="77777777" w:rsidTr="006023C3">
        <w:tc>
          <w:tcPr>
            <w:tcW w:w="2507" w:type="pct"/>
          </w:tcPr>
          <w:p w14:paraId="2DD460F0" w14:textId="0215A552" w:rsidR="00D835D5" w:rsidRPr="00163080" w:rsidRDefault="00D835D5" w:rsidP="00163080">
            <w:pPr>
              <w:rPr>
                <w:rFonts w:ascii="Gill Sans" w:hAnsi="Gill Sans" w:cs="Gill Sans"/>
                <w:sz w:val="22"/>
                <w:szCs w:val="22"/>
                <w:lang w:val="en-GB"/>
              </w:rPr>
            </w:pPr>
            <w:r w:rsidRPr="00163080">
              <w:rPr>
                <w:rFonts w:ascii="Gill Sans" w:hAnsi="Gill Sans" w:cs="Gill Sans"/>
                <w:sz w:val="22"/>
                <w:szCs w:val="22"/>
                <w:lang w:val="en-GB"/>
              </w:rPr>
              <w:t>Number of commitments carried over to next action plan:</w:t>
            </w:r>
          </w:p>
        </w:tc>
        <w:tc>
          <w:tcPr>
            <w:tcW w:w="2493" w:type="pct"/>
            <w:gridSpan w:val="2"/>
            <w:vAlign w:val="center"/>
          </w:tcPr>
          <w:p w14:paraId="216C4B59" w14:textId="36696306" w:rsidR="00D835D5" w:rsidRPr="009400F9" w:rsidRDefault="00D835D5" w:rsidP="00CB00A7">
            <w:pPr>
              <w:pStyle w:val="Rowcolumntitles"/>
              <w:jc w:val="center"/>
              <w:rPr>
                <w:i/>
                <w:lang w:val="en-GB"/>
              </w:rPr>
            </w:pPr>
            <w:r>
              <w:rPr>
                <w:i/>
                <w:lang w:val="en-GB"/>
              </w:rPr>
              <w:t>8</w:t>
            </w:r>
            <w:r w:rsidR="00163080">
              <w:rPr>
                <w:i/>
                <w:lang w:val="en-GB"/>
              </w:rPr>
              <w:t xml:space="preserve"> </w:t>
            </w:r>
          </w:p>
        </w:tc>
      </w:tr>
    </w:tbl>
    <w:p w14:paraId="63AA387A" w14:textId="77777777" w:rsidR="00E21DE3" w:rsidRPr="00163080" w:rsidRDefault="00E21DE3" w:rsidP="00B0395A">
      <w:pPr>
        <w:pStyle w:val="Normalrglronly"/>
        <w:rPr>
          <w:lang w:val="en-GB"/>
        </w:rPr>
        <w:sectPr w:rsidR="00E21DE3" w:rsidRPr="00163080" w:rsidSect="00790B3C">
          <w:endnotePr>
            <w:numFmt w:val="decimal"/>
            <w:numRestart w:val="eachSect"/>
          </w:endnotePr>
          <w:type w:val="continuous"/>
          <w:pgSz w:w="11907" w:h="16839" w:code="9"/>
          <w:pgMar w:top="1417" w:right="1417" w:bottom="1417" w:left="1417" w:header="0" w:footer="0" w:gutter="0"/>
          <w:cols w:num="2" w:space="708"/>
          <w:titlePg/>
          <w:docGrid w:linePitch="360"/>
        </w:sectPr>
      </w:pPr>
    </w:p>
    <w:p w14:paraId="5A1608A8" w14:textId="1F4285E2" w:rsidR="00260559" w:rsidRPr="006023C3" w:rsidRDefault="00790B3C" w:rsidP="00CC5109">
      <w:pPr>
        <w:pStyle w:val="Normalrglronly"/>
        <w:rPr>
          <w:i/>
          <w:color w:val="1F497D" w:themeColor="text2"/>
          <w:lang w:val="en-GB"/>
        </w:rPr>
      </w:pPr>
      <w:r w:rsidRPr="006023C3">
        <w:rPr>
          <w:lang w:val="en-GB"/>
        </w:rPr>
        <w:t>The Open Government Partnership (OGP) is a voluntary international initiative that aims to secure commitments from governments to their citizenry to promote transparency, empower citizens, fight corruption, and harness new technologies to strengthen governance. The Independent Reporting Mechanism (IRM) carries out a review of the activities of each OGP</w:t>
      </w:r>
      <w:r w:rsidR="00CC5109" w:rsidRPr="006023C3">
        <w:rPr>
          <w:lang w:val="en-GB"/>
        </w:rPr>
        <w:t>-</w:t>
      </w:r>
      <w:r w:rsidRPr="006023C3">
        <w:rPr>
          <w:lang w:val="en-GB"/>
        </w:rPr>
        <w:t xml:space="preserve"> participating country. </w:t>
      </w:r>
      <w:r w:rsidR="00260559" w:rsidRPr="006023C3">
        <w:rPr>
          <w:lang w:val="en-GB"/>
        </w:rPr>
        <w:t xml:space="preserve">This report summarizes the results of the period September 2015 to </w:t>
      </w:r>
      <w:r w:rsidR="0016542B" w:rsidRPr="006023C3">
        <w:rPr>
          <w:lang w:val="en-GB"/>
        </w:rPr>
        <w:t>November</w:t>
      </w:r>
      <w:r w:rsidR="00260559" w:rsidRPr="006023C3">
        <w:rPr>
          <w:lang w:val="en-GB"/>
        </w:rPr>
        <w:t xml:space="preserve"> 2016.</w:t>
      </w:r>
    </w:p>
    <w:p w14:paraId="155CF225" w14:textId="442B1558" w:rsidR="00DC2A12" w:rsidRPr="006023C3" w:rsidRDefault="00DC2A12" w:rsidP="00F00809">
      <w:pPr>
        <w:pStyle w:val="Normalrglronly"/>
        <w:rPr>
          <w:lang w:val="en-GB"/>
        </w:rPr>
      </w:pPr>
      <w:r w:rsidRPr="006023C3">
        <w:rPr>
          <w:lang w:val="en-GB"/>
        </w:rPr>
        <w:t xml:space="preserve">The Government Secretariat is the lead institution in Ukraine responsible for </w:t>
      </w:r>
      <w:r w:rsidR="00C24776" w:rsidRPr="006023C3">
        <w:rPr>
          <w:lang w:val="en-GB"/>
        </w:rPr>
        <w:t xml:space="preserve">the </w:t>
      </w:r>
      <w:r w:rsidRPr="006023C3">
        <w:rPr>
          <w:lang w:val="en-GB"/>
        </w:rPr>
        <w:t>development and implementation of the OGP national action plan. The secretariat is headed by the Minister of Government. The OGP Coordination Council, established in June 2012, is the main coordination mechanism at the national level. The council include</w:t>
      </w:r>
      <w:r w:rsidR="00C24776" w:rsidRPr="006023C3">
        <w:rPr>
          <w:lang w:val="en-GB"/>
        </w:rPr>
        <w:t>s</w:t>
      </w:r>
      <w:r w:rsidRPr="006023C3">
        <w:rPr>
          <w:lang w:val="en-GB"/>
        </w:rPr>
        <w:t xml:space="preserve"> 39 members, 11 </w:t>
      </w:r>
      <w:r w:rsidR="00C24776" w:rsidRPr="006023C3">
        <w:rPr>
          <w:lang w:val="en-GB"/>
        </w:rPr>
        <w:t xml:space="preserve">of whom are independent experts or officials </w:t>
      </w:r>
      <w:r w:rsidRPr="006023C3">
        <w:rPr>
          <w:lang w:val="en-GB"/>
        </w:rPr>
        <w:t>from various public agencies</w:t>
      </w:r>
      <w:r w:rsidR="00C24776" w:rsidRPr="006023C3">
        <w:rPr>
          <w:lang w:val="en-GB"/>
        </w:rPr>
        <w:t xml:space="preserve"> and</w:t>
      </w:r>
      <w:r w:rsidRPr="006023C3">
        <w:rPr>
          <w:lang w:val="en-GB"/>
        </w:rPr>
        <w:t xml:space="preserve"> civil society. In June 2015, the Coordination Council established six working groups </w:t>
      </w:r>
      <w:r w:rsidR="00C24776" w:rsidRPr="006023C3">
        <w:rPr>
          <w:lang w:val="en-GB"/>
        </w:rPr>
        <w:t xml:space="preserve">to </w:t>
      </w:r>
      <w:r w:rsidRPr="006023C3">
        <w:rPr>
          <w:lang w:val="en-GB"/>
        </w:rPr>
        <w:t>allow</w:t>
      </w:r>
      <w:r w:rsidR="00C24776" w:rsidRPr="006023C3">
        <w:rPr>
          <w:lang w:val="en-GB"/>
        </w:rPr>
        <w:t xml:space="preserve"> </w:t>
      </w:r>
      <w:r w:rsidRPr="006023C3">
        <w:rPr>
          <w:lang w:val="en-GB"/>
        </w:rPr>
        <w:t xml:space="preserve">a more dynamic management of the OGP process.  </w:t>
      </w:r>
    </w:p>
    <w:p w14:paraId="116B62A1" w14:textId="7AD6F7D6" w:rsidR="00DC2A12" w:rsidRPr="006023C3" w:rsidRDefault="009400F9" w:rsidP="006319F4">
      <w:pPr>
        <w:pStyle w:val="Normalrglronly"/>
        <w:rPr>
          <w:lang w:val="en-GB"/>
        </w:rPr>
      </w:pPr>
      <w:r w:rsidRPr="006023C3">
        <w:rPr>
          <w:lang w:val="en-GB"/>
        </w:rPr>
        <w:t xml:space="preserve">In January 2016, the </w:t>
      </w:r>
      <w:r w:rsidR="00C24776" w:rsidRPr="006023C3">
        <w:rPr>
          <w:lang w:val="en-GB"/>
        </w:rPr>
        <w:t>g</w:t>
      </w:r>
      <w:r w:rsidRPr="006023C3">
        <w:rPr>
          <w:lang w:val="en-GB"/>
        </w:rPr>
        <w:t xml:space="preserve">overnment published a schedule for developing </w:t>
      </w:r>
      <w:r w:rsidR="00BC465B" w:rsidRPr="006023C3">
        <w:rPr>
          <w:lang w:val="en-GB"/>
        </w:rPr>
        <w:t xml:space="preserve">a </w:t>
      </w:r>
      <w:r w:rsidRPr="006023C3">
        <w:rPr>
          <w:lang w:val="en-GB"/>
        </w:rPr>
        <w:t xml:space="preserve">new </w:t>
      </w:r>
      <w:r w:rsidR="00C24776" w:rsidRPr="006023C3">
        <w:rPr>
          <w:lang w:val="en-GB"/>
        </w:rPr>
        <w:t>a</w:t>
      </w:r>
      <w:r w:rsidRPr="006023C3">
        <w:rPr>
          <w:lang w:val="en-GB"/>
        </w:rPr>
        <w:t xml:space="preserve">ction </w:t>
      </w:r>
      <w:r w:rsidR="00C24776" w:rsidRPr="006023C3">
        <w:rPr>
          <w:lang w:val="en-GB"/>
        </w:rPr>
        <w:t>p</w:t>
      </w:r>
      <w:r w:rsidRPr="006023C3">
        <w:rPr>
          <w:lang w:val="en-GB"/>
        </w:rPr>
        <w:t>lan</w:t>
      </w:r>
      <w:r w:rsidR="00803FFD" w:rsidRPr="006023C3">
        <w:rPr>
          <w:lang w:val="en-GB"/>
        </w:rPr>
        <w:t xml:space="preserve"> </w:t>
      </w:r>
      <w:r w:rsidRPr="006023C3">
        <w:rPr>
          <w:lang w:val="en-GB"/>
        </w:rPr>
        <w:t xml:space="preserve">and launched relevant public consultations. After extensive consultations, and with some delay, the </w:t>
      </w:r>
      <w:r w:rsidR="00C24776" w:rsidRPr="006023C3">
        <w:rPr>
          <w:lang w:val="en-GB"/>
        </w:rPr>
        <w:t>g</w:t>
      </w:r>
      <w:r w:rsidRPr="006023C3">
        <w:rPr>
          <w:lang w:val="en-GB"/>
        </w:rPr>
        <w:t xml:space="preserve">overnment adopted the new </w:t>
      </w:r>
      <w:r w:rsidR="00C25A25" w:rsidRPr="006023C3">
        <w:rPr>
          <w:lang w:val="en-GB"/>
        </w:rPr>
        <w:t xml:space="preserve">action plan </w:t>
      </w:r>
      <w:r w:rsidR="00BC465B" w:rsidRPr="006023C3">
        <w:rPr>
          <w:lang w:val="en-GB"/>
        </w:rPr>
        <w:t>on 30 November 2016.</w:t>
      </w:r>
      <w:r w:rsidR="00803FFD" w:rsidRPr="006023C3">
        <w:rPr>
          <w:lang w:val="en-GB"/>
        </w:rPr>
        <w:t xml:space="preserve"> The </w:t>
      </w:r>
      <w:r w:rsidR="00181CBF" w:rsidRPr="006023C3">
        <w:rPr>
          <w:lang w:val="en-GB"/>
        </w:rPr>
        <w:t xml:space="preserve">third </w:t>
      </w:r>
      <w:r w:rsidR="00C25A25" w:rsidRPr="006023C3">
        <w:rPr>
          <w:lang w:val="en-GB"/>
        </w:rPr>
        <w:t>plan</w:t>
      </w:r>
      <w:r w:rsidR="00803FFD" w:rsidRPr="006023C3">
        <w:rPr>
          <w:lang w:val="en-GB"/>
        </w:rPr>
        <w:t xml:space="preserve"> cov</w:t>
      </w:r>
      <w:r w:rsidR="0067272C" w:rsidRPr="006023C3">
        <w:rPr>
          <w:lang w:val="en-GB"/>
        </w:rPr>
        <w:t>e</w:t>
      </w:r>
      <w:r w:rsidR="00803FFD" w:rsidRPr="006023C3">
        <w:rPr>
          <w:lang w:val="en-GB"/>
        </w:rPr>
        <w:t>rs</w:t>
      </w:r>
      <w:r w:rsidR="0067272C" w:rsidRPr="006023C3">
        <w:rPr>
          <w:lang w:val="en-GB"/>
        </w:rPr>
        <w:t xml:space="preserve"> </w:t>
      </w:r>
      <w:r w:rsidR="00C24776" w:rsidRPr="006023C3">
        <w:rPr>
          <w:lang w:val="en-GB"/>
        </w:rPr>
        <w:t xml:space="preserve">the period </w:t>
      </w:r>
      <w:r w:rsidR="0067272C" w:rsidRPr="006023C3">
        <w:rPr>
          <w:lang w:val="en-GB"/>
        </w:rPr>
        <w:t>2016-2018</w:t>
      </w:r>
      <w:r w:rsidR="00C24776" w:rsidRPr="006023C3">
        <w:rPr>
          <w:lang w:val="en-GB"/>
        </w:rPr>
        <w:t>,</w:t>
      </w:r>
      <w:r w:rsidR="0067272C" w:rsidRPr="006023C3">
        <w:rPr>
          <w:lang w:val="en-GB"/>
        </w:rPr>
        <w:t xml:space="preserve"> and includes 17</w:t>
      </w:r>
      <w:r w:rsidR="00C24776" w:rsidRPr="006023C3">
        <w:rPr>
          <w:lang w:val="en-GB"/>
        </w:rPr>
        <w:t xml:space="preserve"> </w:t>
      </w:r>
      <w:r w:rsidR="00181CBF" w:rsidRPr="006023C3">
        <w:rPr>
          <w:lang w:val="en-GB"/>
        </w:rPr>
        <w:t>commitment</w:t>
      </w:r>
      <w:r w:rsidR="00C24776" w:rsidRPr="006023C3">
        <w:rPr>
          <w:lang w:val="en-GB"/>
        </w:rPr>
        <w:t>s</w:t>
      </w:r>
      <w:r w:rsidR="0067272C" w:rsidRPr="006023C3">
        <w:rPr>
          <w:lang w:val="en-GB"/>
        </w:rPr>
        <w:t xml:space="preserve"> in various areas.</w:t>
      </w:r>
      <w:r w:rsidR="00803FFD" w:rsidRPr="006023C3">
        <w:rPr>
          <w:lang w:val="en-GB"/>
        </w:rPr>
        <w:t xml:space="preserve"> </w:t>
      </w:r>
      <w:r w:rsidRPr="006023C3">
        <w:rPr>
          <w:lang w:val="en-GB"/>
        </w:rPr>
        <w:t xml:space="preserve">  </w:t>
      </w:r>
    </w:p>
    <w:p w14:paraId="2095011B" w14:textId="61B806AC" w:rsidR="008E5355" w:rsidRPr="00D53935" w:rsidRDefault="008E5355" w:rsidP="008E5355">
      <w:pPr>
        <w:sectPr w:rsidR="008E5355" w:rsidRPr="00D53935" w:rsidSect="00E21DE3">
          <w:endnotePr>
            <w:numFmt w:val="decimal"/>
            <w:numRestart w:val="eachSect"/>
          </w:endnotePr>
          <w:type w:val="continuous"/>
          <w:pgSz w:w="11907" w:h="16839" w:code="9"/>
          <w:pgMar w:top="1417" w:right="1417" w:bottom="1417" w:left="1417" w:header="0" w:footer="0" w:gutter="0"/>
          <w:cols w:space="708"/>
          <w:titlePg/>
          <w:docGrid w:linePitch="360"/>
        </w:sectPr>
      </w:pPr>
    </w:p>
    <w:p w14:paraId="03E07B61" w14:textId="6F769766" w:rsidR="00790B3C" w:rsidRPr="009400F9" w:rsidRDefault="00790B3C" w:rsidP="006319F4">
      <w:pPr>
        <w:pStyle w:val="Heading3"/>
      </w:pPr>
      <w:r w:rsidRPr="009400F9">
        <w:lastRenderedPageBreak/>
        <w:t>Consultation with civil society</w:t>
      </w:r>
      <w:r w:rsidR="005229D9" w:rsidRPr="009400F9">
        <w:t xml:space="preserve"> during implementation</w:t>
      </w:r>
    </w:p>
    <w:p w14:paraId="0E08554D" w14:textId="36BACD3C" w:rsidR="001261D5" w:rsidRDefault="00790B3C" w:rsidP="009B0529">
      <w:pPr>
        <w:pStyle w:val="Normalrglronly"/>
        <w:rPr>
          <w:lang w:val="en-GB"/>
        </w:rPr>
      </w:pPr>
      <w:r w:rsidRPr="009400F9">
        <w:rPr>
          <w:lang w:val="en-GB"/>
        </w:rPr>
        <w:t xml:space="preserve">Countries participating in OGP follow a process for consultation during development </w:t>
      </w:r>
      <w:r w:rsidR="00CC5109">
        <w:rPr>
          <w:lang w:val="en-GB"/>
        </w:rPr>
        <w:t xml:space="preserve">and implementation </w:t>
      </w:r>
      <w:r w:rsidRPr="009400F9">
        <w:rPr>
          <w:lang w:val="en-GB"/>
        </w:rPr>
        <w:t xml:space="preserve">of their OGP action plan. </w:t>
      </w:r>
      <w:r w:rsidR="00161626">
        <w:rPr>
          <w:lang w:val="en-GB"/>
        </w:rPr>
        <w:t xml:space="preserve">The main consultation process was organised </w:t>
      </w:r>
      <w:r w:rsidR="00163080">
        <w:rPr>
          <w:lang w:val="en-GB"/>
        </w:rPr>
        <w:t>based on</w:t>
      </w:r>
      <w:r w:rsidR="00161626">
        <w:rPr>
          <w:lang w:val="en-GB"/>
        </w:rPr>
        <w:t xml:space="preserve"> the National </w:t>
      </w:r>
      <w:r w:rsidR="00161626" w:rsidRPr="00161626">
        <w:rPr>
          <w:lang w:val="en-GB"/>
        </w:rPr>
        <w:t>OGP Coordination Council</w:t>
      </w:r>
      <w:r w:rsidR="0057543F">
        <w:rPr>
          <w:lang w:val="en-GB"/>
        </w:rPr>
        <w:t>’s platform.</w:t>
      </w:r>
      <w:r w:rsidR="00161626">
        <w:rPr>
          <w:lang w:val="en-GB"/>
        </w:rPr>
        <w:t xml:space="preserve"> </w:t>
      </w:r>
      <w:r w:rsidR="0057543F">
        <w:rPr>
          <w:lang w:val="en-GB"/>
        </w:rPr>
        <w:t>T</w:t>
      </w:r>
      <w:r w:rsidR="00161626">
        <w:rPr>
          <w:lang w:val="en-GB"/>
        </w:rPr>
        <w:t>he majority</w:t>
      </w:r>
      <w:r w:rsidR="0057543F">
        <w:rPr>
          <w:lang w:val="en-GB"/>
        </w:rPr>
        <w:t xml:space="preserve"> of the</w:t>
      </w:r>
      <w:r w:rsidR="00161626">
        <w:rPr>
          <w:lang w:val="en-GB"/>
        </w:rPr>
        <w:t xml:space="preserve"> </w:t>
      </w:r>
      <w:r w:rsidR="0057543F">
        <w:rPr>
          <w:lang w:val="en-GB"/>
        </w:rPr>
        <w:t>members of the Council</w:t>
      </w:r>
      <w:r w:rsidR="00161626">
        <w:rPr>
          <w:lang w:val="en-GB"/>
        </w:rPr>
        <w:t xml:space="preserve"> </w:t>
      </w:r>
      <w:r w:rsidR="00C24776">
        <w:rPr>
          <w:lang w:val="en-GB"/>
        </w:rPr>
        <w:t>are</w:t>
      </w:r>
      <w:r w:rsidR="00161626">
        <w:rPr>
          <w:lang w:val="en-GB"/>
        </w:rPr>
        <w:t xml:space="preserve"> non-governmental representatives. The </w:t>
      </w:r>
      <w:r w:rsidR="0057543F">
        <w:rPr>
          <w:lang w:val="en-GB"/>
        </w:rPr>
        <w:t>g</w:t>
      </w:r>
      <w:r w:rsidR="00161626">
        <w:rPr>
          <w:lang w:val="en-GB"/>
        </w:rPr>
        <w:t xml:space="preserve">overnment, jointly with donors and NGOs, organised a number of national and regional discussions during the development of the </w:t>
      </w:r>
      <w:r w:rsidR="0057543F">
        <w:rPr>
          <w:lang w:val="en-GB"/>
        </w:rPr>
        <w:t>a</w:t>
      </w:r>
      <w:r w:rsidR="00161626">
        <w:rPr>
          <w:lang w:val="en-GB"/>
        </w:rPr>
        <w:t xml:space="preserve">ction </w:t>
      </w:r>
      <w:r w:rsidR="0057543F">
        <w:rPr>
          <w:lang w:val="en-GB"/>
        </w:rPr>
        <w:t>p</w:t>
      </w:r>
      <w:r w:rsidR="00161626">
        <w:rPr>
          <w:lang w:val="en-GB"/>
        </w:rPr>
        <w:t>lan and in</w:t>
      </w:r>
      <w:r w:rsidR="00C24776">
        <w:rPr>
          <w:lang w:val="en-GB"/>
        </w:rPr>
        <w:t xml:space="preserve"> the</w:t>
      </w:r>
      <w:r w:rsidR="00161626">
        <w:rPr>
          <w:lang w:val="en-GB"/>
        </w:rPr>
        <w:t xml:space="preserve"> preparation of the self-assessment reports. Overall</w:t>
      </w:r>
      <w:r w:rsidR="0057543F">
        <w:rPr>
          <w:lang w:val="en-GB"/>
        </w:rPr>
        <w:t>,</w:t>
      </w:r>
      <w:r w:rsidR="00161626">
        <w:rPr>
          <w:lang w:val="en-GB"/>
        </w:rPr>
        <w:t xml:space="preserve"> the process was </w:t>
      </w:r>
      <w:r w:rsidR="001261D5">
        <w:rPr>
          <w:lang w:val="en-GB"/>
        </w:rPr>
        <w:t xml:space="preserve">participatory and </w:t>
      </w:r>
      <w:r w:rsidR="00161626">
        <w:rPr>
          <w:lang w:val="en-GB"/>
        </w:rPr>
        <w:t>inclusive</w:t>
      </w:r>
      <w:r w:rsidR="0057543F">
        <w:rPr>
          <w:lang w:val="en-GB"/>
        </w:rPr>
        <w:t>,</w:t>
      </w:r>
      <w:r w:rsidR="00161626">
        <w:rPr>
          <w:lang w:val="en-GB"/>
        </w:rPr>
        <w:t xml:space="preserve"> and the </w:t>
      </w:r>
      <w:r w:rsidR="0057543F">
        <w:rPr>
          <w:lang w:val="en-GB"/>
        </w:rPr>
        <w:t>g</w:t>
      </w:r>
      <w:r w:rsidR="00161626">
        <w:rPr>
          <w:lang w:val="en-GB"/>
        </w:rPr>
        <w:t xml:space="preserve">overnment reacted to feedback by adjusting the draft </w:t>
      </w:r>
      <w:r w:rsidR="0057543F">
        <w:rPr>
          <w:lang w:val="en-GB"/>
        </w:rPr>
        <w:t>a</w:t>
      </w:r>
      <w:r w:rsidR="00161626">
        <w:rPr>
          <w:lang w:val="en-GB"/>
        </w:rPr>
        <w:t xml:space="preserve">ction </w:t>
      </w:r>
      <w:r w:rsidR="0057543F">
        <w:rPr>
          <w:lang w:val="en-GB"/>
        </w:rPr>
        <w:t>p</w:t>
      </w:r>
      <w:r w:rsidR="00161626">
        <w:rPr>
          <w:lang w:val="en-GB"/>
        </w:rPr>
        <w:t>lan and self-assessment report</w:t>
      </w:r>
      <w:r w:rsidR="00C24776">
        <w:rPr>
          <w:lang w:val="en-GB"/>
        </w:rPr>
        <w:t>s</w:t>
      </w:r>
      <w:r w:rsidR="00161626">
        <w:rPr>
          <w:lang w:val="en-GB"/>
        </w:rPr>
        <w:t xml:space="preserve">. Summaries of public consultations </w:t>
      </w:r>
      <w:r w:rsidR="0057543F">
        <w:rPr>
          <w:lang w:val="en-GB"/>
        </w:rPr>
        <w:t>were</w:t>
      </w:r>
      <w:r w:rsidR="00161626">
        <w:rPr>
          <w:lang w:val="en-GB"/>
        </w:rPr>
        <w:t xml:space="preserve"> published as well. </w:t>
      </w:r>
      <w:r w:rsidR="001261D5">
        <w:rPr>
          <w:lang w:val="en-GB"/>
        </w:rPr>
        <w:t xml:space="preserve">However, </w:t>
      </w:r>
      <w:r w:rsidR="001261D5" w:rsidRPr="001261D5">
        <w:rPr>
          <w:lang w:val="en-GB"/>
        </w:rPr>
        <w:t>during implementation, the OGP Coordination Council’s meetings were held intermittently, with no pre-set schedule or regularity</w:t>
      </w:r>
      <w:r w:rsidR="001261D5">
        <w:rPr>
          <w:lang w:val="en-GB"/>
        </w:rPr>
        <w:t xml:space="preserve">. </w:t>
      </w:r>
      <w:r w:rsidR="00161626">
        <w:rPr>
          <w:lang w:val="en-GB"/>
        </w:rPr>
        <w:t xml:space="preserve">The </w:t>
      </w:r>
      <w:r w:rsidR="001261D5">
        <w:rPr>
          <w:lang w:val="en-GB"/>
        </w:rPr>
        <w:t>IRM report recommended establish</w:t>
      </w:r>
      <w:r w:rsidR="0057543F">
        <w:rPr>
          <w:lang w:val="en-GB"/>
        </w:rPr>
        <w:t>ing</w:t>
      </w:r>
      <w:r w:rsidR="001261D5" w:rsidRPr="00D307EB">
        <w:rPr>
          <w:lang w:val="en-GB"/>
        </w:rPr>
        <w:t xml:space="preserve"> a management body </w:t>
      </w:r>
      <w:r w:rsidR="0057543F">
        <w:rPr>
          <w:lang w:val="en-GB"/>
        </w:rPr>
        <w:t>to</w:t>
      </w:r>
      <w:r w:rsidR="001261D5" w:rsidRPr="00D307EB">
        <w:rPr>
          <w:lang w:val="en-GB"/>
        </w:rPr>
        <w:t xml:space="preserve"> </w:t>
      </w:r>
      <w:r w:rsidR="009B0529">
        <w:rPr>
          <w:lang w:val="en-GB"/>
        </w:rPr>
        <w:t>organize meetings</w:t>
      </w:r>
      <w:r w:rsidR="001261D5" w:rsidRPr="00D307EB">
        <w:rPr>
          <w:lang w:val="en-GB"/>
        </w:rPr>
        <w:t xml:space="preserve"> between the general Coordination Council and thematic working groups for commitments</w:t>
      </w:r>
      <w:r w:rsidR="009B0529">
        <w:rPr>
          <w:lang w:val="en-GB"/>
        </w:rPr>
        <w:t>. Additionally, the IRM recommended</w:t>
      </w:r>
      <w:r w:rsidR="001261D5">
        <w:rPr>
          <w:lang w:val="en-GB"/>
        </w:rPr>
        <w:t xml:space="preserve"> </w:t>
      </w:r>
      <w:r w:rsidR="001261D5" w:rsidRPr="00D307EB">
        <w:rPr>
          <w:lang w:val="en-GB"/>
        </w:rPr>
        <w:t>appoin</w:t>
      </w:r>
      <w:r w:rsidR="009B0529">
        <w:rPr>
          <w:lang w:val="en-GB"/>
        </w:rPr>
        <w:t>ting</w:t>
      </w:r>
      <w:r w:rsidR="001261D5" w:rsidRPr="00D307EB">
        <w:rPr>
          <w:lang w:val="en-GB"/>
        </w:rPr>
        <w:t xml:space="preserve"> co-chairs from civil society </w:t>
      </w:r>
      <w:r w:rsidR="009B0529">
        <w:rPr>
          <w:lang w:val="en-GB"/>
        </w:rPr>
        <w:t>to the</w:t>
      </w:r>
      <w:r w:rsidR="001261D5" w:rsidRPr="00D307EB">
        <w:rPr>
          <w:lang w:val="en-GB"/>
        </w:rPr>
        <w:t xml:space="preserve"> management </w:t>
      </w:r>
      <w:r w:rsidR="009B0529">
        <w:rPr>
          <w:lang w:val="en-GB"/>
        </w:rPr>
        <w:t>body and</w:t>
      </w:r>
      <w:r w:rsidR="009B0529" w:rsidRPr="00D307EB">
        <w:rPr>
          <w:lang w:val="en-GB"/>
        </w:rPr>
        <w:t xml:space="preserve"> </w:t>
      </w:r>
      <w:r w:rsidR="001261D5" w:rsidRPr="00D307EB">
        <w:rPr>
          <w:lang w:val="en-GB"/>
        </w:rPr>
        <w:t xml:space="preserve">working </w:t>
      </w:r>
      <w:r w:rsidR="009B0529">
        <w:rPr>
          <w:lang w:val="en-GB"/>
        </w:rPr>
        <w:t>groups</w:t>
      </w:r>
      <w:r w:rsidR="009B0529" w:rsidRPr="00D307EB">
        <w:rPr>
          <w:lang w:val="en-GB"/>
        </w:rPr>
        <w:t xml:space="preserve"> </w:t>
      </w:r>
      <w:r w:rsidR="001261D5" w:rsidRPr="00D307EB">
        <w:rPr>
          <w:lang w:val="en-GB"/>
        </w:rPr>
        <w:t>involved in the process</w:t>
      </w:r>
      <w:r w:rsidR="00C24776">
        <w:rPr>
          <w:lang w:val="en-GB"/>
        </w:rPr>
        <w:t>,</w:t>
      </w:r>
      <w:r w:rsidR="001261D5">
        <w:rPr>
          <w:lang w:val="en-GB"/>
        </w:rPr>
        <w:t xml:space="preserve"> and </w:t>
      </w:r>
      <w:r w:rsidR="009B0529">
        <w:rPr>
          <w:lang w:val="en-GB"/>
        </w:rPr>
        <w:t>including</w:t>
      </w:r>
      <w:r w:rsidR="001261D5">
        <w:rPr>
          <w:lang w:val="en-GB"/>
        </w:rPr>
        <w:t xml:space="preserve"> </w:t>
      </w:r>
      <w:r w:rsidR="00C24776">
        <w:rPr>
          <w:lang w:val="en-GB"/>
        </w:rPr>
        <w:t xml:space="preserve">the </w:t>
      </w:r>
      <w:r w:rsidR="001261D5" w:rsidRPr="00D307EB">
        <w:rPr>
          <w:lang w:val="en-GB"/>
        </w:rPr>
        <w:t xml:space="preserve">business sector </w:t>
      </w:r>
      <w:r w:rsidR="001261D5">
        <w:rPr>
          <w:lang w:val="en-GB"/>
        </w:rPr>
        <w:t>in</w:t>
      </w:r>
      <w:r w:rsidR="001261D5" w:rsidRPr="00D307EB">
        <w:rPr>
          <w:lang w:val="en-GB"/>
        </w:rPr>
        <w:t xml:space="preserve"> the multi-stakeholder process</w:t>
      </w:r>
      <w:r w:rsidR="001261D5">
        <w:rPr>
          <w:lang w:val="en-GB"/>
        </w:rPr>
        <w:t>.</w:t>
      </w:r>
    </w:p>
    <w:p w14:paraId="70BD1920" w14:textId="77777777" w:rsidR="001261D5" w:rsidRPr="001261D5" w:rsidRDefault="001261D5" w:rsidP="00B0395A">
      <w:pPr>
        <w:pStyle w:val="Normalrglronly"/>
        <w:rPr>
          <w:lang w:val="en-GB"/>
        </w:rPr>
        <w:sectPr w:rsidR="001261D5" w:rsidRPr="001261D5" w:rsidSect="00E21DE3">
          <w:footerReference w:type="first" r:id="rId14"/>
          <w:endnotePr>
            <w:numFmt w:val="decimal"/>
            <w:numRestart w:val="eachSect"/>
          </w:endnotePr>
          <w:pgSz w:w="11907" w:h="16839" w:code="9"/>
          <w:pgMar w:top="1417" w:right="1417" w:bottom="1417" w:left="1417" w:header="0" w:footer="0" w:gutter="0"/>
          <w:cols w:space="708"/>
          <w:titlePg/>
          <w:docGrid w:linePitch="360"/>
        </w:sectPr>
      </w:pPr>
    </w:p>
    <w:tbl>
      <w:tblPr>
        <w:tblStyle w:val="TableGrid"/>
        <w:tblpPr w:leftFromText="180" w:rightFromText="180" w:vertAnchor="page" w:horzAnchor="page" w:tblpX="1454" w:tblpY="6098"/>
        <w:tblW w:w="9270" w:type="dxa"/>
        <w:tblLayout w:type="fixed"/>
        <w:tblLook w:val="04A0" w:firstRow="1" w:lastRow="0" w:firstColumn="1" w:lastColumn="0" w:noHBand="0" w:noVBand="1"/>
      </w:tblPr>
      <w:tblGrid>
        <w:gridCol w:w="1982"/>
        <w:gridCol w:w="3778"/>
        <w:gridCol w:w="3510"/>
      </w:tblGrid>
      <w:tr w:rsidR="00CC5109" w:rsidRPr="009400F9" w14:paraId="75ABAE3A" w14:textId="77777777" w:rsidTr="00CC5109">
        <w:tc>
          <w:tcPr>
            <w:tcW w:w="1982" w:type="dxa"/>
          </w:tcPr>
          <w:p w14:paraId="0AFD4074" w14:textId="77777777" w:rsidR="004839BB" w:rsidRPr="009400F9" w:rsidRDefault="004839BB" w:rsidP="00CC5109">
            <w:pPr>
              <w:pStyle w:val="Tabletitleinside"/>
              <w:rPr>
                <w:lang w:val="en-GB"/>
              </w:rPr>
            </w:pPr>
            <w:r w:rsidRPr="009400F9">
              <w:rPr>
                <w:lang w:val="en-GB"/>
              </w:rPr>
              <w:t>Phase of Action Plan</w:t>
            </w:r>
          </w:p>
        </w:tc>
        <w:tc>
          <w:tcPr>
            <w:tcW w:w="3778" w:type="dxa"/>
          </w:tcPr>
          <w:p w14:paraId="309E5DA3" w14:textId="77777777" w:rsidR="004839BB" w:rsidRPr="009400F9" w:rsidRDefault="004839BB" w:rsidP="00CC5109">
            <w:pPr>
              <w:pStyle w:val="Tabletitleinside"/>
              <w:rPr>
                <w:lang w:val="en-GB"/>
              </w:rPr>
            </w:pPr>
            <w:r w:rsidRPr="009400F9">
              <w:rPr>
                <w:lang w:val="en-GB"/>
              </w:rPr>
              <w:t>OGP Process Requirement (Articles of Governance Section)</w:t>
            </w:r>
          </w:p>
        </w:tc>
        <w:tc>
          <w:tcPr>
            <w:tcW w:w="3510" w:type="dxa"/>
          </w:tcPr>
          <w:p w14:paraId="467AF23B" w14:textId="5151D044" w:rsidR="004839BB" w:rsidRPr="009400F9" w:rsidRDefault="004839BB" w:rsidP="00CC5109">
            <w:pPr>
              <w:pStyle w:val="Tabletitleinside"/>
              <w:rPr>
                <w:lang w:val="en-GB"/>
              </w:rPr>
            </w:pPr>
            <w:r w:rsidRPr="009400F9">
              <w:rPr>
                <w:lang w:val="en-GB"/>
              </w:rPr>
              <w:t>Did the government meet this requirement</w:t>
            </w:r>
            <w:r w:rsidR="00163080">
              <w:rPr>
                <w:lang w:val="en-GB"/>
              </w:rPr>
              <w:t>?</w:t>
            </w:r>
          </w:p>
        </w:tc>
      </w:tr>
      <w:tr w:rsidR="00CC5109" w:rsidRPr="009400F9" w14:paraId="53E27F18" w14:textId="77777777" w:rsidTr="00CC5109">
        <w:tc>
          <w:tcPr>
            <w:tcW w:w="1982" w:type="dxa"/>
            <w:vMerge w:val="restart"/>
          </w:tcPr>
          <w:p w14:paraId="5647DD62" w14:textId="77777777" w:rsidR="004839BB" w:rsidRPr="009400F9" w:rsidRDefault="004839BB" w:rsidP="00CC5109">
            <w:pPr>
              <w:pStyle w:val="Rowcolumntitles"/>
              <w:rPr>
                <w:lang w:val="en-GB"/>
              </w:rPr>
            </w:pPr>
            <w:r w:rsidRPr="009400F9">
              <w:rPr>
                <w:lang w:val="en-GB"/>
              </w:rPr>
              <w:t>During Implementation</w:t>
            </w:r>
          </w:p>
        </w:tc>
        <w:tc>
          <w:tcPr>
            <w:tcW w:w="3778" w:type="dxa"/>
          </w:tcPr>
          <w:p w14:paraId="1E04CB40" w14:textId="77777777" w:rsidR="004839BB" w:rsidRPr="009400F9" w:rsidRDefault="004839BB" w:rsidP="00CC5109">
            <w:pPr>
              <w:pStyle w:val="Rowcolumntitles"/>
              <w:rPr>
                <w:lang w:val="en-GB"/>
              </w:rPr>
            </w:pPr>
            <w:r w:rsidRPr="009400F9">
              <w:rPr>
                <w:lang w:val="en-GB"/>
              </w:rPr>
              <w:t>Regular forum for consultation during implementation?</w:t>
            </w:r>
          </w:p>
        </w:tc>
        <w:tc>
          <w:tcPr>
            <w:tcW w:w="3510" w:type="dxa"/>
          </w:tcPr>
          <w:p w14:paraId="38F61723" w14:textId="5B11FE01" w:rsidR="004839BB" w:rsidRPr="009400F9" w:rsidRDefault="001261D5" w:rsidP="00163080">
            <w:pPr>
              <w:pStyle w:val="Rowcolumntitles"/>
              <w:jc w:val="center"/>
              <w:rPr>
                <w:rFonts w:cs="Times New Roman"/>
                <w:lang w:val="en-GB"/>
              </w:rPr>
            </w:pPr>
            <w:r>
              <w:rPr>
                <w:rFonts w:cs="Times New Roman"/>
                <w:lang w:val="en-GB"/>
              </w:rPr>
              <w:t>Yes</w:t>
            </w:r>
          </w:p>
        </w:tc>
      </w:tr>
      <w:tr w:rsidR="00CC5109" w:rsidRPr="009400F9" w14:paraId="3E345674" w14:textId="77777777" w:rsidTr="00CC5109">
        <w:tc>
          <w:tcPr>
            <w:tcW w:w="1982" w:type="dxa"/>
            <w:vMerge/>
          </w:tcPr>
          <w:p w14:paraId="33328C58" w14:textId="77777777" w:rsidR="004839BB" w:rsidRPr="009400F9" w:rsidRDefault="004839BB" w:rsidP="00CC5109">
            <w:pPr>
              <w:pStyle w:val="Rowcolumntitles"/>
              <w:rPr>
                <w:lang w:val="en-GB"/>
              </w:rPr>
            </w:pPr>
          </w:p>
        </w:tc>
        <w:tc>
          <w:tcPr>
            <w:tcW w:w="3778" w:type="dxa"/>
          </w:tcPr>
          <w:p w14:paraId="353ED087" w14:textId="77777777" w:rsidR="004839BB" w:rsidRPr="009400F9" w:rsidRDefault="004839BB" w:rsidP="00CC5109">
            <w:pPr>
              <w:pStyle w:val="Rowcolumntitles"/>
              <w:rPr>
                <w:lang w:val="en-GB"/>
              </w:rPr>
            </w:pPr>
            <w:r w:rsidRPr="009400F9">
              <w:rPr>
                <w:lang w:val="en-GB"/>
              </w:rPr>
              <w:t>Consultations: Open or Invitation-only?</w:t>
            </w:r>
          </w:p>
        </w:tc>
        <w:tc>
          <w:tcPr>
            <w:tcW w:w="3510" w:type="dxa"/>
          </w:tcPr>
          <w:p w14:paraId="45D2AC99" w14:textId="72E75B50" w:rsidR="004839BB" w:rsidRPr="009400F9" w:rsidRDefault="001261D5" w:rsidP="00163080">
            <w:pPr>
              <w:pStyle w:val="Rowcolumntitles"/>
              <w:jc w:val="center"/>
              <w:rPr>
                <w:rFonts w:cs="Times New Roman"/>
                <w:lang w:val="en-GB"/>
              </w:rPr>
            </w:pPr>
            <w:r w:rsidRPr="009400F9">
              <w:rPr>
                <w:lang w:val="en-GB"/>
              </w:rPr>
              <w:t>Invitation-only</w:t>
            </w:r>
          </w:p>
        </w:tc>
      </w:tr>
      <w:tr w:rsidR="00CC5109" w:rsidRPr="009400F9" w14:paraId="47385D77" w14:textId="77777777" w:rsidTr="00CC5109">
        <w:tc>
          <w:tcPr>
            <w:tcW w:w="1982" w:type="dxa"/>
            <w:vMerge/>
          </w:tcPr>
          <w:p w14:paraId="78E5770E" w14:textId="77777777" w:rsidR="004839BB" w:rsidRPr="009400F9" w:rsidRDefault="004839BB" w:rsidP="00CC5109">
            <w:pPr>
              <w:pStyle w:val="Rowcolumntitles"/>
              <w:rPr>
                <w:lang w:val="en-GB"/>
              </w:rPr>
            </w:pPr>
          </w:p>
        </w:tc>
        <w:tc>
          <w:tcPr>
            <w:tcW w:w="3778" w:type="dxa"/>
          </w:tcPr>
          <w:p w14:paraId="161548E7" w14:textId="6BA90082" w:rsidR="004839BB" w:rsidRPr="009400F9" w:rsidRDefault="004839BB" w:rsidP="00CC5109">
            <w:pPr>
              <w:pStyle w:val="Rowcolumntitles"/>
              <w:rPr>
                <w:lang w:val="en-GB"/>
              </w:rPr>
            </w:pPr>
            <w:r w:rsidRPr="009400F9">
              <w:rPr>
                <w:lang w:val="en-GB"/>
              </w:rPr>
              <w:t>Consultations on IAP2 spectrum</w:t>
            </w:r>
            <w:r w:rsidR="00CC5109">
              <w:rPr>
                <w:rStyle w:val="EndnoteReference"/>
                <w:lang w:val="en-US"/>
              </w:rPr>
              <w:endnoteReference w:id="2"/>
            </w:r>
          </w:p>
        </w:tc>
        <w:tc>
          <w:tcPr>
            <w:tcW w:w="3510" w:type="dxa"/>
          </w:tcPr>
          <w:p w14:paraId="499A8049" w14:textId="30A6FDE1" w:rsidR="004839BB" w:rsidRPr="009400F9" w:rsidRDefault="001261D5" w:rsidP="00163080">
            <w:pPr>
              <w:pStyle w:val="Rowcolumntitles"/>
              <w:jc w:val="center"/>
              <w:rPr>
                <w:rFonts w:eastAsiaTheme="majorEastAsia" w:cs="Times New Roman"/>
                <w:i/>
                <w:iCs/>
                <w:sz w:val="20"/>
                <w:lang w:val="en-GB"/>
              </w:rPr>
            </w:pPr>
            <w:r w:rsidRPr="001261D5">
              <w:rPr>
                <w:rFonts w:cs="Times New Roman"/>
                <w:lang w:val="en-GB"/>
              </w:rPr>
              <w:t>Collaborate</w:t>
            </w:r>
          </w:p>
        </w:tc>
      </w:tr>
    </w:tbl>
    <w:p w14:paraId="5E75B586" w14:textId="77777777" w:rsidR="00CC5109" w:rsidRDefault="00CC5109" w:rsidP="003E5265">
      <w:pPr>
        <w:pStyle w:val="Tableheader"/>
        <w:rPr>
          <w:lang w:val="en-GB"/>
        </w:rPr>
      </w:pPr>
    </w:p>
    <w:p w14:paraId="0D0B99AC" w14:textId="1BBF60AD" w:rsidR="003E5265" w:rsidRPr="009400F9" w:rsidRDefault="003E5265" w:rsidP="003E5265">
      <w:pPr>
        <w:pStyle w:val="Tableheader"/>
        <w:rPr>
          <w:lang w:val="en-GB"/>
        </w:rPr>
      </w:pPr>
      <w:r w:rsidRPr="009400F9">
        <w:rPr>
          <w:lang w:val="en-GB"/>
        </w:rPr>
        <w:t>Ta</w:t>
      </w:r>
      <w:r w:rsidR="00052B72" w:rsidRPr="009400F9">
        <w:rPr>
          <w:lang w:val="en-GB"/>
        </w:rPr>
        <w:t xml:space="preserve">ble </w:t>
      </w:r>
      <w:r w:rsidR="00CC5109">
        <w:rPr>
          <w:lang w:val="en-GB"/>
        </w:rPr>
        <w:t>2</w:t>
      </w:r>
      <w:r w:rsidR="00052B72" w:rsidRPr="009400F9">
        <w:rPr>
          <w:lang w:val="en-GB"/>
        </w:rPr>
        <w:t>: Action Plan Consultation Process</w:t>
      </w:r>
    </w:p>
    <w:p w14:paraId="3A367D72" w14:textId="77777777" w:rsidR="00307994" w:rsidRPr="009400F9" w:rsidRDefault="00307994" w:rsidP="00307994">
      <w:pPr>
        <w:pStyle w:val="Heading2"/>
        <w:rPr>
          <w:lang w:val="en-GB"/>
        </w:rPr>
        <w:sectPr w:rsidR="00307994" w:rsidRPr="009400F9" w:rsidSect="00790B3C">
          <w:endnotePr>
            <w:numFmt w:val="decimal"/>
            <w:numRestart w:val="eachSect"/>
          </w:endnotePr>
          <w:type w:val="continuous"/>
          <w:pgSz w:w="11907" w:h="16839" w:code="9"/>
          <w:pgMar w:top="1417" w:right="1417" w:bottom="1417" w:left="1417" w:header="0" w:footer="0" w:gutter="0"/>
          <w:cols w:space="708"/>
          <w:docGrid w:linePitch="360"/>
        </w:sectPr>
      </w:pPr>
    </w:p>
    <w:p w14:paraId="4A27561F" w14:textId="1A141B4C" w:rsidR="004839BB" w:rsidRPr="009400F9" w:rsidRDefault="00AF5F83" w:rsidP="00163080">
      <w:pPr>
        <w:pStyle w:val="Heading1"/>
        <w:spacing w:before="0" w:after="120"/>
        <w:rPr>
          <w:lang w:val="en-GB"/>
        </w:rPr>
      </w:pPr>
      <w:r w:rsidRPr="009400F9">
        <w:rPr>
          <w:lang w:val="en-GB"/>
        </w:rPr>
        <w:lastRenderedPageBreak/>
        <w:t>Progress in commitment implementation</w:t>
      </w:r>
    </w:p>
    <w:p w14:paraId="79AE7D32" w14:textId="17EC7AC8" w:rsidR="004839BB" w:rsidRPr="00140D0F" w:rsidRDefault="004839BB" w:rsidP="00CC5109">
      <w:pPr>
        <w:spacing w:after="120"/>
        <w:rPr>
          <w:rFonts w:ascii="Gill Sans" w:hAnsi="Gill Sans" w:cs="Gill Sans"/>
          <w:sz w:val="22"/>
          <w:szCs w:val="22"/>
          <w:lang w:val="en-GB"/>
        </w:rPr>
      </w:pPr>
      <w:r w:rsidRPr="00140D0F">
        <w:rPr>
          <w:rFonts w:ascii="Gill Sans" w:hAnsi="Gill Sans" w:cs="Gill Sans"/>
          <w:sz w:val="22"/>
          <w:szCs w:val="22"/>
          <w:lang w:val="en-GB"/>
        </w:rPr>
        <w:t>All of the indicators and method used in the IRM research can be found in the IRM Procedures Manual, available at (</w:t>
      </w:r>
      <w:hyperlink r:id="rId15">
        <w:r w:rsidRPr="00140D0F">
          <w:rPr>
            <w:rFonts w:ascii="Gill Sans" w:hAnsi="Gill Sans" w:cs="Gill Sans"/>
            <w:sz w:val="22"/>
            <w:szCs w:val="22"/>
            <w:u w:val="single"/>
            <w:lang w:val="en-GB"/>
          </w:rPr>
          <w:t>http://www.opengovpartnership.org/about/about-irm</w:t>
        </w:r>
      </w:hyperlink>
      <w:r w:rsidRPr="00140D0F">
        <w:rPr>
          <w:rFonts w:ascii="Gill Sans" w:hAnsi="Gill Sans" w:cs="Gill Sans"/>
          <w:sz w:val="22"/>
          <w:szCs w:val="22"/>
          <w:lang w:val="en-GB"/>
        </w:rPr>
        <w:t>). One measure deserves further explanation, due to its particular interest for readers and usefulness for encouraging a race to the top between OGP-participating countries: the “starred commitment”</w:t>
      </w:r>
      <w:r w:rsidR="00C2008B" w:rsidRPr="00140D0F">
        <w:rPr>
          <w:rFonts w:ascii="Gill Sans" w:hAnsi="Gill Sans" w:cs="Gill Sans"/>
          <w:sz w:val="22"/>
          <w:szCs w:val="22"/>
          <w:lang w:val="en-GB"/>
        </w:rPr>
        <w:t xml:space="preserve"> (</w:t>
      </w:r>
      <w:r w:rsidR="00C2008B" w:rsidRPr="00140D0F">
        <w:rPr>
          <w:rFonts w:ascii="MS Mincho" w:eastAsia="MS Mincho" w:hAnsi="MS Mincho" w:cs="MS Mincho"/>
          <w:sz w:val="22"/>
          <w:szCs w:val="22"/>
          <w:lang w:val="en-GB"/>
        </w:rPr>
        <w:t>✪</w:t>
      </w:r>
      <w:r w:rsidR="00A05429" w:rsidRPr="00140D0F">
        <w:rPr>
          <w:rFonts w:ascii="Gill Sans" w:hAnsi="Gill Sans" w:cs="Gill Sans"/>
          <w:sz w:val="22"/>
          <w:szCs w:val="22"/>
          <w:lang w:val="en-GB"/>
        </w:rPr>
        <w:t>)</w:t>
      </w:r>
      <w:r w:rsidRPr="00140D0F">
        <w:rPr>
          <w:rFonts w:ascii="Gill Sans" w:hAnsi="Gill Sans" w:cs="Gill Sans"/>
          <w:sz w:val="22"/>
          <w:szCs w:val="22"/>
          <w:lang w:val="en-GB"/>
        </w:rPr>
        <w:t xml:space="preserve">. Starred commitments are considered exemplary OGP commitments. </w:t>
      </w:r>
      <w:r w:rsidR="00CC5109">
        <w:rPr>
          <w:rFonts w:ascii="Gill Sans" w:hAnsi="Gill Sans" w:cs="Gill Sans"/>
          <w:sz w:val="22"/>
          <w:szCs w:val="22"/>
          <w:lang w:val="en-GB"/>
        </w:rPr>
        <w:t>T</w:t>
      </w:r>
      <w:r w:rsidRPr="00140D0F">
        <w:rPr>
          <w:rFonts w:ascii="Gill Sans" w:hAnsi="Gill Sans" w:cs="Gill Sans"/>
          <w:sz w:val="22"/>
          <w:szCs w:val="22"/>
          <w:lang w:val="en-GB"/>
        </w:rPr>
        <w:t>o receive a star, a commitment must meet several criteria:</w:t>
      </w:r>
    </w:p>
    <w:p w14:paraId="3605E6C5" w14:textId="77777777" w:rsidR="004839BB" w:rsidRPr="00163080" w:rsidRDefault="004839BB">
      <w:pPr>
        <w:pStyle w:val="ListParagraph"/>
      </w:pPr>
      <w:r w:rsidRPr="00163080">
        <w:t xml:space="preserve">It must be specific enough that a judgment can be made about its potential impact. Starred commitments will have "medium" or "high" specificity. </w:t>
      </w:r>
    </w:p>
    <w:p w14:paraId="1B72D3EF" w14:textId="77777777" w:rsidR="004839BB" w:rsidRPr="00140D0F" w:rsidRDefault="004839BB">
      <w:pPr>
        <w:pStyle w:val="ListParagraph"/>
      </w:pPr>
      <w:r w:rsidRPr="00140D0F">
        <w:t xml:space="preserve">The commitment’s language should make clear its relevance to opening government. Specifically, it must relate to at least one of the OGP values of Access to Information, Civic Participation, or Public Accountability. </w:t>
      </w:r>
    </w:p>
    <w:p w14:paraId="1F392C6D" w14:textId="662F0B64" w:rsidR="004839BB" w:rsidRPr="00140D0F" w:rsidRDefault="004839BB">
      <w:pPr>
        <w:pStyle w:val="ListParagraph"/>
      </w:pPr>
      <w:r w:rsidRPr="00140D0F">
        <w:t xml:space="preserve">The commitment would have a "transformative" potential impact if completely implemented. </w:t>
      </w:r>
    </w:p>
    <w:p w14:paraId="6F6A18B4" w14:textId="77777777" w:rsidR="004839BB" w:rsidRPr="00140D0F" w:rsidRDefault="004839BB">
      <w:pPr>
        <w:pStyle w:val="ListParagraph"/>
      </w:pPr>
      <w:r w:rsidRPr="00140D0F">
        <w:t>Finally, the commitment must see significant progress during the action plan implementation period, receiving a ranking of "substantial" or "complete" implementation.</w:t>
      </w:r>
    </w:p>
    <w:p w14:paraId="0273E172" w14:textId="0237BD35" w:rsidR="004839BB" w:rsidRPr="00140D0F" w:rsidRDefault="004839BB" w:rsidP="00140D0F">
      <w:pPr>
        <w:spacing w:after="120"/>
        <w:rPr>
          <w:rFonts w:ascii="Gill Sans" w:hAnsi="Gill Sans" w:cs="Gill Sans"/>
          <w:sz w:val="22"/>
          <w:szCs w:val="22"/>
          <w:lang w:val="en-GB"/>
        </w:rPr>
      </w:pPr>
      <w:r w:rsidRPr="00140D0F">
        <w:rPr>
          <w:rFonts w:ascii="Gill Sans" w:hAnsi="Gill Sans" w:cs="Gill Sans"/>
          <w:sz w:val="22"/>
          <w:szCs w:val="22"/>
          <w:lang w:val="en-GB"/>
        </w:rPr>
        <w:t>Based on these criteria, at the midterm report,</w:t>
      </w:r>
      <w:r w:rsidRPr="00C25A25">
        <w:rPr>
          <w:rFonts w:ascii="Gill Sans" w:hAnsi="Gill Sans" w:cs="Gill Sans"/>
          <w:sz w:val="22"/>
          <w:szCs w:val="22"/>
          <w:lang w:val="en-GB"/>
        </w:rPr>
        <w:t xml:space="preserve"> </w:t>
      </w:r>
      <w:r w:rsidR="00E50BB1" w:rsidRPr="00163080">
        <w:rPr>
          <w:rFonts w:ascii="Gill Sans" w:hAnsi="Gill Sans" w:cs="Gill Sans"/>
          <w:color w:val="000000" w:themeColor="text1"/>
          <w:sz w:val="22"/>
          <w:szCs w:val="22"/>
          <w:lang w:val="en-GB"/>
        </w:rPr>
        <w:t>Ukraine’s</w:t>
      </w:r>
      <w:r w:rsidR="00E50BB1" w:rsidRPr="00163080">
        <w:rPr>
          <w:rFonts w:ascii="Gill Sans" w:hAnsi="Gill Sans" w:cs="Gill Sans"/>
          <w:i/>
          <w:color w:val="000000" w:themeColor="text1"/>
          <w:sz w:val="22"/>
          <w:szCs w:val="22"/>
          <w:lang w:val="en-GB"/>
        </w:rPr>
        <w:t xml:space="preserve"> </w:t>
      </w:r>
      <w:r w:rsidRPr="00140D0F">
        <w:rPr>
          <w:rFonts w:ascii="Gill Sans" w:hAnsi="Gill Sans" w:cs="Gill Sans"/>
          <w:sz w:val="22"/>
          <w:szCs w:val="22"/>
          <w:lang w:val="en-GB"/>
        </w:rPr>
        <w:t xml:space="preserve">action plan </w:t>
      </w:r>
      <w:r w:rsidRPr="00163080">
        <w:rPr>
          <w:rFonts w:ascii="Gill Sans" w:hAnsi="Gill Sans" w:cs="Gill Sans"/>
          <w:color w:val="000000" w:themeColor="text1"/>
          <w:sz w:val="22"/>
          <w:szCs w:val="22"/>
          <w:lang w:val="en-GB"/>
        </w:rPr>
        <w:t>contained</w:t>
      </w:r>
      <w:r w:rsidRPr="00140D0F">
        <w:rPr>
          <w:rFonts w:ascii="Gill Sans" w:hAnsi="Gill Sans" w:cs="Gill Sans"/>
          <w:sz w:val="22"/>
          <w:szCs w:val="22"/>
          <w:lang w:val="en-GB"/>
        </w:rPr>
        <w:t xml:space="preserve"> </w:t>
      </w:r>
      <w:r w:rsidR="009077AB" w:rsidRPr="00163080">
        <w:rPr>
          <w:rFonts w:ascii="Gill Sans" w:hAnsi="Gill Sans" w:cs="Gill Sans"/>
          <w:iCs/>
          <w:color w:val="000000" w:themeColor="text1"/>
          <w:sz w:val="22"/>
          <w:szCs w:val="22"/>
          <w:lang w:val="en-GB"/>
        </w:rPr>
        <w:t>three</w:t>
      </w:r>
      <w:r w:rsidRPr="00140D0F">
        <w:rPr>
          <w:rFonts w:ascii="Gill Sans" w:hAnsi="Gill Sans" w:cs="Gill Sans"/>
          <w:color w:val="1F497D" w:themeColor="text2"/>
          <w:sz w:val="22"/>
          <w:szCs w:val="22"/>
          <w:lang w:val="en-GB"/>
        </w:rPr>
        <w:t xml:space="preserve"> </w:t>
      </w:r>
      <w:r w:rsidRPr="00140D0F">
        <w:rPr>
          <w:rFonts w:ascii="Gill Sans" w:hAnsi="Gill Sans" w:cs="Gill Sans"/>
          <w:sz w:val="22"/>
          <w:szCs w:val="22"/>
          <w:lang w:val="en-GB"/>
        </w:rPr>
        <w:t>starred commitments.</w:t>
      </w:r>
      <w:r w:rsidR="00307994" w:rsidRPr="00140D0F">
        <w:rPr>
          <w:rFonts w:ascii="Gill Sans" w:hAnsi="Gill Sans" w:cs="Gill Sans"/>
          <w:sz w:val="22"/>
          <w:szCs w:val="22"/>
          <w:lang w:val="en-GB"/>
        </w:rPr>
        <w:t xml:space="preserve"> </w:t>
      </w:r>
      <w:r w:rsidRPr="00140D0F">
        <w:rPr>
          <w:rFonts w:ascii="Gill Sans" w:hAnsi="Gill Sans" w:cs="Gill Sans"/>
          <w:sz w:val="22"/>
          <w:szCs w:val="22"/>
          <w:lang w:val="en-GB"/>
        </w:rPr>
        <w:t xml:space="preserve">At the end of term, based on </w:t>
      </w:r>
      <w:r w:rsidR="007029FD" w:rsidRPr="00140D0F">
        <w:rPr>
          <w:rFonts w:ascii="Gill Sans" w:hAnsi="Gill Sans" w:cs="Gill Sans"/>
          <w:sz w:val="22"/>
          <w:szCs w:val="22"/>
          <w:lang w:val="en-GB"/>
        </w:rPr>
        <w:t xml:space="preserve">the changes in the </w:t>
      </w:r>
      <w:r w:rsidRPr="00140D0F">
        <w:rPr>
          <w:rFonts w:ascii="Gill Sans" w:hAnsi="Gill Sans" w:cs="Gill Sans"/>
          <w:sz w:val="22"/>
          <w:szCs w:val="22"/>
          <w:lang w:val="en-GB"/>
        </w:rPr>
        <w:t xml:space="preserve">level of completion, </w:t>
      </w:r>
      <w:r w:rsidR="00E50BB1" w:rsidRPr="00163080">
        <w:rPr>
          <w:rFonts w:ascii="Gill Sans" w:hAnsi="Gill Sans" w:cs="Gill Sans"/>
          <w:iCs/>
          <w:color w:val="000000" w:themeColor="text1"/>
          <w:sz w:val="22"/>
          <w:szCs w:val="22"/>
          <w:lang w:val="en-GB"/>
        </w:rPr>
        <w:t>Ukraine</w:t>
      </w:r>
      <w:r w:rsidRPr="00163080">
        <w:rPr>
          <w:rFonts w:ascii="Gill Sans" w:hAnsi="Gill Sans" w:cs="Gill Sans"/>
          <w:iCs/>
          <w:color w:val="000000" w:themeColor="text1"/>
          <w:sz w:val="22"/>
          <w:szCs w:val="22"/>
          <w:lang w:val="en-GB"/>
        </w:rPr>
        <w:t>’s</w:t>
      </w:r>
      <w:r w:rsidRPr="00163080">
        <w:rPr>
          <w:rFonts w:ascii="Gill Sans" w:hAnsi="Gill Sans" w:cs="Gill Sans"/>
          <w:color w:val="000000" w:themeColor="text1"/>
          <w:sz w:val="22"/>
          <w:szCs w:val="22"/>
          <w:lang w:val="en-GB"/>
        </w:rPr>
        <w:t xml:space="preserve"> </w:t>
      </w:r>
      <w:r w:rsidRPr="00140D0F">
        <w:rPr>
          <w:rFonts w:ascii="Gill Sans" w:hAnsi="Gill Sans" w:cs="Gill Sans"/>
          <w:sz w:val="22"/>
          <w:szCs w:val="22"/>
          <w:lang w:val="en-GB"/>
        </w:rPr>
        <w:t xml:space="preserve">action </w:t>
      </w:r>
      <w:r w:rsidRPr="004A094E">
        <w:rPr>
          <w:rFonts w:ascii="Gill Sans" w:hAnsi="Gill Sans" w:cs="Gill Sans"/>
          <w:sz w:val="22"/>
          <w:szCs w:val="22"/>
          <w:lang w:val="en-GB"/>
        </w:rPr>
        <w:t>plan contained</w:t>
      </w:r>
      <w:r w:rsidR="00163080" w:rsidRPr="004A094E">
        <w:rPr>
          <w:rFonts w:ascii="Gill Sans" w:hAnsi="Gill Sans" w:cs="Gill Sans"/>
          <w:sz w:val="22"/>
          <w:szCs w:val="22"/>
          <w:lang w:val="en-GB"/>
        </w:rPr>
        <w:t xml:space="preserve"> </w:t>
      </w:r>
      <w:r w:rsidR="00163080" w:rsidRPr="004A094E">
        <w:rPr>
          <w:rFonts w:ascii="Gill Sans" w:hAnsi="Gill Sans" w:cs="Gill Sans"/>
          <w:i/>
          <w:color w:val="1F497D" w:themeColor="text2"/>
          <w:sz w:val="22"/>
          <w:szCs w:val="22"/>
          <w:lang w:val="en-GB"/>
        </w:rPr>
        <w:t>four</w:t>
      </w:r>
      <w:r w:rsidR="00163080" w:rsidRPr="004A094E">
        <w:rPr>
          <w:rFonts w:ascii="Gill Sans" w:hAnsi="Gill Sans" w:cs="Gill Sans"/>
          <w:color w:val="1F497D" w:themeColor="text2"/>
          <w:sz w:val="22"/>
          <w:szCs w:val="22"/>
          <w:lang w:val="en-GB"/>
        </w:rPr>
        <w:t xml:space="preserve"> </w:t>
      </w:r>
      <w:r w:rsidRPr="004A094E">
        <w:rPr>
          <w:rFonts w:ascii="Gill Sans" w:hAnsi="Gill Sans" w:cs="Gill Sans"/>
          <w:sz w:val="22"/>
          <w:szCs w:val="22"/>
          <w:lang w:val="en-GB"/>
        </w:rPr>
        <w:t>starred commitments</w:t>
      </w:r>
      <w:r w:rsidRPr="00140D0F">
        <w:rPr>
          <w:rFonts w:ascii="Gill Sans" w:hAnsi="Gill Sans" w:cs="Gill Sans"/>
          <w:sz w:val="22"/>
          <w:szCs w:val="22"/>
          <w:lang w:val="en-GB"/>
        </w:rPr>
        <w:t>.</w:t>
      </w:r>
    </w:p>
    <w:p w14:paraId="36FB81CB" w14:textId="616C3627" w:rsidR="007029FD" w:rsidRPr="00140D0F" w:rsidRDefault="007029FD" w:rsidP="00140D0F">
      <w:pPr>
        <w:spacing w:after="120"/>
        <w:rPr>
          <w:rFonts w:ascii="Gill Sans" w:hAnsi="Gill Sans" w:cs="Gill Sans"/>
          <w:sz w:val="22"/>
          <w:szCs w:val="22"/>
          <w:lang w:val="en-GB"/>
        </w:rPr>
      </w:pPr>
      <w:r w:rsidRPr="00140D0F">
        <w:rPr>
          <w:rFonts w:ascii="Gill Sans" w:hAnsi="Gill Sans" w:cs="Gill Sans"/>
          <w:sz w:val="22"/>
          <w:szCs w:val="22"/>
          <w:lang w:val="en-GB"/>
        </w:rPr>
        <w:t>Commitments</w:t>
      </w:r>
      <w:r w:rsidR="0057663C" w:rsidRPr="00140D0F">
        <w:rPr>
          <w:rFonts w:ascii="Gill Sans" w:hAnsi="Gill Sans" w:cs="Gill Sans"/>
          <w:sz w:val="22"/>
          <w:szCs w:val="22"/>
          <w:lang w:val="en-GB"/>
        </w:rPr>
        <w:t xml:space="preserve"> assessed as star commitments in the midterm report</w:t>
      </w:r>
      <w:r w:rsidRPr="00140D0F">
        <w:rPr>
          <w:rFonts w:ascii="Gill Sans" w:hAnsi="Gill Sans" w:cs="Gill Sans"/>
          <w:sz w:val="22"/>
          <w:szCs w:val="22"/>
          <w:lang w:val="en-GB"/>
        </w:rPr>
        <w:t xml:space="preserve"> can lose their starred status if at the end of the action plan implementation cycle, their completion falls short of substantial or full completion</w:t>
      </w:r>
      <w:r w:rsidR="0057663C" w:rsidRPr="00140D0F">
        <w:rPr>
          <w:rFonts w:ascii="Gill Sans" w:hAnsi="Gill Sans" w:cs="Gill Sans"/>
          <w:sz w:val="22"/>
          <w:szCs w:val="22"/>
          <w:lang w:val="en-GB"/>
        </w:rPr>
        <w:t>, which would mean they have an overall limited completion at the end of term, per</w:t>
      </w:r>
      <w:r w:rsidRPr="00140D0F">
        <w:rPr>
          <w:rFonts w:ascii="Gill Sans" w:hAnsi="Gill Sans" w:cs="Gill Sans"/>
          <w:sz w:val="22"/>
          <w:szCs w:val="22"/>
          <w:lang w:val="en-GB"/>
        </w:rPr>
        <w:t xml:space="preserve"> commitment language. </w:t>
      </w:r>
    </w:p>
    <w:p w14:paraId="621FD154" w14:textId="3F038168" w:rsidR="004839BB" w:rsidRPr="00140D0F" w:rsidRDefault="004839BB" w:rsidP="00CD1FAD">
      <w:pPr>
        <w:spacing w:after="120"/>
        <w:rPr>
          <w:rFonts w:ascii="Gill Sans" w:hAnsi="Gill Sans" w:cs="Gill Sans"/>
          <w:sz w:val="22"/>
          <w:szCs w:val="22"/>
          <w:lang w:val="en-GB"/>
        </w:rPr>
      </w:pPr>
      <w:r w:rsidRPr="00140D0F">
        <w:rPr>
          <w:rFonts w:ascii="Gill Sans" w:hAnsi="Gill Sans" w:cs="Gill Sans"/>
          <w:sz w:val="22"/>
          <w:szCs w:val="22"/>
          <w:lang w:val="en-GB"/>
        </w:rPr>
        <w:t xml:space="preserve">Finally, the </w:t>
      </w:r>
      <w:r w:rsidR="00CD1FAD">
        <w:rPr>
          <w:rFonts w:ascii="Gill Sans" w:hAnsi="Gill Sans" w:cs="Gill Sans"/>
          <w:sz w:val="22"/>
          <w:szCs w:val="22"/>
          <w:lang w:val="en-GB"/>
        </w:rPr>
        <w:t>tables</w:t>
      </w:r>
      <w:r w:rsidR="00CD1FAD" w:rsidRPr="00140D0F">
        <w:rPr>
          <w:rFonts w:ascii="Gill Sans" w:hAnsi="Gill Sans" w:cs="Gill Sans"/>
          <w:sz w:val="22"/>
          <w:szCs w:val="22"/>
          <w:lang w:val="en-GB"/>
        </w:rPr>
        <w:t xml:space="preserve"> </w:t>
      </w:r>
      <w:r w:rsidRPr="00140D0F">
        <w:rPr>
          <w:rFonts w:ascii="Gill Sans" w:hAnsi="Gill Sans" w:cs="Gill Sans"/>
          <w:sz w:val="22"/>
          <w:szCs w:val="22"/>
          <w:lang w:val="en-GB"/>
        </w:rPr>
        <w:t xml:space="preserve">in this section present an excerpt of the wealth of data the IRM collects during its progress reporting process. For the full dataset for </w:t>
      </w:r>
      <w:r w:rsidR="00E50BB1" w:rsidRPr="00140D0F">
        <w:rPr>
          <w:rFonts w:ascii="Gill Sans" w:hAnsi="Gill Sans" w:cs="Gill Sans"/>
          <w:sz w:val="22"/>
          <w:szCs w:val="22"/>
          <w:lang w:val="en-GB"/>
        </w:rPr>
        <w:t>Ukraine</w:t>
      </w:r>
      <w:r w:rsidRPr="00140D0F">
        <w:rPr>
          <w:rFonts w:ascii="Gill Sans" w:hAnsi="Gill Sans" w:cs="Gill Sans"/>
          <w:sz w:val="22"/>
          <w:szCs w:val="22"/>
          <w:lang w:val="en-GB"/>
        </w:rPr>
        <w:t xml:space="preserve">, see the OGP Explorer at </w:t>
      </w:r>
      <w:hyperlink r:id="rId16" w:history="1">
        <w:r w:rsidRPr="00140D0F">
          <w:rPr>
            <w:rStyle w:val="Hyperlink"/>
            <w:rFonts w:ascii="Gill Sans" w:hAnsi="Gill Sans" w:cs="Gill Sans"/>
            <w:sz w:val="22"/>
            <w:szCs w:val="22"/>
            <w:lang w:val="en-GB"/>
          </w:rPr>
          <w:t>www.opengovpartnership.org/explorer</w:t>
        </w:r>
      </w:hyperlink>
      <w:r w:rsidRPr="00140D0F">
        <w:rPr>
          <w:rFonts w:ascii="Gill Sans" w:hAnsi="Gill Sans" w:cs="Gill Sans"/>
          <w:sz w:val="22"/>
          <w:szCs w:val="22"/>
          <w:lang w:val="en-GB"/>
        </w:rPr>
        <w:t>.</w:t>
      </w:r>
    </w:p>
    <w:p w14:paraId="17E0BC72" w14:textId="250E1396" w:rsidR="004839BB" w:rsidRPr="00140D0F" w:rsidRDefault="004839BB" w:rsidP="006319F4">
      <w:pPr>
        <w:pStyle w:val="Heading3"/>
      </w:pPr>
      <w:r w:rsidRPr="00140D0F">
        <w:t xml:space="preserve">About “Did it </w:t>
      </w:r>
      <w:r w:rsidR="009077AB">
        <w:t>o</w:t>
      </w:r>
      <w:r w:rsidRPr="00140D0F">
        <w:t xml:space="preserve">pen </w:t>
      </w:r>
      <w:r w:rsidR="009077AB">
        <w:t>g</w:t>
      </w:r>
      <w:r w:rsidRPr="00140D0F">
        <w:t>overnment?”</w:t>
      </w:r>
    </w:p>
    <w:p w14:paraId="23AA12DE" w14:textId="3A4BA9E0" w:rsidR="004839BB" w:rsidRPr="00140D0F" w:rsidRDefault="004839BB" w:rsidP="00140D0F">
      <w:pPr>
        <w:pStyle w:val="Normalrglronly"/>
        <w:rPr>
          <w:lang w:val="en-GB"/>
        </w:rPr>
      </w:pPr>
      <w:r w:rsidRPr="00140D0F">
        <w:rPr>
          <w:lang w:val="en-GB"/>
        </w:rPr>
        <w:t xml:space="preserve">Often, OGP commitments are vaguely worded or not clearly related to opening government, but they actually achieve significant political reforms. Other times, commitments with significant progress may appear relevant and ambitious, but fail to open government. In an attempt to capture these subtleties and, more importantly, actual changes in government practice, the IRM introduced a new variable ‘did it open government?’ in End-of-Term Reports. </w:t>
      </w:r>
      <w:proofErr w:type="gramStart"/>
      <w:r w:rsidRPr="00140D0F">
        <w:rPr>
          <w:lang w:val="en-GB"/>
        </w:rPr>
        <w:t>This variable attempts</w:t>
      </w:r>
      <w:proofErr w:type="gramEnd"/>
      <w:r w:rsidRPr="00140D0F">
        <w:rPr>
          <w:lang w:val="en-GB"/>
        </w:rPr>
        <w:t xml:space="preserve"> to move beyond measuring outputs and deliverables to looking at how the </w:t>
      </w:r>
      <w:r w:rsidR="00D50B0D" w:rsidRPr="00140D0F">
        <w:rPr>
          <w:lang w:val="en-GB"/>
        </w:rPr>
        <w:t>government practice</w:t>
      </w:r>
      <w:r w:rsidRPr="00140D0F">
        <w:rPr>
          <w:lang w:val="en-GB"/>
        </w:rPr>
        <w:t xml:space="preserve"> has changed as a result of the commitment</w:t>
      </w:r>
      <w:r w:rsidR="00D50B0D" w:rsidRPr="00140D0F">
        <w:rPr>
          <w:lang w:val="en-GB"/>
        </w:rPr>
        <w:t>’s implementation</w:t>
      </w:r>
      <w:r w:rsidRPr="00140D0F">
        <w:rPr>
          <w:lang w:val="en-GB"/>
        </w:rPr>
        <w:t xml:space="preserve">. This can be contrasted to the IRM’s “Starred commitments” which describe </w:t>
      </w:r>
      <w:r w:rsidRPr="00140D0F">
        <w:rPr>
          <w:i/>
          <w:iCs/>
          <w:lang w:val="en-GB"/>
        </w:rPr>
        <w:t>potential</w:t>
      </w:r>
      <w:r w:rsidRPr="00140D0F">
        <w:rPr>
          <w:lang w:val="en-GB"/>
        </w:rPr>
        <w:t xml:space="preserve"> impact.</w:t>
      </w:r>
    </w:p>
    <w:p w14:paraId="228C185B" w14:textId="2DD456DF" w:rsidR="00E11C76" w:rsidRPr="00140D0F" w:rsidRDefault="004839BB" w:rsidP="00163080">
      <w:pPr>
        <w:pStyle w:val="NormalWeb"/>
        <w:spacing w:before="0" w:beforeAutospacing="0" w:after="0" w:afterAutospacing="0"/>
        <w:rPr>
          <w:rFonts w:ascii="Gill Sans" w:hAnsi="Gill Sans" w:cs="Gill Sans"/>
          <w:sz w:val="22"/>
          <w:szCs w:val="22"/>
          <w:lang w:val="en-GB"/>
        </w:rPr>
      </w:pPr>
      <w:r w:rsidRPr="00140D0F">
        <w:rPr>
          <w:rFonts w:ascii="Gill Sans" w:hAnsi="Gill Sans" w:cs="Gill Sans"/>
          <w:sz w:val="22"/>
          <w:szCs w:val="22"/>
          <w:lang w:val="en-GB"/>
        </w:rPr>
        <w:t xml:space="preserve">IRM Researchers </w:t>
      </w:r>
      <w:r w:rsidR="00D50B0D" w:rsidRPr="00140D0F">
        <w:rPr>
          <w:rFonts w:ascii="Gill Sans" w:hAnsi="Gill Sans" w:cs="Gill Sans"/>
          <w:sz w:val="22"/>
          <w:szCs w:val="22"/>
          <w:lang w:val="en-GB"/>
        </w:rPr>
        <w:t>assess</w:t>
      </w:r>
      <w:r w:rsidRPr="00140D0F">
        <w:rPr>
          <w:rFonts w:ascii="Gill Sans" w:hAnsi="Gill Sans" w:cs="Gill Sans"/>
          <w:sz w:val="22"/>
          <w:szCs w:val="22"/>
          <w:lang w:val="en-GB"/>
        </w:rPr>
        <w:t xml:space="preserve"> the “Did it open government?”</w:t>
      </w:r>
      <w:r w:rsidR="00E11C76" w:rsidRPr="00140D0F">
        <w:rPr>
          <w:rFonts w:ascii="Gill Sans" w:hAnsi="Gill Sans" w:cs="Gill Sans"/>
          <w:color w:val="000000"/>
          <w:sz w:val="22"/>
          <w:szCs w:val="22"/>
          <w:lang w:val="en-GB"/>
        </w:rPr>
        <w:t xml:space="preserve"> with regard to </w:t>
      </w:r>
      <w:r w:rsidR="00FA6195" w:rsidRPr="00140D0F">
        <w:rPr>
          <w:rFonts w:ascii="Gill Sans" w:hAnsi="Gill Sans" w:cs="Gill Sans"/>
          <w:color w:val="000000"/>
          <w:sz w:val="22"/>
          <w:szCs w:val="22"/>
          <w:lang w:val="en-GB"/>
        </w:rPr>
        <w:t xml:space="preserve">each of </w:t>
      </w:r>
      <w:r w:rsidR="00E11C76" w:rsidRPr="00140D0F">
        <w:rPr>
          <w:rFonts w:ascii="Gill Sans" w:hAnsi="Gill Sans" w:cs="Gill Sans"/>
          <w:color w:val="000000"/>
          <w:sz w:val="22"/>
          <w:szCs w:val="22"/>
          <w:lang w:val="en-GB"/>
        </w:rPr>
        <w:t xml:space="preserve">the OGP </w:t>
      </w:r>
      <w:r w:rsidR="008B4FE2" w:rsidRPr="00140D0F">
        <w:rPr>
          <w:rFonts w:ascii="Gill Sans" w:hAnsi="Gill Sans" w:cs="Gill Sans"/>
          <w:color w:val="000000"/>
          <w:sz w:val="22"/>
          <w:szCs w:val="22"/>
          <w:lang w:val="en-GB"/>
        </w:rPr>
        <w:t>values</w:t>
      </w:r>
      <w:r w:rsidR="00E11C76" w:rsidRPr="00140D0F">
        <w:rPr>
          <w:rFonts w:ascii="Gill Sans" w:hAnsi="Gill Sans" w:cs="Gill Sans"/>
          <w:color w:val="000000"/>
          <w:sz w:val="22"/>
          <w:szCs w:val="22"/>
          <w:lang w:val="en-GB"/>
        </w:rPr>
        <w:t xml:space="preserve"> </w:t>
      </w:r>
      <w:r w:rsidR="009077AB">
        <w:rPr>
          <w:rFonts w:ascii="Gill Sans" w:hAnsi="Gill Sans" w:cs="Gill Sans"/>
          <w:color w:val="000000"/>
          <w:sz w:val="22"/>
          <w:szCs w:val="22"/>
          <w:lang w:val="en-GB"/>
        </w:rPr>
        <w:t xml:space="preserve">relevant to </w:t>
      </w:r>
      <w:r w:rsidR="00E11C76" w:rsidRPr="00140D0F">
        <w:rPr>
          <w:rFonts w:ascii="Gill Sans" w:hAnsi="Gill Sans" w:cs="Gill Sans"/>
          <w:color w:val="000000"/>
          <w:sz w:val="22"/>
          <w:szCs w:val="22"/>
          <w:lang w:val="en-GB"/>
        </w:rPr>
        <w:t>this commitment</w:t>
      </w:r>
      <w:r w:rsidR="008B4FE2" w:rsidRPr="00140D0F">
        <w:rPr>
          <w:rFonts w:ascii="Gill Sans" w:hAnsi="Gill Sans" w:cs="Gill Sans"/>
          <w:color w:val="000000"/>
          <w:sz w:val="22"/>
          <w:szCs w:val="22"/>
          <w:lang w:val="en-GB"/>
        </w:rPr>
        <w:t>. It asks, did it stretch the</w:t>
      </w:r>
      <w:r w:rsidR="00E11C76" w:rsidRPr="00140D0F">
        <w:rPr>
          <w:rFonts w:ascii="Gill Sans" w:hAnsi="Gill Sans" w:cs="Gill Sans"/>
          <w:color w:val="000000"/>
          <w:sz w:val="22"/>
          <w:szCs w:val="22"/>
          <w:lang w:val="en-GB"/>
        </w:rPr>
        <w:t xml:space="preserve"> government practice beyond business as usual?</w:t>
      </w:r>
      <w:r w:rsidR="008B4FE2" w:rsidRPr="00140D0F">
        <w:rPr>
          <w:rFonts w:ascii="Gill Sans" w:hAnsi="Gill Sans" w:cs="Gill Sans"/>
          <w:color w:val="000000"/>
          <w:sz w:val="22"/>
          <w:szCs w:val="22"/>
          <w:lang w:val="en-GB"/>
        </w:rPr>
        <w:t xml:space="preserve"> The scale for assessment is as follows:</w:t>
      </w:r>
    </w:p>
    <w:p w14:paraId="545DF639" w14:textId="09713687" w:rsidR="00E11C76" w:rsidRPr="00140D0F" w:rsidRDefault="00E11C76" w:rsidP="00163080">
      <w:pPr>
        <w:pStyle w:val="NormalWeb"/>
        <w:numPr>
          <w:ilvl w:val="0"/>
          <w:numId w:val="37"/>
        </w:numPr>
        <w:spacing w:before="0" w:beforeAutospacing="0" w:after="0" w:afterAutospacing="0"/>
        <w:textAlignment w:val="baseline"/>
        <w:rPr>
          <w:rFonts w:ascii="Gill Sans" w:hAnsi="Gill Sans" w:cs="Gill Sans"/>
          <w:color w:val="000000"/>
          <w:sz w:val="22"/>
          <w:szCs w:val="22"/>
          <w:lang w:val="en-GB"/>
        </w:rPr>
      </w:pPr>
      <w:r w:rsidRPr="00140D0F">
        <w:rPr>
          <w:rFonts w:ascii="Gill Sans" w:hAnsi="Gill Sans" w:cs="Gill Sans"/>
          <w:color w:val="000000"/>
          <w:sz w:val="22"/>
          <w:szCs w:val="22"/>
          <w:lang w:val="en-GB"/>
        </w:rPr>
        <w:t>Worsened</w:t>
      </w:r>
      <w:r w:rsidR="00AA4E55" w:rsidRPr="00140D0F">
        <w:rPr>
          <w:rFonts w:ascii="Gill Sans" w:hAnsi="Gill Sans" w:cs="Gill Sans"/>
          <w:color w:val="000000"/>
          <w:sz w:val="22"/>
          <w:szCs w:val="22"/>
          <w:lang w:val="en-GB"/>
        </w:rPr>
        <w:t>:</w:t>
      </w:r>
      <w:r w:rsidR="00AA4E55" w:rsidRPr="00140D0F">
        <w:rPr>
          <w:rFonts w:ascii="Gill Sans" w:hAnsi="Gill Sans" w:cs="Gill Sans"/>
          <w:sz w:val="22"/>
          <w:szCs w:val="22"/>
          <w:lang w:val="en-GB"/>
        </w:rPr>
        <w:t xml:space="preserve"> worsens government openness</w:t>
      </w:r>
      <w:r w:rsidR="00FA0720" w:rsidRPr="00140D0F">
        <w:rPr>
          <w:rFonts w:ascii="Gill Sans" w:hAnsi="Gill Sans" w:cs="Gill Sans"/>
          <w:sz w:val="22"/>
          <w:szCs w:val="22"/>
          <w:lang w:val="en-GB"/>
        </w:rPr>
        <w:t xml:space="preserve"> as a result of the measures taken by commitment.</w:t>
      </w:r>
    </w:p>
    <w:p w14:paraId="33BBC432" w14:textId="6F4A596C" w:rsidR="00E11C76" w:rsidRPr="00140D0F" w:rsidRDefault="00C42461" w:rsidP="00163080">
      <w:pPr>
        <w:pStyle w:val="NormalWeb"/>
        <w:numPr>
          <w:ilvl w:val="0"/>
          <w:numId w:val="37"/>
        </w:numPr>
        <w:spacing w:before="0" w:beforeAutospacing="0" w:after="0" w:afterAutospacing="0"/>
        <w:textAlignment w:val="baseline"/>
        <w:rPr>
          <w:rFonts w:ascii="Gill Sans" w:hAnsi="Gill Sans" w:cs="Gill Sans"/>
          <w:color w:val="000000"/>
          <w:sz w:val="22"/>
          <w:szCs w:val="22"/>
          <w:lang w:val="en-GB"/>
        </w:rPr>
      </w:pPr>
      <w:r w:rsidRPr="00140D0F">
        <w:rPr>
          <w:rFonts w:ascii="Gill Sans" w:hAnsi="Gill Sans" w:cs="Gill Sans"/>
          <w:color w:val="000000"/>
          <w:sz w:val="22"/>
          <w:szCs w:val="22"/>
          <w:lang w:val="en-GB"/>
        </w:rPr>
        <w:t>D</w:t>
      </w:r>
      <w:r w:rsidR="00E11C76" w:rsidRPr="00140D0F">
        <w:rPr>
          <w:rFonts w:ascii="Gill Sans" w:hAnsi="Gill Sans" w:cs="Gill Sans"/>
          <w:color w:val="000000"/>
          <w:sz w:val="22"/>
          <w:szCs w:val="22"/>
          <w:lang w:val="en-GB"/>
        </w:rPr>
        <w:t>id not change</w:t>
      </w:r>
      <w:r w:rsidR="00B80D8F" w:rsidRPr="00140D0F">
        <w:rPr>
          <w:rFonts w:ascii="Gill Sans" w:hAnsi="Gill Sans" w:cs="Gill Sans"/>
          <w:color w:val="000000"/>
          <w:sz w:val="22"/>
          <w:szCs w:val="22"/>
          <w:lang w:val="en-GB"/>
        </w:rPr>
        <w:t>:</w:t>
      </w:r>
      <w:r w:rsidR="00E11C76" w:rsidRPr="00140D0F">
        <w:rPr>
          <w:rFonts w:ascii="Gill Sans" w:hAnsi="Gill Sans" w:cs="Gill Sans"/>
          <w:color w:val="000000"/>
          <w:sz w:val="22"/>
          <w:szCs w:val="22"/>
          <w:lang w:val="en-GB"/>
        </w:rPr>
        <w:t xml:space="preserve"> </w:t>
      </w:r>
      <w:r w:rsidR="00FA0720" w:rsidRPr="00140D0F">
        <w:rPr>
          <w:rFonts w:ascii="Gill Sans" w:hAnsi="Gill Sans" w:cs="Gill Sans"/>
          <w:color w:val="000000"/>
          <w:sz w:val="22"/>
          <w:szCs w:val="22"/>
          <w:lang w:val="en-GB"/>
        </w:rPr>
        <w:t>did not change status quo</w:t>
      </w:r>
      <w:r w:rsidR="00AA4E55" w:rsidRPr="00140D0F">
        <w:rPr>
          <w:rFonts w:ascii="Gill Sans" w:hAnsi="Gill Sans" w:cs="Gill Sans"/>
          <w:color w:val="000000"/>
          <w:sz w:val="22"/>
          <w:szCs w:val="22"/>
          <w:lang w:val="en-GB"/>
        </w:rPr>
        <w:t xml:space="preserve"> </w:t>
      </w:r>
      <w:r w:rsidR="00B80D8F" w:rsidRPr="00140D0F">
        <w:rPr>
          <w:rFonts w:ascii="Gill Sans" w:hAnsi="Gill Sans" w:cs="Gill Sans"/>
          <w:color w:val="000000"/>
          <w:sz w:val="22"/>
          <w:szCs w:val="22"/>
          <w:lang w:val="en-GB"/>
        </w:rPr>
        <w:t>of government practice.</w:t>
      </w:r>
    </w:p>
    <w:p w14:paraId="456283B0" w14:textId="53E31A5C" w:rsidR="00E11C76" w:rsidRPr="00140D0F" w:rsidRDefault="00E11C76" w:rsidP="00163080">
      <w:pPr>
        <w:pStyle w:val="NormalWeb"/>
        <w:numPr>
          <w:ilvl w:val="0"/>
          <w:numId w:val="37"/>
        </w:numPr>
        <w:spacing w:before="0" w:beforeAutospacing="0" w:after="0" w:afterAutospacing="0"/>
        <w:textAlignment w:val="baseline"/>
        <w:rPr>
          <w:rFonts w:ascii="Gill Sans" w:hAnsi="Gill Sans" w:cs="Gill Sans"/>
          <w:color w:val="000000"/>
          <w:sz w:val="22"/>
          <w:szCs w:val="22"/>
          <w:lang w:val="en-GB"/>
        </w:rPr>
      </w:pPr>
      <w:r w:rsidRPr="00140D0F">
        <w:rPr>
          <w:rFonts w:ascii="Gill Sans" w:hAnsi="Gill Sans" w:cs="Gill Sans"/>
          <w:color w:val="000000"/>
          <w:sz w:val="22"/>
          <w:szCs w:val="22"/>
          <w:lang w:val="en-GB"/>
        </w:rPr>
        <w:t>M</w:t>
      </w:r>
      <w:r w:rsidR="00FA0720" w:rsidRPr="00140D0F">
        <w:rPr>
          <w:rFonts w:ascii="Gill Sans" w:hAnsi="Gill Sans" w:cs="Gill Sans"/>
          <w:color w:val="000000"/>
          <w:sz w:val="22"/>
          <w:szCs w:val="22"/>
          <w:lang w:val="en-GB"/>
        </w:rPr>
        <w:t>arginal</w:t>
      </w:r>
      <w:r w:rsidR="00AA4E55" w:rsidRPr="00140D0F">
        <w:rPr>
          <w:rFonts w:ascii="Gill Sans" w:hAnsi="Gill Sans" w:cs="Gill Sans"/>
          <w:color w:val="000000"/>
          <w:sz w:val="22"/>
          <w:szCs w:val="22"/>
          <w:lang w:val="en-GB"/>
        </w:rPr>
        <w:t xml:space="preserve">: </w:t>
      </w:r>
      <w:r w:rsidR="00FF20A1" w:rsidRPr="00140D0F">
        <w:rPr>
          <w:rFonts w:ascii="Gill Sans" w:hAnsi="Gill Sans" w:cs="Gill Sans"/>
          <w:color w:val="222222"/>
          <w:sz w:val="22"/>
          <w:szCs w:val="22"/>
          <w:lang w:val="en-GB" w:eastAsia="en-US"/>
        </w:rPr>
        <w:t xml:space="preserve"> some change, but minor in terms of its impact over </w:t>
      </w:r>
      <w:r w:rsidR="00FA0720" w:rsidRPr="00140D0F">
        <w:rPr>
          <w:rFonts w:ascii="Gill Sans" w:hAnsi="Gill Sans" w:cs="Gill Sans"/>
          <w:color w:val="222222"/>
          <w:sz w:val="22"/>
          <w:szCs w:val="22"/>
          <w:lang w:val="en-GB" w:eastAsia="en-US"/>
        </w:rPr>
        <w:t>level of openness</w:t>
      </w:r>
      <w:r w:rsidR="00FA0720" w:rsidRPr="00140D0F">
        <w:rPr>
          <w:rFonts w:ascii="Gill Sans" w:hAnsi="Gill Sans" w:cs="Gill Sans"/>
          <w:color w:val="000000"/>
          <w:sz w:val="22"/>
          <w:szCs w:val="22"/>
          <w:lang w:val="en-GB"/>
        </w:rPr>
        <w:t>.</w:t>
      </w:r>
    </w:p>
    <w:p w14:paraId="6F62C263" w14:textId="3C7F2546" w:rsidR="00E11C76" w:rsidRPr="00140D0F" w:rsidRDefault="00DE12EA" w:rsidP="00163080">
      <w:pPr>
        <w:pStyle w:val="NormalWeb"/>
        <w:numPr>
          <w:ilvl w:val="0"/>
          <w:numId w:val="37"/>
        </w:numPr>
        <w:spacing w:before="0" w:beforeAutospacing="0" w:after="0" w:afterAutospacing="0"/>
        <w:textAlignment w:val="baseline"/>
        <w:rPr>
          <w:rFonts w:ascii="Gill Sans" w:hAnsi="Gill Sans" w:cs="Gill Sans"/>
          <w:color w:val="000000"/>
          <w:sz w:val="22"/>
          <w:szCs w:val="22"/>
          <w:lang w:val="en-GB"/>
        </w:rPr>
      </w:pPr>
      <w:r w:rsidRPr="00140D0F">
        <w:rPr>
          <w:rFonts w:ascii="Gill Sans" w:hAnsi="Gill Sans" w:cs="Gill Sans"/>
          <w:color w:val="000000"/>
          <w:sz w:val="22"/>
          <w:szCs w:val="22"/>
          <w:lang w:val="en-GB"/>
        </w:rPr>
        <w:t>Major</w:t>
      </w:r>
      <w:r w:rsidR="00AA4E55" w:rsidRPr="00140D0F">
        <w:rPr>
          <w:rFonts w:ascii="Gill Sans" w:hAnsi="Gill Sans" w:cs="Gill Sans"/>
          <w:color w:val="000000"/>
          <w:sz w:val="22"/>
          <w:szCs w:val="22"/>
          <w:lang w:val="en-GB"/>
        </w:rPr>
        <w:t xml:space="preserve">: </w:t>
      </w:r>
      <w:r w:rsidR="00AA4E55" w:rsidRPr="00140D0F">
        <w:rPr>
          <w:rFonts w:ascii="Gill Sans" w:hAnsi="Gill Sans" w:cs="Gill Sans"/>
          <w:sz w:val="22"/>
          <w:szCs w:val="22"/>
          <w:lang w:val="en-GB"/>
        </w:rPr>
        <w:t>a step forward for government openness in the relevant policy area, but remains limited in scope or scale</w:t>
      </w:r>
    </w:p>
    <w:p w14:paraId="3AC84CCC" w14:textId="40A8F085" w:rsidR="00E11C76" w:rsidRPr="00140D0F" w:rsidRDefault="00DE12EA" w:rsidP="009077AB">
      <w:pPr>
        <w:pStyle w:val="NormalWeb"/>
        <w:numPr>
          <w:ilvl w:val="0"/>
          <w:numId w:val="37"/>
        </w:numPr>
        <w:spacing w:before="0" w:beforeAutospacing="0" w:after="120" w:afterAutospacing="0"/>
        <w:textAlignment w:val="baseline"/>
        <w:rPr>
          <w:rFonts w:ascii="Gill Sans" w:hAnsi="Gill Sans" w:cs="Gill Sans"/>
          <w:color w:val="000000"/>
          <w:sz w:val="22"/>
          <w:szCs w:val="22"/>
          <w:lang w:val="en-GB"/>
        </w:rPr>
      </w:pPr>
      <w:r w:rsidRPr="00140D0F">
        <w:rPr>
          <w:rFonts w:ascii="Gill Sans" w:hAnsi="Gill Sans" w:cs="Gill Sans"/>
          <w:color w:val="000000"/>
          <w:sz w:val="22"/>
          <w:szCs w:val="22"/>
          <w:lang w:val="en-GB"/>
        </w:rPr>
        <w:t>Outstanding</w:t>
      </w:r>
      <w:r w:rsidR="00AA4E55" w:rsidRPr="00140D0F">
        <w:rPr>
          <w:rFonts w:ascii="Gill Sans" w:hAnsi="Gill Sans" w:cs="Gill Sans"/>
          <w:color w:val="000000"/>
          <w:sz w:val="22"/>
          <w:szCs w:val="22"/>
          <w:lang w:val="en-GB"/>
        </w:rPr>
        <w:t>: a reform that has transformed ‘business as usual’ in the relevant policy area by opening government</w:t>
      </w:r>
      <w:r w:rsidR="00725BF3" w:rsidRPr="00140D0F">
        <w:rPr>
          <w:rFonts w:ascii="Gill Sans" w:hAnsi="Gill Sans" w:cs="Gill Sans"/>
          <w:color w:val="000000"/>
          <w:sz w:val="22"/>
          <w:szCs w:val="22"/>
          <w:lang w:val="en-GB"/>
        </w:rPr>
        <w:t>.</w:t>
      </w:r>
    </w:p>
    <w:p w14:paraId="4EAF032F" w14:textId="77777777" w:rsidR="004839BB" w:rsidRPr="00140D0F" w:rsidRDefault="004839BB" w:rsidP="00140D0F">
      <w:pPr>
        <w:pStyle w:val="Normalrglronly"/>
        <w:rPr>
          <w:lang w:val="en-GB"/>
        </w:rPr>
      </w:pPr>
      <w:r w:rsidRPr="00140D0F">
        <w:rPr>
          <w:lang w:val="en-GB"/>
        </w:rPr>
        <w:t xml:space="preserve">To assess this variable, researchers establish the status quo at the outset of the action plan. They then assess outcomes </w:t>
      </w:r>
      <w:r w:rsidRPr="00140D0F">
        <w:rPr>
          <w:i/>
          <w:iCs/>
          <w:lang w:val="en-GB"/>
        </w:rPr>
        <w:t>as implemented</w:t>
      </w:r>
      <w:r w:rsidRPr="00140D0F">
        <w:rPr>
          <w:lang w:val="en-GB"/>
        </w:rPr>
        <w:t xml:space="preserve"> for changes in government openness.</w:t>
      </w:r>
    </w:p>
    <w:p w14:paraId="7E979EBD" w14:textId="752C8153" w:rsidR="0083394E" w:rsidRDefault="004839BB" w:rsidP="00B0395A">
      <w:pPr>
        <w:pStyle w:val="Normalrglronly"/>
        <w:rPr>
          <w:lang w:val="en-GB"/>
        </w:rPr>
      </w:pPr>
      <w:r w:rsidRPr="00140D0F">
        <w:rPr>
          <w:lang w:val="en-GB"/>
        </w:rPr>
        <w:t>Readers should keep in mind limitations. IRM End-of-Term Reports are prepared only a few months after the implementation cycle is completed</w:t>
      </w:r>
      <w:r w:rsidR="00A877B4" w:rsidRPr="00140D0F">
        <w:rPr>
          <w:lang w:val="en-GB"/>
        </w:rPr>
        <w:t>. The variable focus on outcomes that can be observed on government openness practices at the end of the two-year implementation period.</w:t>
      </w:r>
      <w:r w:rsidRPr="00140D0F">
        <w:rPr>
          <w:lang w:val="en-GB"/>
        </w:rPr>
        <w:t xml:space="preserve"> </w:t>
      </w:r>
      <w:r w:rsidR="00316E04" w:rsidRPr="00140D0F">
        <w:rPr>
          <w:lang w:val="en-GB"/>
        </w:rPr>
        <w:t xml:space="preserve">The report </w:t>
      </w:r>
      <w:r w:rsidR="00316E04" w:rsidRPr="00140D0F">
        <w:rPr>
          <w:lang w:val="en-GB"/>
        </w:rPr>
        <w:lastRenderedPageBreak/>
        <w:t>and the variable do not intend to assess impact because of the complex methodological implications and the time frame of the report</w:t>
      </w:r>
      <w:r w:rsidR="009077AB">
        <w:rPr>
          <w:lang w:val="en-GB"/>
        </w:rPr>
        <w:t>.</w:t>
      </w:r>
    </w:p>
    <w:p w14:paraId="3292121C" w14:textId="77777777" w:rsidR="00163080" w:rsidRPr="00163080" w:rsidRDefault="00163080" w:rsidP="00163080">
      <w:pPr>
        <w:pStyle w:val="Normalrglronly"/>
        <w:rPr>
          <w:rFonts w:eastAsiaTheme="majorEastAsia"/>
          <w:b/>
          <w:bCs/>
          <w:noProof/>
          <w:color w:val="1F497D" w:themeColor="text2"/>
          <w:szCs w:val="20"/>
          <w:lang w:val="en-GB"/>
        </w:rPr>
      </w:pPr>
      <w:r w:rsidRPr="00163080">
        <w:rPr>
          <w:rFonts w:eastAsiaTheme="majorEastAsia"/>
          <w:b/>
          <w:bCs/>
          <w:noProof/>
          <w:color w:val="1F497D" w:themeColor="text2"/>
          <w:szCs w:val="20"/>
          <w:lang w:val="en-GB"/>
        </w:rPr>
        <w:t>General overview of commitments</w:t>
      </w:r>
    </w:p>
    <w:p w14:paraId="28CD8262" w14:textId="0488546B" w:rsidR="00163080" w:rsidRPr="00163080" w:rsidRDefault="00163080" w:rsidP="00163080">
      <w:pPr>
        <w:pStyle w:val="Normalrglronly"/>
        <w:rPr>
          <w:lang w:val="en-GB"/>
        </w:rPr>
      </w:pPr>
      <w:r w:rsidRPr="00163080">
        <w:rPr>
          <w:lang w:val="en-GB"/>
        </w:rPr>
        <w:t xml:space="preserve">As part of OGP, countries are required to make commitments in a two-year action plan. End-of-Term Reports assess an additional metric, ‘did it open government?’ The tables below summarize the completion level at the end of term and progress on this metric. For commitments that were complete already at the midterm, the report will provide a </w:t>
      </w:r>
      <w:r w:rsidRPr="00163080">
        <w:rPr>
          <w:lang w:val="en-US"/>
        </w:rPr>
        <w:t xml:space="preserve">summary of the progress report findings but focus on </w:t>
      </w:r>
      <w:r w:rsidRPr="00163080">
        <w:rPr>
          <w:lang w:val="en-GB"/>
        </w:rPr>
        <w:t xml:space="preserve">analysis of the ‘did it open government?’ variable. For further details on completed commitments at mid-term, please see Ukraine’s IRM midterm progress report. </w:t>
      </w:r>
    </w:p>
    <w:p w14:paraId="6F0FA4A4" w14:textId="755F2BEB" w:rsidR="00163080" w:rsidRPr="00163080" w:rsidRDefault="00163080" w:rsidP="00163080">
      <w:pPr>
        <w:pStyle w:val="Normalrglronly"/>
        <w:rPr>
          <w:lang w:val="en-GB"/>
        </w:rPr>
      </w:pPr>
      <w:r w:rsidRPr="00163080">
        <w:rPr>
          <w:lang w:val="en-GB"/>
        </w:rPr>
        <w:t>Overall, Ukraine’s second national action plan included 26 commitments covering a broad range of issues. Most of the measures (19) were normative; they provided for the development and/or adoption of various legal acts, including 14 draft laws. The action plan was structured around five topics: (1) Enabling environment for civil society organisations’ and public participation in policy development, (2) Access to information, (3) Corruption prevention, (4) Public services, and (5) e-governance and e-democracy. The IRM researcher clustered some of the commitments to better structure the report, and combined related measures that could be better dealt with in one context. For example, measures in Chapter 1 of the national action plan were clustered into two commitments: 1) Law and regulations on public participation in policy making, and 2) Enabling environment for civil society organisations</w:t>
      </w:r>
      <w:r w:rsidR="00350131">
        <w:rPr>
          <w:lang w:val="en-GB"/>
        </w:rPr>
        <w:t xml:space="preserve"> (CSOs)</w:t>
      </w:r>
      <w:r w:rsidRPr="00163080">
        <w:rPr>
          <w:lang w:val="en-GB"/>
        </w:rPr>
        <w:t>. Commitments related to open data regulations were clustered together as well.</w:t>
      </w:r>
    </w:p>
    <w:p w14:paraId="097B6E1C" w14:textId="77777777" w:rsidR="00163080" w:rsidRPr="009400F9" w:rsidRDefault="00163080" w:rsidP="00B0395A">
      <w:pPr>
        <w:pStyle w:val="Normalrglronly"/>
        <w:rPr>
          <w:lang w:val="en-GB"/>
        </w:rPr>
        <w:sectPr w:rsidR="00163080" w:rsidRPr="009400F9" w:rsidSect="00307994">
          <w:endnotePr>
            <w:numFmt w:val="decimal"/>
            <w:numRestart w:val="eachSect"/>
          </w:endnotePr>
          <w:pgSz w:w="11907" w:h="16839" w:code="9"/>
          <w:pgMar w:top="1417" w:right="1417" w:bottom="1417" w:left="1417" w:header="0" w:footer="0" w:gutter="0"/>
          <w:cols w:space="708"/>
          <w:docGrid w:linePitch="360"/>
        </w:sectPr>
      </w:pPr>
    </w:p>
    <w:p w14:paraId="70EB9ED7" w14:textId="73513152" w:rsidR="002E33B8" w:rsidRPr="009400F9" w:rsidRDefault="00827C83" w:rsidP="00EC4256">
      <w:pPr>
        <w:pStyle w:val="Tableheader"/>
        <w:rPr>
          <w:lang w:val="en-GB"/>
        </w:rPr>
      </w:pPr>
      <w:r w:rsidRPr="009400F9">
        <w:rPr>
          <w:lang w:val="en-GB"/>
        </w:rPr>
        <w:lastRenderedPageBreak/>
        <w:t xml:space="preserve">Table </w:t>
      </w:r>
      <w:r w:rsidR="009077AB">
        <w:rPr>
          <w:lang w:val="en-GB"/>
        </w:rPr>
        <w:t>3:</w:t>
      </w:r>
      <w:r w:rsidRPr="009400F9">
        <w:rPr>
          <w:lang w:val="en-GB"/>
        </w:rPr>
        <w:t xml:space="preserve"> Overview: </w:t>
      </w:r>
      <w:r w:rsidR="009077AB">
        <w:rPr>
          <w:lang w:val="en-GB"/>
        </w:rPr>
        <w:t>A</w:t>
      </w:r>
      <w:r w:rsidRPr="009400F9">
        <w:rPr>
          <w:lang w:val="en-GB"/>
        </w:rPr>
        <w:t xml:space="preserve">ssessment of </w:t>
      </w:r>
      <w:r w:rsidR="009077AB">
        <w:rPr>
          <w:lang w:val="en-GB"/>
        </w:rPr>
        <w:t>P</w:t>
      </w:r>
      <w:r w:rsidRPr="009400F9">
        <w:rPr>
          <w:lang w:val="en-GB"/>
        </w:rPr>
        <w:t xml:space="preserve">rogress by </w:t>
      </w:r>
      <w:r w:rsidR="009077AB">
        <w:rPr>
          <w:lang w:val="en-GB"/>
        </w:rPr>
        <w:t>C</w:t>
      </w:r>
      <w:r w:rsidRPr="009400F9">
        <w:rPr>
          <w:lang w:val="en-GB"/>
        </w:rPr>
        <w:t>ommitment</w:t>
      </w:r>
    </w:p>
    <w:tbl>
      <w:tblPr>
        <w:tblStyle w:val="TableGrid"/>
        <w:tblW w:w="10224" w:type="dxa"/>
        <w:tblInd w:w="-1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70"/>
        <w:gridCol w:w="402"/>
        <w:gridCol w:w="405"/>
        <w:gridCol w:w="369"/>
        <w:gridCol w:w="293"/>
        <w:gridCol w:w="654"/>
        <w:gridCol w:w="305"/>
        <w:gridCol w:w="404"/>
        <w:gridCol w:w="895"/>
        <w:gridCol w:w="341"/>
        <w:gridCol w:w="341"/>
        <w:gridCol w:w="341"/>
        <w:gridCol w:w="322"/>
        <w:gridCol w:w="21"/>
        <w:gridCol w:w="485"/>
        <w:gridCol w:w="10"/>
        <w:gridCol w:w="477"/>
        <w:gridCol w:w="25"/>
        <w:gridCol w:w="203"/>
        <w:gridCol w:w="259"/>
        <w:gridCol w:w="42"/>
        <w:gridCol w:w="451"/>
        <w:gridCol w:w="367"/>
        <w:gridCol w:w="318"/>
        <w:gridCol w:w="318"/>
        <w:gridCol w:w="318"/>
        <w:gridCol w:w="388"/>
      </w:tblGrid>
      <w:tr w:rsidR="00EC4256" w:rsidRPr="009400F9" w14:paraId="654A05DA" w14:textId="77777777" w:rsidTr="00BD1202">
        <w:trPr>
          <w:trHeight w:val="537"/>
          <w:tblHeader/>
        </w:trPr>
        <w:tc>
          <w:tcPr>
            <w:tcW w:w="1569" w:type="dxa"/>
            <w:vMerge w:val="restart"/>
            <w:shd w:val="clear" w:color="auto" w:fill="000000" w:themeFill="text1"/>
          </w:tcPr>
          <w:p w14:paraId="15A88F34" w14:textId="77777777" w:rsidR="00EC4256" w:rsidRPr="00163080" w:rsidRDefault="00EC4256" w:rsidP="000E0B9A">
            <w:pPr>
              <w:pStyle w:val="Rowcolumntitles"/>
              <w:jc w:val="center"/>
              <w:rPr>
                <w:color w:val="FFFFFF" w:themeColor="background1"/>
                <w:szCs w:val="22"/>
                <w:lang w:val="en-GB"/>
              </w:rPr>
            </w:pPr>
            <w:r w:rsidRPr="00163080">
              <w:rPr>
                <w:color w:val="FFFFFF" w:themeColor="background1"/>
                <w:szCs w:val="22"/>
                <w:lang w:val="en-GB"/>
              </w:rPr>
              <w:t>Commitment Overview</w:t>
            </w:r>
          </w:p>
        </w:tc>
        <w:tc>
          <w:tcPr>
            <w:tcW w:w="1511" w:type="dxa"/>
            <w:gridSpan w:val="4"/>
            <w:vMerge w:val="restart"/>
            <w:shd w:val="clear" w:color="auto" w:fill="D6E3BC" w:themeFill="accent3" w:themeFillTint="66"/>
          </w:tcPr>
          <w:p w14:paraId="7E8A76E8" w14:textId="77777777" w:rsidR="00EC4256" w:rsidRPr="00163080" w:rsidRDefault="00EC4256" w:rsidP="000E0B9A">
            <w:pPr>
              <w:pStyle w:val="Rowcolumntitles"/>
              <w:rPr>
                <w:szCs w:val="22"/>
                <w:lang w:val="en-GB"/>
              </w:rPr>
            </w:pPr>
            <w:r w:rsidRPr="00163080">
              <w:rPr>
                <w:szCs w:val="22"/>
                <w:lang w:val="en-GB"/>
              </w:rPr>
              <w:t>Specificity</w:t>
            </w:r>
          </w:p>
        </w:tc>
        <w:tc>
          <w:tcPr>
            <w:tcW w:w="2362" w:type="dxa"/>
            <w:gridSpan w:val="4"/>
            <w:vMerge w:val="restart"/>
            <w:shd w:val="clear" w:color="auto" w:fill="FBD4B4" w:themeFill="accent6" w:themeFillTint="66"/>
          </w:tcPr>
          <w:p w14:paraId="2100AB41" w14:textId="3F2A9FC3" w:rsidR="00EC4256" w:rsidRPr="00163080" w:rsidRDefault="00EC4256" w:rsidP="000E0B9A">
            <w:pPr>
              <w:pStyle w:val="Rowcolumntitles"/>
              <w:rPr>
                <w:szCs w:val="22"/>
                <w:lang w:val="en-GB"/>
              </w:rPr>
            </w:pPr>
            <w:r w:rsidRPr="00163080">
              <w:rPr>
                <w:szCs w:val="22"/>
                <w:lang w:val="en-GB"/>
              </w:rPr>
              <w:t xml:space="preserve">OGP </w:t>
            </w:r>
            <w:r w:rsidR="009077AB" w:rsidRPr="00163080">
              <w:rPr>
                <w:szCs w:val="22"/>
                <w:lang w:val="en-GB"/>
              </w:rPr>
              <w:t>V</w:t>
            </w:r>
            <w:r w:rsidRPr="00163080">
              <w:rPr>
                <w:szCs w:val="22"/>
                <w:lang w:val="en-GB"/>
              </w:rPr>
              <w:t xml:space="preserve">alue </w:t>
            </w:r>
            <w:r w:rsidR="009077AB" w:rsidRPr="00163080">
              <w:rPr>
                <w:szCs w:val="22"/>
                <w:lang w:val="en-GB"/>
              </w:rPr>
              <w:t>R</w:t>
            </w:r>
            <w:r w:rsidRPr="00163080">
              <w:rPr>
                <w:szCs w:val="22"/>
                <w:lang w:val="en-GB"/>
              </w:rPr>
              <w:t>elevance</w:t>
            </w:r>
            <w:r w:rsidR="009077AB" w:rsidRPr="00163080">
              <w:rPr>
                <w:szCs w:val="22"/>
                <w:lang w:val="en-GB"/>
              </w:rPr>
              <w:t xml:space="preserve"> (as written)</w:t>
            </w:r>
          </w:p>
        </w:tc>
        <w:tc>
          <w:tcPr>
            <w:tcW w:w="1398" w:type="dxa"/>
            <w:gridSpan w:val="5"/>
            <w:vMerge w:val="restart"/>
            <w:shd w:val="clear" w:color="auto" w:fill="CCC0D9" w:themeFill="accent4" w:themeFillTint="66"/>
          </w:tcPr>
          <w:p w14:paraId="31B69197" w14:textId="77777777" w:rsidR="00EC4256" w:rsidRPr="00163080" w:rsidRDefault="00EC4256" w:rsidP="000E0B9A">
            <w:pPr>
              <w:pStyle w:val="Rowcolumntitles"/>
              <w:rPr>
                <w:szCs w:val="22"/>
                <w:lang w:val="en-GB"/>
              </w:rPr>
            </w:pPr>
            <w:r w:rsidRPr="00163080">
              <w:rPr>
                <w:szCs w:val="22"/>
                <w:lang w:val="en-GB"/>
              </w:rPr>
              <w:t>Potential Impact</w:t>
            </w:r>
          </w:p>
        </w:tc>
        <w:tc>
          <w:tcPr>
            <w:tcW w:w="1246" w:type="dxa"/>
            <w:gridSpan w:val="5"/>
            <w:vMerge w:val="restart"/>
            <w:shd w:val="clear" w:color="auto" w:fill="B8CCE4" w:themeFill="accent1" w:themeFillTint="66"/>
          </w:tcPr>
          <w:p w14:paraId="43FC1171" w14:textId="77777777" w:rsidR="00EC4256" w:rsidRPr="00163080" w:rsidRDefault="00EC4256" w:rsidP="000E0B9A">
            <w:pPr>
              <w:pStyle w:val="Rowcolumntitles"/>
              <w:rPr>
                <w:szCs w:val="22"/>
                <w:lang w:val="en-GB"/>
              </w:rPr>
            </w:pPr>
            <w:r w:rsidRPr="00163080">
              <w:rPr>
                <w:szCs w:val="22"/>
                <w:lang w:val="en-GB"/>
              </w:rPr>
              <w:t>Completion</w:t>
            </w:r>
          </w:p>
        </w:tc>
        <w:tc>
          <w:tcPr>
            <w:tcW w:w="782" w:type="dxa"/>
            <w:gridSpan w:val="3"/>
            <w:shd w:val="clear" w:color="auto" w:fill="B8CCE4" w:themeFill="accent1" w:themeFillTint="66"/>
          </w:tcPr>
          <w:p w14:paraId="3835EFBF" w14:textId="25701F65" w:rsidR="00EC4256" w:rsidRPr="00163080" w:rsidRDefault="00EC4256" w:rsidP="000E0B9A">
            <w:pPr>
              <w:pStyle w:val="Rowcolumntitles"/>
              <w:jc w:val="center"/>
              <w:rPr>
                <w:szCs w:val="22"/>
                <w:lang w:val="en-GB"/>
              </w:rPr>
            </w:pPr>
            <w:r w:rsidRPr="00163080">
              <w:rPr>
                <w:szCs w:val="22"/>
                <w:lang w:val="en-GB"/>
              </w:rPr>
              <w:t>Mid</w:t>
            </w:r>
            <w:r w:rsidR="00817695">
              <w:rPr>
                <w:szCs w:val="22"/>
                <w:lang w:val="en-GB"/>
              </w:rPr>
              <w:t>-</w:t>
            </w:r>
            <w:r w:rsidRPr="00163080">
              <w:rPr>
                <w:szCs w:val="22"/>
                <w:lang w:val="en-GB"/>
              </w:rPr>
              <w:t>term</w:t>
            </w:r>
          </w:p>
        </w:tc>
        <w:tc>
          <w:tcPr>
            <w:tcW w:w="1752" w:type="dxa"/>
            <w:gridSpan w:val="5"/>
            <w:vMerge w:val="restart"/>
            <w:shd w:val="clear" w:color="auto" w:fill="D99594" w:themeFill="accent2" w:themeFillTint="99"/>
          </w:tcPr>
          <w:p w14:paraId="083B481C" w14:textId="68B328DB" w:rsidR="00EC4256" w:rsidRPr="00163080" w:rsidRDefault="00EC4256" w:rsidP="000E0B9A">
            <w:pPr>
              <w:pStyle w:val="Rowcolumntitles"/>
              <w:rPr>
                <w:szCs w:val="22"/>
                <w:lang w:val="en-GB"/>
              </w:rPr>
            </w:pPr>
            <w:r w:rsidRPr="00163080">
              <w:rPr>
                <w:szCs w:val="22"/>
                <w:lang w:val="en-GB"/>
              </w:rPr>
              <w:t xml:space="preserve">Did it </w:t>
            </w:r>
            <w:r w:rsidR="002312E4" w:rsidRPr="00163080">
              <w:rPr>
                <w:szCs w:val="22"/>
                <w:lang w:val="en-GB"/>
              </w:rPr>
              <w:t>O</w:t>
            </w:r>
            <w:r w:rsidRPr="00163080">
              <w:rPr>
                <w:szCs w:val="22"/>
                <w:lang w:val="en-GB"/>
              </w:rPr>
              <w:t xml:space="preserve">pen </w:t>
            </w:r>
            <w:r w:rsidR="002312E4" w:rsidRPr="00163080">
              <w:rPr>
                <w:szCs w:val="22"/>
                <w:lang w:val="en-GB"/>
              </w:rPr>
              <w:t>G</w:t>
            </w:r>
            <w:r w:rsidRPr="00163080">
              <w:rPr>
                <w:szCs w:val="22"/>
                <w:lang w:val="en-GB"/>
              </w:rPr>
              <w:t>overnment?</w:t>
            </w:r>
          </w:p>
        </w:tc>
      </w:tr>
      <w:tr w:rsidR="00EC4256" w:rsidRPr="009400F9" w14:paraId="101A0EDA" w14:textId="77777777" w:rsidTr="00BD1202">
        <w:trPr>
          <w:trHeight w:val="536"/>
          <w:tblHeader/>
        </w:trPr>
        <w:tc>
          <w:tcPr>
            <w:tcW w:w="1569" w:type="dxa"/>
            <w:vMerge/>
            <w:shd w:val="clear" w:color="auto" w:fill="000000" w:themeFill="text1"/>
          </w:tcPr>
          <w:p w14:paraId="63CF786D" w14:textId="77777777" w:rsidR="00EC4256" w:rsidRPr="00163080" w:rsidRDefault="00EC4256" w:rsidP="000E0B9A">
            <w:pPr>
              <w:pStyle w:val="Rowcolumntitles"/>
              <w:jc w:val="center"/>
              <w:rPr>
                <w:color w:val="FFFFFF" w:themeColor="background1"/>
                <w:szCs w:val="22"/>
                <w:lang w:val="en-GB"/>
              </w:rPr>
            </w:pPr>
          </w:p>
        </w:tc>
        <w:tc>
          <w:tcPr>
            <w:tcW w:w="1511" w:type="dxa"/>
            <w:gridSpan w:val="4"/>
            <w:vMerge/>
            <w:shd w:val="clear" w:color="auto" w:fill="D6E3BC" w:themeFill="accent3" w:themeFillTint="66"/>
          </w:tcPr>
          <w:p w14:paraId="294BCD95" w14:textId="77777777" w:rsidR="00EC4256" w:rsidRPr="00163080" w:rsidRDefault="00EC4256" w:rsidP="000E0B9A">
            <w:pPr>
              <w:pStyle w:val="Rowcolumntitles"/>
              <w:rPr>
                <w:szCs w:val="22"/>
                <w:lang w:val="en-GB"/>
              </w:rPr>
            </w:pPr>
          </w:p>
        </w:tc>
        <w:tc>
          <w:tcPr>
            <w:tcW w:w="2362" w:type="dxa"/>
            <w:gridSpan w:val="4"/>
            <w:vMerge/>
            <w:shd w:val="clear" w:color="auto" w:fill="FBD4B4" w:themeFill="accent6" w:themeFillTint="66"/>
          </w:tcPr>
          <w:p w14:paraId="5C1A9AC1" w14:textId="77777777" w:rsidR="00EC4256" w:rsidRPr="00163080" w:rsidRDefault="00EC4256" w:rsidP="000E0B9A">
            <w:pPr>
              <w:pStyle w:val="Rowcolumntitles"/>
              <w:rPr>
                <w:szCs w:val="22"/>
                <w:lang w:val="en-GB"/>
              </w:rPr>
            </w:pPr>
          </w:p>
        </w:tc>
        <w:tc>
          <w:tcPr>
            <w:tcW w:w="1398" w:type="dxa"/>
            <w:gridSpan w:val="5"/>
            <w:vMerge/>
            <w:shd w:val="clear" w:color="auto" w:fill="CCC0D9" w:themeFill="accent4" w:themeFillTint="66"/>
          </w:tcPr>
          <w:p w14:paraId="03AFBEDA" w14:textId="77777777" w:rsidR="00EC4256" w:rsidRPr="00163080" w:rsidRDefault="00EC4256" w:rsidP="000E0B9A">
            <w:pPr>
              <w:pStyle w:val="Rowcolumntitles"/>
              <w:rPr>
                <w:szCs w:val="22"/>
                <w:lang w:val="en-GB"/>
              </w:rPr>
            </w:pPr>
          </w:p>
        </w:tc>
        <w:tc>
          <w:tcPr>
            <w:tcW w:w="1246" w:type="dxa"/>
            <w:gridSpan w:val="5"/>
            <w:vMerge/>
            <w:shd w:val="clear" w:color="auto" w:fill="B8CCE4" w:themeFill="accent1" w:themeFillTint="66"/>
          </w:tcPr>
          <w:p w14:paraId="0839516B" w14:textId="77777777" w:rsidR="00EC4256" w:rsidRPr="00163080" w:rsidRDefault="00EC4256" w:rsidP="000E0B9A">
            <w:pPr>
              <w:pStyle w:val="Rowcolumntitles"/>
              <w:rPr>
                <w:szCs w:val="22"/>
                <w:lang w:val="en-GB"/>
              </w:rPr>
            </w:pPr>
          </w:p>
        </w:tc>
        <w:tc>
          <w:tcPr>
            <w:tcW w:w="782" w:type="dxa"/>
            <w:gridSpan w:val="3"/>
            <w:shd w:val="clear" w:color="auto" w:fill="B8CCE4" w:themeFill="accent1" w:themeFillTint="66"/>
          </w:tcPr>
          <w:p w14:paraId="19F52D65" w14:textId="3C334502" w:rsidR="00EC4256" w:rsidRPr="00163080" w:rsidRDefault="00EC4256" w:rsidP="000E0B9A">
            <w:pPr>
              <w:pStyle w:val="Rowcolumntitles"/>
              <w:jc w:val="center"/>
              <w:rPr>
                <w:szCs w:val="22"/>
                <w:lang w:val="en-GB"/>
              </w:rPr>
            </w:pPr>
            <w:r w:rsidRPr="00163080">
              <w:rPr>
                <w:szCs w:val="22"/>
                <w:lang w:val="en-GB"/>
              </w:rPr>
              <w:t xml:space="preserve">End of </w:t>
            </w:r>
            <w:r w:rsidR="00817695">
              <w:rPr>
                <w:szCs w:val="22"/>
                <w:lang w:val="en-GB"/>
              </w:rPr>
              <w:t>T</w:t>
            </w:r>
            <w:r w:rsidRPr="00163080">
              <w:rPr>
                <w:szCs w:val="22"/>
                <w:lang w:val="en-GB"/>
              </w:rPr>
              <w:t>erm</w:t>
            </w:r>
          </w:p>
        </w:tc>
        <w:tc>
          <w:tcPr>
            <w:tcW w:w="1752" w:type="dxa"/>
            <w:gridSpan w:val="5"/>
            <w:vMerge/>
            <w:shd w:val="clear" w:color="auto" w:fill="D99594" w:themeFill="accent2" w:themeFillTint="99"/>
          </w:tcPr>
          <w:p w14:paraId="6DDB4605" w14:textId="77777777" w:rsidR="00EC4256" w:rsidRPr="00163080" w:rsidRDefault="00EC4256" w:rsidP="000E0B9A">
            <w:pPr>
              <w:pStyle w:val="Rowcolumntitles"/>
              <w:rPr>
                <w:szCs w:val="22"/>
                <w:lang w:val="en-GB"/>
              </w:rPr>
            </w:pPr>
          </w:p>
        </w:tc>
      </w:tr>
      <w:tr w:rsidR="000E0B9A" w:rsidRPr="009400F9" w14:paraId="368A4D41" w14:textId="77777777" w:rsidTr="00BD1202">
        <w:trPr>
          <w:cantSplit/>
          <w:trHeight w:val="2048"/>
          <w:tblHeader/>
        </w:trPr>
        <w:tc>
          <w:tcPr>
            <w:tcW w:w="1569" w:type="dxa"/>
            <w:vMerge/>
            <w:shd w:val="clear" w:color="auto" w:fill="000000" w:themeFill="text1"/>
          </w:tcPr>
          <w:p w14:paraId="52B87D5D" w14:textId="77777777" w:rsidR="003221C6" w:rsidRPr="00163080" w:rsidRDefault="003221C6" w:rsidP="000E0B9A">
            <w:pPr>
              <w:pStyle w:val="Rowcolumntitles"/>
              <w:rPr>
                <w:color w:val="FFFFFF" w:themeColor="background1"/>
                <w:szCs w:val="22"/>
                <w:lang w:val="en-GB"/>
              </w:rPr>
            </w:pPr>
          </w:p>
        </w:tc>
        <w:tc>
          <w:tcPr>
            <w:tcW w:w="415" w:type="dxa"/>
            <w:shd w:val="clear" w:color="auto" w:fill="D6E3BC" w:themeFill="accent3" w:themeFillTint="66"/>
            <w:textDirection w:val="btLr"/>
          </w:tcPr>
          <w:p w14:paraId="0AAE2D28" w14:textId="77777777" w:rsidR="003221C6" w:rsidRPr="00163080" w:rsidRDefault="003221C6" w:rsidP="000E0B9A">
            <w:pPr>
              <w:pStyle w:val="Rowcolumntitles"/>
              <w:rPr>
                <w:szCs w:val="22"/>
                <w:lang w:val="en-GB"/>
              </w:rPr>
            </w:pPr>
            <w:r w:rsidRPr="00163080">
              <w:rPr>
                <w:szCs w:val="22"/>
                <w:lang w:val="en-GB"/>
              </w:rPr>
              <w:t>None</w:t>
            </w:r>
          </w:p>
        </w:tc>
        <w:tc>
          <w:tcPr>
            <w:tcW w:w="418" w:type="dxa"/>
            <w:shd w:val="clear" w:color="auto" w:fill="D6E3BC" w:themeFill="accent3" w:themeFillTint="66"/>
            <w:textDirection w:val="btLr"/>
          </w:tcPr>
          <w:p w14:paraId="57071F3D" w14:textId="77777777" w:rsidR="003221C6" w:rsidRPr="00163080" w:rsidRDefault="003221C6" w:rsidP="000E0B9A">
            <w:pPr>
              <w:pStyle w:val="Rowcolumntitles"/>
              <w:rPr>
                <w:szCs w:val="22"/>
                <w:lang w:val="en-GB"/>
              </w:rPr>
            </w:pPr>
            <w:r w:rsidRPr="00163080">
              <w:rPr>
                <w:szCs w:val="22"/>
                <w:lang w:val="en-GB"/>
              </w:rPr>
              <w:t>Low</w:t>
            </w:r>
          </w:p>
        </w:tc>
        <w:tc>
          <w:tcPr>
            <w:tcW w:w="380" w:type="dxa"/>
            <w:shd w:val="clear" w:color="auto" w:fill="D6E3BC" w:themeFill="accent3" w:themeFillTint="66"/>
            <w:textDirection w:val="btLr"/>
          </w:tcPr>
          <w:p w14:paraId="47463A7B" w14:textId="77777777" w:rsidR="003221C6" w:rsidRPr="00163080" w:rsidRDefault="003221C6" w:rsidP="000E0B9A">
            <w:pPr>
              <w:pStyle w:val="Rowcolumntitles"/>
              <w:rPr>
                <w:szCs w:val="22"/>
                <w:lang w:val="en-GB"/>
              </w:rPr>
            </w:pPr>
            <w:r w:rsidRPr="00163080">
              <w:rPr>
                <w:szCs w:val="22"/>
                <w:lang w:val="en-GB"/>
              </w:rPr>
              <w:t>Medium</w:t>
            </w:r>
          </w:p>
        </w:tc>
        <w:tc>
          <w:tcPr>
            <w:tcW w:w="298" w:type="dxa"/>
            <w:shd w:val="clear" w:color="auto" w:fill="D6E3BC" w:themeFill="accent3" w:themeFillTint="66"/>
            <w:textDirection w:val="btLr"/>
          </w:tcPr>
          <w:p w14:paraId="6C3E59EC" w14:textId="77777777" w:rsidR="003221C6" w:rsidRPr="00163080" w:rsidRDefault="003221C6" w:rsidP="000E0B9A">
            <w:pPr>
              <w:pStyle w:val="Rowcolumntitles"/>
              <w:rPr>
                <w:szCs w:val="22"/>
                <w:lang w:val="en-GB"/>
              </w:rPr>
            </w:pPr>
            <w:r w:rsidRPr="00163080">
              <w:rPr>
                <w:szCs w:val="22"/>
                <w:lang w:val="en-GB"/>
              </w:rPr>
              <w:t>High</w:t>
            </w:r>
          </w:p>
        </w:tc>
        <w:tc>
          <w:tcPr>
            <w:tcW w:w="687" w:type="dxa"/>
            <w:shd w:val="clear" w:color="auto" w:fill="FBD4B4" w:themeFill="accent6" w:themeFillTint="66"/>
            <w:textDirection w:val="btLr"/>
          </w:tcPr>
          <w:p w14:paraId="1CF3A542" w14:textId="79113625" w:rsidR="003221C6" w:rsidRPr="00163080" w:rsidRDefault="003221C6" w:rsidP="000E0B9A">
            <w:pPr>
              <w:pStyle w:val="Rowcolumntitles"/>
              <w:rPr>
                <w:szCs w:val="22"/>
                <w:lang w:val="en-GB"/>
              </w:rPr>
            </w:pPr>
          </w:p>
          <w:p w14:paraId="11653F1D" w14:textId="0C6BC1BA" w:rsidR="003221C6" w:rsidRPr="00163080" w:rsidRDefault="003221C6" w:rsidP="000E0B9A">
            <w:pPr>
              <w:pStyle w:val="Rowcolumntitles"/>
              <w:rPr>
                <w:szCs w:val="22"/>
                <w:lang w:val="en-GB"/>
              </w:rPr>
            </w:pPr>
            <w:r w:rsidRPr="00163080">
              <w:rPr>
                <w:szCs w:val="22"/>
                <w:lang w:val="en-GB"/>
              </w:rPr>
              <w:t>Access to Information</w:t>
            </w:r>
          </w:p>
        </w:tc>
        <w:tc>
          <w:tcPr>
            <w:tcW w:w="311" w:type="dxa"/>
            <w:shd w:val="clear" w:color="auto" w:fill="FBD4B4" w:themeFill="accent6" w:themeFillTint="66"/>
            <w:textDirection w:val="btLr"/>
          </w:tcPr>
          <w:p w14:paraId="7432EE55" w14:textId="77777777" w:rsidR="003221C6" w:rsidRPr="00163080" w:rsidRDefault="003221C6" w:rsidP="000E0B9A">
            <w:pPr>
              <w:pStyle w:val="Rowcolumntitles"/>
              <w:rPr>
                <w:szCs w:val="22"/>
                <w:lang w:val="en-GB"/>
              </w:rPr>
            </w:pPr>
            <w:r w:rsidRPr="00163080">
              <w:rPr>
                <w:szCs w:val="22"/>
                <w:lang w:val="en-GB"/>
              </w:rPr>
              <w:t>Civic Participation</w:t>
            </w:r>
          </w:p>
        </w:tc>
        <w:tc>
          <w:tcPr>
            <w:tcW w:w="417" w:type="dxa"/>
            <w:shd w:val="clear" w:color="auto" w:fill="FBD4B4" w:themeFill="accent6" w:themeFillTint="66"/>
            <w:textDirection w:val="btLr"/>
          </w:tcPr>
          <w:p w14:paraId="60EE38ED" w14:textId="77777777" w:rsidR="003221C6" w:rsidRPr="00163080" w:rsidRDefault="003221C6" w:rsidP="000E0B9A">
            <w:pPr>
              <w:pStyle w:val="Rowcolumntitles"/>
              <w:rPr>
                <w:szCs w:val="22"/>
                <w:lang w:val="en-GB"/>
              </w:rPr>
            </w:pPr>
            <w:r w:rsidRPr="00163080">
              <w:rPr>
                <w:szCs w:val="22"/>
                <w:lang w:val="en-GB"/>
              </w:rPr>
              <w:t>Public Accountability</w:t>
            </w:r>
          </w:p>
        </w:tc>
        <w:tc>
          <w:tcPr>
            <w:tcW w:w="947" w:type="dxa"/>
            <w:shd w:val="clear" w:color="auto" w:fill="FBD4B4" w:themeFill="accent6" w:themeFillTint="66"/>
            <w:textDirection w:val="btLr"/>
          </w:tcPr>
          <w:p w14:paraId="2E0AB44A" w14:textId="77777777" w:rsidR="003221C6" w:rsidRPr="00163080" w:rsidRDefault="003221C6" w:rsidP="000E0B9A">
            <w:pPr>
              <w:pStyle w:val="Rowcolumntitles"/>
              <w:rPr>
                <w:szCs w:val="22"/>
                <w:lang w:val="en-GB"/>
              </w:rPr>
            </w:pPr>
            <w:r w:rsidRPr="00163080">
              <w:rPr>
                <w:szCs w:val="22"/>
                <w:lang w:val="en-GB"/>
              </w:rPr>
              <w:t>Technology &amp; Innovation for Transparency &amp; Accountability</w:t>
            </w:r>
          </w:p>
        </w:tc>
        <w:tc>
          <w:tcPr>
            <w:tcW w:w="349" w:type="dxa"/>
            <w:shd w:val="clear" w:color="auto" w:fill="CCC0D9" w:themeFill="accent4" w:themeFillTint="66"/>
            <w:textDirection w:val="btLr"/>
          </w:tcPr>
          <w:p w14:paraId="6BB34CB4" w14:textId="77777777" w:rsidR="003221C6" w:rsidRPr="00163080" w:rsidRDefault="003221C6" w:rsidP="000E0B9A">
            <w:pPr>
              <w:pStyle w:val="Rowcolumntitles"/>
              <w:rPr>
                <w:szCs w:val="22"/>
                <w:lang w:val="en-GB"/>
              </w:rPr>
            </w:pPr>
            <w:r w:rsidRPr="00163080">
              <w:rPr>
                <w:szCs w:val="22"/>
                <w:lang w:val="en-GB"/>
              </w:rPr>
              <w:t>None</w:t>
            </w:r>
          </w:p>
        </w:tc>
        <w:tc>
          <w:tcPr>
            <w:tcW w:w="349" w:type="dxa"/>
            <w:shd w:val="clear" w:color="auto" w:fill="CCC0D9" w:themeFill="accent4" w:themeFillTint="66"/>
            <w:textDirection w:val="btLr"/>
          </w:tcPr>
          <w:p w14:paraId="58927CB7" w14:textId="77777777" w:rsidR="003221C6" w:rsidRPr="00163080" w:rsidRDefault="003221C6" w:rsidP="000E0B9A">
            <w:pPr>
              <w:pStyle w:val="Rowcolumntitles"/>
              <w:rPr>
                <w:szCs w:val="22"/>
                <w:lang w:val="en-GB"/>
              </w:rPr>
            </w:pPr>
            <w:r w:rsidRPr="00163080">
              <w:rPr>
                <w:szCs w:val="22"/>
                <w:lang w:val="en-GB"/>
              </w:rPr>
              <w:t>Minor</w:t>
            </w:r>
          </w:p>
        </w:tc>
        <w:tc>
          <w:tcPr>
            <w:tcW w:w="349" w:type="dxa"/>
            <w:shd w:val="clear" w:color="auto" w:fill="CCC0D9" w:themeFill="accent4" w:themeFillTint="66"/>
            <w:textDirection w:val="btLr"/>
          </w:tcPr>
          <w:p w14:paraId="06C764E8" w14:textId="77777777" w:rsidR="003221C6" w:rsidRPr="00163080" w:rsidRDefault="003221C6" w:rsidP="000E0B9A">
            <w:pPr>
              <w:pStyle w:val="Rowcolumntitles"/>
              <w:rPr>
                <w:szCs w:val="22"/>
                <w:lang w:val="en-GB"/>
              </w:rPr>
            </w:pPr>
            <w:r w:rsidRPr="00163080">
              <w:rPr>
                <w:szCs w:val="22"/>
                <w:lang w:val="en-GB"/>
              </w:rPr>
              <w:t>Moderate</w:t>
            </w:r>
          </w:p>
        </w:tc>
        <w:tc>
          <w:tcPr>
            <w:tcW w:w="351" w:type="dxa"/>
            <w:gridSpan w:val="2"/>
            <w:shd w:val="clear" w:color="auto" w:fill="CCC0D9" w:themeFill="accent4" w:themeFillTint="66"/>
            <w:textDirection w:val="btLr"/>
          </w:tcPr>
          <w:p w14:paraId="2A76C564" w14:textId="77777777" w:rsidR="003221C6" w:rsidRPr="00163080" w:rsidRDefault="003221C6" w:rsidP="000E0B9A">
            <w:pPr>
              <w:pStyle w:val="Rowcolumntitles"/>
              <w:rPr>
                <w:szCs w:val="22"/>
                <w:lang w:val="en-GB"/>
              </w:rPr>
            </w:pPr>
            <w:r w:rsidRPr="00163080">
              <w:rPr>
                <w:szCs w:val="22"/>
                <w:lang w:val="en-GB"/>
              </w:rPr>
              <w:t>Transformative</w:t>
            </w:r>
          </w:p>
        </w:tc>
        <w:tc>
          <w:tcPr>
            <w:tcW w:w="515" w:type="dxa"/>
            <w:gridSpan w:val="2"/>
            <w:shd w:val="clear" w:color="auto" w:fill="B8CCE4" w:themeFill="accent1" w:themeFillTint="66"/>
            <w:textDirection w:val="btLr"/>
          </w:tcPr>
          <w:p w14:paraId="297F4E25" w14:textId="15EB2356" w:rsidR="003221C6" w:rsidRPr="00163080" w:rsidRDefault="003221C6" w:rsidP="000E0B9A">
            <w:pPr>
              <w:pStyle w:val="Rowcolumntitles"/>
              <w:rPr>
                <w:szCs w:val="22"/>
                <w:lang w:val="en-GB"/>
              </w:rPr>
            </w:pPr>
            <w:r w:rsidRPr="00163080">
              <w:rPr>
                <w:szCs w:val="22"/>
                <w:lang w:val="en-GB"/>
              </w:rPr>
              <w:t xml:space="preserve">Not </w:t>
            </w:r>
            <w:r w:rsidR="002312E4" w:rsidRPr="00163080">
              <w:rPr>
                <w:szCs w:val="22"/>
                <w:lang w:val="en-GB"/>
              </w:rPr>
              <w:t>S</w:t>
            </w:r>
            <w:r w:rsidRPr="00163080">
              <w:rPr>
                <w:szCs w:val="22"/>
                <w:lang w:val="en-GB"/>
              </w:rPr>
              <w:t>tarted</w:t>
            </w:r>
          </w:p>
        </w:tc>
        <w:tc>
          <w:tcPr>
            <w:tcW w:w="522" w:type="dxa"/>
            <w:gridSpan w:val="2"/>
            <w:shd w:val="clear" w:color="auto" w:fill="B8CCE4" w:themeFill="accent1" w:themeFillTint="66"/>
            <w:textDirection w:val="btLr"/>
          </w:tcPr>
          <w:p w14:paraId="13E5997E" w14:textId="77777777" w:rsidR="003221C6" w:rsidRPr="00163080" w:rsidRDefault="003221C6" w:rsidP="000E0B9A">
            <w:pPr>
              <w:pStyle w:val="Rowcolumntitles"/>
              <w:rPr>
                <w:szCs w:val="22"/>
                <w:lang w:val="en-GB"/>
              </w:rPr>
            </w:pPr>
            <w:r w:rsidRPr="00163080">
              <w:rPr>
                <w:szCs w:val="22"/>
                <w:lang w:val="en-GB"/>
              </w:rPr>
              <w:t>Limited</w:t>
            </w:r>
          </w:p>
        </w:tc>
        <w:tc>
          <w:tcPr>
            <w:tcW w:w="523" w:type="dxa"/>
            <w:gridSpan w:val="3"/>
            <w:shd w:val="clear" w:color="auto" w:fill="B8CCE4" w:themeFill="accent1" w:themeFillTint="66"/>
            <w:textDirection w:val="btLr"/>
          </w:tcPr>
          <w:p w14:paraId="6A3E2527" w14:textId="77777777" w:rsidR="003221C6" w:rsidRPr="00163080" w:rsidRDefault="003221C6" w:rsidP="000E0B9A">
            <w:pPr>
              <w:pStyle w:val="Rowcolumntitles"/>
              <w:rPr>
                <w:szCs w:val="22"/>
                <w:lang w:val="en-GB"/>
              </w:rPr>
            </w:pPr>
            <w:r w:rsidRPr="00163080">
              <w:rPr>
                <w:szCs w:val="22"/>
                <w:lang w:val="en-GB"/>
              </w:rPr>
              <w:t>Substantial</w:t>
            </w:r>
          </w:p>
        </w:tc>
        <w:tc>
          <w:tcPr>
            <w:tcW w:w="468" w:type="dxa"/>
            <w:shd w:val="clear" w:color="auto" w:fill="B8CCE4" w:themeFill="accent1" w:themeFillTint="66"/>
            <w:textDirection w:val="btLr"/>
          </w:tcPr>
          <w:p w14:paraId="6D2433B7" w14:textId="77777777" w:rsidR="003221C6" w:rsidRPr="00163080" w:rsidRDefault="003221C6" w:rsidP="000E0B9A">
            <w:pPr>
              <w:pStyle w:val="Rowcolumntitles"/>
              <w:rPr>
                <w:szCs w:val="22"/>
                <w:lang w:val="en-GB"/>
              </w:rPr>
            </w:pPr>
            <w:r w:rsidRPr="00163080">
              <w:rPr>
                <w:szCs w:val="22"/>
                <w:lang w:val="en-GB"/>
              </w:rPr>
              <w:t>Completed</w:t>
            </w:r>
          </w:p>
        </w:tc>
        <w:tc>
          <w:tcPr>
            <w:tcW w:w="377" w:type="dxa"/>
            <w:shd w:val="clear" w:color="auto" w:fill="D99594" w:themeFill="accent2" w:themeFillTint="99"/>
            <w:textDirection w:val="btLr"/>
          </w:tcPr>
          <w:p w14:paraId="20E0D890" w14:textId="24AB239E" w:rsidR="003221C6" w:rsidRPr="00163080" w:rsidRDefault="003221C6" w:rsidP="000E0B9A">
            <w:pPr>
              <w:pStyle w:val="Rowcolumntitles"/>
              <w:rPr>
                <w:szCs w:val="22"/>
                <w:lang w:val="en-GB"/>
              </w:rPr>
            </w:pPr>
            <w:r w:rsidRPr="00163080">
              <w:rPr>
                <w:szCs w:val="22"/>
                <w:lang w:val="en-GB"/>
              </w:rPr>
              <w:t>Worsen</w:t>
            </w:r>
            <w:r w:rsidR="007729D3">
              <w:rPr>
                <w:szCs w:val="22"/>
                <w:lang w:val="en-GB"/>
              </w:rPr>
              <w:t>ed</w:t>
            </w:r>
          </w:p>
        </w:tc>
        <w:tc>
          <w:tcPr>
            <w:tcW w:w="325" w:type="dxa"/>
            <w:shd w:val="clear" w:color="auto" w:fill="D99594" w:themeFill="accent2" w:themeFillTint="99"/>
            <w:textDirection w:val="btLr"/>
          </w:tcPr>
          <w:p w14:paraId="6CE0C122" w14:textId="2F748C3E" w:rsidR="003221C6" w:rsidRPr="00163080" w:rsidRDefault="003221C6" w:rsidP="000E0B9A">
            <w:pPr>
              <w:pStyle w:val="Rowcolumntitles"/>
              <w:rPr>
                <w:szCs w:val="22"/>
                <w:lang w:val="en-GB"/>
              </w:rPr>
            </w:pPr>
            <w:r w:rsidRPr="00163080">
              <w:rPr>
                <w:szCs w:val="22"/>
                <w:lang w:val="en-GB"/>
              </w:rPr>
              <w:t xml:space="preserve">Did </w:t>
            </w:r>
            <w:r w:rsidR="002312E4" w:rsidRPr="00163080">
              <w:rPr>
                <w:szCs w:val="22"/>
                <w:lang w:val="en-GB"/>
              </w:rPr>
              <w:t>N</w:t>
            </w:r>
            <w:r w:rsidRPr="00163080">
              <w:rPr>
                <w:szCs w:val="22"/>
                <w:lang w:val="en-GB"/>
              </w:rPr>
              <w:t xml:space="preserve">ot </w:t>
            </w:r>
            <w:r w:rsidR="002312E4" w:rsidRPr="00163080">
              <w:rPr>
                <w:szCs w:val="22"/>
                <w:lang w:val="en-GB"/>
              </w:rPr>
              <w:t>C</w:t>
            </w:r>
            <w:r w:rsidRPr="00163080">
              <w:rPr>
                <w:szCs w:val="22"/>
                <w:lang w:val="en-GB"/>
              </w:rPr>
              <w:t>hange</w:t>
            </w:r>
          </w:p>
        </w:tc>
        <w:tc>
          <w:tcPr>
            <w:tcW w:w="325" w:type="dxa"/>
            <w:shd w:val="clear" w:color="auto" w:fill="D99594" w:themeFill="accent2" w:themeFillTint="99"/>
            <w:textDirection w:val="btLr"/>
          </w:tcPr>
          <w:p w14:paraId="055E37BB" w14:textId="1B014AE7" w:rsidR="003221C6" w:rsidRPr="00163080" w:rsidRDefault="003221C6" w:rsidP="000E0B9A">
            <w:pPr>
              <w:pStyle w:val="Rowcolumntitles"/>
              <w:rPr>
                <w:szCs w:val="22"/>
                <w:lang w:val="en-GB"/>
              </w:rPr>
            </w:pPr>
            <w:r w:rsidRPr="00163080">
              <w:rPr>
                <w:szCs w:val="22"/>
                <w:lang w:val="en-GB"/>
              </w:rPr>
              <w:t>Marginal</w:t>
            </w:r>
          </w:p>
        </w:tc>
        <w:tc>
          <w:tcPr>
            <w:tcW w:w="325" w:type="dxa"/>
            <w:shd w:val="clear" w:color="auto" w:fill="D99594" w:themeFill="accent2" w:themeFillTint="99"/>
            <w:textDirection w:val="btLr"/>
          </w:tcPr>
          <w:p w14:paraId="0A8CB683" w14:textId="77777777" w:rsidR="003221C6" w:rsidRPr="00163080" w:rsidRDefault="003221C6" w:rsidP="000E0B9A">
            <w:pPr>
              <w:pStyle w:val="Rowcolumntitles"/>
              <w:rPr>
                <w:szCs w:val="22"/>
                <w:lang w:val="en-GB"/>
              </w:rPr>
            </w:pPr>
            <w:r w:rsidRPr="00163080">
              <w:rPr>
                <w:szCs w:val="22"/>
                <w:lang w:val="en-GB"/>
              </w:rPr>
              <w:t>Major</w:t>
            </w:r>
          </w:p>
        </w:tc>
        <w:tc>
          <w:tcPr>
            <w:tcW w:w="400" w:type="dxa"/>
            <w:shd w:val="clear" w:color="auto" w:fill="D99594" w:themeFill="accent2" w:themeFillTint="99"/>
            <w:textDirection w:val="btLr"/>
          </w:tcPr>
          <w:p w14:paraId="53426E32" w14:textId="405FF5E3" w:rsidR="003221C6" w:rsidRPr="00163080" w:rsidRDefault="003221C6" w:rsidP="000E0B9A">
            <w:pPr>
              <w:pStyle w:val="Rowcolumntitles"/>
              <w:rPr>
                <w:szCs w:val="22"/>
                <w:lang w:val="en-GB"/>
              </w:rPr>
            </w:pPr>
            <w:r w:rsidRPr="00163080">
              <w:rPr>
                <w:szCs w:val="22"/>
                <w:lang w:val="en-GB"/>
              </w:rPr>
              <w:t>Outstanding</w:t>
            </w:r>
          </w:p>
        </w:tc>
      </w:tr>
      <w:tr w:rsidR="00BF49AA" w:rsidRPr="009400F9" w14:paraId="10FDF736" w14:textId="77777777" w:rsidTr="00BD1202">
        <w:trPr>
          <w:trHeight w:val="246"/>
        </w:trPr>
        <w:tc>
          <w:tcPr>
            <w:tcW w:w="10620" w:type="dxa"/>
            <w:gridSpan w:val="27"/>
            <w:shd w:val="clear" w:color="auto" w:fill="000000" w:themeFill="text1"/>
          </w:tcPr>
          <w:p w14:paraId="20FC7AC1" w14:textId="6B2FBAE1" w:rsidR="00BF49AA" w:rsidRPr="00163080" w:rsidRDefault="00BF49AA" w:rsidP="000E0B9A">
            <w:pPr>
              <w:pStyle w:val="Rowcolumntitles"/>
              <w:rPr>
                <w:rFonts w:eastAsia="Times New Roman"/>
                <w:color w:val="FFFFFF" w:themeColor="background1"/>
                <w:szCs w:val="22"/>
                <w:lang w:val="en-GB"/>
              </w:rPr>
            </w:pPr>
            <w:r w:rsidRPr="00163080">
              <w:rPr>
                <w:b/>
                <w:noProof/>
                <w:color w:val="FFFFFF" w:themeColor="background1"/>
                <w:szCs w:val="22"/>
                <w:lang w:val="en-GB"/>
              </w:rPr>
              <w:t xml:space="preserve">Theme </w:t>
            </w:r>
            <w:r w:rsidR="00163080">
              <w:rPr>
                <w:b/>
                <w:noProof/>
                <w:color w:val="FFFFFF" w:themeColor="background1"/>
                <w:szCs w:val="22"/>
                <w:lang w:val="en-GB"/>
              </w:rPr>
              <w:t>I</w:t>
            </w:r>
            <w:r w:rsidRPr="00163080">
              <w:rPr>
                <w:b/>
                <w:noProof/>
                <w:color w:val="FFFFFF" w:themeColor="background1"/>
                <w:szCs w:val="22"/>
                <w:lang w:val="en-GB"/>
              </w:rPr>
              <w:t>: Create enabling environment for civil society engagement in public policies</w:t>
            </w:r>
          </w:p>
        </w:tc>
      </w:tr>
      <w:tr w:rsidR="000E0B9A" w:rsidRPr="009400F9" w14:paraId="573D78BB" w14:textId="77777777" w:rsidTr="00BD1202">
        <w:trPr>
          <w:trHeight w:val="603"/>
        </w:trPr>
        <w:tc>
          <w:tcPr>
            <w:tcW w:w="1569" w:type="dxa"/>
            <w:vMerge w:val="restart"/>
            <w:shd w:val="clear" w:color="auto" w:fill="000000" w:themeFill="text1"/>
          </w:tcPr>
          <w:p w14:paraId="72C28F53" w14:textId="13874681" w:rsidR="003221C6" w:rsidRPr="00163080" w:rsidRDefault="003221C6" w:rsidP="000E0B9A">
            <w:pPr>
              <w:pStyle w:val="Rowcolumntitles"/>
              <w:rPr>
                <w:color w:val="FFFFFF" w:themeColor="background1"/>
                <w:szCs w:val="22"/>
                <w:lang w:val="en-GB"/>
              </w:rPr>
            </w:pPr>
            <w:r w:rsidRPr="00163080">
              <w:rPr>
                <w:color w:val="FFFFFF" w:themeColor="background1"/>
                <w:szCs w:val="22"/>
                <w:lang w:val="en-GB"/>
              </w:rPr>
              <w:t xml:space="preserve">1. </w:t>
            </w:r>
          </w:p>
          <w:p w14:paraId="2D0165C1" w14:textId="18649585" w:rsidR="003221C6" w:rsidRPr="00163080" w:rsidRDefault="003221C6" w:rsidP="000E0B9A">
            <w:pPr>
              <w:pStyle w:val="Rowcolumntitles"/>
              <w:rPr>
                <w:color w:val="FFFFFF" w:themeColor="background1"/>
                <w:szCs w:val="22"/>
                <w:lang w:val="en-GB"/>
              </w:rPr>
            </w:pPr>
            <w:r w:rsidRPr="00163080">
              <w:rPr>
                <w:noProof/>
                <w:color w:val="FFFFFF" w:themeColor="background1"/>
                <w:szCs w:val="22"/>
                <w:lang w:val="en-GB"/>
              </w:rPr>
              <w:t>Improve government rules on CSO involvement</w:t>
            </w:r>
          </w:p>
        </w:tc>
        <w:tc>
          <w:tcPr>
            <w:tcW w:w="415" w:type="dxa"/>
            <w:vMerge w:val="restart"/>
            <w:shd w:val="clear" w:color="auto" w:fill="D6E3BC" w:themeFill="accent3" w:themeFillTint="66"/>
          </w:tcPr>
          <w:p w14:paraId="29A967AB" w14:textId="77777777" w:rsidR="003221C6" w:rsidRPr="00163080" w:rsidRDefault="003221C6" w:rsidP="000E0B9A">
            <w:pPr>
              <w:pStyle w:val="Rowcolumntitles"/>
              <w:rPr>
                <w:szCs w:val="22"/>
                <w:lang w:val="en-GB"/>
              </w:rPr>
            </w:pPr>
          </w:p>
        </w:tc>
        <w:tc>
          <w:tcPr>
            <w:tcW w:w="418" w:type="dxa"/>
            <w:vMerge w:val="restart"/>
            <w:shd w:val="clear" w:color="auto" w:fill="D6E3BC" w:themeFill="accent3" w:themeFillTint="66"/>
          </w:tcPr>
          <w:p w14:paraId="62FADAB1" w14:textId="77777777" w:rsidR="003221C6" w:rsidRPr="00163080" w:rsidRDefault="003221C6" w:rsidP="000E0B9A">
            <w:pPr>
              <w:pStyle w:val="Rowcolumntitles"/>
              <w:rPr>
                <w:szCs w:val="22"/>
                <w:lang w:val="en-GB"/>
              </w:rPr>
            </w:pPr>
          </w:p>
        </w:tc>
        <w:tc>
          <w:tcPr>
            <w:tcW w:w="380" w:type="dxa"/>
            <w:vMerge w:val="restart"/>
            <w:shd w:val="clear" w:color="auto" w:fill="D6E3BC" w:themeFill="accent3" w:themeFillTint="66"/>
          </w:tcPr>
          <w:p w14:paraId="4CA4B4C2" w14:textId="1B9E09A3" w:rsidR="003221C6" w:rsidRPr="00163080" w:rsidRDefault="003221C6" w:rsidP="000E0B9A">
            <w:pPr>
              <w:pStyle w:val="Rowcolumntitles"/>
              <w:rPr>
                <w:szCs w:val="22"/>
                <w:lang w:val="en-GB"/>
              </w:rPr>
            </w:pPr>
          </w:p>
        </w:tc>
        <w:tc>
          <w:tcPr>
            <w:tcW w:w="298" w:type="dxa"/>
            <w:vMerge w:val="restart"/>
            <w:shd w:val="clear" w:color="auto" w:fill="D6E3BC" w:themeFill="accent3" w:themeFillTint="66"/>
          </w:tcPr>
          <w:p w14:paraId="65B74500" w14:textId="5C79D830"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7EF4F3FA" w14:textId="18E48191" w:rsidR="003221C6" w:rsidRPr="00163080" w:rsidRDefault="003221C6" w:rsidP="000E0B9A">
            <w:pPr>
              <w:pStyle w:val="Rowcolumntitles"/>
              <w:rPr>
                <w:szCs w:val="22"/>
                <w:lang w:val="en-GB"/>
              </w:rPr>
            </w:pPr>
          </w:p>
        </w:tc>
        <w:tc>
          <w:tcPr>
            <w:tcW w:w="311" w:type="dxa"/>
            <w:vMerge w:val="restart"/>
            <w:shd w:val="clear" w:color="auto" w:fill="FBD4B4" w:themeFill="accent6" w:themeFillTint="66"/>
          </w:tcPr>
          <w:p w14:paraId="1640C691" w14:textId="7E885B64" w:rsidR="003221C6" w:rsidRPr="00163080" w:rsidRDefault="003221C6" w:rsidP="000E0B9A">
            <w:pPr>
              <w:pStyle w:val="Rowcolumntitles"/>
              <w:rPr>
                <w:color w:val="BFBFBF" w:themeColor="background1" w:themeShade="BF"/>
                <w:szCs w:val="22"/>
                <w:lang w:val="en-GB"/>
              </w:rPr>
            </w:pPr>
            <w:r w:rsidRPr="00163080">
              <w:rPr>
                <w:rFonts w:ascii="MS Mincho" w:eastAsia="MS Mincho" w:hAnsi="MS Mincho" w:cs="MS Mincho"/>
                <w:noProof/>
                <w:szCs w:val="22"/>
                <w:lang w:val="en-GB"/>
              </w:rPr>
              <w:t>✔</w:t>
            </w:r>
          </w:p>
        </w:tc>
        <w:tc>
          <w:tcPr>
            <w:tcW w:w="417" w:type="dxa"/>
            <w:vMerge w:val="restart"/>
            <w:shd w:val="clear" w:color="auto" w:fill="FBD4B4" w:themeFill="accent6" w:themeFillTint="66"/>
          </w:tcPr>
          <w:p w14:paraId="4E0E6F2F" w14:textId="502704C9"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947" w:type="dxa"/>
            <w:vMerge w:val="restart"/>
            <w:shd w:val="clear" w:color="auto" w:fill="FBD4B4" w:themeFill="accent6" w:themeFillTint="66"/>
          </w:tcPr>
          <w:p w14:paraId="1ACC34FE" w14:textId="77777777" w:rsidR="003221C6" w:rsidRPr="00163080" w:rsidRDefault="003221C6" w:rsidP="000E0B9A">
            <w:pPr>
              <w:pStyle w:val="Rowcolumntitles"/>
              <w:rPr>
                <w:szCs w:val="22"/>
                <w:lang w:val="en-GB"/>
              </w:rPr>
            </w:pPr>
          </w:p>
        </w:tc>
        <w:tc>
          <w:tcPr>
            <w:tcW w:w="349" w:type="dxa"/>
            <w:vMerge w:val="restart"/>
            <w:shd w:val="clear" w:color="auto" w:fill="CCC0D9" w:themeFill="accent4" w:themeFillTint="66"/>
          </w:tcPr>
          <w:p w14:paraId="2719C2BA" w14:textId="77777777" w:rsidR="003221C6" w:rsidRPr="00163080" w:rsidRDefault="003221C6" w:rsidP="000E0B9A">
            <w:pPr>
              <w:pStyle w:val="Rowcolumntitles"/>
              <w:rPr>
                <w:szCs w:val="22"/>
                <w:lang w:val="en-GB"/>
              </w:rPr>
            </w:pPr>
          </w:p>
        </w:tc>
        <w:tc>
          <w:tcPr>
            <w:tcW w:w="349" w:type="dxa"/>
            <w:vMerge w:val="restart"/>
            <w:shd w:val="clear" w:color="auto" w:fill="CCC0D9" w:themeFill="accent4" w:themeFillTint="66"/>
          </w:tcPr>
          <w:p w14:paraId="225013DE" w14:textId="114B58DE" w:rsidR="003221C6" w:rsidRPr="00163080" w:rsidRDefault="003221C6" w:rsidP="000E0B9A">
            <w:pPr>
              <w:pStyle w:val="Rowcolumntitles"/>
              <w:rPr>
                <w:color w:val="BFBFBF" w:themeColor="background1" w:themeShade="BF"/>
                <w:szCs w:val="22"/>
                <w:lang w:val="en-GB"/>
              </w:rPr>
            </w:pPr>
          </w:p>
        </w:tc>
        <w:tc>
          <w:tcPr>
            <w:tcW w:w="349" w:type="dxa"/>
            <w:vMerge w:val="restart"/>
            <w:shd w:val="clear" w:color="auto" w:fill="CCC0D9" w:themeFill="accent4" w:themeFillTint="66"/>
          </w:tcPr>
          <w:p w14:paraId="7516EB42" w14:textId="0E7CECE7"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351" w:type="dxa"/>
            <w:gridSpan w:val="2"/>
            <w:vMerge w:val="restart"/>
            <w:shd w:val="clear" w:color="auto" w:fill="CCC0D9" w:themeFill="accent4" w:themeFillTint="66"/>
          </w:tcPr>
          <w:p w14:paraId="0B4C4B59" w14:textId="77777777" w:rsidR="003221C6" w:rsidRPr="00163080" w:rsidRDefault="003221C6" w:rsidP="000E0B9A">
            <w:pPr>
              <w:pStyle w:val="Rowcolumntitles"/>
              <w:rPr>
                <w:szCs w:val="22"/>
                <w:lang w:val="en-GB"/>
              </w:rPr>
            </w:pPr>
          </w:p>
        </w:tc>
        <w:tc>
          <w:tcPr>
            <w:tcW w:w="505" w:type="dxa"/>
            <w:shd w:val="clear" w:color="auto" w:fill="B8CCE4" w:themeFill="accent1" w:themeFillTint="66"/>
          </w:tcPr>
          <w:p w14:paraId="612D48EE" w14:textId="34D36738" w:rsidR="003221C6" w:rsidRPr="00163080" w:rsidRDefault="003221C6" w:rsidP="000E0B9A">
            <w:pPr>
              <w:pStyle w:val="Rowcolumntitles"/>
              <w:rPr>
                <w:szCs w:val="22"/>
                <w:lang w:val="en-GB"/>
              </w:rPr>
            </w:pPr>
          </w:p>
        </w:tc>
        <w:tc>
          <w:tcPr>
            <w:tcW w:w="506" w:type="dxa"/>
            <w:gridSpan w:val="2"/>
            <w:shd w:val="clear" w:color="auto" w:fill="B8CCE4" w:themeFill="accent1" w:themeFillTint="66"/>
          </w:tcPr>
          <w:p w14:paraId="2153BD16" w14:textId="77777777" w:rsidR="003221C6" w:rsidRPr="00163080" w:rsidRDefault="003221C6" w:rsidP="000E0B9A">
            <w:pPr>
              <w:pStyle w:val="Rowcolumntitles"/>
              <w:rPr>
                <w:szCs w:val="22"/>
                <w:lang w:val="en-GB"/>
              </w:rPr>
            </w:pPr>
          </w:p>
        </w:tc>
        <w:tc>
          <w:tcPr>
            <w:tcW w:w="506" w:type="dxa"/>
            <w:gridSpan w:val="3"/>
            <w:shd w:val="clear" w:color="auto" w:fill="B8CCE4" w:themeFill="accent1" w:themeFillTint="66"/>
          </w:tcPr>
          <w:p w14:paraId="2489BAAD" w14:textId="77777777" w:rsidR="003221C6" w:rsidRPr="00163080" w:rsidRDefault="003221C6" w:rsidP="000E0B9A">
            <w:pPr>
              <w:pStyle w:val="Rowcolumntitles"/>
              <w:rPr>
                <w:szCs w:val="22"/>
                <w:lang w:val="en-GB"/>
              </w:rPr>
            </w:pPr>
          </w:p>
        </w:tc>
        <w:tc>
          <w:tcPr>
            <w:tcW w:w="511" w:type="dxa"/>
            <w:gridSpan w:val="2"/>
            <w:shd w:val="clear" w:color="auto" w:fill="B8CCE4" w:themeFill="accent1" w:themeFillTint="66"/>
          </w:tcPr>
          <w:p w14:paraId="27DA5C8D" w14:textId="52CB55D7"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377" w:type="dxa"/>
            <w:vMerge w:val="restart"/>
            <w:shd w:val="clear" w:color="auto" w:fill="D99594" w:themeFill="accent2" w:themeFillTint="99"/>
          </w:tcPr>
          <w:p w14:paraId="7F1D4B42"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21DD3277"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3DE5D313" w14:textId="14A1A466"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34DF638F" w14:textId="77777777" w:rsidR="003221C6" w:rsidRPr="00163080" w:rsidRDefault="003221C6" w:rsidP="000E0B9A">
            <w:pPr>
              <w:pStyle w:val="Rowcolumntitles"/>
              <w:rPr>
                <w:rFonts w:eastAsia="Times New Roman"/>
                <w:szCs w:val="22"/>
                <w:lang w:val="en-GB"/>
              </w:rPr>
            </w:pPr>
          </w:p>
        </w:tc>
        <w:tc>
          <w:tcPr>
            <w:tcW w:w="400" w:type="dxa"/>
            <w:vMerge w:val="restart"/>
            <w:shd w:val="clear" w:color="auto" w:fill="D99594" w:themeFill="accent2" w:themeFillTint="99"/>
          </w:tcPr>
          <w:p w14:paraId="78FB2EC0" w14:textId="77777777" w:rsidR="003221C6" w:rsidRPr="00163080" w:rsidRDefault="003221C6" w:rsidP="000E0B9A">
            <w:pPr>
              <w:pStyle w:val="Rowcolumntitles"/>
              <w:rPr>
                <w:rFonts w:eastAsia="Times New Roman"/>
                <w:szCs w:val="22"/>
                <w:lang w:val="en-GB"/>
              </w:rPr>
            </w:pPr>
          </w:p>
        </w:tc>
      </w:tr>
      <w:tr w:rsidR="000E0B9A" w:rsidRPr="009400F9" w14:paraId="355B3F9D" w14:textId="77777777" w:rsidTr="00BD1202">
        <w:trPr>
          <w:trHeight w:val="136"/>
        </w:trPr>
        <w:tc>
          <w:tcPr>
            <w:tcW w:w="1569" w:type="dxa"/>
            <w:vMerge/>
            <w:shd w:val="clear" w:color="auto" w:fill="000000" w:themeFill="text1"/>
          </w:tcPr>
          <w:p w14:paraId="6C4D76DF" w14:textId="77777777" w:rsidR="003221C6" w:rsidRPr="00163080" w:rsidRDefault="003221C6" w:rsidP="000E0B9A">
            <w:pPr>
              <w:pStyle w:val="Rowcolumntitles"/>
              <w:rPr>
                <w:color w:val="FFFFFF" w:themeColor="background1"/>
                <w:szCs w:val="22"/>
                <w:lang w:val="en-GB"/>
              </w:rPr>
            </w:pPr>
          </w:p>
        </w:tc>
        <w:tc>
          <w:tcPr>
            <w:tcW w:w="415" w:type="dxa"/>
            <w:vMerge/>
            <w:shd w:val="clear" w:color="auto" w:fill="D6E3BC" w:themeFill="accent3" w:themeFillTint="66"/>
          </w:tcPr>
          <w:p w14:paraId="72D63A27" w14:textId="77777777" w:rsidR="003221C6" w:rsidRPr="00163080" w:rsidRDefault="003221C6" w:rsidP="000E0B9A">
            <w:pPr>
              <w:pStyle w:val="Rowcolumntitles"/>
              <w:rPr>
                <w:szCs w:val="22"/>
                <w:lang w:val="en-GB"/>
              </w:rPr>
            </w:pPr>
          </w:p>
        </w:tc>
        <w:tc>
          <w:tcPr>
            <w:tcW w:w="418" w:type="dxa"/>
            <w:vMerge/>
            <w:shd w:val="clear" w:color="auto" w:fill="D6E3BC" w:themeFill="accent3" w:themeFillTint="66"/>
          </w:tcPr>
          <w:p w14:paraId="1F81CECD" w14:textId="77777777" w:rsidR="003221C6" w:rsidRPr="00163080" w:rsidRDefault="003221C6" w:rsidP="000E0B9A">
            <w:pPr>
              <w:pStyle w:val="Rowcolumntitles"/>
              <w:rPr>
                <w:szCs w:val="22"/>
                <w:lang w:val="en-GB"/>
              </w:rPr>
            </w:pPr>
          </w:p>
        </w:tc>
        <w:tc>
          <w:tcPr>
            <w:tcW w:w="380" w:type="dxa"/>
            <w:vMerge/>
            <w:shd w:val="clear" w:color="auto" w:fill="D6E3BC" w:themeFill="accent3" w:themeFillTint="66"/>
          </w:tcPr>
          <w:p w14:paraId="51E73FDA" w14:textId="77777777" w:rsidR="003221C6" w:rsidRPr="00163080" w:rsidRDefault="003221C6" w:rsidP="000E0B9A">
            <w:pPr>
              <w:pStyle w:val="Rowcolumntitles"/>
              <w:rPr>
                <w:rFonts w:eastAsia="Times New Roman"/>
                <w:szCs w:val="22"/>
                <w:lang w:val="en-GB"/>
              </w:rPr>
            </w:pPr>
          </w:p>
        </w:tc>
        <w:tc>
          <w:tcPr>
            <w:tcW w:w="298" w:type="dxa"/>
            <w:vMerge/>
            <w:shd w:val="clear" w:color="auto" w:fill="D6E3BC" w:themeFill="accent3" w:themeFillTint="66"/>
          </w:tcPr>
          <w:p w14:paraId="2F895C92" w14:textId="77777777" w:rsidR="003221C6" w:rsidRPr="00163080" w:rsidRDefault="003221C6" w:rsidP="000E0B9A">
            <w:pPr>
              <w:pStyle w:val="Rowcolumntitles"/>
              <w:rPr>
                <w:szCs w:val="22"/>
                <w:lang w:val="en-GB"/>
              </w:rPr>
            </w:pPr>
          </w:p>
        </w:tc>
        <w:tc>
          <w:tcPr>
            <w:tcW w:w="687" w:type="dxa"/>
            <w:vMerge/>
            <w:shd w:val="clear" w:color="auto" w:fill="FBD4B4" w:themeFill="accent6" w:themeFillTint="66"/>
          </w:tcPr>
          <w:p w14:paraId="7E2797AA" w14:textId="77777777" w:rsidR="003221C6" w:rsidRPr="00163080" w:rsidRDefault="003221C6" w:rsidP="000E0B9A">
            <w:pPr>
              <w:pStyle w:val="Rowcolumntitles"/>
              <w:rPr>
                <w:rFonts w:eastAsia="Times New Roman"/>
                <w:szCs w:val="22"/>
                <w:lang w:val="en-GB"/>
              </w:rPr>
            </w:pPr>
          </w:p>
        </w:tc>
        <w:tc>
          <w:tcPr>
            <w:tcW w:w="311" w:type="dxa"/>
            <w:vMerge/>
            <w:shd w:val="clear" w:color="auto" w:fill="FBD4B4" w:themeFill="accent6" w:themeFillTint="66"/>
          </w:tcPr>
          <w:p w14:paraId="4FF25CC1" w14:textId="77777777" w:rsidR="003221C6" w:rsidRPr="00163080" w:rsidRDefault="003221C6" w:rsidP="000E0B9A">
            <w:pPr>
              <w:pStyle w:val="Rowcolumntitles"/>
              <w:rPr>
                <w:color w:val="BFBFBF" w:themeColor="background1" w:themeShade="BF"/>
                <w:szCs w:val="22"/>
                <w:lang w:val="en-GB"/>
              </w:rPr>
            </w:pPr>
          </w:p>
        </w:tc>
        <w:tc>
          <w:tcPr>
            <w:tcW w:w="417" w:type="dxa"/>
            <w:vMerge/>
            <w:shd w:val="clear" w:color="auto" w:fill="FBD4B4" w:themeFill="accent6" w:themeFillTint="66"/>
          </w:tcPr>
          <w:p w14:paraId="1FDD25AB" w14:textId="77777777" w:rsidR="003221C6" w:rsidRPr="00163080" w:rsidRDefault="003221C6" w:rsidP="000E0B9A">
            <w:pPr>
              <w:pStyle w:val="Rowcolumntitles"/>
              <w:rPr>
                <w:szCs w:val="22"/>
                <w:lang w:val="en-GB"/>
              </w:rPr>
            </w:pPr>
          </w:p>
        </w:tc>
        <w:tc>
          <w:tcPr>
            <w:tcW w:w="947" w:type="dxa"/>
            <w:vMerge/>
            <w:shd w:val="clear" w:color="auto" w:fill="FBD4B4" w:themeFill="accent6" w:themeFillTint="66"/>
          </w:tcPr>
          <w:p w14:paraId="01FAC487" w14:textId="77777777" w:rsidR="003221C6" w:rsidRPr="00163080" w:rsidRDefault="003221C6" w:rsidP="000E0B9A">
            <w:pPr>
              <w:pStyle w:val="Rowcolumntitles"/>
              <w:rPr>
                <w:szCs w:val="22"/>
                <w:lang w:val="en-GB"/>
              </w:rPr>
            </w:pPr>
          </w:p>
        </w:tc>
        <w:tc>
          <w:tcPr>
            <w:tcW w:w="349" w:type="dxa"/>
            <w:vMerge/>
            <w:shd w:val="clear" w:color="auto" w:fill="CCC0D9" w:themeFill="accent4" w:themeFillTint="66"/>
          </w:tcPr>
          <w:p w14:paraId="0C521363" w14:textId="77777777" w:rsidR="003221C6" w:rsidRPr="00163080" w:rsidRDefault="003221C6" w:rsidP="000E0B9A">
            <w:pPr>
              <w:pStyle w:val="Rowcolumntitles"/>
              <w:rPr>
                <w:szCs w:val="22"/>
                <w:lang w:val="en-GB"/>
              </w:rPr>
            </w:pPr>
          </w:p>
        </w:tc>
        <w:tc>
          <w:tcPr>
            <w:tcW w:w="349" w:type="dxa"/>
            <w:vMerge/>
            <w:shd w:val="clear" w:color="auto" w:fill="CCC0D9" w:themeFill="accent4" w:themeFillTint="66"/>
          </w:tcPr>
          <w:p w14:paraId="43BE741D"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7C796160" w14:textId="77777777" w:rsidR="003221C6" w:rsidRPr="00163080" w:rsidRDefault="003221C6" w:rsidP="000E0B9A">
            <w:pPr>
              <w:pStyle w:val="Rowcolumntitles"/>
              <w:rPr>
                <w:szCs w:val="22"/>
                <w:lang w:val="en-GB"/>
              </w:rPr>
            </w:pPr>
          </w:p>
        </w:tc>
        <w:tc>
          <w:tcPr>
            <w:tcW w:w="351" w:type="dxa"/>
            <w:gridSpan w:val="2"/>
            <w:vMerge/>
            <w:shd w:val="clear" w:color="auto" w:fill="CCC0D9" w:themeFill="accent4" w:themeFillTint="66"/>
          </w:tcPr>
          <w:p w14:paraId="5799A386" w14:textId="77777777" w:rsidR="003221C6" w:rsidRPr="00163080" w:rsidRDefault="003221C6" w:rsidP="000E0B9A">
            <w:pPr>
              <w:pStyle w:val="Rowcolumntitles"/>
              <w:rPr>
                <w:szCs w:val="22"/>
                <w:lang w:val="en-GB"/>
              </w:rPr>
            </w:pPr>
          </w:p>
        </w:tc>
        <w:tc>
          <w:tcPr>
            <w:tcW w:w="505" w:type="dxa"/>
            <w:shd w:val="clear" w:color="auto" w:fill="B8CCE4" w:themeFill="accent1" w:themeFillTint="66"/>
          </w:tcPr>
          <w:p w14:paraId="1A27EECC" w14:textId="0DDE18BD" w:rsidR="003221C6" w:rsidRPr="00163080" w:rsidRDefault="003221C6" w:rsidP="000E0B9A">
            <w:pPr>
              <w:pStyle w:val="Rowcolumntitles"/>
              <w:rPr>
                <w:rFonts w:eastAsia="Times New Roman"/>
                <w:szCs w:val="22"/>
                <w:lang w:val="en-GB"/>
              </w:rPr>
            </w:pPr>
          </w:p>
        </w:tc>
        <w:tc>
          <w:tcPr>
            <w:tcW w:w="506" w:type="dxa"/>
            <w:gridSpan w:val="2"/>
            <w:shd w:val="clear" w:color="auto" w:fill="B8CCE4" w:themeFill="accent1" w:themeFillTint="66"/>
          </w:tcPr>
          <w:p w14:paraId="0900C88D" w14:textId="77777777" w:rsidR="003221C6" w:rsidRPr="00163080" w:rsidRDefault="003221C6" w:rsidP="000E0B9A">
            <w:pPr>
              <w:pStyle w:val="Rowcolumntitles"/>
              <w:rPr>
                <w:rFonts w:eastAsia="Times New Roman"/>
                <w:szCs w:val="22"/>
                <w:lang w:val="en-GB"/>
              </w:rPr>
            </w:pPr>
          </w:p>
        </w:tc>
        <w:tc>
          <w:tcPr>
            <w:tcW w:w="506" w:type="dxa"/>
            <w:gridSpan w:val="3"/>
            <w:shd w:val="clear" w:color="auto" w:fill="B8CCE4" w:themeFill="accent1" w:themeFillTint="66"/>
          </w:tcPr>
          <w:p w14:paraId="7E1A84CA" w14:textId="77777777" w:rsidR="003221C6" w:rsidRPr="00163080" w:rsidRDefault="003221C6" w:rsidP="000E0B9A">
            <w:pPr>
              <w:pStyle w:val="Rowcolumntitles"/>
              <w:rPr>
                <w:rFonts w:eastAsia="Times New Roman"/>
                <w:szCs w:val="22"/>
                <w:lang w:val="en-GB"/>
              </w:rPr>
            </w:pPr>
          </w:p>
        </w:tc>
        <w:tc>
          <w:tcPr>
            <w:tcW w:w="511" w:type="dxa"/>
            <w:gridSpan w:val="2"/>
            <w:shd w:val="clear" w:color="auto" w:fill="B8CCE4" w:themeFill="accent1" w:themeFillTint="66"/>
          </w:tcPr>
          <w:p w14:paraId="14DB0E35" w14:textId="5A6522BB"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32BCB4BD"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0C6E73F4"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04632173"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6A06E907" w14:textId="77777777" w:rsidR="003221C6" w:rsidRPr="00163080" w:rsidRDefault="003221C6" w:rsidP="000E0B9A">
            <w:pPr>
              <w:pStyle w:val="Rowcolumntitles"/>
              <w:rPr>
                <w:rFonts w:eastAsia="Times New Roman"/>
                <w:szCs w:val="22"/>
                <w:lang w:val="en-GB"/>
              </w:rPr>
            </w:pPr>
          </w:p>
        </w:tc>
        <w:tc>
          <w:tcPr>
            <w:tcW w:w="400" w:type="dxa"/>
            <w:vMerge/>
            <w:shd w:val="clear" w:color="auto" w:fill="D99594" w:themeFill="accent2" w:themeFillTint="99"/>
          </w:tcPr>
          <w:p w14:paraId="2626B0D9" w14:textId="77777777" w:rsidR="003221C6" w:rsidRPr="00163080" w:rsidRDefault="003221C6" w:rsidP="000E0B9A">
            <w:pPr>
              <w:pStyle w:val="Rowcolumntitles"/>
              <w:rPr>
                <w:rFonts w:eastAsia="Times New Roman"/>
                <w:szCs w:val="22"/>
                <w:lang w:val="en-GB"/>
              </w:rPr>
            </w:pPr>
          </w:p>
        </w:tc>
      </w:tr>
      <w:tr w:rsidR="000E0B9A" w:rsidRPr="009400F9" w14:paraId="7B47FE44" w14:textId="77777777" w:rsidTr="00BD1202">
        <w:trPr>
          <w:trHeight w:val="200"/>
        </w:trPr>
        <w:tc>
          <w:tcPr>
            <w:tcW w:w="1569" w:type="dxa"/>
            <w:vMerge w:val="restart"/>
            <w:shd w:val="clear" w:color="auto" w:fill="000000" w:themeFill="text1"/>
          </w:tcPr>
          <w:p w14:paraId="08A42828" w14:textId="104F63B5" w:rsidR="003221C6" w:rsidRPr="00163080" w:rsidRDefault="003221C6" w:rsidP="000E0B9A">
            <w:pPr>
              <w:pStyle w:val="Rowcolumntitles"/>
              <w:rPr>
                <w:color w:val="FFFFFF" w:themeColor="background1"/>
                <w:szCs w:val="22"/>
                <w:lang w:val="en-GB"/>
              </w:rPr>
            </w:pPr>
            <w:r w:rsidRPr="00163080">
              <w:rPr>
                <w:noProof/>
                <w:color w:val="FFFFFF" w:themeColor="background1"/>
                <w:szCs w:val="22"/>
                <w:lang w:val="en-GB"/>
              </w:rPr>
              <w:t xml:space="preserve">4. Public participation law </w:t>
            </w:r>
          </w:p>
        </w:tc>
        <w:tc>
          <w:tcPr>
            <w:tcW w:w="415" w:type="dxa"/>
            <w:vMerge w:val="restart"/>
            <w:shd w:val="clear" w:color="auto" w:fill="D6E3BC" w:themeFill="accent3" w:themeFillTint="66"/>
          </w:tcPr>
          <w:p w14:paraId="1CA529E6" w14:textId="77777777" w:rsidR="003221C6" w:rsidRPr="00163080" w:rsidRDefault="003221C6" w:rsidP="000E0B9A">
            <w:pPr>
              <w:pStyle w:val="Rowcolumntitles"/>
              <w:rPr>
                <w:szCs w:val="22"/>
                <w:lang w:val="en-GB"/>
              </w:rPr>
            </w:pPr>
          </w:p>
        </w:tc>
        <w:tc>
          <w:tcPr>
            <w:tcW w:w="418" w:type="dxa"/>
            <w:vMerge w:val="restart"/>
            <w:shd w:val="clear" w:color="auto" w:fill="D6E3BC" w:themeFill="accent3" w:themeFillTint="66"/>
          </w:tcPr>
          <w:p w14:paraId="07452C35" w14:textId="77777777" w:rsidR="003221C6" w:rsidRPr="00163080" w:rsidRDefault="003221C6" w:rsidP="000E0B9A">
            <w:pPr>
              <w:pStyle w:val="Rowcolumntitles"/>
              <w:rPr>
                <w:rFonts w:eastAsia="Times New Roman"/>
                <w:szCs w:val="22"/>
                <w:lang w:val="en-GB"/>
              </w:rPr>
            </w:pPr>
          </w:p>
        </w:tc>
        <w:tc>
          <w:tcPr>
            <w:tcW w:w="380" w:type="dxa"/>
            <w:vMerge w:val="restart"/>
            <w:shd w:val="clear" w:color="auto" w:fill="D6E3BC" w:themeFill="accent3" w:themeFillTint="66"/>
          </w:tcPr>
          <w:p w14:paraId="03BDA3F5" w14:textId="77777777" w:rsidR="003221C6" w:rsidRPr="00163080" w:rsidRDefault="003221C6" w:rsidP="000E0B9A">
            <w:pPr>
              <w:pStyle w:val="Rowcolumntitles"/>
              <w:rPr>
                <w:szCs w:val="22"/>
                <w:lang w:val="en-GB"/>
              </w:rPr>
            </w:pPr>
          </w:p>
        </w:tc>
        <w:tc>
          <w:tcPr>
            <w:tcW w:w="298" w:type="dxa"/>
            <w:vMerge w:val="restart"/>
            <w:shd w:val="clear" w:color="auto" w:fill="D6E3BC" w:themeFill="accent3" w:themeFillTint="66"/>
          </w:tcPr>
          <w:p w14:paraId="1D47920C" w14:textId="49678AC5"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5A65EFF8" w14:textId="67DCFFFD" w:rsidR="003221C6" w:rsidRPr="00163080" w:rsidRDefault="003221C6" w:rsidP="000E0B9A">
            <w:pPr>
              <w:pStyle w:val="Rowcolumntitles"/>
              <w:rPr>
                <w:rFonts w:eastAsia="Times New Roman"/>
                <w:szCs w:val="22"/>
                <w:lang w:val="en-GB"/>
              </w:rPr>
            </w:pPr>
          </w:p>
        </w:tc>
        <w:tc>
          <w:tcPr>
            <w:tcW w:w="311" w:type="dxa"/>
            <w:vMerge w:val="restart"/>
            <w:shd w:val="clear" w:color="auto" w:fill="FBD4B4" w:themeFill="accent6" w:themeFillTint="66"/>
          </w:tcPr>
          <w:p w14:paraId="13B3F13C" w14:textId="03EF7DCC" w:rsidR="003221C6" w:rsidRPr="00163080" w:rsidRDefault="003221C6" w:rsidP="000E0B9A">
            <w:pPr>
              <w:pStyle w:val="Rowcolumntitles"/>
              <w:rPr>
                <w:color w:val="BFBFBF" w:themeColor="background1" w:themeShade="BF"/>
                <w:szCs w:val="22"/>
                <w:lang w:val="en-GB"/>
              </w:rPr>
            </w:pPr>
            <w:r w:rsidRPr="00163080">
              <w:rPr>
                <w:rFonts w:ascii="MS Mincho" w:eastAsia="MS Mincho" w:hAnsi="MS Mincho" w:cs="MS Mincho"/>
                <w:noProof/>
                <w:szCs w:val="22"/>
                <w:lang w:val="en-GB"/>
              </w:rPr>
              <w:t>✔</w:t>
            </w:r>
          </w:p>
        </w:tc>
        <w:tc>
          <w:tcPr>
            <w:tcW w:w="417" w:type="dxa"/>
            <w:vMerge w:val="restart"/>
            <w:shd w:val="clear" w:color="auto" w:fill="FBD4B4" w:themeFill="accent6" w:themeFillTint="66"/>
          </w:tcPr>
          <w:p w14:paraId="793A5319" w14:textId="15B9A85E"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947" w:type="dxa"/>
            <w:vMerge w:val="restart"/>
            <w:shd w:val="clear" w:color="auto" w:fill="FBD4B4" w:themeFill="accent6" w:themeFillTint="66"/>
          </w:tcPr>
          <w:p w14:paraId="4D92F126" w14:textId="77777777" w:rsidR="003221C6" w:rsidRPr="00163080" w:rsidRDefault="003221C6" w:rsidP="000E0B9A">
            <w:pPr>
              <w:pStyle w:val="Rowcolumntitles"/>
              <w:rPr>
                <w:rFonts w:eastAsia="Times New Roman"/>
                <w:szCs w:val="22"/>
                <w:lang w:val="en-GB"/>
              </w:rPr>
            </w:pPr>
          </w:p>
        </w:tc>
        <w:tc>
          <w:tcPr>
            <w:tcW w:w="349" w:type="dxa"/>
            <w:vMerge w:val="restart"/>
            <w:shd w:val="clear" w:color="auto" w:fill="CCC0D9" w:themeFill="accent4" w:themeFillTint="66"/>
          </w:tcPr>
          <w:p w14:paraId="193A1D71" w14:textId="77777777" w:rsidR="003221C6" w:rsidRPr="00163080" w:rsidRDefault="003221C6" w:rsidP="000E0B9A">
            <w:pPr>
              <w:pStyle w:val="Rowcolumntitles"/>
              <w:rPr>
                <w:szCs w:val="22"/>
                <w:lang w:val="en-GB"/>
              </w:rPr>
            </w:pPr>
          </w:p>
        </w:tc>
        <w:tc>
          <w:tcPr>
            <w:tcW w:w="349" w:type="dxa"/>
            <w:vMerge w:val="restart"/>
            <w:shd w:val="clear" w:color="auto" w:fill="CCC0D9" w:themeFill="accent4" w:themeFillTint="66"/>
          </w:tcPr>
          <w:p w14:paraId="65883B56" w14:textId="24556B52" w:rsidR="003221C6" w:rsidRPr="00163080" w:rsidRDefault="003221C6" w:rsidP="000E0B9A">
            <w:pPr>
              <w:pStyle w:val="Rowcolumntitles"/>
              <w:rPr>
                <w:rFonts w:eastAsia="Times New Roman"/>
                <w:szCs w:val="22"/>
                <w:lang w:val="en-GB"/>
              </w:rPr>
            </w:pPr>
          </w:p>
        </w:tc>
        <w:tc>
          <w:tcPr>
            <w:tcW w:w="349" w:type="dxa"/>
            <w:vMerge w:val="restart"/>
            <w:shd w:val="clear" w:color="auto" w:fill="CCC0D9" w:themeFill="accent4" w:themeFillTint="66"/>
          </w:tcPr>
          <w:p w14:paraId="3659306E" w14:textId="699909B8"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351" w:type="dxa"/>
            <w:gridSpan w:val="2"/>
            <w:vMerge w:val="restart"/>
            <w:shd w:val="clear" w:color="auto" w:fill="CCC0D9" w:themeFill="accent4" w:themeFillTint="66"/>
          </w:tcPr>
          <w:p w14:paraId="16A3ABCD" w14:textId="77777777" w:rsidR="003221C6" w:rsidRPr="00163080" w:rsidRDefault="003221C6" w:rsidP="000E0B9A">
            <w:pPr>
              <w:pStyle w:val="Rowcolumntitles"/>
              <w:rPr>
                <w:szCs w:val="22"/>
                <w:lang w:val="en-GB"/>
              </w:rPr>
            </w:pPr>
          </w:p>
        </w:tc>
        <w:tc>
          <w:tcPr>
            <w:tcW w:w="505" w:type="dxa"/>
            <w:shd w:val="clear" w:color="auto" w:fill="B8CCE4" w:themeFill="accent1" w:themeFillTint="66"/>
          </w:tcPr>
          <w:p w14:paraId="1E15C670" w14:textId="7B30673D" w:rsidR="003221C6" w:rsidRPr="00163080" w:rsidRDefault="003221C6" w:rsidP="000E0B9A">
            <w:pPr>
              <w:pStyle w:val="Rowcolumntitles"/>
              <w:rPr>
                <w:szCs w:val="22"/>
                <w:highlight w:val="yellow"/>
                <w:lang w:val="en-GB"/>
              </w:rPr>
            </w:pPr>
          </w:p>
        </w:tc>
        <w:tc>
          <w:tcPr>
            <w:tcW w:w="506" w:type="dxa"/>
            <w:gridSpan w:val="2"/>
            <w:shd w:val="clear" w:color="auto" w:fill="B8CCE4" w:themeFill="accent1" w:themeFillTint="66"/>
          </w:tcPr>
          <w:p w14:paraId="434795DD" w14:textId="41A87CBB" w:rsidR="003221C6" w:rsidRPr="00163080" w:rsidRDefault="003221C6" w:rsidP="000E0B9A">
            <w:pPr>
              <w:pStyle w:val="Rowcolumntitles"/>
              <w:rPr>
                <w:szCs w:val="22"/>
                <w:highlight w:val="yellow"/>
                <w:lang w:val="en-GB"/>
              </w:rPr>
            </w:pPr>
            <w:r w:rsidRPr="00163080">
              <w:rPr>
                <w:rFonts w:ascii="MS Mincho" w:eastAsia="MS Mincho" w:hAnsi="MS Mincho" w:cs="MS Mincho"/>
                <w:noProof/>
                <w:szCs w:val="22"/>
                <w:lang w:val="en-GB"/>
              </w:rPr>
              <w:t>✔</w:t>
            </w:r>
          </w:p>
        </w:tc>
        <w:tc>
          <w:tcPr>
            <w:tcW w:w="506" w:type="dxa"/>
            <w:gridSpan w:val="3"/>
            <w:shd w:val="clear" w:color="auto" w:fill="B8CCE4" w:themeFill="accent1" w:themeFillTint="66"/>
          </w:tcPr>
          <w:p w14:paraId="2C4D1408" w14:textId="77777777" w:rsidR="003221C6" w:rsidRPr="00163080" w:rsidRDefault="003221C6" w:rsidP="000E0B9A">
            <w:pPr>
              <w:pStyle w:val="Rowcolumntitles"/>
              <w:rPr>
                <w:szCs w:val="22"/>
                <w:highlight w:val="yellow"/>
                <w:lang w:val="en-GB"/>
              </w:rPr>
            </w:pPr>
          </w:p>
        </w:tc>
        <w:tc>
          <w:tcPr>
            <w:tcW w:w="511" w:type="dxa"/>
            <w:gridSpan w:val="2"/>
            <w:shd w:val="clear" w:color="auto" w:fill="B8CCE4" w:themeFill="accent1" w:themeFillTint="66"/>
          </w:tcPr>
          <w:p w14:paraId="5CBA5905" w14:textId="0984B605" w:rsidR="003221C6" w:rsidRPr="00163080" w:rsidRDefault="003221C6" w:rsidP="000E0B9A">
            <w:pPr>
              <w:pStyle w:val="Rowcolumntitles"/>
              <w:rPr>
                <w:szCs w:val="22"/>
                <w:highlight w:val="yellow"/>
                <w:lang w:val="en-GB"/>
              </w:rPr>
            </w:pPr>
          </w:p>
        </w:tc>
        <w:tc>
          <w:tcPr>
            <w:tcW w:w="377" w:type="dxa"/>
            <w:vMerge w:val="restart"/>
            <w:shd w:val="clear" w:color="auto" w:fill="D99594" w:themeFill="accent2" w:themeFillTint="99"/>
          </w:tcPr>
          <w:p w14:paraId="73F5EF41"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3CE873AB"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3CAA460E" w14:textId="182CABBB"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6B4E663E" w14:textId="77777777" w:rsidR="003221C6" w:rsidRPr="00163080" w:rsidRDefault="003221C6" w:rsidP="000E0B9A">
            <w:pPr>
              <w:pStyle w:val="Rowcolumntitles"/>
              <w:rPr>
                <w:rFonts w:eastAsia="Times New Roman"/>
                <w:szCs w:val="22"/>
                <w:lang w:val="en-GB"/>
              </w:rPr>
            </w:pPr>
          </w:p>
        </w:tc>
        <w:tc>
          <w:tcPr>
            <w:tcW w:w="400" w:type="dxa"/>
            <w:vMerge w:val="restart"/>
            <w:shd w:val="clear" w:color="auto" w:fill="D99594" w:themeFill="accent2" w:themeFillTint="99"/>
          </w:tcPr>
          <w:p w14:paraId="39B54C97" w14:textId="77777777" w:rsidR="003221C6" w:rsidRPr="00163080" w:rsidRDefault="003221C6" w:rsidP="000E0B9A">
            <w:pPr>
              <w:pStyle w:val="Rowcolumntitles"/>
              <w:rPr>
                <w:rFonts w:eastAsia="Times New Roman"/>
                <w:szCs w:val="22"/>
                <w:lang w:val="en-GB"/>
              </w:rPr>
            </w:pPr>
          </w:p>
        </w:tc>
      </w:tr>
      <w:tr w:rsidR="000E0B9A" w:rsidRPr="009400F9" w14:paraId="5865DCF9" w14:textId="77777777" w:rsidTr="00BD1202">
        <w:trPr>
          <w:trHeight w:val="200"/>
        </w:trPr>
        <w:tc>
          <w:tcPr>
            <w:tcW w:w="1569" w:type="dxa"/>
            <w:vMerge/>
            <w:shd w:val="clear" w:color="auto" w:fill="000000" w:themeFill="text1"/>
          </w:tcPr>
          <w:p w14:paraId="217EE8FC" w14:textId="77777777" w:rsidR="003221C6" w:rsidRPr="00163080" w:rsidRDefault="003221C6" w:rsidP="000E0B9A">
            <w:pPr>
              <w:pStyle w:val="Rowcolumntitles"/>
              <w:rPr>
                <w:noProof/>
                <w:color w:val="FFFFFF" w:themeColor="background1"/>
                <w:szCs w:val="22"/>
                <w:lang w:val="en-GB"/>
              </w:rPr>
            </w:pPr>
          </w:p>
        </w:tc>
        <w:tc>
          <w:tcPr>
            <w:tcW w:w="415" w:type="dxa"/>
            <w:vMerge/>
            <w:shd w:val="clear" w:color="auto" w:fill="D6E3BC" w:themeFill="accent3" w:themeFillTint="66"/>
          </w:tcPr>
          <w:p w14:paraId="1CBCD08F" w14:textId="77777777" w:rsidR="003221C6" w:rsidRPr="00163080" w:rsidRDefault="003221C6" w:rsidP="000E0B9A">
            <w:pPr>
              <w:pStyle w:val="Rowcolumntitles"/>
              <w:rPr>
                <w:szCs w:val="22"/>
                <w:lang w:val="en-GB"/>
              </w:rPr>
            </w:pPr>
          </w:p>
        </w:tc>
        <w:tc>
          <w:tcPr>
            <w:tcW w:w="418" w:type="dxa"/>
            <w:vMerge/>
            <w:shd w:val="clear" w:color="auto" w:fill="D6E3BC" w:themeFill="accent3" w:themeFillTint="66"/>
          </w:tcPr>
          <w:p w14:paraId="1299BC98" w14:textId="77777777" w:rsidR="003221C6" w:rsidRPr="00163080" w:rsidRDefault="003221C6" w:rsidP="000E0B9A">
            <w:pPr>
              <w:pStyle w:val="Rowcolumntitles"/>
              <w:rPr>
                <w:rFonts w:eastAsia="Times New Roman"/>
                <w:szCs w:val="22"/>
                <w:lang w:val="en-GB"/>
              </w:rPr>
            </w:pPr>
          </w:p>
        </w:tc>
        <w:tc>
          <w:tcPr>
            <w:tcW w:w="380" w:type="dxa"/>
            <w:vMerge/>
            <w:shd w:val="clear" w:color="auto" w:fill="D6E3BC" w:themeFill="accent3" w:themeFillTint="66"/>
          </w:tcPr>
          <w:p w14:paraId="2EE4C100" w14:textId="77777777" w:rsidR="003221C6" w:rsidRPr="00163080" w:rsidRDefault="003221C6" w:rsidP="000E0B9A">
            <w:pPr>
              <w:pStyle w:val="Rowcolumntitles"/>
              <w:rPr>
                <w:szCs w:val="22"/>
                <w:lang w:val="en-GB"/>
              </w:rPr>
            </w:pPr>
          </w:p>
        </w:tc>
        <w:tc>
          <w:tcPr>
            <w:tcW w:w="298" w:type="dxa"/>
            <w:vMerge/>
            <w:shd w:val="clear" w:color="auto" w:fill="D6E3BC" w:themeFill="accent3" w:themeFillTint="66"/>
          </w:tcPr>
          <w:p w14:paraId="18CCF62B" w14:textId="77777777" w:rsidR="003221C6" w:rsidRPr="00163080" w:rsidRDefault="003221C6" w:rsidP="000E0B9A">
            <w:pPr>
              <w:pStyle w:val="Rowcolumntitles"/>
              <w:rPr>
                <w:noProof/>
                <w:szCs w:val="22"/>
                <w:lang w:val="en-GB"/>
              </w:rPr>
            </w:pPr>
          </w:p>
        </w:tc>
        <w:tc>
          <w:tcPr>
            <w:tcW w:w="687" w:type="dxa"/>
            <w:vMerge/>
            <w:shd w:val="clear" w:color="auto" w:fill="FBD4B4" w:themeFill="accent6" w:themeFillTint="66"/>
          </w:tcPr>
          <w:p w14:paraId="1DEE5DAB" w14:textId="77777777" w:rsidR="003221C6" w:rsidRPr="00163080" w:rsidRDefault="003221C6" w:rsidP="000E0B9A">
            <w:pPr>
              <w:pStyle w:val="Rowcolumntitles"/>
              <w:rPr>
                <w:rFonts w:eastAsia="Times New Roman"/>
                <w:szCs w:val="22"/>
                <w:lang w:val="en-GB"/>
              </w:rPr>
            </w:pPr>
          </w:p>
        </w:tc>
        <w:tc>
          <w:tcPr>
            <w:tcW w:w="311" w:type="dxa"/>
            <w:vMerge/>
            <w:shd w:val="clear" w:color="auto" w:fill="FBD4B4" w:themeFill="accent6" w:themeFillTint="66"/>
          </w:tcPr>
          <w:p w14:paraId="5C8C33F9" w14:textId="77777777" w:rsidR="003221C6" w:rsidRPr="00163080" w:rsidRDefault="003221C6" w:rsidP="000E0B9A">
            <w:pPr>
              <w:pStyle w:val="Rowcolumntitles"/>
              <w:rPr>
                <w:noProof/>
                <w:szCs w:val="22"/>
                <w:lang w:val="en-GB"/>
              </w:rPr>
            </w:pPr>
          </w:p>
        </w:tc>
        <w:tc>
          <w:tcPr>
            <w:tcW w:w="417" w:type="dxa"/>
            <w:vMerge/>
            <w:shd w:val="clear" w:color="auto" w:fill="FBD4B4" w:themeFill="accent6" w:themeFillTint="66"/>
          </w:tcPr>
          <w:p w14:paraId="09B2C2E8" w14:textId="77777777" w:rsidR="003221C6" w:rsidRPr="00163080" w:rsidRDefault="003221C6" w:rsidP="000E0B9A">
            <w:pPr>
              <w:pStyle w:val="Rowcolumntitles"/>
              <w:rPr>
                <w:noProof/>
                <w:szCs w:val="22"/>
                <w:lang w:val="en-GB"/>
              </w:rPr>
            </w:pPr>
          </w:p>
        </w:tc>
        <w:tc>
          <w:tcPr>
            <w:tcW w:w="947" w:type="dxa"/>
            <w:vMerge/>
            <w:shd w:val="clear" w:color="auto" w:fill="FBD4B4" w:themeFill="accent6" w:themeFillTint="66"/>
          </w:tcPr>
          <w:p w14:paraId="29EC03E4"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5E5E11DA" w14:textId="77777777" w:rsidR="003221C6" w:rsidRPr="00163080" w:rsidRDefault="003221C6" w:rsidP="000E0B9A">
            <w:pPr>
              <w:pStyle w:val="Rowcolumntitles"/>
              <w:rPr>
                <w:szCs w:val="22"/>
                <w:lang w:val="en-GB"/>
              </w:rPr>
            </w:pPr>
          </w:p>
        </w:tc>
        <w:tc>
          <w:tcPr>
            <w:tcW w:w="349" w:type="dxa"/>
            <w:vMerge/>
            <w:shd w:val="clear" w:color="auto" w:fill="CCC0D9" w:themeFill="accent4" w:themeFillTint="66"/>
          </w:tcPr>
          <w:p w14:paraId="59DFB1BC"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75B25575" w14:textId="77777777" w:rsidR="003221C6" w:rsidRPr="00163080" w:rsidRDefault="003221C6" w:rsidP="000E0B9A">
            <w:pPr>
              <w:pStyle w:val="Rowcolumntitles"/>
              <w:rPr>
                <w:noProof/>
                <w:szCs w:val="22"/>
                <w:lang w:val="en-GB"/>
              </w:rPr>
            </w:pPr>
          </w:p>
        </w:tc>
        <w:tc>
          <w:tcPr>
            <w:tcW w:w="351" w:type="dxa"/>
            <w:gridSpan w:val="2"/>
            <w:vMerge/>
            <w:shd w:val="clear" w:color="auto" w:fill="CCC0D9" w:themeFill="accent4" w:themeFillTint="66"/>
          </w:tcPr>
          <w:p w14:paraId="55855360" w14:textId="77777777" w:rsidR="003221C6" w:rsidRPr="00163080" w:rsidRDefault="003221C6" w:rsidP="000E0B9A">
            <w:pPr>
              <w:pStyle w:val="Rowcolumntitles"/>
              <w:rPr>
                <w:szCs w:val="22"/>
                <w:lang w:val="en-GB"/>
              </w:rPr>
            </w:pPr>
          </w:p>
        </w:tc>
        <w:tc>
          <w:tcPr>
            <w:tcW w:w="505" w:type="dxa"/>
            <w:shd w:val="clear" w:color="auto" w:fill="B8CCE4" w:themeFill="accent1" w:themeFillTint="66"/>
          </w:tcPr>
          <w:p w14:paraId="27EA9DA2" w14:textId="77777777" w:rsidR="003221C6" w:rsidRPr="00163080" w:rsidRDefault="003221C6" w:rsidP="000E0B9A">
            <w:pPr>
              <w:pStyle w:val="Rowcolumntitles"/>
              <w:rPr>
                <w:szCs w:val="22"/>
                <w:lang w:val="en-GB"/>
              </w:rPr>
            </w:pPr>
          </w:p>
        </w:tc>
        <w:tc>
          <w:tcPr>
            <w:tcW w:w="506" w:type="dxa"/>
            <w:gridSpan w:val="2"/>
            <w:shd w:val="clear" w:color="auto" w:fill="B8CCE4" w:themeFill="accent1" w:themeFillTint="66"/>
          </w:tcPr>
          <w:p w14:paraId="6EAE0CD7" w14:textId="77777777" w:rsidR="003221C6" w:rsidRPr="00163080" w:rsidRDefault="003221C6" w:rsidP="000E0B9A">
            <w:pPr>
              <w:pStyle w:val="Rowcolumntitles"/>
              <w:rPr>
                <w:szCs w:val="22"/>
                <w:lang w:val="en-GB"/>
              </w:rPr>
            </w:pPr>
          </w:p>
        </w:tc>
        <w:tc>
          <w:tcPr>
            <w:tcW w:w="506" w:type="dxa"/>
            <w:gridSpan w:val="3"/>
            <w:shd w:val="clear" w:color="auto" w:fill="B8CCE4" w:themeFill="accent1" w:themeFillTint="66"/>
          </w:tcPr>
          <w:p w14:paraId="262F8EC4" w14:textId="06DA2E57"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76DC7D09" w14:textId="7FE171DD" w:rsidR="003221C6" w:rsidRPr="00163080" w:rsidRDefault="003221C6" w:rsidP="000E0B9A">
            <w:pPr>
              <w:pStyle w:val="Rowcolumntitles"/>
              <w:rPr>
                <w:szCs w:val="22"/>
                <w:lang w:val="en-GB"/>
              </w:rPr>
            </w:pPr>
          </w:p>
        </w:tc>
        <w:tc>
          <w:tcPr>
            <w:tcW w:w="377" w:type="dxa"/>
            <w:vMerge/>
            <w:shd w:val="clear" w:color="auto" w:fill="D99594" w:themeFill="accent2" w:themeFillTint="99"/>
          </w:tcPr>
          <w:p w14:paraId="03B5C972"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6FFDC199"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74F90AB5" w14:textId="77777777" w:rsidR="003221C6" w:rsidRPr="00163080" w:rsidRDefault="003221C6" w:rsidP="000E0B9A">
            <w:pPr>
              <w:pStyle w:val="Rowcolumntitles"/>
              <w:rPr>
                <w:noProof/>
                <w:szCs w:val="22"/>
                <w:lang w:val="en-GB"/>
              </w:rPr>
            </w:pPr>
          </w:p>
        </w:tc>
        <w:tc>
          <w:tcPr>
            <w:tcW w:w="325" w:type="dxa"/>
            <w:vMerge/>
            <w:shd w:val="clear" w:color="auto" w:fill="D99594" w:themeFill="accent2" w:themeFillTint="99"/>
          </w:tcPr>
          <w:p w14:paraId="111CB2F9" w14:textId="77777777" w:rsidR="003221C6" w:rsidRPr="00163080" w:rsidRDefault="003221C6" w:rsidP="000E0B9A">
            <w:pPr>
              <w:pStyle w:val="Rowcolumntitles"/>
              <w:rPr>
                <w:rFonts w:eastAsia="Times New Roman"/>
                <w:szCs w:val="22"/>
                <w:lang w:val="en-GB"/>
              </w:rPr>
            </w:pPr>
          </w:p>
        </w:tc>
        <w:tc>
          <w:tcPr>
            <w:tcW w:w="400" w:type="dxa"/>
            <w:vMerge/>
            <w:shd w:val="clear" w:color="auto" w:fill="D99594" w:themeFill="accent2" w:themeFillTint="99"/>
          </w:tcPr>
          <w:p w14:paraId="150ABF9E" w14:textId="77777777" w:rsidR="003221C6" w:rsidRPr="00163080" w:rsidRDefault="003221C6" w:rsidP="000E0B9A">
            <w:pPr>
              <w:pStyle w:val="Rowcolumntitles"/>
              <w:rPr>
                <w:rFonts w:eastAsia="Times New Roman"/>
                <w:szCs w:val="22"/>
                <w:lang w:val="en-GB"/>
              </w:rPr>
            </w:pPr>
          </w:p>
        </w:tc>
      </w:tr>
      <w:tr w:rsidR="000E0B9A" w:rsidRPr="009400F9" w14:paraId="754F4824" w14:textId="77777777" w:rsidTr="00BD1202">
        <w:trPr>
          <w:trHeight w:val="200"/>
        </w:trPr>
        <w:tc>
          <w:tcPr>
            <w:tcW w:w="1569" w:type="dxa"/>
            <w:vMerge w:val="restart"/>
            <w:shd w:val="clear" w:color="auto" w:fill="000000" w:themeFill="text1"/>
          </w:tcPr>
          <w:p w14:paraId="16E95D77" w14:textId="59425A88" w:rsidR="003221C6" w:rsidRPr="00163080" w:rsidRDefault="003221C6" w:rsidP="000E0B9A">
            <w:pPr>
              <w:pStyle w:val="Rowcolumntitles"/>
              <w:rPr>
                <w:color w:val="FFFFFF" w:themeColor="background1"/>
                <w:szCs w:val="22"/>
                <w:lang w:val="en-GB"/>
              </w:rPr>
            </w:pPr>
            <w:r w:rsidRPr="00163080">
              <w:rPr>
                <w:noProof/>
                <w:color w:val="FFFFFF" w:themeColor="background1"/>
                <w:szCs w:val="22"/>
                <w:lang w:val="en-GB"/>
              </w:rPr>
              <w:t>2. Financing of charities</w:t>
            </w:r>
          </w:p>
        </w:tc>
        <w:tc>
          <w:tcPr>
            <w:tcW w:w="415" w:type="dxa"/>
            <w:vMerge w:val="restart"/>
            <w:shd w:val="clear" w:color="auto" w:fill="D6E3BC" w:themeFill="accent3" w:themeFillTint="66"/>
          </w:tcPr>
          <w:p w14:paraId="11B35AC7" w14:textId="77777777" w:rsidR="003221C6" w:rsidRPr="00163080" w:rsidRDefault="003221C6" w:rsidP="000E0B9A">
            <w:pPr>
              <w:pStyle w:val="Rowcolumntitles"/>
              <w:rPr>
                <w:szCs w:val="22"/>
                <w:lang w:val="en-GB"/>
              </w:rPr>
            </w:pPr>
          </w:p>
        </w:tc>
        <w:tc>
          <w:tcPr>
            <w:tcW w:w="418" w:type="dxa"/>
            <w:vMerge w:val="restart"/>
            <w:shd w:val="clear" w:color="auto" w:fill="D6E3BC" w:themeFill="accent3" w:themeFillTint="66"/>
          </w:tcPr>
          <w:p w14:paraId="28AE2EC7" w14:textId="77777777" w:rsidR="003221C6" w:rsidRPr="00163080" w:rsidRDefault="003221C6" w:rsidP="000E0B9A">
            <w:pPr>
              <w:pStyle w:val="Rowcolumntitles"/>
              <w:rPr>
                <w:rFonts w:eastAsia="Times New Roman"/>
                <w:szCs w:val="22"/>
                <w:lang w:val="en-GB"/>
              </w:rPr>
            </w:pPr>
          </w:p>
        </w:tc>
        <w:tc>
          <w:tcPr>
            <w:tcW w:w="380" w:type="dxa"/>
            <w:vMerge w:val="restart"/>
            <w:shd w:val="clear" w:color="auto" w:fill="D6E3BC" w:themeFill="accent3" w:themeFillTint="66"/>
          </w:tcPr>
          <w:p w14:paraId="3D4561C2" w14:textId="77777777" w:rsidR="003221C6" w:rsidRPr="00163080" w:rsidRDefault="003221C6" w:rsidP="000E0B9A">
            <w:pPr>
              <w:pStyle w:val="Rowcolumntitles"/>
              <w:rPr>
                <w:szCs w:val="22"/>
                <w:lang w:val="en-GB"/>
              </w:rPr>
            </w:pPr>
          </w:p>
        </w:tc>
        <w:tc>
          <w:tcPr>
            <w:tcW w:w="298" w:type="dxa"/>
            <w:vMerge w:val="restart"/>
            <w:shd w:val="clear" w:color="auto" w:fill="D6E3BC" w:themeFill="accent3" w:themeFillTint="66"/>
          </w:tcPr>
          <w:p w14:paraId="29C424AC" w14:textId="70F9DA0B"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26BB2541" w14:textId="72BD82B2" w:rsidR="003221C6" w:rsidRPr="00163080" w:rsidRDefault="003221C6" w:rsidP="000E0B9A">
            <w:pPr>
              <w:pStyle w:val="Rowcolumntitles"/>
              <w:rPr>
                <w:rFonts w:eastAsia="Times New Roman"/>
                <w:szCs w:val="22"/>
                <w:lang w:val="en-GB"/>
              </w:rPr>
            </w:pPr>
          </w:p>
        </w:tc>
        <w:tc>
          <w:tcPr>
            <w:tcW w:w="311" w:type="dxa"/>
            <w:vMerge w:val="restart"/>
            <w:shd w:val="clear" w:color="auto" w:fill="FBD4B4" w:themeFill="accent6" w:themeFillTint="66"/>
          </w:tcPr>
          <w:p w14:paraId="7490E59C" w14:textId="6B6B36CF"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17" w:type="dxa"/>
            <w:vMerge w:val="restart"/>
            <w:shd w:val="clear" w:color="auto" w:fill="FBD4B4" w:themeFill="accent6" w:themeFillTint="66"/>
          </w:tcPr>
          <w:p w14:paraId="75C577F2" w14:textId="6B4BD9D4" w:rsidR="003221C6" w:rsidRPr="00163080" w:rsidRDefault="003221C6" w:rsidP="000E0B9A">
            <w:pPr>
              <w:pStyle w:val="Rowcolumntitles"/>
              <w:rPr>
                <w:szCs w:val="22"/>
                <w:lang w:val="en-GB"/>
              </w:rPr>
            </w:pPr>
          </w:p>
        </w:tc>
        <w:tc>
          <w:tcPr>
            <w:tcW w:w="947" w:type="dxa"/>
            <w:vMerge w:val="restart"/>
            <w:shd w:val="clear" w:color="auto" w:fill="FBD4B4" w:themeFill="accent6" w:themeFillTint="66"/>
          </w:tcPr>
          <w:p w14:paraId="33977CDF" w14:textId="77777777" w:rsidR="003221C6" w:rsidRPr="00163080" w:rsidRDefault="003221C6" w:rsidP="000E0B9A">
            <w:pPr>
              <w:pStyle w:val="Rowcolumntitles"/>
              <w:rPr>
                <w:rFonts w:eastAsia="Times New Roman"/>
                <w:szCs w:val="22"/>
                <w:lang w:val="en-GB"/>
              </w:rPr>
            </w:pPr>
          </w:p>
        </w:tc>
        <w:tc>
          <w:tcPr>
            <w:tcW w:w="349" w:type="dxa"/>
            <w:vMerge w:val="restart"/>
            <w:shd w:val="clear" w:color="auto" w:fill="CCC0D9" w:themeFill="accent4" w:themeFillTint="66"/>
          </w:tcPr>
          <w:p w14:paraId="559E3786" w14:textId="77777777" w:rsidR="003221C6" w:rsidRPr="00163080" w:rsidRDefault="003221C6" w:rsidP="000E0B9A">
            <w:pPr>
              <w:pStyle w:val="Rowcolumntitles"/>
              <w:rPr>
                <w:szCs w:val="22"/>
                <w:lang w:val="en-GB"/>
              </w:rPr>
            </w:pPr>
          </w:p>
        </w:tc>
        <w:tc>
          <w:tcPr>
            <w:tcW w:w="349" w:type="dxa"/>
            <w:vMerge w:val="restart"/>
            <w:shd w:val="clear" w:color="auto" w:fill="CCC0D9" w:themeFill="accent4" w:themeFillTint="66"/>
          </w:tcPr>
          <w:p w14:paraId="31C4F895" w14:textId="57F07AE6" w:rsidR="003221C6" w:rsidRPr="00163080" w:rsidRDefault="003221C6" w:rsidP="000E0B9A">
            <w:pPr>
              <w:pStyle w:val="Rowcolumntitles"/>
              <w:rPr>
                <w:rFonts w:eastAsia="Times New Roman"/>
                <w:szCs w:val="22"/>
                <w:lang w:val="en-GB"/>
              </w:rPr>
            </w:pPr>
          </w:p>
        </w:tc>
        <w:tc>
          <w:tcPr>
            <w:tcW w:w="349" w:type="dxa"/>
            <w:vMerge w:val="restart"/>
            <w:shd w:val="clear" w:color="auto" w:fill="CCC0D9" w:themeFill="accent4" w:themeFillTint="66"/>
          </w:tcPr>
          <w:p w14:paraId="6C812AFE" w14:textId="51441F2F"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351" w:type="dxa"/>
            <w:gridSpan w:val="2"/>
            <w:vMerge w:val="restart"/>
            <w:shd w:val="clear" w:color="auto" w:fill="CCC0D9" w:themeFill="accent4" w:themeFillTint="66"/>
          </w:tcPr>
          <w:p w14:paraId="325B3B53" w14:textId="77777777" w:rsidR="003221C6" w:rsidRPr="00163080" w:rsidRDefault="003221C6" w:rsidP="000E0B9A">
            <w:pPr>
              <w:pStyle w:val="Rowcolumntitles"/>
              <w:rPr>
                <w:rFonts w:eastAsia="Times New Roman"/>
                <w:szCs w:val="22"/>
                <w:lang w:val="en-GB"/>
              </w:rPr>
            </w:pPr>
          </w:p>
        </w:tc>
        <w:tc>
          <w:tcPr>
            <w:tcW w:w="505" w:type="dxa"/>
            <w:shd w:val="clear" w:color="auto" w:fill="B8CCE4" w:themeFill="accent1" w:themeFillTint="66"/>
          </w:tcPr>
          <w:p w14:paraId="0FCD9E04" w14:textId="14FFBB10"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2"/>
            <w:shd w:val="clear" w:color="auto" w:fill="B8CCE4" w:themeFill="accent1" w:themeFillTint="66"/>
          </w:tcPr>
          <w:p w14:paraId="0A99A1BE" w14:textId="31B801C6" w:rsidR="003221C6" w:rsidRPr="00163080" w:rsidRDefault="003221C6" w:rsidP="000E0B9A">
            <w:pPr>
              <w:pStyle w:val="Rowcolumntitles"/>
              <w:rPr>
                <w:rFonts w:eastAsia="Times New Roman"/>
                <w:szCs w:val="22"/>
                <w:lang w:val="en-GB"/>
              </w:rPr>
            </w:pPr>
          </w:p>
        </w:tc>
        <w:tc>
          <w:tcPr>
            <w:tcW w:w="506" w:type="dxa"/>
            <w:gridSpan w:val="3"/>
            <w:shd w:val="clear" w:color="auto" w:fill="B8CCE4" w:themeFill="accent1" w:themeFillTint="66"/>
          </w:tcPr>
          <w:p w14:paraId="42DEBD22" w14:textId="77777777" w:rsidR="003221C6" w:rsidRPr="00163080" w:rsidRDefault="003221C6" w:rsidP="000E0B9A">
            <w:pPr>
              <w:pStyle w:val="Rowcolumntitles"/>
              <w:rPr>
                <w:rFonts w:eastAsia="Times New Roman"/>
                <w:szCs w:val="22"/>
                <w:lang w:val="en-GB"/>
              </w:rPr>
            </w:pPr>
          </w:p>
        </w:tc>
        <w:tc>
          <w:tcPr>
            <w:tcW w:w="511" w:type="dxa"/>
            <w:gridSpan w:val="2"/>
            <w:shd w:val="clear" w:color="auto" w:fill="B8CCE4" w:themeFill="accent1" w:themeFillTint="66"/>
          </w:tcPr>
          <w:p w14:paraId="7DCC256C" w14:textId="033B0774" w:rsidR="003221C6" w:rsidRPr="00163080" w:rsidRDefault="003221C6" w:rsidP="000E0B9A">
            <w:pPr>
              <w:pStyle w:val="Rowcolumntitles"/>
              <w:rPr>
                <w:rFonts w:eastAsia="Times New Roman"/>
                <w:szCs w:val="22"/>
                <w:lang w:val="en-GB"/>
              </w:rPr>
            </w:pPr>
          </w:p>
        </w:tc>
        <w:tc>
          <w:tcPr>
            <w:tcW w:w="377" w:type="dxa"/>
            <w:vMerge w:val="restart"/>
            <w:shd w:val="clear" w:color="auto" w:fill="D99594" w:themeFill="accent2" w:themeFillTint="99"/>
          </w:tcPr>
          <w:p w14:paraId="1BC4A862"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627C6CB9" w14:textId="04C4F423"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5A63ED17"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468B7D2C" w14:textId="77777777" w:rsidR="003221C6" w:rsidRPr="00163080" w:rsidRDefault="003221C6" w:rsidP="000E0B9A">
            <w:pPr>
              <w:pStyle w:val="Rowcolumntitles"/>
              <w:rPr>
                <w:rFonts w:eastAsia="Times New Roman"/>
                <w:szCs w:val="22"/>
                <w:lang w:val="en-GB"/>
              </w:rPr>
            </w:pPr>
          </w:p>
        </w:tc>
        <w:tc>
          <w:tcPr>
            <w:tcW w:w="400" w:type="dxa"/>
            <w:vMerge w:val="restart"/>
            <w:shd w:val="clear" w:color="auto" w:fill="D99594" w:themeFill="accent2" w:themeFillTint="99"/>
          </w:tcPr>
          <w:p w14:paraId="704DD773" w14:textId="77777777" w:rsidR="003221C6" w:rsidRPr="00163080" w:rsidRDefault="003221C6" w:rsidP="000E0B9A">
            <w:pPr>
              <w:pStyle w:val="Rowcolumntitles"/>
              <w:rPr>
                <w:rFonts w:eastAsia="Times New Roman"/>
                <w:szCs w:val="22"/>
                <w:lang w:val="en-GB"/>
              </w:rPr>
            </w:pPr>
          </w:p>
        </w:tc>
      </w:tr>
      <w:tr w:rsidR="000E0B9A" w:rsidRPr="009400F9" w14:paraId="669FDAC9" w14:textId="77777777" w:rsidTr="00BD1202">
        <w:trPr>
          <w:trHeight w:val="200"/>
        </w:trPr>
        <w:tc>
          <w:tcPr>
            <w:tcW w:w="1569" w:type="dxa"/>
            <w:vMerge/>
            <w:shd w:val="clear" w:color="auto" w:fill="000000" w:themeFill="text1"/>
          </w:tcPr>
          <w:p w14:paraId="3D2F6BAC" w14:textId="77777777" w:rsidR="003221C6" w:rsidRPr="00163080" w:rsidRDefault="003221C6" w:rsidP="000E0B9A">
            <w:pPr>
              <w:pStyle w:val="Rowcolumntitles"/>
              <w:rPr>
                <w:noProof/>
                <w:color w:val="FFFFFF" w:themeColor="background1"/>
                <w:szCs w:val="22"/>
                <w:lang w:val="en-GB"/>
              </w:rPr>
            </w:pPr>
          </w:p>
        </w:tc>
        <w:tc>
          <w:tcPr>
            <w:tcW w:w="415" w:type="dxa"/>
            <w:vMerge/>
            <w:shd w:val="clear" w:color="auto" w:fill="D6E3BC" w:themeFill="accent3" w:themeFillTint="66"/>
          </w:tcPr>
          <w:p w14:paraId="5F4279ED" w14:textId="77777777" w:rsidR="003221C6" w:rsidRPr="00163080" w:rsidRDefault="003221C6" w:rsidP="000E0B9A">
            <w:pPr>
              <w:pStyle w:val="Rowcolumntitles"/>
              <w:rPr>
                <w:szCs w:val="22"/>
                <w:lang w:val="en-GB"/>
              </w:rPr>
            </w:pPr>
          </w:p>
        </w:tc>
        <w:tc>
          <w:tcPr>
            <w:tcW w:w="418" w:type="dxa"/>
            <w:vMerge/>
            <w:shd w:val="clear" w:color="auto" w:fill="D6E3BC" w:themeFill="accent3" w:themeFillTint="66"/>
          </w:tcPr>
          <w:p w14:paraId="144C6E23" w14:textId="77777777" w:rsidR="003221C6" w:rsidRPr="00163080" w:rsidRDefault="003221C6" w:rsidP="000E0B9A">
            <w:pPr>
              <w:pStyle w:val="Rowcolumntitles"/>
              <w:rPr>
                <w:rFonts w:eastAsia="Times New Roman"/>
                <w:szCs w:val="22"/>
                <w:lang w:val="en-GB"/>
              </w:rPr>
            </w:pPr>
          </w:p>
        </w:tc>
        <w:tc>
          <w:tcPr>
            <w:tcW w:w="380" w:type="dxa"/>
            <w:vMerge/>
            <w:shd w:val="clear" w:color="auto" w:fill="D6E3BC" w:themeFill="accent3" w:themeFillTint="66"/>
          </w:tcPr>
          <w:p w14:paraId="532A03EA" w14:textId="77777777" w:rsidR="003221C6" w:rsidRPr="00163080" w:rsidRDefault="003221C6" w:rsidP="000E0B9A">
            <w:pPr>
              <w:pStyle w:val="Rowcolumntitles"/>
              <w:rPr>
                <w:szCs w:val="22"/>
                <w:lang w:val="en-GB"/>
              </w:rPr>
            </w:pPr>
          </w:p>
        </w:tc>
        <w:tc>
          <w:tcPr>
            <w:tcW w:w="298" w:type="dxa"/>
            <w:vMerge/>
            <w:shd w:val="clear" w:color="auto" w:fill="D6E3BC" w:themeFill="accent3" w:themeFillTint="66"/>
          </w:tcPr>
          <w:p w14:paraId="0DE501A0" w14:textId="77777777" w:rsidR="003221C6" w:rsidRPr="00163080" w:rsidRDefault="003221C6" w:rsidP="000E0B9A">
            <w:pPr>
              <w:pStyle w:val="Rowcolumntitles"/>
              <w:rPr>
                <w:noProof/>
                <w:szCs w:val="22"/>
                <w:lang w:val="en-GB"/>
              </w:rPr>
            </w:pPr>
          </w:p>
        </w:tc>
        <w:tc>
          <w:tcPr>
            <w:tcW w:w="687" w:type="dxa"/>
            <w:vMerge/>
            <w:shd w:val="clear" w:color="auto" w:fill="FBD4B4" w:themeFill="accent6" w:themeFillTint="66"/>
          </w:tcPr>
          <w:p w14:paraId="2413F795" w14:textId="77777777" w:rsidR="003221C6" w:rsidRPr="00163080" w:rsidRDefault="003221C6" w:rsidP="000E0B9A">
            <w:pPr>
              <w:pStyle w:val="Rowcolumntitles"/>
              <w:rPr>
                <w:rFonts w:eastAsia="Times New Roman"/>
                <w:szCs w:val="22"/>
                <w:lang w:val="en-GB"/>
              </w:rPr>
            </w:pPr>
          </w:p>
        </w:tc>
        <w:tc>
          <w:tcPr>
            <w:tcW w:w="311" w:type="dxa"/>
            <w:vMerge/>
            <w:shd w:val="clear" w:color="auto" w:fill="FBD4B4" w:themeFill="accent6" w:themeFillTint="66"/>
          </w:tcPr>
          <w:p w14:paraId="2D0DDC3B" w14:textId="77777777" w:rsidR="003221C6" w:rsidRPr="00163080" w:rsidRDefault="003221C6" w:rsidP="000E0B9A">
            <w:pPr>
              <w:pStyle w:val="Rowcolumntitles"/>
              <w:rPr>
                <w:noProof/>
                <w:szCs w:val="22"/>
                <w:lang w:val="en-GB"/>
              </w:rPr>
            </w:pPr>
          </w:p>
        </w:tc>
        <w:tc>
          <w:tcPr>
            <w:tcW w:w="417" w:type="dxa"/>
            <w:vMerge/>
            <w:shd w:val="clear" w:color="auto" w:fill="FBD4B4" w:themeFill="accent6" w:themeFillTint="66"/>
          </w:tcPr>
          <w:p w14:paraId="07C699C1" w14:textId="77777777" w:rsidR="003221C6" w:rsidRPr="00163080" w:rsidRDefault="003221C6" w:rsidP="000E0B9A">
            <w:pPr>
              <w:pStyle w:val="Rowcolumntitles"/>
              <w:rPr>
                <w:szCs w:val="22"/>
                <w:lang w:val="en-GB"/>
              </w:rPr>
            </w:pPr>
          </w:p>
        </w:tc>
        <w:tc>
          <w:tcPr>
            <w:tcW w:w="947" w:type="dxa"/>
            <w:vMerge/>
            <w:shd w:val="clear" w:color="auto" w:fill="FBD4B4" w:themeFill="accent6" w:themeFillTint="66"/>
          </w:tcPr>
          <w:p w14:paraId="69053E2D"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092F45FA" w14:textId="77777777" w:rsidR="003221C6" w:rsidRPr="00163080" w:rsidRDefault="003221C6" w:rsidP="000E0B9A">
            <w:pPr>
              <w:pStyle w:val="Rowcolumntitles"/>
              <w:rPr>
                <w:szCs w:val="22"/>
                <w:lang w:val="en-GB"/>
              </w:rPr>
            </w:pPr>
          </w:p>
        </w:tc>
        <w:tc>
          <w:tcPr>
            <w:tcW w:w="349" w:type="dxa"/>
            <w:vMerge/>
            <w:shd w:val="clear" w:color="auto" w:fill="CCC0D9" w:themeFill="accent4" w:themeFillTint="66"/>
          </w:tcPr>
          <w:p w14:paraId="759C446F"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06FA5482" w14:textId="77777777" w:rsidR="003221C6" w:rsidRPr="00163080" w:rsidRDefault="003221C6" w:rsidP="000E0B9A">
            <w:pPr>
              <w:pStyle w:val="Rowcolumntitles"/>
              <w:rPr>
                <w:noProof/>
                <w:szCs w:val="22"/>
                <w:lang w:val="en-GB"/>
              </w:rPr>
            </w:pPr>
          </w:p>
        </w:tc>
        <w:tc>
          <w:tcPr>
            <w:tcW w:w="351" w:type="dxa"/>
            <w:gridSpan w:val="2"/>
            <w:vMerge/>
            <w:shd w:val="clear" w:color="auto" w:fill="CCC0D9" w:themeFill="accent4" w:themeFillTint="66"/>
          </w:tcPr>
          <w:p w14:paraId="4C88AE35" w14:textId="77777777" w:rsidR="003221C6" w:rsidRPr="00163080" w:rsidRDefault="003221C6" w:rsidP="000E0B9A">
            <w:pPr>
              <w:pStyle w:val="Rowcolumntitles"/>
              <w:rPr>
                <w:rFonts w:eastAsia="Times New Roman"/>
                <w:szCs w:val="22"/>
                <w:lang w:val="en-GB"/>
              </w:rPr>
            </w:pPr>
          </w:p>
        </w:tc>
        <w:tc>
          <w:tcPr>
            <w:tcW w:w="505" w:type="dxa"/>
            <w:shd w:val="clear" w:color="auto" w:fill="B8CCE4" w:themeFill="accent1" w:themeFillTint="66"/>
          </w:tcPr>
          <w:p w14:paraId="3E0B744C" w14:textId="7B28D2CE"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506" w:type="dxa"/>
            <w:gridSpan w:val="2"/>
            <w:shd w:val="clear" w:color="auto" w:fill="B8CCE4" w:themeFill="accent1" w:themeFillTint="66"/>
          </w:tcPr>
          <w:p w14:paraId="587963FF" w14:textId="77777777" w:rsidR="003221C6" w:rsidRPr="00163080" w:rsidRDefault="003221C6" w:rsidP="000E0B9A">
            <w:pPr>
              <w:pStyle w:val="Rowcolumntitles"/>
              <w:rPr>
                <w:szCs w:val="22"/>
                <w:lang w:val="en-GB"/>
              </w:rPr>
            </w:pPr>
          </w:p>
        </w:tc>
        <w:tc>
          <w:tcPr>
            <w:tcW w:w="506" w:type="dxa"/>
            <w:gridSpan w:val="3"/>
            <w:shd w:val="clear" w:color="auto" w:fill="B8CCE4" w:themeFill="accent1" w:themeFillTint="66"/>
          </w:tcPr>
          <w:p w14:paraId="43FE060D" w14:textId="77777777" w:rsidR="003221C6" w:rsidRPr="00163080" w:rsidRDefault="003221C6" w:rsidP="000E0B9A">
            <w:pPr>
              <w:pStyle w:val="Rowcolumntitles"/>
              <w:rPr>
                <w:szCs w:val="22"/>
                <w:lang w:val="en-GB"/>
              </w:rPr>
            </w:pPr>
          </w:p>
        </w:tc>
        <w:tc>
          <w:tcPr>
            <w:tcW w:w="511" w:type="dxa"/>
            <w:gridSpan w:val="2"/>
            <w:shd w:val="clear" w:color="auto" w:fill="B8CCE4" w:themeFill="accent1" w:themeFillTint="66"/>
          </w:tcPr>
          <w:p w14:paraId="328FFCD3" w14:textId="7A197787" w:rsidR="003221C6" w:rsidRPr="00163080" w:rsidRDefault="003221C6" w:rsidP="000E0B9A">
            <w:pPr>
              <w:pStyle w:val="Rowcolumntitles"/>
              <w:rPr>
                <w:szCs w:val="22"/>
                <w:lang w:val="en-GB"/>
              </w:rPr>
            </w:pPr>
          </w:p>
        </w:tc>
        <w:tc>
          <w:tcPr>
            <w:tcW w:w="377" w:type="dxa"/>
            <w:vMerge/>
            <w:shd w:val="clear" w:color="auto" w:fill="D99594" w:themeFill="accent2" w:themeFillTint="99"/>
          </w:tcPr>
          <w:p w14:paraId="58E2EEC3"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14EE8CF4" w14:textId="77777777" w:rsidR="003221C6" w:rsidRPr="00163080" w:rsidRDefault="003221C6" w:rsidP="000E0B9A">
            <w:pPr>
              <w:pStyle w:val="Rowcolumntitles"/>
              <w:rPr>
                <w:noProof/>
                <w:szCs w:val="22"/>
                <w:lang w:val="en-GB"/>
              </w:rPr>
            </w:pPr>
          </w:p>
        </w:tc>
        <w:tc>
          <w:tcPr>
            <w:tcW w:w="325" w:type="dxa"/>
            <w:vMerge/>
            <w:shd w:val="clear" w:color="auto" w:fill="D99594" w:themeFill="accent2" w:themeFillTint="99"/>
          </w:tcPr>
          <w:p w14:paraId="1EA22583"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4D85E742" w14:textId="77777777" w:rsidR="003221C6" w:rsidRPr="00163080" w:rsidRDefault="003221C6" w:rsidP="000E0B9A">
            <w:pPr>
              <w:pStyle w:val="Rowcolumntitles"/>
              <w:rPr>
                <w:rFonts w:eastAsia="Times New Roman"/>
                <w:szCs w:val="22"/>
                <w:lang w:val="en-GB"/>
              </w:rPr>
            </w:pPr>
          </w:p>
        </w:tc>
        <w:tc>
          <w:tcPr>
            <w:tcW w:w="400" w:type="dxa"/>
            <w:vMerge/>
            <w:shd w:val="clear" w:color="auto" w:fill="D99594" w:themeFill="accent2" w:themeFillTint="99"/>
          </w:tcPr>
          <w:p w14:paraId="2505B28F" w14:textId="77777777" w:rsidR="003221C6" w:rsidRPr="00163080" w:rsidRDefault="003221C6" w:rsidP="000E0B9A">
            <w:pPr>
              <w:pStyle w:val="Rowcolumntitles"/>
              <w:rPr>
                <w:rFonts w:eastAsia="Times New Roman"/>
                <w:szCs w:val="22"/>
                <w:lang w:val="en-GB"/>
              </w:rPr>
            </w:pPr>
          </w:p>
        </w:tc>
      </w:tr>
      <w:tr w:rsidR="000E0B9A" w:rsidRPr="009400F9" w14:paraId="365F3F31" w14:textId="77777777" w:rsidTr="00BD1202">
        <w:trPr>
          <w:trHeight w:val="235"/>
        </w:trPr>
        <w:tc>
          <w:tcPr>
            <w:tcW w:w="1569" w:type="dxa"/>
            <w:vMerge w:val="restart"/>
            <w:shd w:val="clear" w:color="auto" w:fill="000000" w:themeFill="text1"/>
          </w:tcPr>
          <w:p w14:paraId="5079EA15" w14:textId="7CB283DD" w:rsidR="003221C6" w:rsidRPr="00163080" w:rsidRDefault="003221C6" w:rsidP="000E0B9A">
            <w:pPr>
              <w:pStyle w:val="Rowcolumntitles"/>
              <w:rPr>
                <w:color w:val="FFFFFF" w:themeColor="background1"/>
                <w:szCs w:val="22"/>
                <w:lang w:val="en-GB"/>
              </w:rPr>
            </w:pPr>
            <w:r w:rsidRPr="00163080">
              <w:rPr>
                <w:noProof/>
                <w:color w:val="FFFFFF" w:themeColor="background1"/>
                <w:szCs w:val="22"/>
                <w:lang w:val="en-GB"/>
              </w:rPr>
              <w:t xml:space="preserve">3. Not-for-profit status for CSOs </w:t>
            </w:r>
          </w:p>
        </w:tc>
        <w:tc>
          <w:tcPr>
            <w:tcW w:w="415" w:type="dxa"/>
            <w:vMerge w:val="restart"/>
            <w:shd w:val="clear" w:color="auto" w:fill="D6E3BC" w:themeFill="accent3" w:themeFillTint="66"/>
          </w:tcPr>
          <w:p w14:paraId="7016147F" w14:textId="77777777" w:rsidR="003221C6" w:rsidRPr="00163080" w:rsidRDefault="003221C6" w:rsidP="000E0B9A">
            <w:pPr>
              <w:pStyle w:val="Rowcolumntitles"/>
              <w:rPr>
                <w:szCs w:val="22"/>
                <w:lang w:val="en-GB"/>
              </w:rPr>
            </w:pPr>
          </w:p>
        </w:tc>
        <w:tc>
          <w:tcPr>
            <w:tcW w:w="418" w:type="dxa"/>
            <w:vMerge w:val="restart"/>
            <w:shd w:val="clear" w:color="auto" w:fill="D6E3BC" w:themeFill="accent3" w:themeFillTint="66"/>
          </w:tcPr>
          <w:p w14:paraId="1A1D496B" w14:textId="77777777" w:rsidR="003221C6" w:rsidRPr="00163080" w:rsidRDefault="003221C6" w:rsidP="000E0B9A">
            <w:pPr>
              <w:pStyle w:val="Rowcolumntitles"/>
              <w:rPr>
                <w:rFonts w:eastAsia="Times New Roman"/>
                <w:szCs w:val="22"/>
                <w:lang w:val="en-GB"/>
              </w:rPr>
            </w:pPr>
          </w:p>
        </w:tc>
        <w:tc>
          <w:tcPr>
            <w:tcW w:w="380" w:type="dxa"/>
            <w:vMerge w:val="restart"/>
            <w:shd w:val="clear" w:color="auto" w:fill="D6E3BC" w:themeFill="accent3" w:themeFillTint="66"/>
          </w:tcPr>
          <w:p w14:paraId="70965C52" w14:textId="3C2ED341"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298" w:type="dxa"/>
            <w:vMerge w:val="restart"/>
            <w:shd w:val="clear" w:color="auto" w:fill="D6E3BC" w:themeFill="accent3" w:themeFillTint="66"/>
          </w:tcPr>
          <w:p w14:paraId="53609672" w14:textId="77777777" w:rsidR="003221C6" w:rsidRPr="00163080" w:rsidRDefault="003221C6" w:rsidP="000E0B9A">
            <w:pPr>
              <w:pStyle w:val="Rowcolumntitles"/>
              <w:rPr>
                <w:rFonts w:eastAsia="Times New Roman"/>
                <w:szCs w:val="22"/>
                <w:lang w:val="en-GB"/>
              </w:rPr>
            </w:pPr>
          </w:p>
        </w:tc>
        <w:tc>
          <w:tcPr>
            <w:tcW w:w="687" w:type="dxa"/>
            <w:vMerge w:val="restart"/>
            <w:shd w:val="clear" w:color="auto" w:fill="FBD4B4" w:themeFill="accent6" w:themeFillTint="66"/>
          </w:tcPr>
          <w:p w14:paraId="17DB9314" w14:textId="0B228702"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5DA627FA" w14:textId="46A2091B"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17" w:type="dxa"/>
            <w:vMerge w:val="restart"/>
            <w:shd w:val="clear" w:color="auto" w:fill="FBD4B4" w:themeFill="accent6" w:themeFillTint="66"/>
          </w:tcPr>
          <w:p w14:paraId="4A588720" w14:textId="52137353" w:rsidR="003221C6" w:rsidRPr="00163080" w:rsidRDefault="003221C6" w:rsidP="000E0B9A">
            <w:pPr>
              <w:pStyle w:val="Rowcolumntitles"/>
              <w:rPr>
                <w:rFonts w:eastAsia="Times New Roman"/>
                <w:szCs w:val="22"/>
                <w:lang w:val="en-GB"/>
              </w:rPr>
            </w:pPr>
          </w:p>
        </w:tc>
        <w:tc>
          <w:tcPr>
            <w:tcW w:w="947" w:type="dxa"/>
            <w:vMerge w:val="restart"/>
            <w:shd w:val="clear" w:color="auto" w:fill="FBD4B4" w:themeFill="accent6" w:themeFillTint="66"/>
          </w:tcPr>
          <w:p w14:paraId="4144A048" w14:textId="77777777" w:rsidR="003221C6" w:rsidRPr="00163080" w:rsidRDefault="003221C6" w:rsidP="000E0B9A">
            <w:pPr>
              <w:pStyle w:val="Rowcolumntitles"/>
              <w:rPr>
                <w:rFonts w:eastAsia="Times New Roman"/>
                <w:szCs w:val="22"/>
                <w:lang w:val="en-GB"/>
              </w:rPr>
            </w:pPr>
          </w:p>
        </w:tc>
        <w:tc>
          <w:tcPr>
            <w:tcW w:w="349" w:type="dxa"/>
            <w:vMerge w:val="restart"/>
            <w:shd w:val="clear" w:color="auto" w:fill="CCC0D9" w:themeFill="accent4" w:themeFillTint="66"/>
          </w:tcPr>
          <w:p w14:paraId="00C5B2D7" w14:textId="77777777" w:rsidR="003221C6" w:rsidRPr="00163080" w:rsidRDefault="003221C6" w:rsidP="000E0B9A">
            <w:pPr>
              <w:pStyle w:val="Rowcolumntitles"/>
              <w:rPr>
                <w:szCs w:val="22"/>
                <w:lang w:val="en-GB"/>
              </w:rPr>
            </w:pPr>
          </w:p>
        </w:tc>
        <w:tc>
          <w:tcPr>
            <w:tcW w:w="349" w:type="dxa"/>
            <w:vMerge w:val="restart"/>
            <w:shd w:val="clear" w:color="auto" w:fill="CCC0D9" w:themeFill="accent4" w:themeFillTint="66"/>
          </w:tcPr>
          <w:p w14:paraId="3B6A9CED" w14:textId="4F3C1A0F" w:rsidR="003221C6" w:rsidRPr="00163080" w:rsidRDefault="003221C6" w:rsidP="000E0B9A">
            <w:pPr>
              <w:pStyle w:val="Rowcolumntitles"/>
              <w:rPr>
                <w:rFonts w:eastAsia="Times New Roman"/>
                <w:szCs w:val="22"/>
                <w:lang w:val="en-GB"/>
              </w:rPr>
            </w:pPr>
          </w:p>
        </w:tc>
        <w:tc>
          <w:tcPr>
            <w:tcW w:w="349" w:type="dxa"/>
            <w:vMerge w:val="restart"/>
            <w:shd w:val="clear" w:color="auto" w:fill="CCC0D9" w:themeFill="accent4" w:themeFillTint="66"/>
          </w:tcPr>
          <w:p w14:paraId="0412FA22" w14:textId="3D6D27C4" w:rsidR="003221C6" w:rsidRPr="00163080" w:rsidRDefault="003221C6" w:rsidP="000E0B9A">
            <w:pPr>
              <w:pStyle w:val="Rowcolumntitles"/>
              <w:rPr>
                <w:szCs w:val="22"/>
                <w:lang w:val="en-GB"/>
              </w:rPr>
            </w:pPr>
            <w:r w:rsidRPr="00163080">
              <w:rPr>
                <w:rFonts w:ascii="MS Mincho" w:eastAsia="MS Mincho" w:hAnsi="MS Mincho" w:cs="MS Mincho"/>
                <w:noProof/>
                <w:szCs w:val="22"/>
                <w:lang w:val="en-GB"/>
              </w:rPr>
              <w:t>✔</w:t>
            </w:r>
          </w:p>
        </w:tc>
        <w:tc>
          <w:tcPr>
            <w:tcW w:w="351" w:type="dxa"/>
            <w:gridSpan w:val="2"/>
            <w:vMerge w:val="restart"/>
            <w:shd w:val="clear" w:color="auto" w:fill="CCC0D9" w:themeFill="accent4" w:themeFillTint="66"/>
          </w:tcPr>
          <w:p w14:paraId="6712949C" w14:textId="77777777" w:rsidR="003221C6" w:rsidRPr="00163080" w:rsidRDefault="003221C6" w:rsidP="000E0B9A">
            <w:pPr>
              <w:pStyle w:val="Rowcolumntitles"/>
              <w:rPr>
                <w:rFonts w:eastAsia="Times New Roman"/>
                <w:szCs w:val="22"/>
                <w:lang w:val="en-GB"/>
              </w:rPr>
            </w:pPr>
          </w:p>
        </w:tc>
        <w:tc>
          <w:tcPr>
            <w:tcW w:w="505" w:type="dxa"/>
            <w:shd w:val="clear" w:color="auto" w:fill="B8CCE4" w:themeFill="accent1" w:themeFillTint="66"/>
          </w:tcPr>
          <w:p w14:paraId="74E76067" w14:textId="2649D6C0"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2"/>
            <w:shd w:val="clear" w:color="auto" w:fill="B8CCE4" w:themeFill="accent1" w:themeFillTint="66"/>
          </w:tcPr>
          <w:p w14:paraId="6B6A3C23" w14:textId="77777777" w:rsidR="003221C6" w:rsidRPr="00163080" w:rsidRDefault="003221C6" w:rsidP="000E0B9A">
            <w:pPr>
              <w:pStyle w:val="Rowcolumntitles"/>
              <w:rPr>
                <w:rFonts w:eastAsia="Times New Roman"/>
                <w:szCs w:val="22"/>
                <w:lang w:val="en-GB"/>
              </w:rPr>
            </w:pPr>
          </w:p>
        </w:tc>
        <w:tc>
          <w:tcPr>
            <w:tcW w:w="506" w:type="dxa"/>
            <w:gridSpan w:val="3"/>
            <w:shd w:val="clear" w:color="auto" w:fill="B8CCE4" w:themeFill="accent1" w:themeFillTint="66"/>
          </w:tcPr>
          <w:p w14:paraId="6591FA22" w14:textId="77777777" w:rsidR="003221C6" w:rsidRPr="00163080" w:rsidRDefault="003221C6" w:rsidP="000E0B9A">
            <w:pPr>
              <w:pStyle w:val="Rowcolumntitles"/>
              <w:rPr>
                <w:rFonts w:eastAsia="Times New Roman"/>
                <w:szCs w:val="22"/>
                <w:lang w:val="en-GB"/>
              </w:rPr>
            </w:pPr>
          </w:p>
        </w:tc>
        <w:tc>
          <w:tcPr>
            <w:tcW w:w="511" w:type="dxa"/>
            <w:gridSpan w:val="2"/>
            <w:shd w:val="clear" w:color="auto" w:fill="B8CCE4" w:themeFill="accent1" w:themeFillTint="66"/>
          </w:tcPr>
          <w:p w14:paraId="193FFA78" w14:textId="2F01D8D0" w:rsidR="003221C6" w:rsidRPr="00163080" w:rsidRDefault="003221C6" w:rsidP="000E0B9A">
            <w:pPr>
              <w:pStyle w:val="Rowcolumntitles"/>
              <w:rPr>
                <w:rFonts w:eastAsia="Times New Roman"/>
                <w:szCs w:val="22"/>
                <w:lang w:val="en-GB"/>
              </w:rPr>
            </w:pPr>
          </w:p>
        </w:tc>
        <w:tc>
          <w:tcPr>
            <w:tcW w:w="377" w:type="dxa"/>
            <w:vMerge w:val="restart"/>
            <w:shd w:val="clear" w:color="auto" w:fill="D99594" w:themeFill="accent2" w:themeFillTint="99"/>
          </w:tcPr>
          <w:p w14:paraId="46787CA6"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1752C8D8"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5DEFC675" w14:textId="12D695F8"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529D54FD" w14:textId="77777777" w:rsidR="003221C6" w:rsidRPr="00163080" w:rsidRDefault="003221C6" w:rsidP="000E0B9A">
            <w:pPr>
              <w:pStyle w:val="Rowcolumntitles"/>
              <w:rPr>
                <w:rFonts w:eastAsia="Times New Roman"/>
                <w:szCs w:val="22"/>
                <w:lang w:val="en-GB"/>
              </w:rPr>
            </w:pPr>
          </w:p>
        </w:tc>
        <w:tc>
          <w:tcPr>
            <w:tcW w:w="400" w:type="dxa"/>
            <w:vMerge w:val="restart"/>
            <w:shd w:val="clear" w:color="auto" w:fill="D99594" w:themeFill="accent2" w:themeFillTint="99"/>
          </w:tcPr>
          <w:p w14:paraId="78D2499F" w14:textId="77777777" w:rsidR="003221C6" w:rsidRPr="00163080" w:rsidRDefault="003221C6" w:rsidP="000E0B9A">
            <w:pPr>
              <w:pStyle w:val="Rowcolumntitles"/>
              <w:rPr>
                <w:rFonts w:eastAsia="Times New Roman"/>
                <w:szCs w:val="22"/>
                <w:lang w:val="en-GB"/>
              </w:rPr>
            </w:pPr>
          </w:p>
        </w:tc>
      </w:tr>
      <w:tr w:rsidR="000E0B9A" w:rsidRPr="009400F9" w14:paraId="41B98F67" w14:textId="77777777" w:rsidTr="00BD1202">
        <w:trPr>
          <w:trHeight w:val="355"/>
        </w:trPr>
        <w:tc>
          <w:tcPr>
            <w:tcW w:w="1569" w:type="dxa"/>
            <w:vMerge/>
            <w:shd w:val="clear" w:color="auto" w:fill="000000" w:themeFill="text1"/>
          </w:tcPr>
          <w:p w14:paraId="7F07F9F6" w14:textId="77777777" w:rsidR="003221C6" w:rsidRPr="00163080" w:rsidRDefault="003221C6" w:rsidP="000E0B9A">
            <w:pPr>
              <w:pStyle w:val="Rowcolumntitles"/>
              <w:rPr>
                <w:color w:val="FFFFFF" w:themeColor="background1"/>
                <w:szCs w:val="22"/>
                <w:lang w:val="en-GB"/>
              </w:rPr>
            </w:pPr>
          </w:p>
        </w:tc>
        <w:tc>
          <w:tcPr>
            <w:tcW w:w="415" w:type="dxa"/>
            <w:vMerge/>
            <w:shd w:val="clear" w:color="auto" w:fill="D6E3BC" w:themeFill="accent3" w:themeFillTint="66"/>
          </w:tcPr>
          <w:p w14:paraId="700D574A" w14:textId="77777777" w:rsidR="003221C6" w:rsidRPr="00163080" w:rsidRDefault="003221C6" w:rsidP="000E0B9A">
            <w:pPr>
              <w:pStyle w:val="Rowcolumntitles"/>
              <w:rPr>
                <w:szCs w:val="22"/>
                <w:lang w:val="en-GB"/>
              </w:rPr>
            </w:pPr>
          </w:p>
        </w:tc>
        <w:tc>
          <w:tcPr>
            <w:tcW w:w="418" w:type="dxa"/>
            <w:vMerge/>
            <w:shd w:val="clear" w:color="auto" w:fill="D6E3BC" w:themeFill="accent3" w:themeFillTint="66"/>
          </w:tcPr>
          <w:p w14:paraId="4ADA94B7" w14:textId="77777777" w:rsidR="003221C6" w:rsidRPr="00163080" w:rsidRDefault="003221C6" w:rsidP="000E0B9A">
            <w:pPr>
              <w:pStyle w:val="Rowcolumntitles"/>
              <w:rPr>
                <w:rFonts w:eastAsia="Times New Roman"/>
                <w:szCs w:val="22"/>
                <w:lang w:val="en-GB"/>
              </w:rPr>
            </w:pPr>
          </w:p>
        </w:tc>
        <w:tc>
          <w:tcPr>
            <w:tcW w:w="380" w:type="dxa"/>
            <w:vMerge/>
            <w:shd w:val="clear" w:color="auto" w:fill="D6E3BC" w:themeFill="accent3" w:themeFillTint="66"/>
          </w:tcPr>
          <w:p w14:paraId="3E87FA6F" w14:textId="77777777" w:rsidR="003221C6" w:rsidRPr="00163080" w:rsidRDefault="003221C6" w:rsidP="000E0B9A">
            <w:pPr>
              <w:pStyle w:val="Rowcolumntitles"/>
              <w:rPr>
                <w:szCs w:val="22"/>
                <w:lang w:val="en-GB"/>
              </w:rPr>
            </w:pPr>
          </w:p>
        </w:tc>
        <w:tc>
          <w:tcPr>
            <w:tcW w:w="298" w:type="dxa"/>
            <w:vMerge/>
            <w:shd w:val="clear" w:color="auto" w:fill="D6E3BC" w:themeFill="accent3" w:themeFillTint="66"/>
          </w:tcPr>
          <w:p w14:paraId="019F58E2" w14:textId="77777777" w:rsidR="003221C6" w:rsidRPr="00163080" w:rsidRDefault="003221C6" w:rsidP="000E0B9A">
            <w:pPr>
              <w:pStyle w:val="Rowcolumntitles"/>
              <w:rPr>
                <w:rFonts w:eastAsia="Times New Roman"/>
                <w:szCs w:val="22"/>
                <w:lang w:val="en-GB"/>
              </w:rPr>
            </w:pPr>
          </w:p>
        </w:tc>
        <w:tc>
          <w:tcPr>
            <w:tcW w:w="687" w:type="dxa"/>
            <w:vMerge/>
            <w:shd w:val="clear" w:color="auto" w:fill="FBD4B4" w:themeFill="accent6" w:themeFillTint="66"/>
          </w:tcPr>
          <w:p w14:paraId="75491437" w14:textId="77777777" w:rsidR="003221C6" w:rsidRPr="00163080" w:rsidRDefault="003221C6" w:rsidP="000E0B9A">
            <w:pPr>
              <w:pStyle w:val="Rowcolumntitles"/>
              <w:rPr>
                <w:rFonts w:eastAsia="Times New Roman"/>
                <w:szCs w:val="22"/>
                <w:lang w:val="en-GB"/>
              </w:rPr>
            </w:pPr>
          </w:p>
        </w:tc>
        <w:tc>
          <w:tcPr>
            <w:tcW w:w="311" w:type="dxa"/>
            <w:vMerge/>
            <w:shd w:val="clear" w:color="auto" w:fill="FBD4B4" w:themeFill="accent6" w:themeFillTint="66"/>
          </w:tcPr>
          <w:p w14:paraId="0F996AE2" w14:textId="77777777" w:rsidR="003221C6" w:rsidRPr="00163080" w:rsidRDefault="003221C6" w:rsidP="000E0B9A">
            <w:pPr>
              <w:pStyle w:val="Rowcolumntitles"/>
              <w:rPr>
                <w:rFonts w:eastAsia="Times New Roman"/>
                <w:szCs w:val="22"/>
                <w:lang w:val="en-GB"/>
              </w:rPr>
            </w:pPr>
          </w:p>
        </w:tc>
        <w:tc>
          <w:tcPr>
            <w:tcW w:w="417" w:type="dxa"/>
            <w:vMerge/>
            <w:shd w:val="clear" w:color="auto" w:fill="FBD4B4" w:themeFill="accent6" w:themeFillTint="66"/>
          </w:tcPr>
          <w:p w14:paraId="0BA61EF8" w14:textId="77777777" w:rsidR="003221C6" w:rsidRPr="00163080" w:rsidRDefault="003221C6" w:rsidP="000E0B9A">
            <w:pPr>
              <w:pStyle w:val="Rowcolumntitles"/>
              <w:rPr>
                <w:rFonts w:eastAsia="Times New Roman"/>
                <w:szCs w:val="22"/>
                <w:lang w:val="en-GB"/>
              </w:rPr>
            </w:pPr>
          </w:p>
        </w:tc>
        <w:tc>
          <w:tcPr>
            <w:tcW w:w="947" w:type="dxa"/>
            <w:vMerge/>
            <w:shd w:val="clear" w:color="auto" w:fill="FBD4B4" w:themeFill="accent6" w:themeFillTint="66"/>
          </w:tcPr>
          <w:p w14:paraId="7EFED2C7"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10E90F76" w14:textId="77777777" w:rsidR="003221C6" w:rsidRPr="00163080" w:rsidRDefault="003221C6" w:rsidP="000E0B9A">
            <w:pPr>
              <w:pStyle w:val="Rowcolumntitles"/>
              <w:rPr>
                <w:szCs w:val="22"/>
                <w:lang w:val="en-GB"/>
              </w:rPr>
            </w:pPr>
          </w:p>
        </w:tc>
        <w:tc>
          <w:tcPr>
            <w:tcW w:w="349" w:type="dxa"/>
            <w:vMerge/>
            <w:shd w:val="clear" w:color="auto" w:fill="CCC0D9" w:themeFill="accent4" w:themeFillTint="66"/>
          </w:tcPr>
          <w:p w14:paraId="5802DC63"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00CD967D" w14:textId="77777777" w:rsidR="003221C6" w:rsidRPr="00163080" w:rsidRDefault="003221C6" w:rsidP="000E0B9A">
            <w:pPr>
              <w:pStyle w:val="Rowcolumntitles"/>
              <w:rPr>
                <w:szCs w:val="22"/>
                <w:lang w:val="en-GB"/>
              </w:rPr>
            </w:pPr>
          </w:p>
        </w:tc>
        <w:tc>
          <w:tcPr>
            <w:tcW w:w="351" w:type="dxa"/>
            <w:gridSpan w:val="2"/>
            <w:vMerge/>
            <w:shd w:val="clear" w:color="auto" w:fill="CCC0D9" w:themeFill="accent4" w:themeFillTint="66"/>
          </w:tcPr>
          <w:p w14:paraId="6A12E8B0" w14:textId="77777777" w:rsidR="003221C6" w:rsidRPr="00163080" w:rsidRDefault="003221C6" w:rsidP="000E0B9A">
            <w:pPr>
              <w:pStyle w:val="Rowcolumntitles"/>
              <w:rPr>
                <w:rFonts w:eastAsia="Times New Roman"/>
                <w:szCs w:val="22"/>
                <w:lang w:val="en-GB"/>
              </w:rPr>
            </w:pPr>
          </w:p>
        </w:tc>
        <w:tc>
          <w:tcPr>
            <w:tcW w:w="505" w:type="dxa"/>
            <w:shd w:val="clear" w:color="auto" w:fill="B8CCE4" w:themeFill="accent1" w:themeFillTint="66"/>
          </w:tcPr>
          <w:p w14:paraId="4293846D" w14:textId="51A04601" w:rsidR="003221C6" w:rsidRPr="00163080" w:rsidRDefault="003221C6" w:rsidP="000E0B9A">
            <w:pPr>
              <w:pStyle w:val="Rowcolumntitles"/>
              <w:rPr>
                <w:rFonts w:eastAsia="Times New Roman"/>
                <w:szCs w:val="22"/>
                <w:lang w:val="en-GB"/>
              </w:rPr>
            </w:pPr>
          </w:p>
        </w:tc>
        <w:tc>
          <w:tcPr>
            <w:tcW w:w="506" w:type="dxa"/>
            <w:gridSpan w:val="2"/>
            <w:shd w:val="clear" w:color="auto" w:fill="B8CCE4" w:themeFill="accent1" w:themeFillTint="66"/>
          </w:tcPr>
          <w:p w14:paraId="304C2CBB" w14:textId="77777777" w:rsidR="003221C6" w:rsidRPr="00163080" w:rsidRDefault="003221C6" w:rsidP="000E0B9A">
            <w:pPr>
              <w:pStyle w:val="Rowcolumntitles"/>
              <w:rPr>
                <w:rFonts w:eastAsia="Times New Roman"/>
                <w:szCs w:val="22"/>
                <w:lang w:val="en-GB"/>
              </w:rPr>
            </w:pPr>
          </w:p>
        </w:tc>
        <w:tc>
          <w:tcPr>
            <w:tcW w:w="506" w:type="dxa"/>
            <w:gridSpan w:val="3"/>
            <w:shd w:val="clear" w:color="auto" w:fill="B8CCE4" w:themeFill="accent1" w:themeFillTint="66"/>
          </w:tcPr>
          <w:p w14:paraId="755CC152" w14:textId="271E41AE" w:rsidR="003221C6" w:rsidRPr="00163080" w:rsidRDefault="003221C6" w:rsidP="000E0B9A">
            <w:pPr>
              <w:pStyle w:val="Rowcolumntitles"/>
              <w:rPr>
                <w:rFonts w:eastAsia="Times New Roman"/>
                <w:szCs w:val="22"/>
                <w:lang w:val="en-GB"/>
              </w:rPr>
            </w:pPr>
          </w:p>
        </w:tc>
        <w:tc>
          <w:tcPr>
            <w:tcW w:w="511" w:type="dxa"/>
            <w:gridSpan w:val="2"/>
            <w:shd w:val="clear" w:color="auto" w:fill="B8CCE4" w:themeFill="accent1" w:themeFillTint="66"/>
          </w:tcPr>
          <w:p w14:paraId="21E2F560" w14:textId="4ECA7A17" w:rsidR="003221C6" w:rsidRPr="00163080" w:rsidRDefault="00581D4D"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1AEC1734"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6E42E9A0"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180980C2"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3F9D6007" w14:textId="77777777" w:rsidR="003221C6" w:rsidRPr="00163080" w:rsidRDefault="003221C6" w:rsidP="000E0B9A">
            <w:pPr>
              <w:pStyle w:val="Rowcolumntitles"/>
              <w:rPr>
                <w:rFonts w:eastAsia="Times New Roman"/>
                <w:szCs w:val="22"/>
                <w:lang w:val="en-GB"/>
              </w:rPr>
            </w:pPr>
          </w:p>
        </w:tc>
        <w:tc>
          <w:tcPr>
            <w:tcW w:w="400" w:type="dxa"/>
            <w:vMerge/>
            <w:shd w:val="clear" w:color="auto" w:fill="D99594" w:themeFill="accent2" w:themeFillTint="99"/>
          </w:tcPr>
          <w:p w14:paraId="1379C64F" w14:textId="77777777" w:rsidR="003221C6" w:rsidRPr="00163080" w:rsidRDefault="003221C6" w:rsidP="000E0B9A">
            <w:pPr>
              <w:pStyle w:val="Rowcolumntitles"/>
              <w:rPr>
                <w:rFonts w:eastAsia="Times New Roman"/>
                <w:szCs w:val="22"/>
                <w:lang w:val="en-GB"/>
              </w:rPr>
            </w:pPr>
          </w:p>
        </w:tc>
      </w:tr>
      <w:tr w:rsidR="00BF49AA" w:rsidRPr="009400F9" w14:paraId="73DB6336" w14:textId="77777777" w:rsidTr="00BD1202">
        <w:trPr>
          <w:trHeight w:val="486"/>
        </w:trPr>
        <w:tc>
          <w:tcPr>
            <w:tcW w:w="10620" w:type="dxa"/>
            <w:gridSpan w:val="27"/>
            <w:shd w:val="clear" w:color="auto" w:fill="000000" w:themeFill="text1"/>
          </w:tcPr>
          <w:p w14:paraId="42633B01" w14:textId="21213856" w:rsidR="00BF49AA" w:rsidRPr="00163080" w:rsidRDefault="00BF49AA" w:rsidP="000E0B9A">
            <w:pPr>
              <w:pStyle w:val="Rowcolumntitles"/>
              <w:rPr>
                <w:rFonts w:eastAsia="Times New Roman"/>
                <w:color w:val="FFFFFF" w:themeColor="background1"/>
                <w:szCs w:val="22"/>
                <w:lang w:val="en-GB"/>
              </w:rPr>
            </w:pPr>
            <w:r w:rsidRPr="00163080">
              <w:rPr>
                <w:b/>
                <w:noProof/>
                <w:color w:val="FFFFFF" w:themeColor="background1"/>
                <w:szCs w:val="22"/>
                <w:lang w:val="en-GB"/>
              </w:rPr>
              <w:t xml:space="preserve">Theme </w:t>
            </w:r>
            <w:r w:rsidR="00163080">
              <w:rPr>
                <w:b/>
                <w:noProof/>
                <w:color w:val="FFFFFF" w:themeColor="background1"/>
                <w:szCs w:val="22"/>
                <w:lang w:val="en-GB"/>
              </w:rPr>
              <w:t>II</w:t>
            </w:r>
            <w:r w:rsidRPr="00163080">
              <w:rPr>
                <w:b/>
                <w:noProof/>
                <w:color w:val="FFFFFF" w:themeColor="background1"/>
                <w:szCs w:val="22"/>
                <w:lang w:val="en-GB"/>
              </w:rPr>
              <w:t xml:space="preserve">: Ensure access to public information </w:t>
            </w:r>
          </w:p>
        </w:tc>
      </w:tr>
      <w:tr w:rsidR="000E0B9A" w:rsidRPr="009400F9" w14:paraId="1B1EC655" w14:textId="77777777" w:rsidTr="00BD1202">
        <w:trPr>
          <w:trHeight w:val="300"/>
        </w:trPr>
        <w:tc>
          <w:tcPr>
            <w:tcW w:w="1569" w:type="dxa"/>
            <w:vMerge w:val="restart"/>
            <w:shd w:val="clear" w:color="auto" w:fill="000000" w:themeFill="text1"/>
          </w:tcPr>
          <w:p w14:paraId="06BF3FEF" w14:textId="511BB3E6" w:rsidR="003221C6" w:rsidRPr="00163080" w:rsidRDefault="003221C6" w:rsidP="000E0B9A">
            <w:pPr>
              <w:pStyle w:val="Rowcolumntitles"/>
              <w:rPr>
                <w:color w:val="FFFFFF" w:themeColor="background1"/>
                <w:szCs w:val="22"/>
                <w:lang w:val="en-GB"/>
              </w:rPr>
            </w:pPr>
            <w:r w:rsidRPr="00163080">
              <w:rPr>
                <w:noProof/>
                <w:color w:val="FFFFFF" w:themeColor="background1"/>
                <w:szCs w:val="22"/>
                <w:lang w:val="en-GB"/>
              </w:rPr>
              <w:t xml:space="preserve">5.1 Establish rules on processing official infomration  </w:t>
            </w:r>
          </w:p>
        </w:tc>
        <w:tc>
          <w:tcPr>
            <w:tcW w:w="415" w:type="dxa"/>
            <w:vMerge w:val="restart"/>
            <w:shd w:val="clear" w:color="auto" w:fill="D6E3BC" w:themeFill="accent3" w:themeFillTint="66"/>
          </w:tcPr>
          <w:p w14:paraId="72045B4F" w14:textId="77777777" w:rsidR="003221C6" w:rsidRPr="00163080" w:rsidRDefault="003221C6" w:rsidP="000E0B9A">
            <w:pPr>
              <w:pStyle w:val="Rowcolumntitles"/>
              <w:rPr>
                <w:szCs w:val="22"/>
                <w:lang w:val="en-GB"/>
              </w:rPr>
            </w:pPr>
          </w:p>
        </w:tc>
        <w:tc>
          <w:tcPr>
            <w:tcW w:w="418" w:type="dxa"/>
            <w:vMerge w:val="restart"/>
            <w:shd w:val="clear" w:color="auto" w:fill="D6E3BC" w:themeFill="accent3" w:themeFillTint="66"/>
          </w:tcPr>
          <w:p w14:paraId="2C2FDB57" w14:textId="77777777" w:rsidR="003221C6" w:rsidRPr="00163080" w:rsidRDefault="003221C6" w:rsidP="000E0B9A">
            <w:pPr>
              <w:pStyle w:val="Rowcolumntitles"/>
              <w:rPr>
                <w:rFonts w:eastAsia="Times New Roman"/>
                <w:szCs w:val="22"/>
                <w:lang w:val="en-GB"/>
              </w:rPr>
            </w:pPr>
          </w:p>
        </w:tc>
        <w:tc>
          <w:tcPr>
            <w:tcW w:w="380" w:type="dxa"/>
            <w:vMerge w:val="restart"/>
            <w:shd w:val="clear" w:color="auto" w:fill="D6E3BC" w:themeFill="accent3" w:themeFillTint="66"/>
          </w:tcPr>
          <w:p w14:paraId="42FE52FA" w14:textId="77777777" w:rsidR="003221C6" w:rsidRPr="00163080" w:rsidRDefault="003221C6" w:rsidP="000E0B9A">
            <w:pPr>
              <w:pStyle w:val="Rowcolumntitles"/>
              <w:rPr>
                <w:szCs w:val="22"/>
                <w:lang w:val="en-GB"/>
              </w:rPr>
            </w:pPr>
          </w:p>
        </w:tc>
        <w:tc>
          <w:tcPr>
            <w:tcW w:w="298" w:type="dxa"/>
            <w:vMerge w:val="restart"/>
            <w:shd w:val="clear" w:color="auto" w:fill="D6E3BC" w:themeFill="accent3" w:themeFillTint="66"/>
          </w:tcPr>
          <w:p w14:paraId="31C20767" w14:textId="0FAEE78E"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3150F2AB" w14:textId="43F5ECF5"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097A44CB" w14:textId="77777777" w:rsidR="003221C6" w:rsidRPr="00163080" w:rsidRDefault="003221C6" w:rsidP="000E0B9A">
            <w:pPr>
              <w:pStyle w:val="Rowcolumntitles"/>
              <w:rPr>
                <w:rFonts w:eastAsia="Times New Roman"/>
                <w:szCs w:val="22"/>
                <w:lang w:val="en-GB"/>
              </w:rPr>
            </w:pPr>
          </w:p>
        </w:tc>
        <w:tc>
          <w:tcPr>
            <w:tcW w:w="417" w:type="dxa"/>
            <w:vMerge w:val="restart"/>
            <w:shd w:val="clear" w:color="auto" w:fill="FBD4B4" w:themeFill="accent6" w:themeFillTint="66"/>
          </w:tcPr>
          <w:p w14:paraId="32ADDBD7" w14:textId="0A84AFF1" w:rsidR="003221C6" w:rsidRPr="00163080" w:rsidRDefault="003221C6" w:rsidP="000E0B9A">
            <w:pPr>
              <w:pStyle w:val="Rowcolumntitles"/>
              <w:rPr>
                <w:rFonts w:eastAsia="Times New Roman"/>
                <w:szCs w:val="22"/>
                <w:lang w:val="en-GB"/>
              </w:rPr>
            </w:pPr>
          </w:p>
        </w:tc>
        <w:tc>
          <w:tcPr>
            <w:tcW w:w="947" w:type="dxa"/>
            <w:vMerge w:val="restart"/>
            <w:shd w:val="clear" w:color="auto" w:fill="FBD4B4" w:themeFill="accent6" w:themeFillTint="66"/>
          </w:tcPr>
          <w:p w14:paraId="52D79481" w14:textId="77777777" w:rsidR="003221C6" w:rsidRPr="00163080" w:rsidRDefault="003221C6" w:rsidP="000E0B9A">
            <w:pPr>
              <w:pStyle w:val="Rowcolumntitles"/>
              <w:rPr>
                <w:rFonts w:eastAsia="Times New Roman"/>
                <w:szCs w:val="22"/>
                <w:lang w:val="en-GB"/>
              </w:rPr>
            </w:pPr>
          </w:p>
        </w:tc>
        <w:tc>
          <w:tcPr>
            <w:tcW w:w="349" w:type="dxa"/>
            <w:vMerge w:val="restart"/>
            <w:shd w:val="clear" w:color="auto" w:fill="CCC0D9" w:themeFill="accent4" w:themeFillTint="66"/>
          </w:tcPr>
          <w:p w14:paraId="33690B0E" w14:textId="77777777" w:rsidR="003221C6" w:rsidRPr="00163080" w:rsidRDefault="003221C6" w:rsidP="000E0B9A">
            <w:pPr>
              <w:pStyle w:val="Rowcolumntitles"/>
              <w:rPr>
                <w:szCs w:val="22"/>
                <w:lang w:val="en-GB"/>
              </w:rPr>
            </w:pPr>
          </w:p>
        </w:tc>
        <w:tc>
          <w:tcPr>
            <w:tcW w:w="349" w:type="dxa"/>
            <w:vMerge w:val="restart"/>
            <w:shd w:val="clear" w:color="auto" w:fill="CCC0D9" w:themeFill="accent4" w:themeFillTint="66"/>
          </w:tcPr>
          <w:p w14:paraId="5FD9EB08" w14:textId="4C903996"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461A6EAB" w14:textId="77777777" w:rsidR="003221C6" w:rsidRPr="00163080" w:rsidRDefault="003221C6" w:rsidP="000E0B9A">
            <w:pPr>
              <w:pStyle w:val="Rowcolumntitles"/>
              <w:rPr>
                <w:szCs w:val="22"/>
                <w:lang w:val="en-GB"/>
              </w:rPr>
            </w:pPr>
          </w:p>
        </w:tc>
        <w:tc>
          <w:tcPr>
            <w:tcW w:w="351" w:type="dxa"/>
            <w:gridSpan w:val="2"/>
            <w:vMerge w:val="restart"/>
            <w:shd w:val="clear" w:color="auto" w:fill="CCC0D9" w:themeFill="accent4" w:themeFillTint="66"/>
          </w:tcPr>
          <w:p w14:paraId="7F146B03" w14:textId="77777777" w:rsidR="003221C6" w:rsidRPr="00163080" w:rsidRDefault="003221C6" w:rsidP="000E0B9A">
            <w:pPr>
              <w:pStyle w:val="Rowcolumntitles"/>
              <w:rPr>
                <w:rFonts w:eastAsia="Times New Roman"/>
                <w:szCs w:val="22"/>
                <w:lang w:val="en-GB"/>
              </w:rPr>
            </w:pPr>
          </w:p>
        </w:tc>
        <w:tc>
          <w:tcPr>
            <w:tcW w:w="505" w:type="dxa"/>
            <w:shd w:val="clear" w:color="auto" w:fill="B8CCE4" w:themeFill="accent1" w:themeFillTint="66"/>
          </w:tcPr>
          <w:p w14:paraId="4E9433C0" w14:textId="3F03AC45" w:rsidR="003221C6" w:rsidRPr="00163080" w:rsidRDefault="003221C6" w:rsidP="000E0B9A">
            <w:pPr>
              <w:pStyle w:val="Rowcolumntitles"/>
              <w:rPr>
                <w:rFonts w:eastAsia="Times New Roman"/>
                <w:szCs w:val="22"/>
                <w:lang w:val="en-GB"/>
              </w:rPr>
            </w:pPr>
          </w:p>
        </w:tc>
        <w:tc>
          <w:tcPr>
            <w:tcW w:w="506" w:type="dxa"/>
            <w:gridSpan w:val="2"/>
            <w:shd w:val="clear" w:color="auto" w:fill="B8CCE4" w:themeFill="accent1" w:themeFillTint="66"/>
          </w:tcPr>
          <w:p w14:paraId="269229E3" w14:textId="77777777" w:rsidR="003221C6" w:rsidRPr="00163080" w:rsidRDefault="003221C6" w:rsidP="000E0B9A">
            <w:pPr>
              <w:pStyle w:val="Rowcolumntitles"/>
              <w:rPr>
                <w:rFonts w:eastAsia="Times New Roman"/>
                <w:szCs w:val="22"/>
                <w:lang w:val="en-GB"/>
              </w:rPr>
            </w:pPr>
          </w:p>
        </w:tc>
        <w:tc>
          <w:tcPr>
            <w:tcW w:w="506" w:type="dxa"/>
            <w:gridSpan w:val="3"/>
            <w:shd w:val="clear" w:color="auto" w:fill="B8CCE4" w:themeFill="accent1" w:themeFillTint="66"/>
          </w:tcPr>
          <w:p w14:paraId="505DBAD6" w14:textId="36D5879F"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6D582A2D" w14:textId="77AD4DF2" w:rsidR="003221C6" w:rsidRPr="00163080" w:rsidRDefault="003221C6" w:rsidP="000E0B9A">
            <w:pPr>
              <w:pStyle w:val="Rowcolumntitles"/>
              <w:rPr>
                <w:rFonts w:eastAsia="Times New Roman"/>
                <w:szCs w:val="22"/>
                <w:lang w:val="en-GB"/>
              </w:rPr>
            </w:pPr>
          </w:p>
        </w:tc>
        <w:tc>
          <w:tcPr>
            <w:tcW w:w="377" w:type="dxa"/>
            <w:vMerge w:val="restart"/>
            <w:shd w:val="clear" w:color="auto" w:fill="D99594" w:themeFill="accent2" w:themeFillTint="99"/>
          </w:tcPr>
          <w:p w14:paraId="6A5703EB"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273E4D14" w14:textId="0BFA2BB8"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1C1FB1AA"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06EF7F7B" w14:textId="4D4407DC"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00" w:type="dxa"/>
            <w:vMerge w:val="restart"/>
            <w:shd w:val="clear" w:color="auto" w:fill="D99594" w:themeFill="accent2" w:themeFillTint="99"/>
          </w:tcPr>
          <w:p w14:paraId="2CFA586B" w14:textId="77777777" w:rsidR="003221C6" w:rsidRPr="00163080" w:rsidRDefault="003221C6" w:rsidP="000E0B9A">
            <w:pPr>
              <w:pStyle w:val="Rowcolumntitles"/>
              <w:rPr>
                <w:rFonts w:eastAsia="Times New Roman"/>
                <w:szCs w:val="22"/>
                <w:lang w:val="en-GB"/>
              </w:rPr>
            </w:pPr>
          </w:p>
        </w:tc>
      </w:tr>
      <w:tr w:rsidR="000E0B9A" w:rsidRPr="009400F9" w14:paraId="3687FBF5" w14:textId="77777777" w:rsidTr="00BD1202">
        <w:trPr>
          <w:trHeight w:val="300"/>
        </w:trPr>
        <w:tc>
          <w:tcPr>
            <w:tcW w:w="1569" w:type="dxa"/>
            <w:vMerge/>
            <w:shd w:val="clear" w:color="auto" w:fill="000000" w:themeFill="text1"/>
          </w:tcPr>
          <w:p w14:paraId="6066E2AA" w14:textId="77777777" w:rsidR="003221C6" w:rsidRPr="00163080" w:rsidRDefault="003221C6" w:rsidP="000E0B9A">
            <w:pPr>
              <w:pStyle w:val="Rowcolumntitles"/>
              <w:rPr>
                <w:noProof/>
                <w:color w:val="FFFFFF" w:themeColor="background1"/>
                <w:szCs w:val="22"/>
                <w:lang w:val="en-GB"/>
              </w:rPr>
            </w:pPr>
          </w:p>
        </w:tc>
        <w:tc>
          <w:tcPr>
            <w:tcW w:w="415" w:type="dxa"/>
            <w:vMerge/>
            <w:shd w:val="clear" w:color="auto" w:fill="D6E3BC" w:themeFill="accent3" w:themeFillTint="66"/>
          </w:tcPr>
          <w:p w14:paraId="6612710B" w14:textId="77777777" w:rsidR="003221C6" w:rsidRPr="00163080" w:rsidRDefault="003221C6" w:rsidP="000E0B9A">
            <w:pPr>
              <w:pStyle w:val="Rowcolumntitles"/>
              <w:rPr>
                <w:szCs w:val="22"/>
                <w:lang w:val="en-GB"/>
              </w:rPr>
            </w:pPr>
          </w:p>
        </w:tc>
        <w:tc>
          <w:tcPr>
            <w:tcW w:w="418" w:type="dxa"/>
            <w:vMerge/>
            <w:shd w:val="clear" w:color="auto" w:fill="D6E3BC" w:themeFill="accent3" w:themeFillTint="66"/>
          </w:tcPr>
          <w:p w14:paraId="6C87924D" w14:textId="77777777" w:rsidR="003221C6" w:rsidRPr="00163080" w:rsidRDefault="003221C6" w:rsidP="000E0B9A">
            <w:pPr>
              <w:pStyle w:val="Rowcolumntitles"/>
              <w:rPr>
                <w:rFonts w:eastAsia="Times New Roman"/>
                <w:szCs w:val="22"/>
                <w:lang w:val="en-GB"/>
              </w:rPr>
            </w:pPr>
          </w:p>
        </w:tc>
        <w:tc>
          <w:tcPr>
            <w:tcW w:w="380" w:type="dxa"/>
            <w:vMerge/>
            <w:shd w:val="clear" w:color="auto" w:fill="D6E3BC" w:themeFill="accent3" w:themeFillTint="66"/>
          </w:tcPr>
          <w:p w14:paraId="280495FA" w14:textId="77777777" w:rsidR="003221C6" w:rsidRPr="00163080" w:rsidRDefault="003221C6" w:rsidP="000E0B9A">
            <w:pPr>
              <w:pStyle w:val="Rowcolumntitles"/>
              <w:rPr>
                <w:szCs w:val="22"/>
                <w:lang w:val="en-GB"/>
              </w:rPr>
            </w:pPr>
          </w:p>
        </w:tc>
        <w:tc>
          <w:tcPr>
            <w:tcW w:w="298" w:type="dxa"/>
            <w:vMerge/>
            <w:shd w:val="clear" w:color="auto" w:fill="D6E3BC" w:themeFill="accent3" w:themeFillTint="66"/>
          </w:tcPr>
          <w:p w14:paraId="52FA50FD" w14:textId="77777777" w:rsidR="003221C6" w:rsidRPr="00163080" w:rsidRDefault="003221C6" w:rsidP="000E0B9A">
            <w:pPr>
              <w:pStyle w:val="Rowcolumntitles"/>
              <w:rPr>
                <w:noProof/>
                <w:szCs w:val="22"/>
                <w:lang w:val="en-GB"/>
              </w:rPr>
            </w:pPr>
          </w:p>
        </w:tc>
        <w:tc>
          <w:tcPr>
            <w:tcW w:w="687" w:type="dxa"/>
            <w:vMerge/>
            <w:shd w:val="clear" w:color="auto" w:fill="FBD4B4" w:themeFill="accent6" w:themeFillTint="66"/>
          </w:tcPr>
          <w:p w14:paraId="2C8C373D" w14:textId="77777777" w:rsidR="003221C6" w:rsidRPr="00163080" w:rsidRDefault="003221C6" w:rsidP="000E0B9A">
            <w:pPr>
              <w:pStyle w:val="Rowcolumntitles"/>
              <w:rPr>
                <w:noProof/>
                <w:szCs w:val="22"/>
                <w:lang w:val="en-GB"/>
              </w:rPr>
            </w:pPr>
          </w:p>
        </w:tc>
        <w:tc>
          <w:tcPr>
            <w:tcW w:w="311" w:type="dxa"/>
            <w:vMerge/>
            <w:shd w:val="clear" w:color="auto" w:fill="FBD4B4" w:themeFill="accent6" w:themeFillTint="66"/>
          </w:tcPr>
          <w:p w14:paraId="1A2FE37F" w14:textId="77777777" w:rsidR="003221C6" w:rsidRPr="00163080" w:rsidRDefault="003221C6" w:rsidP="000E0B9A">
            <w:pPr>
              <w:pStyle w:val="Rowcolumntitles"/>
              <w:rPr>
                <w:rFonts w:eastAsia="Times New Roman"/>
                <w:szCs w:val="22"/>
                <w:lang w:val="en-GB"/>
              </w:rPr>
            </w:pPr>
          </w:p>
        </w:tc>
        <w:tc>
          <w:tcPr>
            <w:tcW w:w="417" w:type="dxa"/>
            <w:vMerge/>
            <w:shd w:val="clear" w:color="auto" w:fill="FBD4B4" w:themeFill="accent6" w:themeFillTint="66"/>
          </w:tcPr>
          <w:p w14:paraId="3A374BCA" w14:textId="77777777" w:rsidR="003221C6" w:rsidRPr="00163080" w:rsidRDefault="003221C6" w:rsidP="000E0B9A">
            <w:pPr>
              <w:pStyle w:val="Rowcolumntitles"/>
              <w:rPr>
                <w:rFonts w:eastAsia="Times New Roman"/>
                <w:szCs w:val="22"/>
                <w:lang w:val="en-GB"/>
              </w:rPr>
            </w:pPr>
          </w:p>
        </w:tc>
        <w:tc>
          <w:tcPr>
            <w:tcW w:w="947" w:type="dxa"/>
            <w:vMerge/>
            <w:shd w:val="clear" w:color="auto" w:fill="FBD4B4" w:themeFill="accent6" w:themeFillTint="66"/>
          </w:tcPr>
          <w:p w14:paraId="76635740"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5C172E68" w14:textId="77777777" w:rsidR="003221C6" w:rsidRPr="00163080" w:rsidRDefault="003221C6" w:rsidP="000E0B9A">
            <w:pPr>
              <w:pStyle w:val="Rowcolumntitles"/>
              <w:rPr>
                <w:szCs w:val="22"/>
                <w:lang w:val="en-GB"/>
              </w:rPr>
            </w:pPr>
          </w:p>
        </w:tc>
        <w:tc>
          <w:tcPr>
            <w:tcW w:w="349" w:type="dxa"/>
            <w:vMerge/>
            <w:shd w:val="clear" w:color="auto" w:fill="CCC0D9" w:themeFill="accent4" w:themeFillTint="66"/>
          </w:tcPr>
          <w:p w14:paraId="005C24E0" w14:textId="77777777" w:rsidR="003221C6" w:rsidRPr="00163080" w:rsidRDefault="003221C6" w:rsidP="000E0B9A">
            <w:pPr>
              <w:pStyle w:val="Rowcolumntitles"/>
              <w:rPr>
                <w:noProof/>
                <w:szCs w:val="22"/>
                <w:lang w:val="en-GB"/>
              </w:rPr>
            </w:pPr>
          </w:p>
        </w:tc>
        <w:tc>
          <w:tcPr>
            <w:tcW w:w="349" w:type="dxa"/>
            <w:vMerge/>
            <w:shd w:val="clear" w:color="auto" w:fill="CCC0D9" w:themeFill="accent4" w:themeFillTint="66"/>
          </w:tcPr>
          <w:p w14:paraId="69FF57B9" w14:textId="77777777" w:rsidR="003221C6" w:rsidRPr="00163080" w:rsidRDefault="003221C6" w:rsidP="000E0B9A">
            <w:pPr>
              <w:pStyle w:val="Rowcolumntitles"/>
              <w:rPr>
                <w:szCs w:val="22"/>
                <w:lang w:val="en-GB"/>
              </w:rPr>
            </w:pPr>
          </w:p>
        </w:tc>
        <w:tc>
          <w:tcPr>
            <w:tcW w:w="351" w:type="dxa"/>
            <w:gridSpan w:val="2"/>
            <w:vMerge/>
            <w:shd w:val="clear" w:color="auto" w:fill="CCC0D9" w:themeFill="accent4" w:themeFillTint="66"/>
          </w:tcPr>
          <w:p w14:paraId="03D556D0" w14:textId="77777777" w:rsidR="003221C6" w:rsidRPr="00163080" w:rsidRDefault="003221C6" w:rsidP="000E0B9A">
            <w:pPr>
              <w:pStyle w:val="Rowcolumntitles"/>
              <w:rPr>
                <w:rFonts w:eastAsia="Times New Roman"/>
                <w:szCs w:val="22"/>
                <w:lang w:val="en-GB"/>
              </w:rPr>
            </w:pPr>
          </w:p>
        </w:tc>
        <w:tc>
          <w:tcPr>
            <w:tcW w:w="505" w:type="dxa"/>
            <w:shd w:val="clear" w:color="auto" w:fill="B8CCE4" w:themeFill="accent1" w:themeFillTint="66"/>
          </w:tcPr>
          <w:p w14:paraId="63FAF07E" w14:textId="1C0D22FB" w:rsidR="003221C6" w:rsidRPr="00163080" w:rsidRDefault="003221C6" w:rsidP="000E0B9A">
            <w:pPr>
              <w:pStyle w:val="Rowcolumntitles"/>
              <w:rPr>
                <w:rFonts w:eastAsia="Times New Roman"/>
                <w:szCs w:val="22"/>
                <w:lang w:val="en-GB"/>
              </w:rPr>
            </w:pPr>
          </w:p>
        </w:tc>
        <w:tc>
          <w:tcPr>
            <w:tcW w:w="506" w:type="dxa"/>
            <w:gridSpan w:val="2"/>
            <w:shd w:val="clear" w:color="auto" w:fill="B8CCE4" w:themeFill="accent1" w:themeFillTint="66"/>
          </w:tcPr>
          <w:p w14:paraId="2CE8F967" w14:textId="77777777" w:rsidR="003221C6" w:rsidRPr="00163080" w:rsidRDefault="003221C6" w:rsidP="000E0B9A">
            <w:pPr>
              <w:pStyle w:val="Rowcolumntitles"/>
              <w:rPr>
                <w:rFonts w:eastAsia="Times New Roman"/>
                <w:szCs w:val="22"/>
                <w:lang w:val="en-GB"/>
              </w:rPr>
            </w:pPr>
          </w:p>
        </w:tc>
        <w:tc>
          <w:tcPr>
            <w:tcW w:w="506" w:type="dxa"/>
            <w:gridSpan w:val="3"/>
            <w:shd w:val="clear" w:color="auto" w:fill="B8CCE4" w:themeFill="accent1" w:themeFillTint="66"/>
          </w:tcPr>
          <w:p w14:paraId="00B49FEA" w14:textId="77777777" w:rsidR="003221C6" w:rsidRPr="00163080" w:rsidRDefault="003221C6" w:rsidP="000E0B9A">
            <w:pPr>
              <w:pStyle w:val="Rowcolumntitles"/>
              <w:rPr>
                <w:rFonts w:eastAsia="Times New Roman"/>
                <w:szCs w:val="22"/>
                <w:lang w:val="en-GB"/>
              </w:rPr>
            </w:pPr>
          </w:p>
        </w:tc>
        <w:tc>
          <w:tcPr>
            <w:tcW w:w="511" w:type="dxa"/>
            <w:gridSpan w:val="2"/>
            <w:shd w:val="clear" w:color="auto" w:fill="B8CCE4" w:themeFill="accent1" w:themeFillTint="66"/>
          </w:tcPr>
          <w:p w14:paraId="2A701C11" w14:textId="2C679007"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29F17BFD"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302E5B26"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7D6B8A28"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21A01A11" w14:textId="77777777" w:rsidR="003221C6" w:rsidRPr="00163080" w:rsidRDefault="003221C6" w:rsidP="000E0B9A">
            <w:pPr>
              <w:pStyle w:val="Rowcolumntitles"/>
              <w:rPr>
                <w:rFonts w:eastAsia="Times New Roman"/>
                <w:szCs w:val="22"/>
                <w:lang w:val="en-GB"/>
              </w:rPr>
            </w:pPr>
          </w:p>
        </w:tc>
        <w:tc>
          <w:tcPr>
            <w:tcW w:w="400" w:type="dxa"/>
            <w:vMerge/>
            <w:shd w:val="clear" w:color="auto" w:fill="D99594" w:themeFill="accent2" w:themeFillTint="99"/>
          </w:tcPr>
          <w:p w14:paraId="1614C9A2" w14:textId="77777777" w:rsidR="003221C6" w:rsidRPr="00163080" w:rsidRDefault="003221C6" w:rsidP="000E0B9A">
            <w:pPr>
              <w:pStyle w:val="Rowcolumntitles"/>
              <w:rPr>
                <w:rFonts w:eastAsia="Times New Roman"/>
                <w:szCs w:val="22"/>
                <w:lang w:val="en-GB"/>
              </w:rPr>
            </w:pPr>
          </w:p>
        </w:tc>
      </w:tr>
      <w:tr w:rsidR="000E0B9A" w:rsidRPr="009400F9" w14:paraId="465E1A30" w14:textId="77777777" w:rsidTr="00BD1202">
        <w:trPr>
          <w:trHeight w:val="227"/>
        </w:trPr>
        <w:tc>
          <w:tcPr>
            <w:tcW w:w="1569" w:type="dxa"/>
            <w:vMerge w:val="restart"/>
            <w:shd w:val="clear" w:color="auto" w:fill="000000" w:themeFill="text1"/>
          </w:tcPr>
          <w:p w14:paraId="570DD84A" w14:textId="0DC7BD73" w:rsidR="003221C6" w:rsidRPr="00163080" w:rsidRDefault="003221C6" w:rsidP="000E0B9A">
            <w:pPr>
              <w:pStyle w:val="Rowcolumntitles"/>
              <w:rPr>
                <w:noProof/>
                <w:color w:val="FFFFFF" w:themeColor="background1"/>
                <w:szCs w:val="22"/>
                <w:lang w:val="en-GB"/>
              </w:rPr>
            </w:pPr>
            <w:r w:rsidRPr="00163080">
              <w:rPr>
                <w:noProof/>
                <w:color w:val="FFFFFF" w:themeColor="background1"/>
                <w:szCs w:val="22"/>
                <w:lang w:val="en-GB"/>
              </w:rPr>
              <w:t>5.2 Access to urban planning documents</w:t>
            </w:r>
          </w:p>
        </w:tc>
        <w:tc>
          <w:tcPr>
            <w:tcW w:w="415" w:type="dxa"/>
            <w:vMerge w:val="restart"/>
            <w:shd w:val="clear" w:color="auto" w:fill="D6E3BC" w:themeFill="accent3" w:themeFillTint="66"/>
          </w:tcPr>
          <w:p w14:paraId="492F70F7" w14:textId="77777777" w:rsidR="003221C6" w:rsidRPr="00163080" w:rsidRDefault="003221C6" w:rsidP="000E0B9A">
            <w:pPr>
              <w:pStyle w:val="Rowcolumntitles"/>
              <w:rPr>
                <w:szCs w:val="22"/>
                <w:lang w:val="en-GB"/>
              </w:rPr>
            </w:pPr>
          </w:p>
        </w:tc>
        <w:tc>
          <w:tcPr>
            <w:tcW w:w="418" w:type="dxa"/>
            <w:vMerge w:val="restart"/>
            <w:shd w:val="clear" w:color="auto" w:fill="D6E3BC" w:themeFill="accent3" w:themeFillTint="66"/>
          </w:tcPr>
          <w:p w14:paraId="3C0D84A7" w14:textId="77777777" w:rsidR="003221C6" w:rsidRPr="00163080" w:rsidRDefault="003221C6" w:rsidP="000E0B9A">
            <w:pPr>
              <w:pStyle w:val="Rowcolumntitles"/>
              <w:rPr>
                <w:rFonts w:eastAsia="Times New Roman"/>
                <w:szCs w:val="22"/>
                <w:lang w:val="en-GB"/>
              </w:rPr>
            </w:pPr>
          </w:p>
        </w:tc>
        <w:tc>
          <w:tcPr>
            <w:tcW w:w="380" w:type="dxa"/>
            <w:vMerge w:val="restart"/>
            <w:shd w:val="clear" w:color="auto" w:fill="D6E3BC" w:themeFill="accent3" w:themeFillTint="66"/>
          </w:tcPr>
          <w:p w14:paraId="6DA6DB19" w14:textId="77777777" w:rsidR="003221C6" w:rsidRPr="00163080" w:rsidRDefault="003221C6" w:rsidP="000E0B9A">
            <w:pPr>
              <w:pStyle w:val="Rowcolumntitles"/>
              <w:rPr>
                <w:szCs w:val="22"/>
                <w:lang w:val="en-GB"/>
              </w:rPr>
            </w:pPr>
          </w:p>
        </w:tc>
        <w:tc>
          <w:tcPr>
            <w:tcW w:w="298" w:type="dxa"/>
            <w:vMerge w:val="restart"/>
            <w:shd w:val="clear" w:color="auto" w:fill="D6E3BC" w:themeFill="accent3" w:themeFillTint="66"/>
          </w:tcPr>
          <w:p w14:paraId="35304585" w14:textId="63338C74"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31DC43BA" w14:textId="4BA016EE"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6A1EF715" w14:textId="77777777" w:rsidR="003221C6" w:rsidRPr="00163080" w:rsidRDefault="003221C6" w:rsidP="000E0B9A">
            <w:pPr>
              <w:pStyle w:val="Rowcolumntitles"/>
              <w:rPr>
                <w:rFonts w:eastAsia="Times New Roman"/>
                <w:szCs w:val="22"/>
                <w:lang w:val="en-GB"/>
              </w:rPr>
            </w:pPr>
          </w:p>
        </w:tc>
        <w:tc>
          <w:tcPr>
            <w:tcW w:w="417" w:type="dxa"/>
            <w:vMerge w:val="restart"/>
            <w:shd w:val="clear" w:color="auto" w:fill="FBD4B4" w:themeFill="accent6" w:themeFillTint="66"/>
          </w:tcPr>
          <w:p w14:paraId="40F9C987" w14:textId="77777777" w:rsidR="003221C6" w:rsidRPr="00163080" w:rsidRDefault="003221C6" w:rsidP="000E0B9A">
            <w:pPr>
              <w:pStyle w:val="Rowcolumntitles"/>
              <w:rPr>
                <w:rFonts w:eastAsia="Times New Roman"/>
                <w:szCs w:val="22"/>
                <w:lang w:val="en-GB"/>
              </w:rPr>
            </w:pPr>
          </w:p>
        </w:tc>
        <w:tc>
          <w:tcPr>
            <w:tcW w:w="947" w:type="dxa"/>
            <w:vMerge w:val="restart"/>
            <w:shd w:val="clear" w:color="auto" w:fill="FBD4B4" w:themeFill="accent6" w:themeFillTint="66"/>
          </w:tcPr>
          <w:p w14:paraId="49B52545" w14:textId="579C8BAA"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4563B11E" w14:textId="77777777" w:rsidR="003221C6" w:rsidRPr="00163080" w:rsidRDefault="003221C6" w:rsidP="000E0B9A">
            <w:pPr>
              <w:pStyle w:val="Rowcolumntitles"/>
              <w:rPr>
                <w:szCs w:val="22"/>
                <w:lang w:val="en-GB"/>
              </w:rPr>
            </w:pPr>
          </w:p>
        </w:tc>
        <w:tc>
          <w:tcPr>
            <w:tcW w:w="349" w:type="dxa"/>
            <w:vMerge w:val="restart"/>
            <w:shd w:val="clear" w:color="auto" w:fill="CCC0D9" w:themeFill="accent4" w:themeFillTint="66"/>
          </w:tcPr>
          <w:p w14:paraId="1C8E98B4" w14:textId="77777777" w:rsidR="003221C6" w:rsidRPr="00163080" w:rsidRDefault="003221C6" w:rsidP="000E0B9A">
            <w:pPr>
              <w:pStyle w:val="Rowcolumntitles"/>
              <w:rPr>
                <w:rFonts w:eastAsia="Times New Roman"/>
                <w:szCs w:val="22"/>
                <w:lang w:val="en-GB"/>
              </w:rPr>
            </w:pPr>
          </w:p>
        </w:tc>
        <w:tc>
          <w:tcPr>
            <w:tcW w:w="349" w:type="dxa"/>
            <w:vMerge w:val="restart"/>
            <w:shd w:val="clear" w:color="auto" w:fill="CCC0D9" w:themeFill="accent4" w:themeFillTint="66"/>
          </w:tcPr>
          <w:p w14:paraId="2584EBD6" w14:textId="77777777" w:rsidR="003221C6" w:rsidRPr="00163080" w:rsidRDefault="003221C6" w:rsidP="000E0B9A">
            <w:pPr>
              <w:pStyle w:val="Rowcolumntitles"/>
              <w:rPr>
                <w:szCs w:val="22"/>
                <w:lang w:val="en-GB"/>
              </w:rPr>
            </w:pPr>
          </w:p>
        </w:tc>
        <w:tc>
          <w:tcPr>
            <w:tcW w:w="351" w:type="dxa"/>
            <w:gridSpan w:val="2"/>
            <w:vMerge w:val="restart"/>
            <w:shd w:val="clear" w:color="auto" w:fill="CCC0D9" w:themeFill="accent4" w:themeFillTint="66"/>
          </w:tcPr>
          <w:p w14:paraId="77583E4A" w14:textId="2BA6E57B"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5" w:type="dxa"/>
            <w:shd w:val="clear" w:color="auto" w:fill="B8CCE4" w:themeFill="accent1" w:themeFillTint="66"/>
          </w:tcPr>
          <w:p w14:paraId="7692BA62" w14:textId="557107D8" w:rsidR="003221C6" w:rsidRPr="00163080" w:rsidRDefault="003221C6" w:rsidP="000E0B9A">
            <w:pPr>
              <w:pStyle w:val="Rowcolumntitles"/>
              <w:rPr>
                <w:rFonts w:eastAsia="Times New Roman"/>
                <w:szCs w:val="22"/>
                <w:lang w:val="en-GB"/>
              </w:rPr>
            </w:pPr>
          </w:p>
        </w:tc>
        <w:tc>
          <w:tcPr>
            <w:tcW w:w="506" w:type="dxa"/>
            <w:gridSpan w:val="2"/>
            <w:shd w:val="clear" w:color="auto" w:fill="B8CCE4" w:themeFill="accent1" w:themeFillTint="66"/>
          </w:tcPr>
          <w:p w14:paraId="760538A9" w14:textId="72B0B6E6"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3"/>
            <w:shd w:val="clear" w:color="auto" w:fill="B8CCE4" w:themeFill="accent1" w:themeFillTint="66"/>
          </w:tcPr>
          <w:p w14:paraId="415B9D5C" w14:textId="77777777" w:rsidR="003221C6" w:rsidRPr="00163080" w:rsidRDefault="003221C6" w:rsidP="000E0B9A">
            <w:pPr>
              <w:pStyle w:val="Rowcolumntitles"/>
              <w:rPr>
                <w:rFonts w:eastAsia="Times New Roman"/>
                <w:szCs w:val="22"/>
                <w:lang w:val="en-GB"/>
              </w:rPr>
            </w:pPr>
          </w:p>
        </w:tc>
        <w:tc>
          <w:tcPr>
            <w:tcW w:w="511" w:type="dxa"/>
            <w:gridSpan w:val="2"/>
            <w:shd w:val="clear" w:color="auto" w:fill="B8CCE4" w:themeFill="accent1" w:themeFillTint="66"/>
          </w:tcPr>
          <w:p w14:paraId="480E009C" w14:textId="1FE385DA" w:rsidR="003221C6" w:rsidRPr="00163080" w:rsidRDefault="003221C6" w:rsidP="000E0B9A">
            <w:pPr>
              <w:pStyle w:val="Rowcolumntitles"/>
              <w:rPr>
                <w:rFonts w:eastAsia="Times New Roman"/>
                <w:szCs w:val="22"/>
                <w:lang w:val="en-GB"/>
              </w:rPr>
            </w:pPr>
          </w:p>
        </w:tc>
        <w:tc>
          <w:tcPr>
            <w:tcW w:w="377" w:type="dxa"/>
            <w:vMerge w:val="restart"/>
            <w:shd w:val="clear" w:color="auto" w:fill="D99594" w:themeFill="accent2" w:themeFillTint="99"/>
          </w:tcPr>
          <w:p w14:paraId="5C3A30C5"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3F6DD613"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73BA6EF1" w14:textId="45EE68AD"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523EFDCC" w14:textId="77777777" w:rsidR="003221C6" w:rsidRPr="00163080" w:rsidRDefault="003221C6" w:rsidP="000E0B9A">
            <w:pPr>
              <w:pStyle w:val="Rowcolumntitles"/>
              <w:rPr>
                <w:rFonts w:eastAsia="Times New Roman"/>
                <w:szCs w:val="22"/>
                <w:lang w:val="en-GB"/>
              </w:rPr>
            </w:pPr>
          </w:p>
        </w:tc>
        <w:tc>
          <w:tcPr>
            <w:tcW w:w="400" w:type="dxa"/>
            <w:vMerge w:val="restart"/>
            <w:shd w:val="clear" w:color="auto" w:fill="D99594" w:themeFill="accent2" w:themeFillTint="99"/>
          </w:tcPr>
          <w:p w14:paraId="559B6AD4" w14:textId="77777777" w:rsidR="003221C6" w:rsidRPr="00163080" w:rsidRDefault="003221C6" w:rsidP="000E0B9A">
            <w:pPr>
              <w:pStyle w:val="Rowcolumntitles"/>
              <w:rPr>
                <w:rFonts w:eastAsia="Times New Roman"/>
                <w:szCs w:val="22"/>
                <w:lang w:val="en-GB"/>
              </w:rPr>
            </w:pPr>
          </w:p>
        </w:tc>
      </w:tr>
      <w:tr w:rsidR="000E0B9A" w:rsidRPr="009400F9" w14:paraId="2A26325B" w14:textId="77777777" w:rsidTr="00BD1202">
        <w:trPr>
          <w:trHeight w:val="226"/>
        </w:trPr>
        <w:tc>
          <w:tcPr>
            <w:tcW w:w="1569" w:type="dxa"/>
            <w:vMerge/>
            <w:shd w:val="clear" w:color="auto" w:fill="000000" w:themeFill="text1"/>
          </w:tcPr>
          <w:p w14:paraId="35697EE9" w14:textId="77777777" w:rsidR="003221C6" w:rsidRPr="00163080" w:rsidRDefault="003221C6" w:rsidP="000E0B9A">
            <w:pPr>
              <w:pStyle w:val="Rowcolumntitles"/>
              <w:rPr>
                <w:noProof/>
                <w:color w:val="FFFFFF" w:themeColor="background1"/>
                <w:szCs w:val="22"/>
                <w:lang w:val="en-GB"/>
              </w:rPr>
            </w:pPr>
          </w:p>
        </w:tc>
        <w:tc>
          <w:tcPr>
            <w:tcW w:w="415" w:type="dxa"/>
            <w:vMerge/>
            <w:shd w:val="clear" w:color="auto" w:fill="D6E3BC" w:themeFill="accent3" w:themeFillTint="66"/>
          </w:tcPr>
          <w:p w14:paraId="2B3691E7" w14:textId="77777777" w:rsidR="003221C6" w:rsidRPr="00163080" w:rsidRDefault="003221C6" w:rsidP="000E0B9A">
            <w:pPr>
              <w:pStyle w:val="Rowcolumntitles"/>
              <w:rPr>
                <w:szCs w:val="22"/>
                <w:lang w:val="en-GB"/>
              </w:rPr>
            </w:pPr>
          </w:p>
        </w:tc>
        <w:tc>
          <w:tcPr>
            <w:tcW w:w="418" w:type="dxa"/>
            <w:vMerge/>
            <w:shd w:val="clear" w:color="auto" w:fill="D6E3BC" w:themeFill="accent3" w:themeFillTint="66"/>
          </w:tcPr>
          <w:p w14:paraId="67881BEA" w14:textId="77777777" w:rsidR="003221C6" w:rsidRPr="00163080" w:rsidRDefault="003221C6" w:rsidP="000E0B9A">
            <w:pPr>
              <w:pStyle w:val="Rowcolumntitles"/>
              <w:rPr>
                <w:rFonts w:eastAsia="Times New Roman"/>
                <w:szCs w:val="22"/>
                <w:lang w:val="en-GB"/>
              </w:rPr>
            </w:pPr>
          </w:p>
        </w:tc>
        <w:tc>
          <w:tcPr>
            <w:tcW w:w="380" w:type="dxa"/>
            <w:vMerge/>
            <w:shd w:val="clear" w:color="auto" w:fill="D6E3BC" w:themeFill="accent3" w:themeFillTint="66"/>
          </w:tcPr>
          <w:p w14:paraId="6BA3C768" w14:textId="77777777" w:rsidR="003221C6" w:rsidRPr="00163080" w:rsidRDefault="003221C6" w:rsidP="000E0B9A">
            <w:pPr>
              <w:pStyle w:val="Rowcolumntitles"/>
              <w:rPr>
                <w:szCs w:val="22"/>
                <w:lang w:val="en-GB"/>
              </w:rPr>
            </w:pPr>
          </w:p>
        </w:tc>
        <w:tc>
          <w:tcPr>
            <w:tcW w:w="298" w:type="dxa"/>
            <w:vMerge/>
            <w:shd w:val="clear" w:color="auto" w:fill="D6E3BC" w:themeFill="accent3" w:themeFillTint="66"/>
          </w:tcPr>
          <w:p w14:paraId="0525D41A" w14:textId="77777777" w:rsidR="003221C6" w:rsidRPr="00163080" w:rsidRDefault="003221C6" w:rsidP="000E0B9A">
            <w:pPr>
              <w:pStyle w:val="Rowcolumntitles"/>
              <w:rPr>
                <w:rFonts w:eastAsia="Times New Roman"/>
                <w:szCs w:val="22"/>
                <w:lang w:val="en-GB"/>
              </w:rPr>
            </w:pPr>
          </w:p>
        </w:tc>
        <w:tc>
          <w:tcPr>
            <w:tcW w:w="687" w:type="dxa"/>
            <w:vMerge/>
            <w:shd w:val="clear" w:color="auto" w:fill="FBD4B4" w:themeFill="accent6" w:themeFillTint="66"/>
          </w:tcPr>
          <w:p w14:paraId="0863F96A" w14:textId="77777777" w:rsidR="003221C6" w:rsidRPr="00163080" w:rsidRDefault="003221C6" w:rsidP="000E0B9A">
            <w:pPr>
              <w:pStyle w:val="Rowcolumntitles"/>
              <w:rPr>
                <w:rFonts w:eastAsia="Times New Roman"/>
                <w:szCs w:val="22"/>
                <w:lang w:val="en-GB"/>
              </w:rPr>
            </w:pPr>
          </w:p>
        </w:tc>
        <w:tc>
          <w:tcPr>
            <w:tcW w:w="311" w:type="dxa"/>
            <w:vMerge/>
            <w:shd w:val="clear" w:color="auto" w:fill="FBD4B4" w:themeFill="accent6" w:themeFillTint="66"/>
          </w:tcPr>
          <w:p w14:paraId="7E640789" w14:textId="77777777" w:rsidR="003221C6" w:rsidRPr="00163080" w:rsidRDefault="003221C6" w:rsidP="000E0B9A">
            <w:pPr>
              <w:pStyle w:val="Rowcolumntitles"/>
              <w:rPr>
                <w:rFonts w:eastAsia="Times New Roman"/>
                <w:szCs w:val="22"/>
                <w:lang w:val="en-GB"/>
              </w:rPr>
            </w:pPr>
          </w:p>
        </w:tc>
        <w:tc>
          <w:tcPr>
            <w:tcW w:w="417" w:type="dxa"/>
            <w:vMerge/>
            <w:shd w:val="clear" w:color="auto" w:fill="FBD4B4" w:themeFill="accent6" w:themeFillTint="66"/>
          </w:tcPr>
          <w:p w14:paraId="5E81FD2B" w14:textId="77777777" w:rsidR="003221C6" w:rsidRPr="00163080" w:rsidRDefault="003221C6" w:rsidP="000E0B9A">
            <w:pPr>
              <w:pStyle w:val="Rowcolumntitles"/>
              <w:rPr>
                <w:rFonts w:eastAsia="Times New Roman"/>
                <w:szCs w:val="22"/>
                <w:lang w:val="en-GB"/>
              </w:rPr>
            </w:pPr>
          </w:p>
        </w:tc>
        <w:tc>
          <w:tcPr>
            <w:tcW w:w="947" w:type="dxa"/>
            <w:vMerge/>
            <w:shd w:val="clear" w:color="auto" w:fill="FBD4B4" w:themeFill="accent6" w:themeFillTint="66"/>
          </w:tcPr>
          <w:p w14:paraId="3BDA31C3"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3CB3E932" w14:textId="77777777" w:rsidR="003221C6" w:rsidRPr="00163080" w:rsidRDefault="003221C6" w:rsidP="000E0B9A">
            <w:pPr>
              <w:pStyle w:val="Rowcolumntitles"/>
              <w:rPr>
                <w:szCs w:val="22"/>
                <w:lang w:val="en-GB"/>
              </w:rPr>
            </w:pPr>
          </w:p>
        </w:tc>
        <w:tc>
          <w:tcPr>
            <w:tcW w:w="349" w:type="dxa"/>
            <w:vMerge/>
            <w:shd w:val="clear" w:color="auto" w:fill="CCC0D9" w:themeFill="accent4" w:themeFillTint="66"/>
          </w:tcPr>
          <w:p w14:paraId="5D05F775"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48F32A9B" w14:textId="77777777" w:rsidR="003221C6" w:rsidRPr="00163080" w:rsidRDefault="003221C6" w:rsidP="000E0B9A">
            <w:pPr>
              <w:pStyle w:val="Rowcolumntitles"/>
              <w:rPr>
                <w:szCs w:val="22"/>
                <w:lang w:val="en-GB"/>
              </w:rPr>
            </w:pPr>
          </w:p>
        </w:tc>
        <w:tc>
          <w:tcPr>
            <w:tcW w:w="351" w:type="dxa"/>
            <w:gridSpan w:val="2"/>
            <w:vMerge/>
            <w:shd w:val="clear" w:color="auto" w:fill="CCC0D9" w:themeFill="accent4" w:themeFillTint="66"/>
          </w:tcPr>
          <w:p w14:paraId="33B653C0" w14:textId="77777777" w:rsidR="003221C6" w:rsidRPr="00163080" w:rsidRDefault="003221C6" w:rsidP="000E0B9A">
            <w:pPr>
              <w:pStyle w:val="Rowcolumntitles"/>
              <w:rPr>
                <w:rFonts w:eastAsia="Times New Roman"/>
                <w:szCs w:val="22"/>
                <w:lang w:val="en-GB"/>
              </w:rPr>
            </w:pPr>
          </w:p>
        </w:tc>
        <w:tc>
          <w:tcPr>
            <w:tcW w:w="505" w:type="dxa"/>
            <w:shd w:val="clear" w:color="auto" w:fill="B8CCE4" w:themeFill="accent1" w:themeFillTint="66"/>
          </w:tcPr>
          <w:p w14:paraId="482B4BBB" w14:textId="4F16B1E5" w:rsidR="003221C6" w:rsidRPr="00163080" w:rsidRDefault="003221C6" w:rsidP="000E0B9A">
            <w:pPr>
              <w:pStyle w:val="Rowcolumntitles"/>
              <w:rPr>
                <w:rFonts w:eastAsia="Times New Roman"/>
                <w:szCs w:val="22"/>
                <w:lang w:val="en-GB"/>
              </w:rPr>
            </w:pPr>
          </w:p>
        </w:tc>
        <w:tc>
          <w:tcPr>
            <w:tcW w:w="506" w:type="dxa"/>
            <w:gridSpan w:val="2"/>
            <w:shd w:val="clear" w:color="auto" w:fill="B8CCE4" w:themeFill="accent1" w:themeFillTint="66"/>
          </w:tcPr>
          <w:p w14:paraId="40050DEA" w14:textId="4968D2EF"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3"/>
            <w:shd w:val="clear" w:color="auto" w:fill="B8CCE4" w:themeFill="accent1" w:themeFillTint="66"/>
          </w:tcPr>
          <w:p w14:paraId="1CF3A0B4" w14:textId="77777777" w:rsidR="003221C6" w:rsidRPr="00163080" w:rsidRDefault="003221C6" w:rsidP="000E0B9A">
            <w:pPr>
              <w:pStyle w:val="Rowcolumntitles"/>
              <w:rPr>
                <w:rFonts w:eastAsia="Times New Roman"/>
                <w:szCs w:val="22"/>
                <w:lang w:val="en-GB"/>
              </w:rPr>
            </w:pPr>
          </w:p>
        </w:tc>
        <w:tc>
          <w:tcPr>
            <w:tcW w:w="511" w:type="dxa"/>
            <w:gridSpan w:val="2"/>
            <w:shd w:val="clear" w:color="auto" w:fill="B8CCE4" w:themeFill="accent1" w:themeFillTint="66"/>
          </w:tcPr>
          <w:p w14:paraId="74B7C59D" w14:textId="0CD7A6EB" w:rsidR="003221C6" w:rsidRPr="00163080" w:rsidRDefault="003221C6" w:rsidP="000E0B9A">
            <w:pPr>
              <w:pStyle w:val="Rowcolumntitles"/>
              <w:rPr>
                <w:rFonts w:eastAsia="Times New Roman"/>
                <w:szCs w:val="22"/>
                <w:lang w:val="en-GB"/>
              </w:rPr>
            </w:pPr>
          </w:p>
        </w:tc>
        <w:tc>
          <w:tcPr>
            <w:tcW w:w="377" w:type="dxa"/>
            <w:vMerge/>
            <w:shd w:val="clear" w:color="auto" w:fill="D99594" w:themeFill="accent2" w:themeFillTint="99"/>
          </w:tcPr>
          <w:p w14:paraId="49250235"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2BD293EE"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4881E1C9"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39BFAB12" w14:textId="77777777" w:rsidR="003221C6" w:rsidRPr="00163080" w:rsidRDefault="003221C6" w:rsidP="000E0B9A">
            <w:pPr>
              <w:pStyle w:val="Rowcolumntitles"/>
              <w:rPr>
                <w:rFonts w:eastAsia="Times New Roman"/>
                <w:szCs w:val="22"/>
                <w:lang w:val="en-GB"/>
              </w:rPr>
            </w:pPr>
          </w:p>
        </w:tc>
        <w:tc>
          <w:tcPr>
            <w:tcW w:w="400" w:type="dxa"/>
            <w:vMerge/>
            <w:shd w:val="clear" w:color="auto" w:fill="D99594" w:themeFill="accent2" w:themeFillTint="99"/>
          </w:tcPr>
          <w:p w14:paraId="09129D38" w14:textId="77777777" w:rsidR="003221C6" w:rsidRPr="00163080" w:rsidRDefault="003221C6" w:rsidP="000E0B9A">
            <w:pPr>
              <w:pStyle w:val="Rowcolumntitles"/>
              <w:rPr>
                <w:rFonts w:eastAsia="Times New Roman"/>
                <w:szCs w:val="22"/>
                <w:lang w:val="en-GB"/>
              </w:rPr>
            </w:pPr>
          </w:p>
        </w:tc>
      </w:tr>
      <w:tr w:rsidR="000E0B9A" w:rsidRPr="009400F9" w14:paraId="365E024D" w14:textId="77777777" w:rsidTr="00BD1202">
        <w:trPr>
          <w:trHeight w:val="227"/>
        </w:trPr>
        <w:tc>
          <w:tcPr>
            <w:tcW w:w="1569" w:type="dxa"/>
            <w:vMerge w:val="restart"/>
            <w:shd w:val="clear" w:color="auto" w:fill="000000" w:themeFill="text1"/>
          </w:tcPr>
          <w:p w14:paraId="06983BFE" w14:textId="4F4A3B5E" w:rsidR="003221C6" w:rsidRPr="00163080" w:rsidRDefault="00163080" w:rsidP="000E0B9A">
            <w:pPr>
              <w:pStyle w:val="Rowcolumntitles"/>
              <w:rPr>
                <w:noProof/>
                <w:color w:val="FFFFFF" w:themeColor="background1"/>
                <w:szCs w:val="22"/>
                <w:lang w:val="en-GB"/>
              </w:rPr>
            </w:pPr>
            <w:r w:rsidRPr="002312E4">
              <w:rPr>
                <w:rFonts w:ascii="MS Mincho" w:eastAsia="MS Mincho" w:hAnsi="MS Mincho" w:cs="MS Mincho"/>
                <w:color w:val="FFFFFF" w:themeColor="background1"/>
                <w:szCs w:val="22"/>
                <w:lang w:val="en-GB"/>
              </w:rPr>
              <w:t>✪</w:t>
            </w:r>
            <w:r w:rsidR="003221C6" w:rsidRPr="00163080">
              <w:rPr>
                <w:noProof/>
                <w:color w:val="FFFFFF" w:themeColor="background1"/>
                <w:szCs w:val="22"/>
                <w:lang w:val="en-GB"/>
              </w:rPr>
              <w:t>5.3 Access to communist-era archives</w:t>
            </w:r>
          </w:p>
        </w:tc>
        <w:tc>
          <w:tcPr>
            <w:tcW w:w="415" w:type="dxa"/>
            <w:vMerge w:val="restart"/>
            <w:shd w:val="clear" w:color="auto" w:fill="D6E3BC" w:themeFill="accent3" w:themeFillTint="66"/>
          </w:tcPr>
          <w:p w14:paraId="19422C28" w14:textId="77777777" w:rsidR="003221C6" w:rsidRPr="00163080" w:rsidRDefault="003221C6" w:rsidP="000E0B9A">
            <w:pPr>
              <w:pStyle w:val="Rowcolumntitles"/>
              <w:rPr>
                <w:szCs w:val="22"/>
                <w:lang w:val="en-GB"/>
              </w:rPr>
            </w:pPr>
          </w:p>
        </w:tc>
        <w:tc>
          <w:tcPr>
            <w:tcW w:w="418" w:type="dxa"/>
            <w:vMerge w:val="restart"/>
            <w:shd w:val="clear" w:color="auto" w:fill="D6E3BC" w:themeFill="accent3" w:themeFillTint="66"/>
          </w:tcPr>
          <w:p w14:paraId="1AA4CCCE" w14:textId="77777777" w:rsidR="003221C6" w:rsidRPr="00163080" w:rsidRDefault="003221C6" w:rsidP="000E0B9A">
            <w:pPr>
              <w:pStyle w:val="Rowcolumntitles"/>
              <w:rPr>
                <w:rFonts w:eastAsia="Times New Roman"/>
                <w:szCs w:val="22"/>
                <w:lang w:val="en-GB"/>
              </w:rPr>
            </w:pPr>
          </w:p>
        </w:tc>
        <w:tc>
          <w:tcPr>
            <w:tcW w:w="380" w:type="dxa"/>
            <w:vMerge w:val="restart"/>
            <w:shd w:val="clear" w:color="auto" w:fill="D6E3BC" w:themeFill="accent3" w:themeFillTint="66"/>
          </w:tcPr>
          <w:p w14:paraId="3F51BF3F" w14:textId="77777777" w:rsidR="003221C6" w:rsidRPr="00163080" w:rsidRDefault="003221C6" w:rsidP="000E0B9A">
            <w:pPr>
              <w:pStyle w:val="Rowcolumntitles"/>
              <w:rPr>
                <w:szCs w:val="22"/>
                <w:lang w:val="en-GB"/>
              </w:rPr>
            </w:pPr>
          </w:p>
        </w:tc>
        <w:tc>
          <w:tcPr>
            <w:tcW w:w="298" w:type="dxa"/>
            <w:vMerge w:val="restart"/>
            <w:shd w:val="clear" w:color="auto" w:fill="D6E3BC" w:themeFill="accent3" w:themeFillTint="66"/>
          </w:tcPr>
          <w:p w14:paraId="3E22A782" w14:textId="7824101B"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3842F0FD" w14:textId="1A8AE395"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7B23EF66" w14:textId="77777777" w:rsidR="003221C6" w:rsidRPr="00163080" w:rsidRDefault="003221C6" w:rsidP="000E0B9A">
            <w:pPr>
              <w:pStyle w:val="Rowcolumntitles"/>
              <w:rPr>
                <w:rFonts w:eastAsia="Times New Roman"/>
                <w:szCs w:val="22"/>
                <w:lang w:val="en-GB"/>
              </w:rPr>
            </w:pPr>
          </w:p>
        </w:tc>
        <w:tc>
          <w:tcPr>
            <w:tcW w:w="417" w:type="dxa"/>
            <w:vMerge w:val="restart"/>
            <w:shd w:val="clear" w:color="auto" w:fill="FBD4B4" w:themeFill="accent6" w:themeFillTint="66"/>
          </w:tcPr>
          <w:p w14:paraId="2CA425ED" w14:textId="77777777" w:rsidR="003221C6" w:rsidRPr="00163080" w:rsidRDefault="003221C6" w:rsidP="000E0B9A">
            <w:pPr>
              <w:pStyle w:val="Rowcolumntitles"/>
              <w:rPr>
                <w:rFonts w:eastAsia="Times New Roman"/>
                <w:szCs w:val="22"/>
                <w:lang w:val="en-GB"/>
              </w:rPr>
            </w:pPr>
          </w:p>
        </w:tc>
        <w:tc>
          <w:tcPr>
            <w:tcW w:w="947" w:type="dxa"/>
            <w:vMerge w:val="restart"/>
            <w:shd w:val="clear" w:color="auto" w:fill="FBD4B4" w:themeFill="accent6" w:themeFillTint="66"/>
          </w:tcPr>
          <w:p w14:paraId="304FB0F7" w14:textId="77777777" w:rsidR="003221C6" w:rsidRPr="00163080" w:rsidRDefault="003221C6" w:rsidP="000E0B9A">
            <w:pPr>
              <w:pStyle w:val="Rowcolumntitles"/>
              <w:rPr>
                <w:rFonts w:eastAsia="Times New Roman"/>
                <w:szCs w:val="22"/>
                <w:lang w:val="en-GB"/>
              </w:rPr>
            </w:pPr>
          </w:p>
        </w:tc>
        <w:tc>
          <w:tcPr>
            <w:tcW w:w="349" w:type="dxa"/>
            <w:vMerge w:val="restart"/>
            <w:shd w:val="clear" w:color="auto" w:fill="CCC0D9" w:themeFill="accent4" w:themeFillTint="66"/>
          </w:tcPr>
          <w:p w14:paraId="7C44D296" w14:textId="77777777" w:rsidR="003221C6" w:rsidRPr="00163080" w:rsidRDefault="003221C6" w:rsidP="000E0B9A">
            <w:pPr>
              <w:pStyle w:val="Rowcolumntitles"/>
              <w:rPr>
                <w:szCs w:val="22"/>
                <w:lang w:val="en-GB"/>
              </w:rPr>
            </w:pPr>
          </w:p>
        </w:tc>
        <w:tc>
          <w:tcPr>
            <w:tcW w:w="349" w:type="dxa"/>
            <w:vMerge w:val="restart"/>
            <w:shd w:val="clear" w:color="auto" w:fill="CCC0D9" w:themeFill="accent4" w:themeFillTint="66"/>
          </w:tcPr>
          <w:p w14:paraId="774FC30B" w14:textId="77777777" w:rsidR="003221C6" w:rsidRPr="00163080" w:rsidRDefault="003221C6" w:rsidP="000E0B9A">
            <w:pPr>
              <w:pStyle w:val="Rowcolumntitles"/>
              <w:rPr>
                <w:rFonts w:eastAsia="Times New Roman"/>
                <w:szCs w:val="22"/>
                <w:lang w:val="en-GB"/>
              </w:rPr>
            </w:pPr>
          </w:p>
        </w:tc>
        <w:tc>
          <w:tcPr>
            <w:tcW w:w="349" w:type="dxa"/>
            <w:vMerge w:val="restart"/>
            <w:shd w:val="clear" w:color="auto" w:fill="CCC0D9" w:themeFill="accent4" w:themeFillTint="66"/>
          </w:tcPr>
          <w:p w14:paraId="49FA7541" w14:textId="77777777" w:rsidR="003221C6" w:rsidRPr="00163080" w:rsidRDefault="003221C6" w:rsidP="000E0B9A">
            <w:pPr>
              <w:pStyle w:val="Rowcolumntitles"/>
              <w:rPr>
                <w:szCs w:val="22"/>
                <w:lang w:val="en-GB"/>
              </w:rPr>
            </w:pPr>
          </w:p>
        </w:tc>
        <w:tc>
          <w:tcPr>
            <w:tcW w:w="351" w:type="dxa"/>
            <w:gridSpan w:val="2"/>
            <w:vMerge w:val="restart"/>
            <w:shd w:val="clear" w:color="auto" w:fill="CCC0D9" w:themeFill="accent4" w:themeFillTint="66"/>
          </w:tcPr>
          <w:p w14:paraId="28712CFC" w14:textId="5D4983B3"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5" w:type="dxa"/>
            <w:shd w:val="clear" w:color="auto" w:fill="B8CCE4" w:themeFill="accent1" w:themeFillTint="66"/>
          </w:tcPr>
          <w:p w14:paraId="64A27136" w14:textId="180EF1E5" w:rsidR="003221C6" w:rsidRPr="00163080" w:rsidRDefault="003221C6" w:rsidP="000E0B9A">
            <w:pPr>
              <w:pStyle w:val="Rowcolumntitles"/>
              <w:rPr>
                <w:rFonts w:eastAsia="Times New Roman"/>
                <w:szCs w:val="22"/>
                <w:lang w:val="en-GB"/>
              </w:rPr>
            </w:pPr>
          </w:p>
        </w:tc>
        <w:tc>
          <w:tcPr>
            <w:tcW w:w="506" w:type="dxa"/>
            <w:gridSpan w:val="2"/>
            <w:shd w:val="clear" w:color="auto" w:fill="B8CCE4" w:themeFill="accent1" w:themeFillTint="66"/>
          </w:tcPr>
          <w:p w14:paraId="46DE11F0" w14:textId="77777777" w:rsidR="003221C6" w:rsidRPr="00163080" w:rsidRDefault="003221C6" w:rsidP="000E0B9A">
            <w:pPr>
              <w:pStyle w:val="Rowcolumntitles"/>
              <w:rPr>
                <w:rFonts w:eastAsia="Times New Roman"/>
                <w:szCs w:val="22"/>
                <w:lang w:val="en-GB"/>
              </w:rPr>
            </w:pPr>
          </w:p>
        </w:tc>
        <w:tc>
          <w:tcPr>
            <w:tcW w:w="506" w:type="dxa"/>
            <w:gridSpan w:val="3"/>
            <w:shd w:val="clear" w:color="auto" w:fill="B8CCE4" w:themeFill="accent1" w:themeFillTint="66"/>
          </w:tcPr>
          <w:p w14:paraId="5062FE8D" w14:textId="77777777" w:rsidR="003221C6" w:rsidRPr="00163080" w:rsidRDefault="003221C6" w:rsidP="000E0B9A">
            <w:pPr>
              <w:pStyle w:val="Rowcolumntitles"/>
              <w:rPr>
                <w:rFonts w:eastAsia="Times New Roman"/>
                <w:szCs w:val="22"/>
                <w:lang w:val="en-GB"/>
              </w:rPr>
            </w:pPr>
          </w:p>
        </w:tc>
        <w:tc>
          <w:tcPr>
            <w:tcW w:w="511" w:type="dxa"/>
            <w:gridSpan w:val="2"/>
            <w:shd w:val="clear" w:color="auto" w:fill="B8CCE4" w:themeFill="accent1" w:themeFillTint="66"/>
          </w:tcPr>
          <w:p w14:paraId="66267481" w14:textId="00CC4350"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val="restart"/>
            <w:shd w:val="clear" w:color="auto" w:fill="D99594" w:themeFill="accent2" w:themeFillTint="99"/>
          </w:tcPr>
          <w:p w14:paraId="6C5064C2"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633655E5"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368A0FED" w14:textId="77777777" w:rsidR="003221C6" w:rsidRPr="00163080" w:rsidRDefault="003221C6" w:rsidP="000E0B9A">
            <w:pPr>
              <w:pStyle w:val="Rowcolumntitles"/>
              <w:rPr>
                <w:rFonts w:eastAsia="Times New Roman"/>
                <w:szCs w:val="22"/>
                <w:lang w:val="en-GB"/>
              </w:rPr>
            </w:pPr>
          </w:p>
        </w:tc>
        <w:tc>
          <w:tcPr>
            <w:tcW w:w="325" w:type="dxa"/>
            <w:vMerge w:val="restart"/>
            <w:shd w:val="clear" w:color="auto" w:fill="D99594" w:themeFill="accent2" w:themeFillTint="99"/>
          </w:tcPr>
          <w:p w14:paraId="6991D9DA" w14:textId="77777777" w:rsidR="003221C6" w:rsidRPr="00163080" w:rsidRDefault="003221C6" w:rsidP="000E0B9A">
            <w:pPr>
              <w:pStyle w:val="Rowcolumntitles"/>
              <w:rPr>
                <w:rFonts w:eastAsia="Times New Roman"/>
                <w:szCs w:val="22"/>
                <w:lang w:val="en-GB"/>
              </w:rPr>
            </w:pPr>
          </w:p>
        </w:tc>
        <w:tc>
          <w:tcPr>
            <w:tcW w:w="400" w:type="dxa"/>
            <w:vMerge w:val="restart"/>
            <w:shd w:val="clear" w:color="auto" w:fill="D99594" w:themeFill="accent2" w:themeFillTint="99"/>
          </w:tcPr>
          <w:p w14:paraId="1B5F6979" w14:textId="663281F2"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r>
      <w:tr w:rsidR="000E0B9A" w:rsidRPr="009400F9" w14:paraId="6B51F750" w14:textId="77777777" w:rsidTr="00BD1202">
        <w:trPr>
          <w:trHeight w:val="226"/>
        </w:trPr>
        <w:tc>
          <w:tcPr>
            <w:tcW w:w="1569" w:type="dxa"/>
            <w:vMerge/>
            <w:shd w:val="clear" w:color="auto" w:fill="000000" w:themeFill="text1"/>
          </w:tcPr>
          <w:p w14:paraId="687A36E5" w14:textId="77777777" w:rsidR="003221C6" w:rsidRPr="00163080" w:rsidRDefault="003221C6" w:rsidP="000E0B9A">
            <w:pPr>
              <w:pStyle w:val="Rowcolumntitles"/>
              <w:rPr>
                <w:noProof/>
                <w:color w:val="FFFFFF" w:themeColor="background1"/>
                <w:szCs w:val="22"/>
                <w:lang w:val="en-GB"/>
              </w:rPr>
            </w:pPr>
          </w:p>
        </w:tc>
        <w:tc>
          <w:tcPr>
            <w:tcW w:w="415" w:type="dxa"/>
            <w:vMerge/>
            <w:shd w:val="clear" w:color="auto" w:fill="D6E3BC" w:themeFill="accent3" w:themeFillTint="66"/>
          </w:tcPr>
          <w:p w14:paraId="3398D95E" w14:textId="77777777" w:rsidR="003221C6" w:rsidRPr="00163080" w:rsidRDefault="003221C6" w:rsidP="000E0B9A">
            <w:pPr>
              <w:pStyle w:val="Rowcolumntitles"/>
              <w:rPr>
                <w:szCs w:val="22"/>
                <w:lang w:val="en-GB"/>
              </w:rPr>
            </w:pPr>
          </w:p>
        </w:tc>
        <w:tc>
          <w:tcPr>
            <w:tcW w:w="418" w:type="dxa"/>
            <w:vMerge/>
            <w:shd w:val="clear" w:color="auto" w:fill="D6E3BC" w:themeFill="accent3" w:themeFillTint="66"/>
          </w:tcPr>
          <w:p w14:paraId="09D7AD64" w14:textId="77777777" w:rsidR="003221C6" w:rsidRPr="00163080" w:rsidRDefault="003221C6" w:rsidP="000E0B9A">
            <w:pPr>
              <w:pStyle w:val="Rowcolumntitles"/>
              <w:rPr>
                <w:rFonts w:eastAsia="Times New Roman"/>
                <w:szCs w:val="22"/>
                <w:lang w:val="en-GB"/>
              </w:rPr>
            </w:pPr>
          </w:p>
        </w:tc>
        <w:tc>
          <w:tcPr>
            <w:tcW w:w="380" w:type="dxa"/>
            <w:vMerge/>
            <w:shd w:val="clear" w:color="auto" w:fill="D6E3BC" w:themeFill="accent3" w:themeFillTint="66"/>
          </w:tcPr>
          <w:p w14:paraId="32237852" w14:textId="77777777" w:rsidR="003221C6" w:rsidRPr="00163080" w:rsidRDefault="003221C6" w:rsidP="000E0B9A">
            <w:pPr>
              <w:pStyle w:val="Rowcolumntitles"/>
              <w:rPr>
                <w:szCs w:val="22"/>
                <w:lang w:val="en-GB"/>
              </w:rPr>
            </w:pPr>
          </w:p>
        </w:tc>
        <w:tc>
          <w:tcPr>
            <w:tcW w:w="298" w:type="dxa"/>
            <w:vMerge/>
            <w:shd w:val="clear" w:color="auto" w:fill="D6E3BC" w:themeFill="accent3" w:themeFillTint="66"/>
          </w:tcPr>
          <w:p w14:paraId="15CBB4F6" w14:textId="77777777" w:rsidR="003221C6" w:rsidRPr="00163080" w:rsidRDefault="003221C6" w:rsidP="000E0B9A">
            <w:pPr>
              <w:pStyle w:val="Rowcolumntitles"/>
              <w:rPr>
                <w:rFonts w:eastAsia="Times New Roman"/>
                <w:szCs w:val="22"/>
                <w:lang w:val="en-GB"/>
              </w:rPr>
            </w:pPr>
          </w:p>
        </w:tc>
        <w:tc>
          <w:tcPr>
            <w:tcW w:w="687" w:type="dxa"/>
            <w:vMerge/>
            <w:shd w:val="clear" w:color="auto" w:fill="FBD4B4" w:themeFill="accent6" w:themeFillTint="66"/>
          </w:tcPr>
          <w:p w14:paraId="27F4EB04" w14:textId="77777777" w:rsidR="003221C6" w:rsidRPr="00163080" w:rsidRDefault="003221C6" w:rsidP="000E0B9A">
            <w:pPr>
              <w:pStyle w:val="Rowcolumntitles"/>
              <w:rPr>
                <w:rFonts w:eastAsia="Times New Roman"/>
                <w:szCs w:val="22"/>
                <w:lang w:val="en-GB"/>
              </w:rPr>
            </w:pPr>
          </w:p>
        </w:tc>
        <w:tc>
          <w:tcPr>
            <w:tcW w:w="311" w:type="dxa"/>
            <w:vMerge/>
            <w:shd w:val="clear" w:color="auto" w:fill="FBD4B4" w:themeFill="accent6" w:themeFillTint="66"/>
          </w:tcPr>
          <w:p w14:paraId="79E8CBB2" w14:textId="77777777" w:rsidR="003221C6" w:rsidRPr="00163080" w:rsidRDefault="003221C6" w:rsidP="000E0B9A">
            <w:pPr>
              <w:pStyle w:val="Rowcolumntitles"/>
              <w:rPr>
                <w:rFonts w:eastAsia="Times New Roman"/>
                <w:szCs w:val="22"/>
                <w:lang w:val="en-GB"/>
              </w:rPr>
            </w:pPr>
          </w:p>
        </w:tc>
        <w:tc>
          <w:tcPr>
            <w:tcW w:w="417" w:type="dxa"/>
            <w:vMerge/>
            <w:shd w:val="clear" w:color="auto" w:fill="FBD4B4" w:themeFill="accent6" w:themeFillTint="66"/>
          </w:tcPr>
          <w:p w14:paraId="72DB644C" w14:textId="77777777" w:rsidR="003221C6" w:rsidRPr="00163080" w:rsidRDefault="003221C6" w:rsidP="000E0B9A">
            <w:pPr>
              <w:pStyle w:val="Rowcolumntitles"/>
              <w:rPr>
                <w:rFonts w:eastAsia="Times New Roman"/>
                <w:szCs w:val="22"/>
                <w:lang w:val="en-GB"/>
              </w:rPr>
            </w:pPr>
          </w:p>
        </w:tc>
        <w:tc>
          <w:tcPr>
            <w:tcW w:w="947" w:type="dxa"/>
            <w:vMerge/>
            <w:shd w:val="clear" w:color="auto" w:fill="FBD4B4" w:themeFill="accent6" w:themeFillTint="66"/>
          </w:tcPr>
          <w:p w14:paraId="65A3A288"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519F1D09" w14:textId="77777777" w:rsidR="003221C6" w:rsidRPr="00163080" w:rsidRDefault="003221C6" w:rsidP="000E0B9A">
            <w:pPr>
              <w:pStyle w:val="Rowcolumntitles"/>
              <w:rPr>
                <w:szCs w:val="22"/>
                <w:lang w:val="en-GB"/>
              </w:rPr>
            </w:pPr>
          </w:p>
        </w:tc>
        <w:tc>
          <w:tcPr>
            <w:tcW w:w="349" w:type="dxa"/>
            <w:vMerge/>
            <w:shd w:val="clear" w:color="auto" w:fill="CCC0D9" w:themeFill="accent4" w:themeFillTint="66"/>
          </w:tcPr>
          <w:p w14:paraId="6029D61B" w14:textId="77777777" w:rsidR="003221C6" w:rsidRPr="00163080" w:rsidRDefault="003221C6" w:rsidP="000E0B9A">
            <w:pPr>
              <w:pStyle w:val="Rowcolumntitles"/>
              <w:rPr>
                <w:rFonts w:eastAsia="Times New Roman"/>
                <w:szCs w:val="22"/>
                <w:lang w:val="en-GB"/>
              </w:rPr>
            </w:pPr>
          </w:p>
        </w:tc>
        <w:tc>
          <w:tcPr>
            <w:tcW w:w="349" w:type="dxa"/>
            <w:vMerge/>
            <w:shd w:val="clear" w:color="auto" w:fill="CCC0D9" w:themeFill="accent4" w:themeFillTint="66"/>
          </w:tcPr>
          <w:p w14:paraId="4007C2F8" w14:textId="77777777" w:rsidR="003221C6" w:rsidRPr="00163080" w:rsidRDefault="003221C6" w:rsidP="000E0B9A">
            <w:pPr>
              <w:pStyle w:val="Rowcolumntitles"/>
              <w:rPr>
                <w:szCs w:val="22"/>
                <w:lang w:val="en-GB"/>
              </w:rPr>
            </w:pPr>
          </w:p>
        </w:tc>
        <w:tc>
          <w:tcPr>
            <w:tcW w:w="351" w:type="dxa"/>
            <w:gridSpan w:val="2"/>
            <w:vMerge/>
            <w:shd w:val="clear" w:color="auto" w:fill="CCC0D9" w:themeFill="accent4" w:themeFillTint="66"/>
          </w:tcPr>
          <w:p w14:paraId="04CF72EC" w14:textId="77777777" w:rsidR="003221C6" w:rsidRPr="00163080" w:rsidRDefault="003221C6" w:rsidP="000E0B9A">
            <w:pPr>
              <w:pStyle w:val="Rowcolumntitles"/>
              <w:rPr>
                <w:rFonts w:eastAsia="Times New Roman"/>
                <w:szCs w:val="22"/>
                <w:lang w:val="en-GB"/>
              </w:rPr>
            </w:pPr>
          </w:p>
        </w:tc>
        <w:tc>
          <w:tcPr>
            <w:tcW w:w="505" w:type="dxa"/>
            <w:shd w:val="clear" w:color="auto" w:fill="B8CCE4" w:themeFill="accent1" w:themeFillTint="66"/>
          </w:tcPr>
          <w:p w14:paraId="26FCD678" w14:textId="1062A91F" w:rsidR="003221C6" w:rsidRPr="00163080" w:rsidRDefault="003221C6" w:rsidP="000E0B9A">
            <w:pPr>
              <w:pStyle w:val="Rowcolumntitles"/>
              <w:rPr>
                <w:rFonts w:eastAsia="Times New Roman"/>
                <w:szCs w:val="22"/>
                <w:lang w:val="en-GB"/>
              </w:rPr>
            </w:pPr>
          </w:p>
        </w:tc>
        <w:tc>
          <w:tcPr>
            <w:tcW w:w="506" w:type="dxa"/>
            <w:gridSpan w:val="2"/>
            <w:shd w:val="clear" w:color="auto" w:fill="B8CCE4" w:themeFill="accent1" w:themeFillTint="66"/>
          </w:tcPr>
          <w:p w14:paraId="4CBC6EDE" w14:textId="77777777" w:rsidR="003221C6" w:rsidRPr="00163080" w:rsidRDefault="003221C6" w:rsidP="000E0B9A">
            <w:pPr>
              <w:pStyle w:val="Rowcolumntitles"/>
              <w:rPr>
                <w:rFonts w:eastAsia="Times New Roman"/>
                <w:szCs w:val="22"/>
                <w:lang w:val="en-GB"/>
              </w:rPr>
            </w:pPr>
          </w:p>
        </w:tc>
        <w:tc>
          <w:tcPr>
            <w:tcW w:w="506" w:type="dxa"/>
            <w:gridSpan w:val="3"/>
            <w:shd w:val="clear" w:color="auto" w:fill="B8CCE4" w:themeFill="accent1" w:themeFillTint="66"/>
          </w:tcPr>
          <w:p w14:paraId="73F61A1B" w14:textId="77777777" w:rsidR="003221C6" w:rsidRPr="00163080" w:rsidRDefault="003221C6" w:rsidP="000E0B9A">
            <w:pPr>
              <w:pStyle w:val="Rowcolumntitles"/>
              <w:rPr>
                <w:rFonts w:eastAsia="Times New Roman"/>
                <w:szCs w:val="22"/>
                <w:lang w:val="en-GB"/>
              </w:rPr>
            </w:pPr>
          </w:p>
        </w:tc>
        <w:tc>
          <w:tcPr>
            <w:tcW w:w="511" w:type="dxa"/>
            <w:gridSpan w:val="2"/>
            <w:shd w:val="clear" w:color="auto" w:fill="B8CCE4" w:themeFill="accent1" w:themeFillTint="66"/>
          </w:tcPr>
          <w:p w14:paraId="25787E82" w14:textId="43546762" w:rsidR="003221C6" w:rsidRPr="00163080" w:rsidRDefault="003221C6"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1A9A129A"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23C85B77"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58699C93" w14:textId="77777777" w:rsidR="003221C6" w:rsidRPr="00163080" w:rsidRDefault="003221C6" w:rsidP="000E0B9A">
            <w:pPr>
              <w:pStyle w:val="Rowcolumntitles"/>
              <w:rPr>
                <w:rFonts w:eastAsia="Times New Roman"/>
                <w:szCs w:val="22"/>
                <w:lang w:val="en-GB"/>
              </w:rPr>
            </w:pPr>
          </w:p>
        </w:tc>
        <w:tc>
          <w:tcPr>
            <w:tcW w:w="325" w:type="dxa"/>
            <w:vMerge/>
            <w:shd w:val="clear" w:color="auto" w:fill="D99594" w:themeFill="accent2" w:themeFillTint="99"/>
          </w:tcPr>
          <w:p w14:paraId="66A8A404" w14:textId="77777777" w:rsidR="003221C6" w:rsidRPr="00163080" w:rsidRDefault="003221C6" w:rsidP="000E0B9A">
            <w:pPr>
              <w:pStyle w:val="Rowcolumntitles"/>
              <w:rPr>
                <w:rFonts w:eastAsia="Times New Roman"/>
                <w:szCs w:val="22"/>
                <w:lang w:val="en-GB"/>
              </w:rPr>
            </w:pPr>
          </w:p>
        </w:tc>
        <w:tc>
          <w:tcPr>
            <w:tcW w:w="400" w:type="dxa"/>
            <w:vMerge/>
            <w:shd w:val="clear" w:color="auto" w:fill="D99594" w:themeFill="accent2" w:themeFillTint="99"/>
          </w:tcPr>
          <w:p w14:paraId="6EA92DE1" w14:textId="77777777" w:rsidR="003221C6" w:rsidRPr="00163080" w:rsidRDefault="003221C6" w:rsidP="000E0B9A">
            <w:pPr>
              <w:pStyle w:val="Rowcolumntitles"/>
              <w:rPr>
                <w:rFonts w:eastAsia="Times New Roman"/>
                <w:szCs w:val="22"/>
                <w:lang w:val="en-GB"/>
              </w:rPr>
            </w:pPr>
          </w:p>
        </w:tc>
      </w:tr>
      <w:tr w:rsidR="000E0B9A" w:rsidRPr="009400F9" w14:paraId="1DC83DA3" w14:textId="77777777" w:rsidTr="00BD1202">
        <w:trPr>
          <w:trHeight w:val="300"/>
        </w:trPr>
        <w:tc>
          <w:tcPr>
            <w:tcW w:w="1569" w:type="dxa"/>
            <w:vMerge w:val="restart"/>
            <w:shd w:val="clear" w:color="auto" w:fill="000000" w:themeFill="text1"/>
          </w:tcPr>
          <w:p w14:paraId="79126660" w14:textId="127AF29E" w:rsidR="003F1309" w:rsidRPr="00163080" w:rsidRDefault="00163080" w:rsidP="000E0B9A">
            <w:pPr>
              <w:pStyle w:val="Rowcolumntitles"/>
              <w:rPr>
                <w:noProof/>
                <w:color w:val="FFFFFF" w:themeColor="background1"/>
                <w:szCs w:val="22"/>
                <w:lang w:val="en-GB"/>
              </w:rPr>
            </w:pPr>
            <w:r w:rsidRPr="002312E4">
              <w:rPr>
                <w:rFonts w:ascii="MS Mincho" w:eastAsia="MS Mincho" w:hAnsi="MS Mincho" w:cs="MS Mincho"/>
                <w:color w:val="FFFFFF" w:themeColor="background1"/>
                <w:szCs w:val="22"/>
                <w:lang w:val="en-GB"/>
              </w:rPr>
              <w:t>✪</w:t>
            </w:r>
            <w:r w:rsidR="003F1309" w:rsidRPr="00163080">
              <w:rPr>
                <w:noProof/>
                <w:color w:val="FFFFFF" w:themeColor="background1"/>
                <w:szCs w:val="22"/>
                <w:lang w:val="en-GB"/>
              </w:rPr>
              <w:t xml:space="preserve">7. Supervisory mechanism for the right to information </w:t>
            </w:r>
          </w:p>
        </w:tc>
        <w:tc>
          <w:tcPr>
            <w:tcW w:w="415" w:type="dxa"/>
            <w:vMerge w:val="restart"/>
            <w:shd w:val="clear" w:color="auto" w:fill="D6E3BC" w:themeFill="accent3" w:themeFillTint="66"/>
          </w:tcPr>
          <w:p w14:paraId="51EE6D98" w14:textId="77777777" w:rsidR="003F1309" w:rsidRPr="00163080" w:rsidRDefault="003F1309" w:rsidP="000E0B9A">
            <w:pPr>
              <w:pStyle w:val="Rowcolumntitles"/>
              <w:rPr>
                <w:szCs w:val="22"/>
                <w:lang w:val="en-GB"/>
              </w:rPr>
            </w:pPr>
          </w:p>
        </w:tc>
        <w:tc>
          <w:tcPr>
            <w:tcW w:w="418" w:type="dxa"/>
            <w:vMerge w:val="restart"/>
            <w:shd w:val="clear" w:color="auto" w:fill="D6E3BC" w:themeFill="accent3" w:themeFillTint="66"/>
          </w:tcPr>
          <w:p w14:paraId="42EF3410" w14:textId="77777777" w:rsidR="003F1309" w:rsidRPr="00163080" w:rsidRDefault="003F1309" w:rsidP="000E0B9A">
            <w:pPr>
              <w:pStyle w:val="Rowcolumntitles"/>
              <w:rPr>
                <w:rFonts w:eastAsia="Times New Roman"/>
                <w:szCs w:val="22"/>
                <w:lang w:val="en-GB"/>
              </w:rPr>
            </w:pPr>
          </w:p>
        </w:tc>
        <w:tc>
          <w:tcPr>
            <w:tcW w:w="380" w:type="dxa"/>
            <w:vMerge w:val="restart"/>
            <w:shd w:val="clear" w:color="auto" w:fill="D6E3BC" w:themeFill="accent3" w:themeFillTint="66"/>
          </w:tcPr>
          <w:p w14:paraId="6DAD2D77" w14:textId="77777777" w:rsidR="003F1309" w:rsidRPr="00163080" w:rsidRDefault="003F1309" w:rsidP="000E0B9A">
            <w:pPr>
              <w:pStyle w:val="Rowcolumntitles"/>
              <w:rPr>
                <w:szCs w:val="22"/>
                <w:lang w:val="en-GB"/>
              </w:rPr>
            </w:pPr>
          </w:p>
        </w:tc>
        <w:tc>
          <w:tcPr>
            <w:tcW w:w="298" w:type="dxa"/>
            <w:vMerge w:val="restart"/>
            <w:shd w:val="clear" w:color="auto" w:fill="D6E3BC" w:themeFill="accent3" w:themeFillTint="66"/>
          </w:tcPr>
          <w:p w14:paraId="27B61E66" w14:textId="3FB353E4" w:rsidR="003F1309" w:rsidRPr="00163080" w:rsidRDefault="003F130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251E504C" w14:textId="5DA63628" w:rsidR="003F1309" w:rsidRPr="00163080" w:rsidRDefault="003F130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16FB3A45" w14:textId="77777777" w:rsidR="003F1309" w:rsidRPr="00163080" w:rsidRDefault="003F1309" w:rsidP="000E0B9A">
            <w:pPr>
              <w:pStyle w:val="Rowcolumntitles"/>
              <w:rPr>
                <w:rFonts w:eastAsia="Times New Roman"/>
                <w:szCs w:val="22"/>
                <w:lang w:val="en-GB"/>
              </w:rPr>
            </w:pPr>
          </w:p>
        </w:tc>
        <w:tc>
          <w:tcPr>
            <w:tcW w:w="417" w:type="dxa"/>
            <w:vMerge w:val="restart"/>
            <w:shd w:val="clear" w:color="auto" w:fill="FBD4B4" w:themeFill="accent6" w:themeFillTint="66"/>
          </w:tcPr>
          <w:p w14:paraId="3EF7278F" w14:textId="4C787EB0" w:rsidR="003F1309" w:rsidRPr="00163080" w:rsidRDefault="003F130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947" w:type="dxa"/>
            <w:vMerge w:val="restart"/>
            <w:shd w:val="clear" w:color="auto" w:fill="FBD4B4" w:themeFill="accent6" w:themeFillTint="66"/>
          </w:tcPr>
          <w:p w14:paraId="2AB55F29" w14:textId="77777777" w:rsidR="003F1309" w:rsidRPr="00163080" w:rsidRDefault="003F1309" w:rsidP="000E0B9A">
            <w:pPr>
              <w:pStyle w:val="Rowcolumntitles"/>
              <w:rPr>
                <w:rFonts w:eastAsia="Times New Roman"/>
                <w:szCs w:val="22"/>
                <w:lang w:val="en-GB"/>
              </w:rPr>
            </w:pPr>
          </w:p>
        </w:tc>
        <w:tc>
          <w:tcPr>
            <w:tcW w:w="349" w:type="dxa"/>
            <w:vMerge w:val="restart"/>
            <w:shd w:val="clear" w:color="auto" w:fill="CCC0D9" w:themeFill="accent4" w:themeFillTint="66"/>
          </w:tcPr>
          <w:p w14:paraId="0B1062F1" w14:textId="77777777" w:rsidR="003F1309" w:rsidRPr="00163080" w:rsidRDefault="003F1309" w:rsidP="000E0B9A">
            <w:pPr>
              <w:pStyle w:val="Rowcolumntitles"/>
              <w:rPr>
                <w:szCs w:val="22"/>
                <w:lang w:val="en-GB"/>
              </w:rPr>
            </w:pPr>
          </w:p>
        </w:tc>
        <w:tc>
          <w:tcPr>
            <w:tcW w:w="349" w:type="dxa"/>
            <w:vMerge w:val="restart"/>
            <w:shd w:val="clear" w:color="auto" w:fill="CCC0D9" w:themeFill="accent4" w:themeFillTint="66"/>
          </w:tcPr>
          <w:p w14:paraId="0EB07020" w14:textId="77777777" w:rsidR="003F1309" w:rsidRPr="00163080" w:rsidRDefault="003F1309" w:rsidP="000E0B9A">
            <w:pPr>
              <w:pStyle w:val="Rowcolumntitles"/>
              <w:rPr>
                <w:rFonts w:eastAsia="Times New Roman"/>
                <w:szCs w:val="22"/>
                <w:lang w:val="en-GB"/>
              </w:rPr>
            </w:pPr>
          </w:p>
        </w:tc>
        <w:tc>
          <w:tcPr>
            <w:tcW w:w="349" w:type="dxa"/>
            <w:vMerge w:val="restart"/>
            <w:shd w:val="clear" w:color="auto" w:fill="CCC0D9" w:themeFill="accent4" w:themeFillTint="66"/>
          </w:tcPr>
          <w:p w14:paraId="21CA346C" w14:textId="77777777" w:rsidR="003F1309" w:rsidRPr="00163080" w:rsidRDefault="003F1309" w:rsidP="000E0B9A">
            <w:pPr>
              <w:pStyle w:val="Rowcolumntitles"/>
              <w:rPr>
                <w:szCs w:val="22"/>
                <w:lang w:val="en-GB"/>
              </w:rPr>
            </w:pPr>
          </w:p>
        </w:tc>
        <w:tc>
          <w:tcPr>
            <w:tcW w:w="351" w:type="dxa"/>
            <w:gridSpan w:val="2"/>
            <w:vMerge w:val="restart"/>
            <w:shd w:val="clear" w:color="auto" w:fill="CCC0D9" w:themeFill="accent4" w:themeFillTint="66"/>
          </w:tcPr>
          <w:p w14:paraId="6549E0EF" w14:textId="45A0FDD4" w:rsidR="003F1309" w:rsidRPr="00163080" w:rsidRDefault="003F130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5" w:type="dxa"/>
            <w:shd w:val="clear" w:color="auto" w:fill="B8CCE4" w:themeFill="accent1" w:themeFillTint="66"/>
          </w:tcPr>
          <w:p w14:paraId="4A04224A" w14:textId="4DA62DE5" w:rsidR="003F1309" w:rsidRPr="00163080" w:rsidRDefault="003F1309" w:rsidP="000E0B9A">
            <w:pPr>
              <w:pStyle w:val="Rowcolumntitles"/>
              <w:rPr>
                <w:rFonts w:eastAsia="Times New Roman"/>
                <w:szCs w:val="22"/>
                <w:lang w:val="en-GB"/>
              </w:rPr>
            </w:pPr>
          </w:p>
        </w:tc>
        <w:tc>
          <w:tcPr>
            <w:tcW w:w="506" w:type="dxa"/>
            <w:gridSpan w:val="2"/>
            <w:shd w:val="clear" w:color="auto" w:fill="B8CCE4" w:themeFill="accent1" w:themeFillTint="66"/>
          </w:tcPr>
          <w:p w14:paraId="1BA4525E" w14:textId="77777777" w:rsidR="003F1309" w:rsidRPr="00163080" w:rsidRDefault="003F1309" w:rsidP="000E0B9A">
            <w:pPr>
              <w:pStyle w:val="Rowcolumntitles"/>
              <w:rPr>
                <w:rFonts w:eastAsia="Times New Roman"/>
                <w:szCs w:val="22"/>
                <w:lang w:val="en-GB"/>
              </w:rPr>
            </w:pPr>
          </w:p>
        </w:tc>
        <w:tc>
          <w:tcPr>
            <w:tcW w:w="506" w:type="dxa"/>
            <w:gridSpan w:val="3"/>
            <w:shd w:val="clear" w:color="auto" w:fill="B8CCE4" w:themeFill="accent1" w:themeFillTint="66"/>
          </w:tcPr>
          <w:p w14:paraId="09F89FB1" w14:textId="0D0B5BAB" w:rsidR="003F1309" w:rsidRPr="00163080" w:rsidRDefault="003F1309" w:rsidP="000E0B9A">
            <w:pPr>
              <w:pStyle w:val="Rowcolumntitles"/>
              <w:rPr>
                <w:rFonts w:eastAsia="Times New Roman"/>
                <w:szCs w:val="22"/>
                <w:lang w:val="en-GB"/>
              </w:rPr>
            </w:pPr>
          </w:p>
        </w:tc>
        <w:tc>
          <w:tcPr>
            <w:tcW w:w="511" w:type="dxa"/>
            <w:gridSpan w:val="2"/>
            <w:shd w:val="clear" w:color="auto" w:fill="B8CCE4" w:themeFill="accent1" w:themeFillTint="66"/>
          </w:tcPr>
          <w:p w14:paraId="5229366E" w14:textId="540FFAE5" w:rsidR="003F1309" w:rsidRPr="00163080" w:rsidRDefault="003F130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val="restart"/>
            <w:shd w:val="clear" w:color="auto" w:fill="D99594" w:themeFill="accent2" w:themeFillTint="99"/>
          </w:tcPr>
          <w:p w14:paraId="121A0CC1" w14:textId="77777777" w:rsidR="003F1309" w:rsidRPr="00163080" w:rsidRDefault="003F1309" w:rsidP="000E0B9A">
            <w:pPr>
              <w:pStyle w:val="Rowcolumntitles"/>
              <w:rPr>
                <w:rFonts w:eastAsia="Times New Roman"/>
                <w:szCs w:val="22"/>
                <w:lang w:val="en-GB"/>
              </w:rPr>
            </w:pPr>
          </w:p>
        </w:tc>
        <w:tc>
          <w:tcPr>
            <w:tcW w:w="325" w:type="dxa"/>
            <w:vMerge w:val="restart"/>
            <w:shd w:val="clear" w:color="auto" w:fill="D99594" w:themeFill="accent2" w:themeFillTint="99"/>
          </w:tcPr>
          <w:p w14:paraId="0C680615" w14:textId="408B6424" w:rsidR="003F1309" w:rsidRPr="00163080" w:rsidRDefault="003F130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0DBE0F6D" w14:textId="77777777" w:rsidR="003F1309" w:rsidRPr="00163080" w:rsidRDefault="003F1309" w:rsidP="000E0B9A">
            <w:pPr>
              <w:pStyle w:val="Rowcolumntitles"/>
              <w:rPr>
                <w:rFonts w:eastAsia="Times New Roman"/>
                <w:szCs w:val="22"/>
                <w:lang w:val="en-GB"/>
              </w:rPr>
            </w:pPr>
          </w:p>
        </w:tc>
        <w:tc>
          <w:tcPr>
            <w:tcW w:w="325" w:type="dxa"/>
            <w:vMerge w:val="restart"/>
            <w:shd w:val="clear" w:color="auto" w:fill="D99594" w:themeFill="accent2" w:themeFillTint="99"/>
          </w:tcPr>
          <w:p w14:paraId="4F627A20" w14:textId="77777777" w:rsidR="003F1309" w:rsidRPr="00163080" w:rsidRDefault="003F1309" w:rsidP="000E0B9A">
            <w:pPr>
              <w:pStyle w:val="Rowcolumntitles"/>
              <w:rPr>
                <w:rFonts w:eastAsia="Times New Roman"/>
                <w:szCs w:val="22"/>
                <w:lang w:val="en-GB"/>
              </w:rPr>
            </w:pPr>
          </w:p>
        </w:tc>
        <w:tc>
          <w:tcPr>
            <w:tcW w:w="400" w:type="dxa"/>
            <w:vMerge w:val="restart"/>
            <w:shd w:val="clear" w:color="auto" w:fill="D99594" w:themeFill="accent2" w:themeFillTint="99"/>
          </w:tcPr>
          <w:p w14:paraId="0FF3F9F1" w14:textId="77777777" w:rsidR="003F1309" w:rsidRPr="00163080" w:rsidRDefault="003F1309" w:rsidP="000E0B9A">
            <w:pPr>
              <w:pStyle w:val="Rowcolumntitles"/>
              <w:rPr>
                <w:rFonts w:eastAsia="Times New Roman"/>
                <w:szCs w:val="22"/>
                <w:lang w:val="en-GB"/>
              </w:rPr>
            </w:pPr>
          </w:p>
        </w:tc>
      </w:tr>
      <w:tr w:rsidR="000E0B9A" w:rsidRPr="009400F9" w14:paraId="0ED93E46" w14:textId="77777777" w:rsidTr="00BD1202">
        <w:trPr>
          <w:trHeight w:val="300"/>
        </w:trPr>
        <w:tc>
          <w:tcPr>
            <w:tcW w:w="1569" w:type="dxa"/>
            <w:vMerge/>
            <w:shd w:val="clear" w:color="auto" w:fill="000000" w:themeFill="text1"/>
          </w:tcPr>
          <w:p w14:paraId="01EC66F5" w14:textId="77777777" w:rsidR="002D3389" w:rsidRPr="00163080" w:rsidRDefault="002D3389" w:rsidP="000E0B9A">
            <w:pPr>
              <w:pStyle w:val="Rowcolumntitles"/>
              <w:rPr>
                <w:noProof/>
                <w:color w:val="FFFFFF" w:themeColor="background1"/>
                <w:szCs w:val="22"/>
                <w:lang w:val="en-GB"/>
              </w:rPr>
            </w:pPr>
          </w:p>
        </w:tc>
        <w:tc>
          <w:tcPr>
            <w:tcW w:w="415" w:type="dxa"/>
            <w:vMerge/>
            <w:shd w:val="clear" w:color="auto" w:fill="D6E3BC" w:themeFill="accent3" w:themeFillTint="66"/>
          </w:tcPr>
          <w:p w14:paraId="6536809B"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76F0BA53"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0C28EC8E"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1907B45E" w14:textId="77777777" w:rsidR="002D3389" w:rsidRPr="00163080" w:rsidRDefault="002D3389" w:rsidP="000E0B9A">
            <w:pPr>
              <w:pStyle w:val="Rowcolumntitles"/>
              <w:rPr>
                <w:rFonts w:eastAsia="Times New Roman"/>
                <w:szCs w:val="22"/>
                <w:lang w:val="en-GB"/>
              </w:rPr>
            </w:pPr>
          </w:p>
        </w:tc>
        <w:tc>
          <w:tcPr>
            <w:tcW w:w="687" w:type="dxa"/>
            <w:vMerge/>
            <w:shd w:val="clear" w:color="auto" w:fill="FBD4B4" w:themeFill="accent6" w:themeFillTint="66"/>
          </w:tcPr>
          <w:p w14:paraId="12133460" w14:textId="77777777" w:rsidR="002D3389" w:rsidRPr="00163080" w:rsidRDefault="002D3389" w:rsidP="000E0B9A">
            <w:pPr>
              <w:pStyle w:val="Rowcolumntitles"/>
              <w:rPr>
                <w:rFonts w:eastAsia="Times New Roman"/>
                <w:szCs w:val="22"/>
                <w:lang w:val="en-GB"/>
              </w:rPr>
            </w:pPr>
          </w:p>
        </w:tc>
        <w:tc>
          <w:tcPr>
            <w:tcW w:w="311" w:type="dxa"/>
            <w:vMerge/>
            <w:shd w:val="clear" w:color="auto" w:fill="FBD4B4" w:themeFill="accent6" w:themeFillTint="66"/>
          </w:tcPr>
          <w:p w14:paraId="05CD079E" w14:textId="77777777" w:rsidR="002D3389" w:rsidRPr="00163080" w:rsidRDefault="002D3389" w:rsidP="000E0B9A">
            <w:pPr>
              <w:pStyle w:val="Rowcolumntitles"/>
              <w:rPr>
                <w:rFonts w:eastAsia="Times New Roman"/>
                <w:szCs w:val="22"/>
                <w:lang w:val="en-GB"/>
              </w:rPr>
            </w:pPr>
          </w:p>
        </w:tc>
        <w:tc>
          <w:tcPr>
            <w:tcW w:w="417" w:type="dxa"/>
            <w:vMerge/>
            <w:shd w:val="clear" w:color="auto" w:fill="FBD4B4" w:themeFill="accent6" w:themeFillTint="66"/>
          </w:tcPr>
          <w:p w14:paraId="25A9E97A" w14:textId="77777777" w:rsidR="002D3389" w:rsidRPr="00163080" w:rsidRDefault="002D3389" w:rsidP="000E0B9A">
            <w:pPr>
              <w:pStyle w:val="Rowcolumntitles"/>
              <w:rPr>
                <w:rFonts w:eastAsia="Times New Roman"/>
                <w:szCs w:val="22"/>
                <w:lang w:val="en-GB"/>
              </w:rPr>
            </w:pPr>
          </w:p>
        </w:tc>
        <w:tc>
          <w:tcPr>
            <w:tcW w:w="947" w:type="dxa"/>
            <w:vMerge/>
            <w:shd w:val="clear" w:color="auto" w:fill="FBD4B4" w:themeFill="accent6" w:themeFillTint="66"/>
          </w:tcPr>
          <w:p w14:paraId="026EC630"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6EB5E33F"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52DBD07D"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55DA2BD8"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2DD0CE8B"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74FB217F" w14:textId="6DAD3014"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61410257"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1603B187" w14:textId="04190D25"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3E907281" w14:textId="65BA40C2"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468587B2"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0BB3806C"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00527107"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5C6B916"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63B76CE3" w14:textId="77777777" w:rsidR="002D3389" w:rsidRPr="00163080" w:rsidRDefault="002D3389" w:rsidP="000E0B9A">
            <w:pPr>
              <w:pStyle w:val="Rowcolumntitles"/>
              <w:rPr>
                <w:rFonts w:eastAsia="Times New Roman"/>
                <w:szCs w:val="22"/>
                <w:lang w:val="en-GB"/>
              </w:rPr>
            </w:pPr>
          </w:p>
        </w:tc>
      </w:tr>
      <w:tr w:rsidR="000E0B9A" w:rsidRPr="009400F9" w14:paraId="37AAA65E" w14:textId="77777777" w:rsidTr="00BD1202">
        <w:trPr>
          <w:trHeight w:val="160"/>
        </w:trPr>
        <w:tc>
          <w:tcPr>
            <w:tcW w:w="1569" w:type="dxa"/>
            <w:vMerge w:val="restart"/>
            <w:shd w:val="clear" w:color="auto" w:fill="000000" w:themeFill="text1"/>
          </w:tcPr>
          <w:p w14:paraId="79B849C1" w14:textId="33DC659B" w:rsidR="002D3389" w:rsidRPr="00163080" w:rsidRDefault="002D3389" w:rsidP="000E0B9A">
            <w:pPr>
              <w:pStyle w:val="Rowcolumntitles"/>
              <w:rPr>
                <w:noProof/>
                <w:color w:val="FFFFFF" w:themeColor="background1"/>
                <w:szCs w:val="22"/>
                <w:lang w:val="en-GB"/>
              </w:rPr>
            </w:pPr>
            <w:r w:rsidRPr="00163080">
              <w:rPr>
                <w:noProof/>
                <w:color w:val="FFFFFF" w:themeColor="background1"/>
                <w:szCs w:val="22"/>
                <w:lang w:val="en-GB"/>
              </w:rPr>
              <w:t xml:space="preserve">8. Compliance with EITI </w:t>
            </w:r>
          </w:p>
        </w:tc>
        <w:tc>
          <w:tcPr>
            <w:tcW w:w="415" w:type="dxa"/>
            <w:vMerge w:val="restart"/>
            <w:shd w:val="clear" w:color="auto" w:fill="D6E3BC" w:themeFill="accent3" w:themeFillTint="66"/>
          </w:tcPr>
          <w:p w14:paraId="2DF26FD2"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48B884C2"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69C9EC87" w14:textId="61FC01BA"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298" w:type="dxa"/>
            <w:vMerge w:val="restart"/>
            <w:shd w:val="clear" w:color="auto" w:fill="D6E3BC" w:themeFill="accent3" w:themeFillTint="66"/>
          </w:tcPr>
          <w:p w14:paraId="0283E006" w14:textId="77777777" w:rsidR="002D3389" w:rsidRPr="00163080" w:rsidRDefault="002D3389" w:rsidP="000E0B9A">
            <w:pPr>
              <w:pStyle w:val="Rowcolumntitles"/>
              <w:rPr>
                <w:rFonts w:eastAsia="Times New Roman"/>
                <w:szCs w:val="22"/>
                <w:lang w:val="en-GB"/>
              </w:rPr>
            </w:pPr>
          </w:p>
        </w:tc>
        <w:tc>
          <w:tcPr>
            <w:tcW w:w="687" w:type="dxa"/>
            <w:vMerge w:val="restart"/>
            <w:shd w:val="clear" w:color="auto" w:fill="FBD4B4" w:themeFill="accent6" w:themeFillTint="66"/>
          </w:tcPr>
          <w:p w14:paraId="66B7F63C" w14:textId="1BDB31D6"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3A6E3FFA" w14:textId="43139C7C"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17" w:type="dxa"/>
            <w:vMerge w:val="restart"/>
            <w:shd w:val="clear" w:color="auto" w:fill="FBD4B4" w:themeFill="accent6" w:themeFillTint="66"/>
          </w:tcPr>
          <w:p w14:paraId="32992E0A" w14:textId="62670E4C"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947" w:type="dxa"/>
            <w:vMerge w:val="restart"/>
            <w:shd w:val="clear" w:color="auto" w:fill="FBD4B4" w:themeFill="accent6" w:themeFillTint="66"/>
          </w:tcPr>
          <w:p w14:paraId="398815C4"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34B7DBC4"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0C76C6B2"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43B161FF" w14:textId="269C5DDE"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351" w:type="dxa"/>
            <w:gridSpan w:val="2"/>
            <w:vMerge w:val="restart"/>
            <w:shd w:val="clear" w:color="auto" w:fill="CCC0D9" w:themeFill="accent4" w:themeFillTint="66"/>
          </w:tcPr>
          <w:p w14:paraId="07094A7B"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5F0B8AF0" w14:textId="28B646AE"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58DDF4C0"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5603423D" w14:textId="56110BDB"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7036FE89" w14:textId="553B4D26"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08CFD2B2"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27D2B322"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592EE93B"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77B65A04" w14:textId="3E8D7E89"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00" w:type="dxa"/>
            <w:vMerge w:val="restart"/>
            <w:shd w:val="clear" w:color="auto" w:fill="D99594" w:themeFill="accent2" w:themeFillTint="99"/>
          </w:tcPr>
          <w:p w14:paraId="29A846A3" w14:textId="77777777" w:rsidR="002D3389" w:rsidRPr="00163080" w:rsidRDefault="002D3389" w:rsidP="000E0B9A">
            <w:pPr>
              <w:pStyle w:val="Rowcolumntitles"/>
              <w:rPr>
                <w:rFonts w:eastAsia="Times New Roman"/>
                <w:szCs w:val="22"/>
                <w:lang w:val="en-GB"/>
              </w:rPr>
            </w:pPr>
          </w:p>
        </w:tc>
      </w:tr>
      <w:tr w:rsidR="000E0B9A" w:rsidRPr="009400F9" w14:paraId="7D30BE80" w14:textId="77777777" w:rsidTr="00BD1202">
        <w:trPr>
          <w:trHeight w:val="160"/>
        </w:trPr>
        <w:tc>
          <w:tcPr>
            <w:tcW w:w="1569" w:type="dxa"/>
            <w:vMerge/>
            <w:shd w:val="clear" w:color="auto" w:fill="000000" w:themeFill="text1"/>
          </w:tcPr>
          <w:p w14:paraId="0B854C5F" w14:textId="77777777" w:rsidR="002D3389" w:rsidRPr="00163080" w:rsidRDefault="002D3389" w:rsidP="000E0B9A">
            <w:pPr>
              <w:pStyle w:val="Rowcolumntitles"/>
              <w:rPr>
                <w:noProof/>
                <w:color w:val="FFFFFF" w:themeColor="background1"/>
                <w:szCs w:val="22"/>
                <w:lang w:val="en-GB"/>
              </w:rPr>
            </w:pPr>
          </w:p>
        </w:tc>
        <w:tc>
          <w:tcPr>
            <w:tcW w:w="415" w:type="dxa"/>
            <w:vMerge/>
            <w:shd w:val="clear" w:color="auto" w:fill="D6E3BC" w:themeFill="accent3" w:themeFillTint="66"/>
          </w:tcPr>
          <w:p w14:paraId="13CF94D5"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1D8D6B53"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555B0E9E"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214C9778" w14:textId="77777777" w:rsidR="002D3389" w:rsidRPr="00163080" w:rsidRDefault="002D3389" w:rsidP="000E0B9A">
            <w:pPr>
              <w:pStyle w:val="Rowcolumntitles"/>
              <w:rPr>
                <w:rFonts w:eastAsia="Times New Roman"/>
                <w:szCs w:val="22"/>
                <w:lang w:val="en-GB"/>
              </w:rPr>
            </w:pPr>
          </w:p>
        </w:tc>
        <w:tc>
          <w:tcPr>
            <w:tcW w:w="687" w:type="dxa"/>
            <w:vMerge/>
            <w:shd w:val="clear" w:color="auto" w:fill="FBD4B4" w:themeFill="accent6" w:themeFillTint="66"/>
          </w:tcPr>
          <w:p w14:paraId="61673130" w14:textId="77777777" w:rsidR="002D3389" w:rsidRPr="00163080" w:rsidRDefault="002D3389" w:rsidP="000E0B9A">
            <w:pPr>
              <w:pStyle w:val="Rowcolumntitles"/>
              <w:rPr>
                <w:rFonts w:eastAsia="Times New Roman"/>
                <w:szCs w:val="22"/>
                <w:lang w:val="en-GB"/>
              </w:rPr>
            </w:pPr>
          </w:p>
        </w:tc>
        <w:tc>
          <w:tcPr>
            <w:tcW w:w="311" w:type="dxa"/>
            <w:vMerge/>
            <w:shd w:val="clear" w:color="auto" w:fill="FBD4B4" w:themeFill="accent6" w:themeFillTint="66"/>
          </w:tcPr>
          <w:p w14:paraId="4ED6D62E" w14:textId="77777777" w:rsidR="002D3389" w:rsidRPr="00163080" w:rsidRDefault="002D3389" w:rsidP="000E0B9A">
            <w:pPr>
              <w:pStyle w:val="Rowcolumntitles"/>
              <w:rPr>
                <w:rFonts w:eastAsia="Times New Roman"/>
                <w:szCs w:val="22"/>
                <w:lang w:val="en-GB"/>
              </w:rPr>
            </w:pPr>
          </w:p>
        </w:tc>
        <w:tc>
          <w:tcPr>
            <w:tcW w:w="417" w:type="dxa"/>
            <w:vMerge/>
            <w:shd w:val="clear" w:color="auto" w:fill="FBD4B4" w:themeFill="accent6" w:themeFillTint="66"/>
          </w:tcPr>
          <w:p w14:paraId="22E37117" w14:textId="77777777" w:rsidR="002D3389" w:rsidRPr="00163080" w:rsidRDefault="002D3389" w:rsidP="000E0B9A">
            <w:pPr>
              <w:pStyle w:val="Rowcolumntitles"/>
              <w:rPr>
                <w:rFonts w:eastAsia="Times New Roman"/>
                <w:szCs w:val="22"/>
                <w:lang w:val="en-GB"/>
              </w:rPr>
            </w:pPr>
          </w:p>
        </w:tc>
        <w:tc>
          <w:tcPr>
            <w:tcW w:w="947" w:type="dxa"/>
            <w:vMerge/>
            <w:shd w:val="clear" w:color="auto" w:fill="FBD4B4" w:themeFill="accent6" w:themeFillTint="66"/>
          </w:tcPr>
          <w:p w14:paraId="0A7632AF"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7383274E"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0987E356"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3D29016E"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6928B2B9"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1D76292E" w14:textId="579921E6" w:rsidR="002D3389" w:rsidRPr="00163080" w:rsidRDefault="002D3389" w:rsidP="000E0B9A">
            <w:pPr>
              <w:pStyle w:val="Rowcolumntitles"/>
              <w:tabs>
                <w:tab w:val="left" w:pos="4860"/>
              </w:tabs>
              <w:rPr>
                <w:rFonts w:eastAsia="Times New Roman"/>
                <w:szCs w:val="22"/>
                <w:lang w:val="en-GB"/>
              </w:rPr>
            </w:pPr>
          </w:p>
        </w:tc>
        <w:tc>
          <w:tcPr>
            <w:tcW w:w="506" w:type="dxa"/>
            <w:gridSpan w:val="2"/>
            <w:shd w:val="clear" w:color="auto" w:fill="B8CCE4" w:themeFill="accent1" w:themeFillTint="66"/>
          </w:tcPr>
          <w:p w14:paraId="59168608" w14:textId="77777777" w:rsidR="002D3389" w:rsidRPr="00163080" w:rsidRDefault="002D3389" w:rsidP="000E0B9A">
            <w:pPr>
              <w:pStyle w:val="Rowcolumntitles"/>
              <w:tabs>
                <w:tab w:val="left" w:pos="4860"/>
              </w:tabs>
              <w:rPr>
                <w:rFonts w:eastAsia="Times New Roman"/>
                <w:szCs w:val="22"/>
                <w:lang w:val="en-GB"/>
              </w:rPr>
            </w:pPr>
          </w:p>
        </w:tc>
        <w:tc>
          <w:tcPr>
            <w:tcW w:w="506" w:type="dxa"/>
            <w:gridSpan w:val="3"/>
            <w:shd w:val="clear" w:color="auto" w:fill="B8CCE4" w:themeFill="accent1" w:themeFillTint="66"/>
          </w:tcPr>
          <w:p w14:paraId="5020B3DA" w14:textId="11A08EF6" w:rsidR="002D3389" w:rsidRPr="00163080" w:rsidRDefault="002D3389" w:rsidP="000E0B9A">
            <w:pPr>
              <w:pStyle w:val="Rowcolumntitles"/>
              <w:tabs>
                <w:tab w:val="left" w:pos="4860"/>
              </w:tab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595D5446" w14:textId="030CCF37" w:rsidR="002D3389" w:rsidRPr="00163080" w:rsidRDefault="002D3389" w:rsidP="000E0B9A">
            <w:pPr>
              <w:pStyle w:val="Rowcolumntitles"/>
              <w:tabs>
                <w:tab w:val="left" w:pos="4860"/>
              </w:tabs>
              <w:rPr>
                <w:rFonts w:eastAsia="Times New Roman"/>
                <w:szCs w:val="22"/>
                <w:lang w:val="en-GB"/>
              </w:rPr>
            </w:pPr>
          </w:p>
        </w:tc>
        <w:tc>
          <w:tcPr>
            <w:tcW w:w="377" w:type="dxa"/>
            <w:vMerge/>
            <w:shd w:val="clear" w:color="auto" w:fill="D99594" w:themeFill="accent2" w:themeFillTint="99"/>
          </w:tcPr>
          <w:p w14:paraId="6C76DEF0"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27539167"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4BFDEBC4"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674AA5C0"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35C5B801" w14:textId="77777777" w:rsidR="002D3389" w:rsidRPr="00163080" w:rsidRDefault="002D3389" w:rsidP="000E0B9A">
            <w:pPr>
              <w:pStyle w:val="Rowcolumntitles"/>
              <w:rPr>
                <w:rFonts w:eastAsia="Times New Roman"/>
                <w:szCs w:val="22"/>
                <w:lang w:val="en-GB"/>
              </w:rPr>
            </w:pPr>
          </w:p>
        </w:tc>
      </w:tr>
      <w:tr w:rsidR="002D3389" w:rsidRPr="009400F9" w14:paraId="733E171F" w14:textId="77777777" w:rsidTr="00BD1202">
        <w:trPr>
          <w:trHeight w:val="486"/>
        </w:trPr>
        <w:tc>
          <w:tcPr>
            <w:tcW w:w="10620" w:type="dxa"/>
            <w:gridSpan w:val="27"/>
            <w:shd w:val="clear" w:color="auto" w:fill="000000" w:themeFill="text1"/>
          </w:tcPr>
          <w:p w14:paraId="6B95F753" w14:textId="11BA53CB" w:rsidR="002D3389" w:rsidRPr="00163080" w:rsidRDefault="002D3389" w:rsidP="000E0B9A">
            <w:pPr>
              <w:pStyle w:val="Rowcolumntitles"/>
              <w:rPr>
                <w:rFonts w:eastAsia="Times New Roman"/>
                <w:color w:val="FFFFFF" w:themeColor="background1"/>
                <w:szCs w:val="22"/>
                <w:lang w:val="en-GB"/>
              </w:rPr>
            </w:pPr>
            <w:r w:rsidRPr="00163080">
              <w:rPr>
                <w:b/>
                <w:color w:val="FFFFFF" w:themeColor="background1"/>
                <w:szCs w:val="22"/>
                <w:lang w:val="en-GB"/>
              </w:rPr>
              <w:t xml:space="preserve">Theme </w:t>
            </w:r>
            <w:r w:rsidR="00163080">
              <w:rPr>
                <w:b/>
                <w:color w:val="FFFFFF" w:themeColor="background1"/>
                <w:szCs w:val="22"/>
                <w:lang w:val="en-GB"/>
              </w:rPr>
              <w:t>III</w:t>
            </w:r>
            <w:r w:rsidRPr="00163080">
              <w:rPr>
                <w:b/>
                <w:color w:val="FFFFFF" w:themeColor="background1"/>
                <w:szCs w:val="22"/>
                <w:lang w:val="en-GB"/>
              </w:rPr>
              <w:t xml:space="preserve">: Prevent and combat corruption </w:t>
            </w:r>
          </w:p>
        </w:tc>
      </w:tr>
      <w:tr w:rsidR="000E0B9A" w:rsidRPr="009400F9" w14:paraId="2F52C9B4" w14:textId="77777777" w:rsidTr="00BD1202">
        <w:trPr>
          <w:trHeight w:val="227"/>
        </w:trPr>
        <w:tc>
          <w:tcPr>
            <w:tcW w:w="1569" w:type="dxa"/>
            <w:vMerge w:val="restart"/>
            <w:shd w:val="clear" w:color="auto" w:fill="000000" w:themeFill="text1"/>
          </w:tcPr>
          <w:p w14:paraId="1D697296" w14:textId="35FA9A9B" w:rsidR="002D3389" w:rsidRPr="00163080" w:rsidRDefault="002D3389" w:rsidP="000E0B9A">
            <w:pPr>
              <w:pStyle w:val="Rowcolumntitles"/>
              <w:rPr>
                <w:noProof/>
                <w:color w:val="FFFFFF" w:themeColor="background1"/>
                <w:szCs w:val="22"/>
                <w:lang w:val="en-GB"/>
              </w:rPr>
            </w:pPr>
            <w:r w:rsidRPr="00163080">
              <w:rPr>
                <w:noProof/>
                <w:color w:val="FFFFFF" w:themeColor="background1"/>
                <w:szCs w:val="22"/>
                <w:lang w:val="en-GB"/>
              </w:rPr>
              <w:lastRenderedPageBreak/>
              <w:t>9. Monitoring of infrastructure projects</w:t>
            </w:r>
          </w:p>
        </w:tc>
        <w:tc>
          <w:tcPr>
            <w:tcW w:w="415" w:type="dxa"/>
            <w:vMerge w:val="restart"/>
            <w:shd w:val="clear" w:color="auto" w:fill="D6E3BC" w:themeFill="accent3" w:themeFillTint="66"/>
          </w:tcPr>
          <w:p w14:paraId="715D9BC9"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2F2E702C"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23920F18" w14:textId="362E5DD6"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298" w:type="dxa"/>
            <w:vMerge w:val="restart"/>
            <w:shd w:val="clear" w:color="auto" w:fill="D6E3BC" w:themeFill="accent3" w:themeFillTint="66"/>
          </w:tcPr>
          <w:p w14:paraId="3559CDA8" w14:textId="77777777" w:rsidR="002D3389" w:rsidRPr="00163080" w:rsidRDefault="002D3389" w:rsidP="000E0B9A">
            <w:pPr>
              <w:pStyle w:val="Rowcolumntitles"/>
              <w:rPr>
                <w:rFonts w:eastAsia="Times New Roman"/>
                <w:szCs w:val="22"/>
                <w:lang w:val="en-GB"/>
              </w:rPr>
            </w:pPr>
          </w:p>
        </w:tc>
        <w:tc>
          <w:tcPr>
            <w:tcW w:w="687" w:type="dxa"/>
            <w:vMerge w:val="restart"/>
            <w:shd w:val="clear" w:color="auto" w:fill="FBD4B4" w:themeFill="accent6" w:themeFillTint="66"/>
          </w:tcPr>
          <w:p w14:paraId="3ED76A08" w14:textId="77777777" w:rsidR="002D3389" w:rsidRPr="00163080" w:rsidRDefault="002D3389" w:rsidP="000E0B9A">
            <w:pPr>
              <w:pStyle w:val="Rowcolumntitles"/>
              <w:rPr>
                <w:rFonts w:eastAsia="Times New Roman"/>
                <w:szCs w:val="22"/>
                <w:lang w:val="en-GB"/>
              </w:rPr>
            </w:pPr>
          </w:p>
        </w:tc>
        <w:tc>
          <w:tcPr>
            <w:tcW w:w="311" w:type="dxa"/>
            <w:vMerge w:val="restart"/>
            <w:shd w:val="clear" w:color="auto" w:fill="FBD4B4" w:themeFill="accent6" w:themeFillTint="66"/>
          </w:tcPr>
          <w:p w14:paraId="690B7EB5" w14:textId="2BD2B75B"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17" w:type="dxa"/>
            <w:vMerge w:val="restart"/>
            <w:shd w:val="clear" w:color="auto" w:fill="FBD4B4" w:themeFill="accent6" w:themeFillTint="66"/>
          </w:tcPr>
          <w:p w14:paraId="7908E2BB" w14:textId="4DD0E504"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947" w:type="dxa"/>
            <w:vMerge w:val="restart"/>
            <w:shd w:val="clear" w:color="auto" w:fill="FBD4B4" w:themeFill="accent6" w:themeFillTint="66"/>
          </w:tcPr>
          <w:p w14:paraId="64EF1F3C"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448E3203"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1E21888A"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077FDBBF" w14:textId="61EEA4D1"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329" w:type="dxa"/>
            <w:vMerge w:val="restart"/>
            <w:shd w:val="clear" w:color="auto" w:fill="CCC0D9" w:themeFill="accent4" w:themeFillTint="66"/>
          </w:tcPr>
          <w:p w14:paraId="4F1DD80C" w14:textId="77777777" w:rsidR="002D3389" w:rsidRPr="00163080" w:rsidRDefault="002D3389" w:rsidP="000E0B9A">
            <w:pPr>
              <w:pStyle w:val="Rowcolumntitles"/>
              <w:rPr>
                <w:rFonts w:eastAsia="Times New Roman"/>
                <w:szCs w:val="22"/>
                <w:lang w:val="en-GB"/>
              </w:rPr>
            </w:pPr>
          </w:p>
        </w:tc>
        <w:tc>
          <w:tcPr>
            <w:tcW w:w="527" w:type="dxa"/>
            <w:gridSpan w:val="2"/>
            <w:shd w:val="clear" w:color="auto" w:fill="B8CCE4" w:themeFill="accent1" w:themeFillTint="66"/>
          </w:tcPr>
          <w:p w14:paraId="6B517A7F" w14:textId="092133C6"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2FD5498E"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2473AA53" w14:textId="0459EE8C"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3B6B69DC" w14:textId="18C57CCD"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22C8FDBB"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13BABC7D" w14:textId="3F799860"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7DDDBACF"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3E548844"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4BFC764A" w14:textId="77777777" w:rsidR="002D3389" w:rsidRPr="00163080" w:rsidRDefault="002D3389" w:rsidP="000E0B9A">
            <w:pPr>
              <w:pStyle w:val="Rowcolumntitles"/>
              <w:rPr>
                <w:rFonts w:eastAsia="Times New Roman"/>
                <w:szCs w:val="22"/>
                <w:lang w:val="en-GB"/>
              </w:rPr>
            </w:pPr>
          </w:p>
        </w:tc>
      </w:tr>
      <w:tr w:rsidR="000E0B9A" w:rsidRPr="009400F9" w14:paraId="233A6714" w14:textId="77777777" w:rsidTr="00BD1202">
        <w:trPr>
          <w:trHeight w:val="226"/>
        </w:trPr>
        <w:tc>
          <w:tcPr>
            <w:tcW w:w="1569" w:type="dxa"/>
            <w:vMerge/>
            <w:shd w:val="clear" w:color="auto" w:fill="000000" w:themeFill="text1"/>
          </w:tcPr>
          <w:p w14:paraId="648BAF78" w14:textId="77777777" w:rsidR="002D3389" w:rsidRPr="00163080" w:rsidRDefault="002D3389" w:rsidP="000E0B9A">
            <w:pPr>
              <w:pStyle w:val="Rowcolumntitles"/>
              <w:rPr>
                <w:noProof/>
                <w:color w:val="FFFFFF" w:themeColor="background1"/>
                <w:szCs w:val="22"/>
                <w:lang w:val="en-GB"/>
              </w:rPr>
            </w:pPr>
          </w:p>
        </w:tc>
        <w:tc>
          <w:tcPr>
            <w:tcW w:w="415" w:type="dxa"/>
            <w:vMerge/>
            <w:shd w:val="clear" w:color="auto" w:fill="D6E3BC" w:themeFill="accent3" w:themeFillTint="66"/>
          </w:tcPr>
          <w:p w14:paraId="5DD77BFD"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2EBC7A3E"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0FAA747E" w14:textId="77777777" w:rsidR="002D3389" w:rsidRPr="00163080" w:rsidRDefault="002D3389" w:rsidP="000E0B9A">
            <w:pPr>
              <w:pStyle w:val="Rowcolumntitles"/>
              <w:rPr>
                <w:noProof/>
                <w:szCs w:val="22"/>
                <w:lang w:val="en-GB"/>
              </w:rPr>
            </w:pPr>
          </w:p>
        </w:tc>
        <w:tc>
          <w:tcPr>
            <w:tcW w:w="298" w:type="dxa"/>
            <w:vMerge/>
            <w:shd w:val="clear" w:color="auto" w:fill="D6E3BC" w:themeFill="accent3" w:themeFillTint="66"/>
          </w:tcPr>
          <w:p w14:paraId="1943C2B1" w14:textId="77777777" w:rsidR="002D3389" w:rsidRPr="00163080" w:rsidRDefault="002D3389" w:rsidP="000E0B9A">
            <w:pPr>
              <w:pStyle w:val="Rowcolumntitles"/>
              <w:rPr>
                <w:rFonts w:eastAsia="Times New Roman"/>
                <w:szCs w:val="22"/>
                <w:lang w:val="en-GB"/>
              </w:rPr>
            </w:pPr>
          </w:p>
        </w:tc>
        <w:tc>
          <w:tcPr>
            <w:tcW w:w="687" w:type="dxa"/>
            <w:vMerge/>
            <w:shd w:val="clear" w:color="auto" w:fill="FBD4B4" w:themeFill="accent6" w:themeFillTint="66"/>
          </w:tcPr>
          <w:p w14:paraId="692D5E58" w14:textId="77777777" w:rsidR="002D3389" w:rsidRPr="00163080" w:rsidRDefault="002D3389" w:rsidP="000E0B9A">
            <w:pPr>
              <w:pStyle w:val="Rowcolumntitles"/>
              <w:rPr>
                <w:rFonts w:eastAsia="Times New Roman"/>
                <w:szCs w:val="22"/>
                <w:lang w:val="en-GB"/>
              </w:rPr>
            </w:pPr>
          </w:p>
        </w:tc>
        <w:tc>
          <w:tcPr>
            <w:tcW w:w="311" w:type="dxa"/>
            <w:vMerge/>
            <w:shd w:val="clear" w:color="auto" w:fill="FBD4B4" w:themeFill="accent6" w:themeFillTint="66"/>
          </w:tcPr>
          <w:p w14:paraId="0C895367" w14:textId="77777777" w:rsidR="002D3389" w:rsidRPr="00163080" w:rsidRDefault="002D3389" w:rsidP="000E0B9A">
            <w:pPr>
              <w:pStyle w:val="Rowcolumntitles"/>
              <w:rPr>
                <w:noProof/>
                <w:szCs w:val="22"/>
                <w:lang w:val="en-GB"/>
              </w:rPr>
            </w:pPr>
          </w:p>
        </w:tc>
        <w:tc>
          <w:tcPr>
            <w:tcW w:w="417" w:type="dxa"/>
            <w:vMerge/>
            <w:shd w:val="clear" w:color="auto" w:fill="FBD4B4" w:themeFill="accent6" w:themeFillTint="66"/>
          </w:tcPr>
          <w:p w14:paraId="0B514C72" w14:textId="77777777" w:rsidR="002D3389" w:rsidRPr="00163080" w:rsidRDefault="002D3389" w:rsidP="000E0B9A">
            <w:pPr>
              <w:pStyle w:val="Rowcolumntitles"/>
              <w:rPr>
                <w:noProof/>
                <w:szCs w:val="22"/>
                <w:lang w:val="en-GB"/>
              </w:rPr>
            </w:pPr>
          </w:p>
        </w:tc>
        <w:tc>
          <w:tcPr>
            <w:tcW w:w="947" w:type="dxa"/>
            <w:vMerge/>
            <w:shd w:val="clear" w:color="auto" w:fill="FBD4B4" w:themeFill="accent6" w:themeFillTint="66"/>
          </w:tcPr>
          <w:p w14:paraId="48EE6377"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7C6AB2F4"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24603BF8"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1AE9605A" w14:textId="77777777" w:rsidR="002D3389" w:rsidRPr="00163080" w:rsidRDefault="002D3389" w:rsidP="000E0B9A">
            <w:pPr>
              <w:pStyle w:val="Rowcolumntitles"/>
              <w:rPr>
                <w:noProof/>
                <w:szCs w:val="22"/>
                <w:lang w:val="en-GB"/>
              </w:rPr>
            </w:pPr>
          </w:p>
        </w:tc>
        <w:tc>
          <w:tcPr>
            <w:tcW w:w="329" w:type="dxa"/>
            <w:vMerge/>
            <w:shd w:val="clear" w:color="auto" w:fill="CCC0D9" w:themeFill="accent4" w:themeFillTint="66"/>
          </w:tcPr>
          <w:p w14:paraId="06222C93" w14:textId="77777777" w:rsidR="002D3389" w:rsidRPr="00163080" w:rsidRDefault="002D3389" w:rsidP="000E0B9A">
            <w:pPr>
              <w:pStyle w:val="Rowcolumntitles"/>
              <w:rPr>
                <w:rFonts w:eastAsia="Times New Roman"/>
                <w:szCs w:val="22"/>
                <w:lang w:val="en-GB"/>
              </w:rPr>
            </w:pPr>
          </w:p>
        </w:tc>
        <w:tc>
          <w:tcPr>
            <w:tcW w:w="527" w:type="dxa"/>
            <w:gridSpan w:val="2"/>
            <w:shd w:val="clear" w:color="auto" w:fill="B8CCE4" w:themeFill="accent1" w:themeFillTint="66"/>
          </w:tcPr>
          <w:p w14:paraId="4D82E83E" w14:textId="229043E4"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3214791A" w14:textId="21039C4F"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3"/>
            <w:shd w:val="clear" w:color="auto" w:fill="B8CCE4" w:themeFill="accent1" w:themeFillTint="66"/>
          </w:tcPr>
          <w:p w14:paraId="5676A778"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6814A8A4" w14:textId="727D5716" w:rsidR="002D3389" w:rsidRPr="00163080" w:rsidRDefault="002D3389" w:rsidP="000E0B9A">
            <w:pPr>
              <w:pStyle w:val="Rowcolumntitles"/>
              <w:rPr>
                <w:rFonts w:eastAsia="Times New Roman"/>
                <w:szCs w:val="22"/>
                <w:lang w:val="en-GB"/>
              </w:rPr>
            </w:pPr>
          </w:p>
        </w:tc>
        <w:tc>
          <w:tcPr>
            <w:tcW w:w="377" w:type="dxa"/>
            <w:vMerge/>
            <w:shd w:val="clear" w:color="auto" w:fill="D99594" w:themeFill="accent2" w:themeFillTint="99"/>
          </w:tcPr>
          <w:p w14:paraId="7B967FFB"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57B8A94F"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62440F8B"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68152B26"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0F2540FA" w14:textId="77777777" w:rsidR="002D3389" w:rsidRPr="00163080" w:rsidRDefault="002D3389" w:rsidP="000E0B9A">
            <w:pPr>
              <w:pStyle w:val="Rowcolumntitles"/>
              <w:rPr>
                <w:rFonts w:eastAsia="Times New Roman"/>
                <w:szCs w:val="22"/>
                <w:lang w:val="en-GB"/>
              </w:rPr>
            </w:pPr>
          </w:p>
        </w:tc>
      </w:tr>
      <w:tr w:rsidR="000E0B9A" w:rsidRPr="009400F9" w14:paraId="21814869" w14:textId="77777777" w:rsidTr="00BD1202">
        <w:trPr>
          <w:trHeight w:val="300"/>
        </w:trPr>
        <w:tc>
          <w:tcPr>
            <w:tcW w:w="1569" w:type="dxa"/>
            <w:vMerge w:val="restart"/>
            <w:shd w:val="clear" w:color="auto" w:fill="000000" w:themeFill="text1"/>
          </w:tcPr>
          <w:p w14:paraId="510F96D6" w14:textId="77777777" w:rsidR="002D3389" w:rsidRPr="00163080" w:rsidRDefault="002D3389" w:rsidP="000E0B9A">
            <w:pPr>
              <w:pStyle w:val="Rowcolumntitles"/>
              <w:rPr>
                <w:color w:val="FFFFFF" w:themeColor="background1"/>
                <w:szCs w:val="22"/>
                <w:lang w:val="en-GB"/>
              </w:rPr>
            </w:pPr>
            <w:r w:rsidRPr="00163080">
              <w:rPr>
                <w:color w:val="FFFFFF" w:themeColor="background1"/>
                <w:szCs w:val="22"/>
                <w:lang w:val="en-GB"/>
              </w:rPr>
              <w:t>10.  Adopt regional anti-corruption programmes</w:t>
            </w:r>
          </w:p>
          <w:p w14:paraId="3506B9AD" w14:textId="77777777" w:rsidR="002D3389" w:rsidRPr="00163080" w:rsidRDefault="002D3389" w:rsidP="000E0B9A">
            <w:pPr>
              <w:pStyle w:val="Rowcolumntitles"/>
              <w:rPr>
                <w:color w:val="FFFFFF" w:themeColor="background1"/>
                <w:szCs w:val="22"/>
                <w:lang w:val="en-GB"/>
              </w:rPr>
            </w:pPr>
          </w:p>
          <w:p w14:paraId="15888719" w14:textId="5E1A60F7"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 xml:space="preserve"> </w:t>
            </w:r>
          </w:p>
        </w:tc>
        <w:tc>
          <w:tcPr>
            <w:tcW w:w="415" w:type="dxa"/>
            <w:vMerge w:val="restart"/>
            <w:shd w:val="clear" w:color="auto" w:fill="D6E3BC" w:themeFill="accent3" w:themeFillTint="66"/>
          </w:tcPr>
          <w:p w14:paraId="31B39922"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52067907" w14:textId="12FA28E7"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80" w:type="dxa"/>
            <w:vMerge w:val="restart"/>
            <w:shd w:val="clear" w:color="auto" w:fill="D6E3BC" w:themeFill="accent3" w:themeFillTint="66"/>
          </w:tcPr>
          <w:p w14:paraId="5D5DECEA"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7756B202" w14:textId="77777777" w:rsidR="002D3389" w:rsidRPr="00163080" w:rsidRDefault="002D3389" w:rsidP="000E0B9A">
            <w:pPr>
              <w:pStyle w:val="Rowcolumntitles"/>
              <w:rPr>
                <w:rFonts w:eastAsia="Times New Roman"/>
                <w:szCs w:val="22"/>
                <w:lang w:val="en-GB"/>
              </w:rPr>
            </w:pPr>
          </w:p>
        </w:tc>
        <w:tc>
          <w:tcPr>
            <w:tcW w:w="687" w:type="dxa"/>
            <w:vMerge w:val="restart"/>
            <w:shd w:val="clear" w:color="auto" w:fill="FBD4B4" w:themeFill="accent6" w:themeFillTint="66"/>
          </w:tcPr>
          <w:p w14:paraId="69EE6409" w14:textId="77777777" w:rsidR="002D3389" w:rsidRPr="00163080" w:rsidRDefault="002D3389" w:rsidP="000E0B9A">
            <w:pPr>
              <w:pStyle w:val="Rowcolumntitles"/>
              <w:rPr>
                <w:rFonts w:eastAsia="Times New Roman"/>
                <w:szCs w:val="22"/>
                <w:lang w:val="en-GB"/>
              </w:rPr>
            </w:pPr>
          </w:p>
        </w:tc>
        <w:tc>
          <w:tcPr>
            <w:tcW w:w="311" w:type="dxa"/>
            <w:vMerge w:val="restart"/>
            <w:shd w:val="clear" w:color="auto" w:fill="FBD4B4" w:themeFill="accent6" w:themeFillTint="66"/>
          </w:tcPr>
          <w:p w14:paraId="798093EB" w14:textId="0E5456AB"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17" w:type="dxa"/>
            <w:vMerge w:val="restart"/>
            <w:shd w:val="clear" w:color="auto" w:fill="FBD4B4" w:themeFill="accent6" w:themeFillTint="66"/>
          </w:tcPr>
          <w:p w14:paraId="54B798BA" w14:textId="548D9CD6"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947" w:type="dxa"/>
            <w:vMerge w:val="restart"/>
            <w:shd w:val="clear" w:color="auto" w:fill="FBD4B4" w:themeFill="accent6" w:themeFillTint="66"/>
          </w:tcPr>
          <w:p w14:paraId="226B093D"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7F4E31B0"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75D5268B" w14:textId="57C698DB"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0D349B36" w14:textId="77777777" w:rsidR="002D3389" w:rsidRPr="00163080" w:rsidRDefault="002D3389" w:rsidP="000E0B9A">
            <w:pPr>
              <w:pStyle w:val="Rowcolumntitles"/>
              <w:rPr>
                <w:szCs w:val="22"/>
                <w:lang w:val="en-GB"/>
              </w:rPr>
            </w:pPr>
          </w:p>
        </w:tc>
        <w:tc>
          <w:tcPr>
            <w:tcW w:w="329" w:type="dxa"/>
            <w:vMerge w:val="restart"/>
            <w:shd w:val="clear" w:color="auto" w:fill="CCC0D9" w:themeFill="accent4" w:themeFillTint="66"/>
          </w:tcPr>
          <w:p w14:paraId="36330BB5" w14:textId="77777777" w:rsidR="002D3389" w:rsidRPr="00163080" w:rsidRDefault="002D3389" w:rsidP="000E0B9A">
            <w:pPr>
              <w:pStyle w:val="Rowcolumntitles"/>
              <w:rPr>
                <w:rFonts w:eastAsia="Times New Roman"/>
                <w:szCs w:val="22"/>
                <w:lang w:val="en-GB"/>
              </w:rPr>
            </w:pPr>
          </w:p>
        </w:tc>
        <w:tc>
          <w:tcPr>
            <w:tcW w:w="527" w:type="dxa"/>
            <w:gridSpan w:val="2"/>
            <w:shd w:val="clear" w:color="auto" w:fill="B8CCE4" w:themeFill="accent1" w:themeFillTint="66"/>
          </w:tcPr>
          <w:p w14:paraId="35233EE8" w14:textId="7E8699AA"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24311F07" w14:textId="1273C62E"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3"/>
            <w:shd w:val="clear" w:color="auto" w:fill="B8CCE4" w:themeFill="accent1" w:themeFillTint="66"/>
          </w:tcPr>
          <w:p w14:paraId="0B8013BB"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05EABD73" w14:textId="4556FC8B"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19728F44"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38A097BF" w14:textId="77777777" w:rsidR="002D3389" w:rsidRPr="00163080" w:rsidRDefault="002D3389" w:rsidP="000E0B9A">
            <w:pPr>
              <w:pStyle w:val="Rowcolumntitles"/>
              <w:rPr>
                <w:noProof/>
                <w:szCs w:val="22"/>
                <w:lang w:val="en-GB"/>
              </w:rPr>
            </w:pPr>
            <w:r w:rsidRPr="00163080">
              <w:rPr>
                <w:rFonts w:ascii="MS Mincho" w:eastAsia="MS Mincho" w:hAnsi="MS Mincho" w:cs="MS Mincho"/>
                <w:noProof/>
                <w:szCs w:val="22"/>
                <w:lang w:val="en-GB"/>
              </w:rPr>
              <w:t>✔</w:t>
            </w:r>
          </w:p>
          <w:p w14:paraId="03EA5D72" w14:textId="77777777" w:rsidR="002D3389" w:rsidRPr="00163080" w:rsidRDefault="002D3389" w:rsidP="000E0B9A">
            <w:pPr>
              <w:pStyle w:val="Rowcolumntitles"/>
              <w:rPr>
                <w:noProof/>
                <w:szCs w:val="22"/>
                <w:lang w:val="en-GB"/>
              </w:rPr>
            </w:pPr>
          </w:p>
          <w:p w14:paraId="5AEED6CE" w14:textId="3F85C13B"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17B37208" w14:textId="23423F5E"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5A2A6489"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275FCE7D" w14:textId="77777777" w:rsidR="002D3389" w:rsidRPr="00163080" w:rsidRDefault="002D3389" w:rsidP="000E0B9A">
            <w:pPr>
              <w:pStyle w:val="Rowcolumntitles"/>
              <w:rPr>
                <w:rFonts w:eastAsia="Times New Roman"/>
                <w:szCs w:val="22"/>
                <w:lang w:val="en-GB"/>
              </w:rPr>
            </w:pPr>
          </w:p>
        </w:tc>
      </w:tr>
      <w:tr w:rsidR="000E0B9A" w:rsidRPr="009400F9" w14:paraId="3E564064" w14:textId="77777777" w:rsidTr="00BD1202">
        <w:trPr>
          <w:trHeight w:val="300"/>
        </w:trPr>
        <w:tc>
          <w:tcPr>
            <w:tcW w:w="1569" w:type="dxa"/>
            <w:vMerge/>
            <w:shd w:val="clear" w:color="auto" w:fill="000000" w:themeFill="text1"/>
          </w:tcPr>
          <w:p w14:paraId="2026A4FF"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05947F9D"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2CF06D9F"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1EAA4075"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04779E3A" w14:textId="77777777" w:rsidR="002D3389" w:rsidRPr="00163080" w:rsidRDefault="002D3389" w:rsidP="000E0B9A">
            <w:pPr>
              <w:pStyle w:val="Rowcolumntitles"/>
              <w:rPr>
                <w:rFonts w:eastAsia="Times New Roman"/>
                <w:szCs w:val="22"/>
                <w:lang w:val="en-GB"/>
              </w:rPr>
            </w:pPr>
          </w:p>
        </w:tc>
        <w:tc>
          <w:tcPr>
            <w:tcW w:w="687" w:type="dxa"/>
            <w:vMerge/>
            <w:shd w:val="clear" w:color="auto" w:fill="FBD4B4" w:themeFill="accent6" w:themeFillTint="66"/>
          </w:tcPr>
          <w:p w14:paraId="51253BFB" w14:textId="77777777" w:rsidR="002D3389" w:rsidRPr="00163080" w:rsidRDefault="002D3389" w:rsidP="000E0B9A">
            <w:pPr>
              <w:pStyle w:val="Rowcolumntitles"/>
              <w:rPr>
                <w:rFonts w:eastAsia="Times New Roman"/>
                <w:szCs w:val="22"/>
                <w:lang w:val="en-GB"/>
              </w:rPr>
            </w:pPr>
          </w:p>
        </w:tc>
        <w:tc>
          <w:tcPr>
            <w:tcW w:w="311" w:type="dxa"/>
            <w:vMerge/>
            <w:shd w:val="clear" w:color="auto" w:fill="FBD4B4" w:themeFill="accent6" w:themeFillTint="66"/>
          </w:tcPr>
          <w:p w14:paraId="1C7AEC52" w14:textId="77777777" w:rsidR="002D3389" w:rsidRPr="00163080" w:rsidRDefault="002D3389" w:rsidP="000E0B9A">
            <w:pPr>
              <w:pStyle w:val="Rowcolumntitles"/>
              <w:rPr>
                <w:rFonts w:eastAsia="Times New Roman"/>
                <w:szCs w:val="22"/>
                <w:lang w:val="en-GB"/>
              </w:rPr>
            </w:pPr>
          </w:p>
        </w:tc>
        <w:tc>
          <w:tcPr>
            <w:tcW w:w="417" w:type="dxa"/>
            <w:vMerge/>
            <w:shd w:val="clear" w:color="auto" w:fill="FBD4B4" w:themeFill="accent6" w:themeFillTint="66"/>
          </w:tcPr>
          <w:p w14:paraId="32C8BAFD" w14:textId="77777777" w:rsidR="002D3389" w:rsidRPr="00163080" w:rsidRDefault="002D3389" w:rsidP="000E0B9A">
            <w:pPr>
              <w:pStyle w:val="Rowcolumntitles"/>
              <w:rPr>
                <w:rFonts w:eastAsia="Times New Roman"/>
                <w:szCs w:val="22"/>
                <w:lang w:val="en-GB"/>
              </w:rPr>
            </w:pPr>
          </w:p>
        </w:tc>
        <w:tc>
          <w:tcPr>
            <w:tcW w:w="947" w:type="dxa"/>
            <w:vMerge/>
            <w:shd w:val="clear" w:color="auto" w:fill="FBD4B4" w:themeFill="accent6" w:themeFillTint="66"/>
          </w:tcPr>
          <w:p w14:paraId="59BA5466"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5C44BAC0"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53BD2E97"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1BB144B4" w14:textId="77777777" w:rsidR="002D3389" w:rsidRPr="00163080" w:rsidRDefault="002D3389" w:rsidP="000E0B9A">
            <w:pPr>
              <w:pStyle w:val="Rowcolumntitles"/>
              <w:rPr>
                <w:szCs w:val="22"/>
                <w:lang w:val="en-GB"/>
              </w:rPr>
            </w:pPr>
          </w:p>
        </w:tc>
        <w:tc>
          <w:tcPr>
            <w:tcW w:w="329" w:type="dxa"/>
            <w:vMerge/>
            <w:shd w:val="clear" w:color="auto" w:fill="CCC0D9" w:themeFill="accent4" w:themeFillTint="66"/>
          </w:tcPr>
          <w:p w14:paraId="7AA56BCD" w14:textId="77777777" w:rsidR="002D3389" w:rsidRPr="00163080" w:rsidRDefault="002D3389" w:rsidP="000E0B9A">
            <w:pPr>
              <w:pStyle w:val="Rowcolumntitles"/>
              <w:rPr>
                <w:rFonts w:eastAsia="Times New Roman"/>
                <w:szCs w:val="22"/>
                <w:lang w:val="en-GB"/>
              </w:rPr>
            </w:pPr>
          </w:p>
        </w:tc>
        <w:tc>
          <w:tcPr>
            <w:tcW w:w="527" w:type="dxa"/>
            <w:gridSpan w:val="2"/>
            <w:shd w:val="clear" w:color="auto" w:fill="B8CCE4" w:themeFill="accent1" w:themeFillTint="66"/>
          </w:tcPr>
          <w:p w14:paraId="5941F9D5" w14:textId="651443F7"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531A3C2A" w14:textId="1AE5C89F"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308304A8" w14:textId="37216543"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3725A371" w14:textId="3D860386" w:rsidR="002D3389" w:rsidRPr="00163080" w:rsidRDefault="002D3389" w:rsidP="000E0B9A">
            <w:pPr>
              <w:pStyle w:val="Rowcolumntitles"/>
              <w:rPr>
                <w:rFonts w:eastAsia="Times New Roman"/>
                <w:szCs w:val="22"/>
                <w:lang w:val="en-GB"/>
              </w:rPr>
            </w:pPr>
          </w:p>
        </w:tc>
        <w:tc>
          <w:tcPr>
            <w:tcW w:w="377" w:type="dxa"/>
            <w:vMerge/>
            <w:shd w:val="clear" w:color="auto" w:fill="D99594" w:themeFill="accent2" w:themeFillTint="99"/>
          </w:tcPr>
          <w:p w14:paraId="39FBE537"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0F954D8B"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6DCC89D0"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5ACFD2DE"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71D97479" w14:textId="77777777" w:rsidR="002D3389" w:rsidRPr="00163080" w:rsidRDefault="002D3389" w:rsidP="000E0B9A">
            <w:pPr>
              <w:pStyle w:val="Rowcolumntitles"/>
              <w:rPr>
                <w:rFonts w:eastAsia="Times New Roman"/>
                <w:szCs w:val="22"/>
                <w:lang w:val="en-GB"/>
              </w:rPr>
            </w:pPr>
          </w:p>
        </w:tc>
      </w:tr>
      <w:tr w:rsidR="000E0B9A" w:rsidRPr="009400F9" w14:paraId="38BE46A4" w14:textId="77777777" w:rsidTr="00BD1202">
        <w:trPr>
          <w:trHeight w:val="469"/>
        </w:trPr>
        <w:tc>
          <w:tcPr>
            <w:tcW w:w="1569" w:type="dxa"/>
            <w:vMerge w:val="restart"/>
            <w:shd w:val="clear" w:color="auto" w:fill="000000" w:themeFill="text1"/>
          </w:tcPr>
          <w:p w14:paraId="0BB24F23" w14:textId="359EE052"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 xml:space="preserve">11. Corruption risk assessment methodology </w:t>
            </w:r>
          </w:p>
        </w:tc>
        <w:tc>
          <w:tcPr>
            <w:tcW w:w="415" w:type="dxa"/>
            <w:vMerge w:val="restart"/>
            <w:shd w:val="clear" w:color="auto" w:fill="D6E3BC" w:themeFill="accent3" w:themeFillTint="66"/>
          </w:tcPr>
          <w:p w14:paraId="5292A0C5"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5E2E821A"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394205CC"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34E54198" w14:textId="161459C0"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092B73E4" w14:textId="77777777" w:rsidR="002D3389" w:rsidRPr="00163080" w:rsidRDefault="002D3389" w:rsidP="000E0B9A">
            <w:pPr>
              <w:pStyle w:val="Rowcolumntitles"/>
              <w:rPr>
                <w:rFonts w:eastAsia="Times New Roman"/>
                <w:szCs w:val="22"/>
                <w:lang w:val="en-GB"/>
              </w:rPr>
            </w:pPr>
          </w:p>
        </w:tc>
        <w:tc>
          <w:tcPr>
            <w:tcW w:w="311" w:type="dxa"/>
            <w:vMerge w:val="restart"/>
            <w:shd w:val="clear" w:color="auto" w:fill="FBD4B4" w:themeFill="accent6" w:themeFillTint="66"/>
          </w:tcPr>
          <w:p w14:paraId="6309B0EA" w14:textId="21FFECE1"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17" w:type="dxa"/>
            <w:vMerge w:val="restart"/>
            <w:shd w:val="clear" w:color="auto" w:fill="FBD4B4" w:themeFill="accent6" w:themeFillTint="66"/>
          </w:tcPr>
          <w:p w14:paraId="05D4FEF7" w14:textId="722F27BC"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947" w:type="dxa"/>
            <w:vMerge w:val="restart"/>
            <w:shd w:val="clear" w:color="auto" w:fill="FBD4B4" w:themeFill="accent6" w:themeFillTint="66"/>
          </w:tcPr>
          <w:p w14:paraId="57460A2B"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3500F58E"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00D90B93" w14:textId="25C3D75E"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219DC8B7" w14:textId="77777777" w:rsidR="002D3389" w:rsidRPr="00163080" w:rsidRDefault="002D3389" w:rsidP="000E0B9A">
            <w:pPr>
              <w:pStyle w:val="Rowcolumntitles"/>
              <w:rPr>
                <w:szCs w:val="22"/>
                <w:lang w:val="en-GB"/>
              </w:rPr>
            </w:pPr>
          </w:p>
        </w:tc>
        <w:tc>
          <w:tcPr>
            <w:tcW w:w="329" w:type="dxa"/>
            <w:vMerge w:val="restart"/>
            <w:shd w:val="clear" w:color="auto" w:fill="CCC0D9" w:themeFill="accent4" w:themeFillTint="66"/>
          </w:tcPr>
          <w:p w14:paraId="3D29E4CE" w14:textId="77777777" w:rsidR="002D3389" w:rsidRPr="00163080" w:rsidRDefault="002D3389" w:rsidP="000E0B9A">
            <w:pPr>
              <w:pStyle w:val="Rowcolumntitles"/>
              <w:rPr>
                <w:rFonts w:eastAsia="Times New Roman"/>
                <w:szCs w:val="22"/>
                <w:lang w:val="en-GB"/>
              </w:rPr>
            </w:pPr>
          </w:p>
        </w:tc>
        <w:tc>
          <w:tcPr>
            <w:tcW w:w="527" w:type="dxa"/>
            <w:gridSpan w:val="2"/>
            <w:shd w:val="clear" w:color="auto" w:fill="B8CCE4" w:themeFill="accent1" w:themeFillTint="66"/>
          </w:tcPr>
          <w:p w14:paraId="1B3E8633" w14:textId="7C50B10C"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48AF119E"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7F43B1FC" w14:textId="63101DB6"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394D51DA" w14:textId="518FF889"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6649E90A"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3C7E2476" w14:textId="11BE8E2F"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4E49980F"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785B6571"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654F92C4" w14:textId="77777777" w:rsidR="002D3389" w:rsidRPr="00163080" w:rsidRDefault="002D3389" w:rsidP="000E0B9A">
            <w:pPr>
              <w:pStyle w:val="Rowcolumntitles"/>
              <w:rPr>
                <w:rFonts w:eastAsia="Times New Roman"/>
                <w:szCs w:val="22"/>
                <w:lang w:val="en-GB"/>
              </w:rPr>
            </w:pPr>
          </w:p>
        </w:tc>
      </w:tr>
      <w:tr w:rsidR="000E0B9A" w:rsidRPr="009400F9" w14:paraId="0C931230" w14:textId="77777777" w:rsidTr="00BD1202">
        <w:trPr>
          <w:trHeight w:val="478"/>
        </w:trPr>
        <w:tc>
          <w:tcPr>
            <w:tcW w:w="1569" w:type="dxa"/>
            <w:vMerge/>
            <w:shd w:val="clear" w:color="auto" w:fill="000000" w:themeFill="text1"/>
          </w:tcPr>
          <w:p w14:paraId="31F6469F"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500017EE"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2EA2DAF5"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38B6A625"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5210BBAC" w14:textId="77777777" w:rsidR="002D3389" w:rsidRPr="00163080" w:rsidRDefault="002D3389" w:rsidP="000E0B9A">
            <w:pPr>
              <w:pStyle w:val="Rowcolumntitles"/>
              <w:rPr>
                <w:rFonts w:eastAsia="Times New Roman"/>
                <w:szCs w:val="22"/>
                <w:lang w:val="en-GB"/>
              </w:rPr>
            </w:pPr>
          </w:p>
        </w:tc>
        <w:tc>
          <w:tcPr>
            <w:tcW w:w="687" w:type="dxa"/>
            <w:vMerge/>
            <w:shd w:val="clear" w:color="auto" w:fill="FBD4B4" w:themeFill="accent6" w:themeFillTint="66"/>
          </w:tcPr>
          <w:p w14:paraId="02D3CC2A" w14:textId="77777777" w:rsidR="002D3389" w:rsidRPr="00163080" w:rsidRDefault="002D3389" w:rsidP="000E0B9A">
            <w:pPr>
              <w:pStyle w:val="Rowcolumntitles"/>
              <w:rPr>
                <w:rFonts w:eastAsia="Times New Roman"/>
                <w:szCs w:val="22"/>
                <w:lang w:val="en-GB"/>
              </w:rPr>
            </w:pPr>
          </w:p>
        </w:tc>
        <w:tc>
          <w:tcPr>
            <w:tcW w:w="311" w:type="dxa"/>
            <w:vMerge/>
            <w:shd w:val="clear" w:color="auto" w:fill="FBD4B4" w:themeFill="accent6" w:themeFillTint="66"/>
          </w:tcPr>
          <w:p w14:paraId="124C12B8" w14:textId="77777777" w:rsidR="002D3389" w:rsidRPr="00163080" w:rsidRDefault="002D3389" w:rsidP="000E0B9A">
            <w:pPr>
              <w:pStyle w:val="Rowcolumntitles"/>
              <w:rPr>
                <w:rFonts w:eastAsia="Times New Roman"/>
                <w:szCs w:val="22"/>
                <w:lang w:val="en-GB"/>
              </w:rPr>
            </w:pPr>
          </w:p>
        </w:tc>
        <w:tc>
          <w:tcPr>
            <w:tcW w:w="417" w:type="dxa"/>
            <w:vMerge/>
            <w:shd w:val="clear" w:color="auto" w:fill="FBD4B4" w:themeFill="accent6" w:themeFillTint="66"/>
          </w:tcPr>
          <w:p w14:paraId="0B76DDD0" w14:textId="77777777" w:rsidR="002D3389" w:rsidRPr="00163080" w:rsidRDefault="002D3389" w:rsidP="000E0B9A">
            <w:pPr>
              <w:pStyle w:val="Rowcolumntitles"/>
              <w:rPr>
                <w:rFonts w:eastAsia="Times New Roman"/>
                <w:szCs w:val="22"/>
                <w:lang w:val="en-GB"/>
              </w:rPr>
            </w:pPr>
          </w:p>
        </w:tc>
        <w:tc>
          <w:tcPr>
            <w:tcW w:w="947" w:type="dxa"/>
            <w:vMerge/>
            <w:shd w:val="clear" w:color="auto" w:fill="FBD4B4" w:themeFill="accent6" w:themeFillTint="66"/>
          </w:tcPr>
          <w:p w14:paraId="6A282B2F"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220D93E0"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7DEEBE21"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4B00FC50" w14:textId="77777777" w:rsidR="002D3389" w:rsidRPr="00163080" w:rsidRDefault="002D3389" w:rsidP="000E0B9A">
            <w:pPr>
              <w:pStyle w:val="Rowcolumntitles"/>
              <w:rPr>
                <w:szCs w:val="22"/>
                <w:lang w:val="en-GB"/>
              </w:rPr>
            </w:pPr>
          </w:p>
        </w:tc>
        <w:tc>
          <w:tcPr>
            <w:tcW w:w="329" w:type="dxa"/>
            <w:vMerge/>
            <w:shd w:val="clear" w:color="auto" w:fill="CCC0D9" w:themeFill="accent4" w:themeFillTint="66"/>
          </w:tcPr>
          <w:p w14:paraId="7FDC5A82" w14:textId="77777777" w:rsidR="002D3389" w:rsidRPr="00163080" w:rsidRDefault="002D3389" w:rsidP="000E0B9A">
            <w:pPr>
              <w:pStyle w:val="Rowcolumntitles"/>
              <w:rPr>
                <w:rFonts w:eastAsia="Times New Roman"/>
                <w:szCs w:val="22"/>
                <w:lang w:val="en-GB"/>
              </w:rPr>
            </w:pPr>
          </w:p>
        </w:tc>
        <w:tc>
          <w:tcPr>
            <w:tcW w:w="527" w:type="dxa"/>
            <w:gridSpan w:val="2"/>
            <w:shd w:val="clear" w:color="auto" w:fill="B8CCE4" w:themeFill="accent1" w:themeFillTint="66"/>
          </w:tcPr>
          <w:p w14:paraId="56465797" w14:textId="18F47E96"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639B1E02"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50DB30FB" w14:textId="03F2E980"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43891813" w14:textId="4D5F261F" w:rsidR="002D3389" w:rsidRPr="00163080" w:rsidRDefault="002D3389" w:rsidP="000E0B9A">
            <w:pPr>
              <w:pStyle w:val="Rowcolumntitles"/>
              <w:rPr>
                <w:rFonts w:eastAsia="Times New Roman"/>
                <w:szCs w:val="22"/>
                <w:lang w:val="en-GB"/>
              </w:rPr>
            </w:pPr>
          </w:p>
        </w:tc>
        <w:tc>
          <w:tcPr>
            <w:tcW w:w="377" w:type="dxa"/>
            <w:vMerge/>
            <w:shd w:val="clear" w:color="auto" w:fill="D99594" w:themeFill="accent2" w:themeFillTint="99"/>
          </w:tcPr>
          <w:p w14:paraId="7D6D6BA3"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69C74B24"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1D9A98E5"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4EE8437C"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3F71D206" w14:textId="77777777" w:rsidR="002D3389" w:rsidRPr="00163080" w:rsidRDefault="002D3389" w:rsidP="000E0B9A">
            <w:pPr>
              <w:pStyle w:val="Rowcolumntitles"/>
              <w:rPr>
                <w:rFonts w:eastAsia="Times New Roman"/>
                <w:szCs w:val="22"/>
                <w:lang w:val="en-GB"/>
              </w:rPr>
            </w:pPr>
          </w:p>
        </w:tc>
      </w:tr>
      <w:tr w:rsidR="000E0B9A" w:rsidRPr="009400F9" w14:paraId="43C9EB16" w14:textId="77777777" w:rsidTr="00BD1202">
        <w:trPr>
          <w:trHeight w:val="530"/>
        </w:trPr>
        <w:tc>
          <w:tcPr>
            <w:tcW w:w="1569" w:type="dxa"/>
            <w:vMerge w:val="restart"/>
            <w:shd w:val="clear" w:color="auto" w:fill="000000" w:themeFill="text1"/>
          </w:tcPr>
          <w:p w14:paraId="47BDD44B" w14:textId="2DEA46C4" w:rsidR="002D3389" w:rsidRPr="00163080" w:rsidRDefault="00163080" w:rsidP="000E0B9A">
            <w:pPr>
              <w:pStyle w:val="Rowcolumntitles"/>
              <w:rPr>
                <w:noProof/>
                <w:color w:val="FFFFFF" w:themeColor="background1"/>
                <w:szCs w:val="22"/>
                <w:lang w:val="en-GB"/>
              </w:rPr>
            </w:pPr>
            <w:r w:rsidRPr="002312E4">
              <w:rPr>
                <w:rFonts w:ascii="MS Mincho" w:eastAsia="MS Mincho" w:hAnsi="MS Mincho" w:cs="MS Mincho"/>
                <w:color w:val="FFFFFF" w:themeColor="background1"/>
                <w:szCs w:val="22"/>
                <w:lang w:val="en-GB"/>
              </w:rPr>
              <w:t>✪</w:t>
            </w:r>
            <w:r w:rsidR="002D3389" w:rsidRPr="00163080">
              <w:rPr>
                <w:color w:val="FFFFFF" w:themeColor="background1"/>
                <w:szCs w:val="22"/>
                <w:lang w:val="en-GB"/>
              </w:rPr>
              <w:t xml:space="preserve">12. Asset disclosure on a single web portal </w:t>
            </w:r>
          </w:p>
        </w:tc>
        <w:tc>
          <w:tcPr>
            <w:tcW w:w="415" w:type="dxa"/>
            <w:vMerge w:val="restart"/>
            <w:shd w:val="clear" w:color="auto" w:fill="D6E3BC" w:themeFill="accent3" w:themeFillTint="66"/>
          </w:tcPr>
          <w:p w14:paraId="58861790"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2B42D2BE"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3D9B9E49"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16143981" w14:textId="00E7E301"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0194E7C6" w14:textId="5AFC564F"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488C4622" w14:textId="77777777" w:rsidR="002D3389" w:rsidRPr="00163080" w:rsidRDefault="002D3389" w:rsidP="000E0B9A">
            <w:pPr>
              <w:pStyle w:val="Rowcolumntitles"/>
              <w:rPr>
                <w:rFonts w:eastAsia="Times New Roman"/>
                <w:szCs w:val="22"/>
                <w:lang w:val="en-GB"/>
              </w:rPr>
            </w:pPr>
          </w:p>
        </w:tc>
        <w:tc>
          <w:tcPr>
            <w:tcW w:w="417" w:type="dxa"/>
            <w:vMerge w:val="restart"/>
            <w:shd w:val="clear" w:color="auto" w:fill="FBD4B4" w:themeFill="accent6" w:themeFillTint="66"/>
          </w:tcPr>
          <w:p w14:paraId="486B70D3" w14:textId="1D87F057"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947" w:type="dxa"/>
            <w:vMerge w:val="restart"/>
            <w:shd w:val="clear" w:color="auto" w:fill="FBD4B4" w:themeFill="accent6" w:themeFillTint="66"/>
          </w:tcPr>
          <w:p w14:paraId="5CD4383A" w14:textId="031BFE2B"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547DE049"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7C123AD7"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626840A4" w14:textId="77777777" w:rsidR="002D3389" w:rsidRPr="00163080" w:rsidRDefault="002D3389" w:rsidP="000E0B9A">
            <w:pPr>
              <w:pStyle w:val="Rowcolumntitles"/>
              <w:rPr>
                <w:szCs w:val="22"/>
                <w:lang w:val="en-GB"/>
              </w:rPr>
            </w:pPr>
          </w:p>
        </w:tc>
        <w:tc>
          <w:tcPr>
            <w:tcW w:w="329" w:type="dxa"/>
            <w:vMerge w:val="restart"/>
            <w:shd w:val="clear" w:color="auto" w:fill="CCC0D9" w:themeFill="accent4" w:themeFillTint="66"/>
          </w:tcPr>
          <w:p w14:paraId="5484BB34" w14:textId="63F272D0"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27" w:type="dxa"/>
            <w:gridSpan w:val="2"/>
            <w:shd w:val="clear" w:color="auto" w:fill="B8CCE4" w:themeFill="accent1" w:themeFillTint="66"/>
          </w:tcPr>
          <w:p w14:paraId="4B799590" w14:textId="3416B19D"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126B95E6" w14:textId="0AD1F7A8"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3"/>
            <w:shd w:val="clear" w:color="auto" w:fill="B8CCE4" w:themeFill="accent1" w:themeFillTint="66"/>
          </w:tcPr>
          <w:p w14:paraId="44625133"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30E6D2F4" w14:textId="0451A6D3"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2237A44C"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4BA6C04A"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572BB810"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43412E34"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36966C6A" w14:textId="535090A4"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r>
      <w:tr w:rsidR="000E0B9A" w:rsidRPr="009400F9" w14:paraId="50A224C8" w14:textId="77777777" w:rsidTr="00BD1202">
        <w:trPr>
          <w:trHeight w:val="620"/>
        </w:trPr>
        <w:tc>
          <w:tcPr>
            <w:tcW w:w="1569" w:type="dxa"/>
            <w:vMerge/>
            <w:shd w:val="clear" w:color="auto" w:fill="000000" w:themeFill="text1"/>
          </w:tcPr>
          <w:p w14:paraId="716A302C"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11C704F8"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1B1650AC"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4221A143"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1F346BD2" w14:textId="77777777" w:rsidR="002D3389" w:rsidRPr="00163080" w:rsidRDefault="002D3389" w:rsidP="000E0B9A">
            <w:pPr>
              <w:pStyle w:val="Rowcolumntitles"/>
              <w:rPr>
                <w:rFonts w:eastAsia="Times New Roman"/>
                <w:szCs w:val="22"/>
                <w:lang w:val="en-GB"/>
              </w:rPr>
            </w:pPr>
          </w:p>
        </w:tc>
        <w:tc>
          <w:tcPr>
            <w:tcW w:w="687" w:type="dxa"/>
            <w:vMerge/>
            <w:shd w:val="clear" w:color="auto" w:fill="FBD4B4" w:themeFill="accent6" w:themeFillTint="66"/>
          </w:tcPr>
          <w:p w14:paraId="14148C78" w14:textId="77777777" w:rsidR="002D3389" w:rsidRPr="00163080" w:rsidRDefault="002D3389" w:rsidP="000E0B9A">
            <w:pPr>
              <w:pStyle w:val="Rowcolumntitles"/>
              <w:rPr>
                <w:rFonts w:eastAsia="Times New Roman"/>
                <w:szCs w:val="22"/>
                <w:lang w:val="en-GB"/>
              </w:rPr>
            </w:pPr>
          </w:p>
        </w:tc>
        <w:tc>
          <w:tcPr>
            <w:tcW w:w="311" w:type="dxa"/>
            <w:vMerge/>
            <w:shd w:val="clear" w:color="auto" w:fill="FBD4B4" w:themeFill="accent6" w:themeFillTint="66"/>
          </w:tcPr>
          <w:p w14:paraId="735D8E4A" w14:textId="77777777" w:rsidR="002D3389" w:rsidRPr="00163080" w:rsidRDefault="002D3389" w:rsidP="000E0B9A">
            <w:pPr>
              <w:pStyle w:val="Rowcolumntitles"/>
              <w:rPr>
                <w:rFonts w:eastAsia="Times New Roman"/>
                <w:szCs w:val="22"/>
                <w:lang w:val="en-GB"/>
              </w:rPr>
            </w:pPr>
          </w:p>
        </w:tc>
        <w:tc>
          <w:tcPr>
            <w:tcW w:w="417" w:type="dxa"/>
            <w:vMerge/>
            <w:shd w:val="clear" w:color="auto" w:fill="FBD4B4" w:themeFill="accent6" w:themeFillTint="66"/>
          </w:tcPr>
          <w:p w14:paraId="67289DA6" w14:textId="77777777" w:rsidR="002D3389" w:rsidRPr="00163080" w:rsidRDefault="002D3389" w:rsidP="000E0B9A">
            <w:pPr>
              <w:pStyle w:val="Rowcolumntitles"/>
              <w:rPr>
                <w:rFonts w:eastAsia="Times New Roman"/>
                <w:szCs w:val="22"/>
                <w:lang w:val="en-GB"/>
              </w:rPr>
            </w:pPr>
          </w:p>
        </w:tc>
        <w:tc>
          <w:tcPr>
            <w:tcW w:w="947" w:type="dxa"/>
            <w:vMerge/>
            <w:shd w:val="clear" w:color="auto" w:fill="FBD4B4" w:themeFill="accent6" w:themeFillTint="66"/>
          </w:tcPr>
          <w:p w14:paraId="1C34D162"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31515B8B"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1931AD27"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21CC79DA" w14:textId="77777777" w:rsidR="002D3389" w:rsidRPr="00163080" w:rsidRDefault="002D3389" w:rsidP="000E0B9A">
            <w:pPr>
              <w:pStyle w:val="Rowcolumntitles"/>
              <w:rPr>
                <w:szCs w:val="22"/>
                <w:lang w:val="en-GB"/>
              </w:rPr>
            </w:pPr>
          </w:p>
        </w:tc>
        <w:tc>
          <w:tcPr>
            <w:tcW w:w="329" w:type="dxa"/>
            <w:vMerge/>
            <w:shd w:val="clear" w:color="auto" w:fill="CCC0D9" w:themeFill="accent4" w:themeFillTint="66"/>
          </w:tcPr>
          <w:p w14:paraId="3C6B5B04" w14:textId="77777777" w:rsidR="002D3389" w:rsidRPr="00163080" w:rsidRDefault="002D3389" w:rsidP="000E0B9A">
            <w:pPr>
              <w:pStyle w:val="Rowcolumntitles"/>
              <w:rPr>
                <w:rFonts w:eastAsia="Times New Roman"/>
                <w:szCs w:val="22"/>
                <w:lang w:val="en-GB"/>
              </w:rPr>
            </w:pPr>
          </w:p>
        </w:tc>
        <w:tc>
          <w:tcPr>
            <w:tcW w:w="527" w:type="dxa"/>
            <w:gridSpan w:val="2"/>
            <w:shd w:val="clear" w:color="auto" w:fill="B8CCE4" w:themeFill="accent1" w:themeFillTint="66"/>
          </w:tcPr>
          <w:p w14:paraId="57D54581" w14:textId="1EE109F9"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2BD85163"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24B70F8B"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7D8F727B" w14:textId="1DDC1367"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0327C436"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279EF1E8"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17B32428"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4E7ED8F7"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73564BAD" w14:textId="77777777" w:rsidR="002D3389" w:rsidRPr="00163080" w:rsidRDefault="002D3389" w:rsidP="000E0B9A">
            <w:pPr>
              <w:pStyle w:val="Rowcolumntitles"/>
              <w:rPr>
                <w:rFonts w:eastAsia="Times New Roman"/>
                <w:szCs w:val="22"/>
                <w:lang w:val="en-GB"/>
              </w:rPr>
            </w:pPr>
          </w:p>
        </w:tc>
      </w:tr>
      <w:tr w:rsidR="002D3389" w:rsidRPr="009400F9" w14:paraId="6F65719C" w14:textId="77777777" w:rsidTr="00BD1202">
        <w:trPr>
          <w:trHeight w:val="486"/>
        </w:trPr>
        <w:tc>
          <w:tcPr>
            <w:tcW w:w="10620" w:type="dxa"/>
            <w:gridSpan w:val="27"/>
            <w:shd w:val="clear" w:color="auto" w:fill="000000" w:themeFill="text1"/>
          </w:tcPr>
          <w:p w14:paraId="4962D3D5" w14:textId="342D55A8" w:rsidR="002D3389" w:rsidRPr="00163080" w:rsidRDefault="002D3389" w:rsidP="000E0B9A">
            <w:pPr>
              <w:pStyle w:val="Rowcolumntitles"/>
              <w:rPr>
                <w:rFonts w:eastAsia="Times New Roman"/>
                <w:color w:val="FFFFFF" w:themeColor="background1"/>
                <w:szCs w:val="22"/>
                <w:lang w:val="en-GB"/>
              </w:rPr>
            </w:pPr>
            <w:r w:rsidRPr="00163080">
              <w:rPr>
                <w:b/>
                <w:color w:val="FFFFFF" w:themeColor="background1"/>
                <w:szCs w:val="22"/>
                <w:lang w:val="en-GB"/>
              </w:rPr>
              <w:t xml:space="preserve">Theme </w:t>
            </w:r>
            <w:r w:rsidR="00163080">
              <w:rPr>
                <w:b/>
                <w:color w:val="FFFFFF" w:themeColor="background1"/>
                <w:szCs w:val="22"/>
                <w:lang w:val="en-GB"/>
              </w:rPr>
              <w:t>IV</w:t>
            </w:r>
            <w:r w:rsidR="00163080">
              <w:rPr>
                <w:rFonts w:ascii="MS Mincho" w:eastAsia="MS Mincho" w:hAnsi="MS Mincho" w:cs="MS Mincho"/>
                <w:color w:val="FFFFFF" w:themeColor="background1"/>
                <w:szCs w:val="22"/>
                <w:lang w:val="en-GB"/>
              </w:rPr>
              <w:t>:</w:t>
            </w:r>
            <w:r w:rsidRPr="00163080">
              <w:rPr>
                <w:b/>
                <w:color w:val="FFFFFF" w:themeColor="background1"/>
                <w:szCs w:val="22"/>
                <w:lang w:val="en-GB"/>
              </w:rPr>
              <w:t xml:space="preserve"> Administrative and social service provision </w:t>
            </w:r>
          </w:p>
        </w:tc>
      </w:tr>
      <w:tr w:rsidR="000E0B9A" w:rsidRPr="009400F9" w14:paraId="4004471E" w14:textId="77777777" w:rsidTr="00BD1202">
        <w:trPr>
          <w:trHeight w:val="227"/>
        </w:trPr>
        <w:tc>
          <w:tcPr>
            <w:tcW w:w="1569" w:type="dxa"/>
            <w:vMerge w:val="restart"/>
            <w:shd w:val="clear" w:color="auto" w:fill="000000" w:themeFill="text1"/>
          </w:tcPr>
          <w:p w14:paraId="00C31D51" w14:textId="6C8F9BAE"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13. Law on administrative procedure</w:t>
            </w:r>
          </w:p>
        </w:tc>
        <w:tc>
          <w:tcPr>
            <w:tcW w:w="415" w:type="dxa"/>
            <w:vMerge w:val="restart"/>
            <w:shd w:val="clear" w:color="auto" w:fill="D6E3BC" w:themeFill="accent3" w:themeFillTint="66"/>
          </w:tcPr>
          <w:p w14:paraId="58484D65"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68CDF288"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3FDE44B7"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4CFEFD3E" w14:textId="5F8AA065"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32BDC2FE" w14:textId="64381AA8"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34EE671C" w14:textId="77777777" w:rsidR="002D3389" w:rsidRPr="00163080" w:rsidRDefault="002D3389" w:rsidP="000E0B9A">
            <w:pPr>
              <w:pStyle w:val="Rowcolumntitles"/>
              <w:rPr>
                <w:rFonts w:eastAsia="Times New Roman"/>
                <w:szCs w:val="22"/>
                <w:lang w:val="en-GB"/>
              </w:rPr>
            </w:pPr>
          </w:p>
        </w:tc>
        <w:tc>
          <w:tcPr>
            <w:tcW w:w="417" w:type="dxa"/>
            <w:vMerge w:val="restart"/>
            <w:shd w:val="clear" w:color="auto" w:fill="FBD4B4" w:themeFill="accent6" w:themeFillTint="66"/>
          </w:tcPr>
          <w:p w14:paraId="38F67909" w14:textId="5763824F"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947" w:type="dxa"/>
            <w:vMerge w:val="restart"/>
            <w:shd w:val="clear" w:color="auto" w:fill="FBD4B4" w:themeFill="accent6" w:themeFillTint="66"/>
          </w:tcPr>
          <w:p w14:paraId="628E1C45"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00DF6048"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147D5C23"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2844641D" w14:textId="77777777" w:rsidR="002D3389" w:rsidRPr="00163080" w:rsidRDefault="002D3389" w:rsidP="000E0B9A">
            <w:pPr>
              <w:pStyle w:val="Rowcolumntitles"/>
              <w:rPr>
                <w:szCs w:val="22"/>
                <w:lang w:val="en-GB"/>
              </w:rPr>
            </w:pPr>
          </w:p>
        </w:tc>
        <w:tc>
          <w:tcPr>
            <w:tcW w:w="351" w:type="dxa"/>
            <w:gridSpan w:val="2"/>
            <w:vMerge w:val="restart"/>
            <w:shd w:val="clear" w:color="auto" w:fill="CCC0D9" w:themeFill="accent4" w:themeFillTint="66"/>
          </w:tcPr>
          <w:p w14:paraId="62C170C1" w14:textId="1F8B0464"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5" w:type="dxa"/>
            <w:shd w:val="clear" w:color="auto" w:fill="B8CCE4" w:themeFill="accent1" w:themeFillTint="66"/>
          </w:tcPr>
          <w:p w14:paraId="26574810" w14:textId="30252DFE"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7D74518B" w14:textId="4C353453"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3"/>
            <w:shd w:val="clear" w:color="auto" w:fill="B8CCE4" w:themeFill="accent1" w:themeFillTint="66"/>
          </w:tcPr>
          <w:p w14:paraId="7269497D"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69FDB82C" w14:textId="5E02A3EB"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458F4D45"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25942F61" w14:textId="54C9C0B7"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40EA5183"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7845EE0C"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2DCA2BEF" w14:textId="77777777" w:rsidR="002D3389" w:rsidRPr="00163080" w:rsidRDefault="002D3389" w:rsidP="000E0B9A">
            <w:pPr>
              <w:pStyle w:val="Rowcolumntitles"/>
              <w:rPr>
                <w:rFonts w:eastAsia="Times New Roman"/>
                <w:szCs w:val="22"/>
                <w:lang w:val="en-GB"/>
              </w:rPr>
            </w:pPr>
          </w:p>
        </w:tc>
      </w:tr>
      <w:tr w:rsidR="000E0B9A" w:rsidRPr="009400F9" w14:paraId="5FB5EB2D" w14:textId="77777777" w:rsidTr="00BD1202">
        <w:trPr>
          <w:trHeight w:val="226"/>
        </w:trPr>
        <w:tc>
          <w:tcPr>
            <w:tcW w:w="1569" w:type="dxa"/>
            <w:vMerge/>
            <w:shd w:val="clear" w:color="auto" w:fill="000000" w:themeFill="text1"/>
          </w:tcPr>
          <w:p w14:paraId="7B0EE2F0"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05250CE6"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796C82D5"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52E416D2"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134C506E" w14:textId="77777777" w:rsidR="002D3389" w:rsidRPr="00163080" w:rsidRDefault="002D3389" w:rsidP="000E0B9A">
            <w:pPr>
              <w:pStyle w:val="Rowcolumntitles"/>
              <w:rPr>
                <w:rFonts w:eastAsia="Times New Roman"/>
                <w:szCs w:val="22"/>
                <w:lang w:val="en-GB"/>
              </w:rPr>
            </w:pPr>
          </w:p>
        </w:tc>
        <w:tc>
          <w:tcPr>
            <w:tcW w:w="687" w:type="dxa"/>
            <w:vMerge/>
            <w:shd w:val="clear" w:color="auto" w:fill="FBD4B4" w:themeFill="accent6" w:themeFillTint="66"/>
          </w:tcPr>
          <w:p w14:paraId="7AA07B58" w14:textId="77777777" w:rsidR="002D3389" w:rsidRPr="00163080" w:rsidRDefault="002D3389" w:rsidP="000E0B9A">
            <w:pPr>
              <w:pStyle w:val="Rowcolumntitles"/>
              <w:rPr>
                <w:rFonts w:eastAsia="Times New Roman"/>
                <w:szCs w:val="22"/>
                <w:lang w:val="en-GB"/>
              </w:rPr>
            </w:pPr>
          </w:p>
        </w:tc>
        <w:tc>
          <w:tcPr>
            <w:tcW w:w="311" w:type="dxa"/>
            <w:vMerge/>
            <w:shd w:val="clear" w:color="auto" w:fill="FBD4B4" w:themeFill="accent6" w:themeFillTint="66"/>
          </w:tcPr>
          <w:p w14:paraId="79A8D521" w14:textId="77777777" w:rsidR="002D3389" w:rsidRPr="00163080" w:rsidRDefault="002D3389" w:rsidP="000E0B9A">
            <w:pPr>
              <w:pStyle w:val="Rowcolumntitles"/>
              <w:rPr>
                <w:rFonts w:eastAsia="Times New Roman"/>
                <w:szCs w:val="22"/>
                <w:lang w:val="en-GB"/>
              </w:rPr>
            </w:pPr>
          </w:p>
        </w:tc>
        <w:tc>
          <w:tcPr>
            <w:tcW w:w="417" w:type="dxa"/>
            <w:vMerge/>
            <w:shd w:val="clear" w:color="auto" w:fill="FBD4B4" w:themeFill="accent6" w:themeFillTint="66"/>
          </w:tcPr>
          <w:p w14:paraId="5D053E0F" w14:textId="77777777" w:rsidR="002D3389" w:rsidRPr="00163080" w:rsidRDefault="002D3389" w:rsidP="000E0B9A">
            <w:pPr>
              <w:pStyle w:val="Rowcolumntitles"/>
              <w:rPr>
                <w:rFonts w:eastAsia="Times New Roman"/>
                <w:szCs w:val="22"/>
                <w:lang w:val="en-GB"/>
              </w:rPr>
            </w:pPr>
          </w:p>
        </w:tc>
        <w:tc>
          <w:tcPr>
            <w:tcW w:w="947" w:type="dxa"/>
            <w:vMerge/>
            <w:shd w:val="clear" w:color="auto" w:fill="FBD4B4" w:themeFill="accent6" w:themeFillTint="66"/>
          </w:tcPr>
          <w:p w14:paraId="2D2AB505"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5A6F460D"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79DF3444"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02E502DA"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26AB1946"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61C8E633" w14:textId="57EF00B2"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7334150E" w14:textId="3EDDA425"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3"/>
            <w:shd w:val="clear" w:color="auto" w:fill="B8CCE4" w:themeFill="accent1" w:themeFillTint="66"/>
          </w:tcPr>
          <w:p w14:paraId="3018B4D2"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0CF54F21" w14:textId="7E321126" w:rsidR="002D3389" w:rsidRPr="00163080" w:rsidRDefault="002D3389" w:rsidP="000E0B9A">
            <w:pPr>
              <w:pStyle w:val="Rowcolumntitles"/>
              <w:rPr>
                <w:rFonts w:eastAsia="Times New Roman"/>
                <w:szCs w:val="22"/>
                <w:lang w:val="en-GB"/>
              </w:rPr>
            </w:pPr>
          </w:p>
        </w:tc>
        <w:tc>
          <w:tcPr>
            <w:tcW w:w="377" w:type="dxa"/>
            <w:vMerge/>
            <w:shd w:val="clear" w:color="auto" w:fill="D99594" w:themeFill="accent2" w:themeFillTint="99"/>
          </w:tcPr>
          <w:p w14:paraId="39E94E0D"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466410E1"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07E85E82"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87E61BD"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23787890" w14:textId="77777777" w:rsidR="002D3389" w:rsidRPr="00163080" w:rsidRDefault="002D3389" w:rsidP="000E0B9A">
            <w:pPr>
              <w:pStyle w:val="Rowcolumntitles"/>
              <w:rPr>
                <w:rFonts w:eastAsia="Times New Roman"/>
                <w:szCs w:val="22"/>
                <w:lang w:val="en-GB"/>
              </w:rPr>
            </w:pPr>
          </w:p>
        </w:tc>
      </w:tr>
      <w:tr w:rsidR="00B017F8" w:rsidRPr="009400F9" w14:paraId="789B4B3F" w14:textId="77777777" w:rsidTr="00BD1202">
        <w:trPr>
          <w:trHeight w:val="374"/>
        </w:trPr>
        <w:tc>
          <w:tcPr>
            <w:tcW w:w="1569" w:type="dxa"/>
            <w:vMerge w:val="restart"/>
            <w:shd w:val="clear" w:color="auto" w:fill="000000" w:themeFill="text1"/>
          </w:tcPr>
          <w:p w14:paraId="4CFD039C" w14:textId="693B3831"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14. Draft law on streamlining payment of administrative fees</w:t>
            </w:r>
          </w:p>
        </w:tc>
        <w:tc>
          <w:tcPr>
            <w:tcW w:w="415" w:type="dxa"/>
            <w:vMerge w:val="restart"/>
            <w:shd w:val="clear" w:color="auto" w:fill="D6E3BC" w:themeFill="accent3" w:themeFillTint="66"/>
          </w:tcPr>
          <w:p w14:paraId="2180636C"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5572ECD1"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34F3EBD0"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0CAA54E5" w14:textId="77E33CE3"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2362" w:type="dxa"/>
            <w:gridSpan w:val="4"/>
            <w:vMerge w:val="restart"/>
            <w:shd w:val="clear" w:color="auto" w:fill="FBD4B4" w:themeFill="accent6" w:themeFillTint="66"/>
          </w:tcPr>
          <w:p w14:paraId="6FB54681" w14:textId="704976AB" w:rsidR="002D3389" w:rsidRPr="00163080" w:rsidRDefault="002D3389" w:rsidP="000E0B9A">
            <w:pPr>
              <w:pStyle w:val="Rowcolumntitles"/>
              <w:jc w:val="center"/>
              <w:rPr>
                <w:rFonts w:eastAsia="Times New Roman"/>
                <w:szCs w:val="22"/>
                <w:lang w:val="en-GB"/>
              </w:rPr>
            </w:pPr>
            <w:r w:rsidRPr="00163080">
              <w:rPr>
                <w:noProof/>
                <w:szCs w:val="22"/>
                <w:lang w:val="en-GB"/>
              </w:rPr>
              <w:t>Unclear</w:t>
            </w:r>
          </w:p>
        </w:tc>
        <w:tc>
          <w:tcPr>
            <w:tcW w:w="349" w:type="dxa"/>
            <w:vMerge w:val="restart"/>
            <w:shd w:val="clear" w:color="auto" w:fill="CCC0D9" w:themeFill="accent4" w:themeFillTint="66"/>
          </w:tcPr>
          <w:p w14:paraId="185EC6BD"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06FB0E84" w14:textId="5E78776B"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686886DD" w14:textId="77777777" w:rsidR="002D3389" w:rsidRPr="00163080" w:rsidRDefault="002D3389" w:rsidP="000E0B9A">
            <w:pPr>
              <w:pStyle w:val="Rowcolumntitles"/>
              <w:rPr>
                <w:szCs w:val="22"/>
                <w:lang w:val="en-GB"/>
              </w:rPr>
            </w:pPr>
          </w:p>
        </w:tc>
        <w:tc>
          <w:tcPr>
            <w:tcW w:w="351" w:type="dxa"/>
            <w:gridSpan w:val="2"/>
            <w:vMerge w:val="restart"/>
            <w:shd w:val="clear" w:color="auto" w:fill="CCC0D9" w:themeFill="accent4" w:themeFillTint="66"/>
          </w:tcPr>
          <w:p w14:paraId="0D0AACDF"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68222F91" w14:textId="67E263FA"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0287B7B4" w14:textId="13E8DFE7"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3"/>
            <w:shd w:val="clear" w:color="auto" w:fill="B8CCE4" w:themeFill="accent1" w:themeFillTint="66"/>
          </w:tcPr>
          <w:p w14:paraId="2B9F28B1"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376B65E7" w14:textId="7B257C65"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2E313040"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3014DF38" w14:textId="5AF2FDDA"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2BC42443"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1EAFEBAB"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5DF0C3FB" w14:textId="77777777" w:rsidR="002D3389" w:rsidRPr="00163080" w:rsidRDefault="002D3389" w:rsidP="000E0B9A">
            <w:pPr>
              <w:pStyle w:val="Rowcolumntitles"/>
              <w:rPr>
                <w:rFonts w:eastAsia="Times New Roman"/>
                <w:szCs w:val="22"/>
                <w:lang w:val="en-GB"/>
              </w:rPr>
            </w:pPr>
          </w:p>
        </w:tc>
      </w:tr>
      <w:tr w:rsidR="00B017F8" w:rsidRPr="009400F9" w14:paraId="04E82BC0" w14:textId="77777777" w:rsidTr="00BD1202">
        <w:trPr>
          <w:trHeight w:val="373"/>
        </w:trPr>
        <w:tc>
          <w:tcPr>
            <w:tcW w:w="1569" w:type="dxa"/>
            <w:vMerge/>
            <w:shd w:val="clear" w:color="auto" w:fill="000000" w:themeFill="text1"/>
          </w:tcPr>
          <w:p w14:paraId="51995309"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02134F2C"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39D108BA"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234894D3"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3282378C" w14:textId="77777777" w:rsidR="002D3389" w:rsidRPr="00163080" w:rsidRDefault="002D3389" w:rsidP="000E0B9A">
            <w:pPr>
              <w:pStyle w:val="Rowcolumntitles"/>
              <w:rPr>
                <w:rFonts w:eastAsia="Times New Roman"/>
                <w:szCs w:val="22"/>
                <w:lang w:val="en-GB"/>
              </w:rPr>
            </w:pPr>
          </w:p>
        </w:tc>
        <w:tc>
          <w:tcPr>
            <w:tcW w:w="2362" w:type="dxa"/>
            <w:gridSpan w:val="4"/>
            <w:vMerge/>
            <w:shd w:val="clear" w:color="auto" w:fill="FBD4B4" w:themeFill="accent6" w:themeFillTint="66"/>
          </w:tcPr>
          <w:p w14:paraId="35A13DE7"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05D0A63B"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3085DAB5"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1A243137"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7980CE30"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0E20C671" w14:textId="00C4C1E7"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1A699C12" w14:textId="53F1DD54"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3"/>
            <w:shd w:val="clear" w:color="auto" w:fill="B8CCE4" w:themeFill="accent1" w:themeFillTint="66"/>
          </w:tcPr>
          <w:p w14:paraId="60951FCD"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5D730504" w14:textId="02E108F1" w:rsidR="002D3389" w:rsidRPr="00163080" w:rsidRDefault="002D3389" w:rsidP="000E0B9A">
            <w:pPr>
              <w:pStyle w:val="Rowcolumntitles"/>
              <w:rPr>
                <w:rFonts w:eastAsia="Times New Roman"/>
                <w:szCs w:val="22"/>
                <w:lang w:val="en-GB"/>
              </w:rPr>
            </w:pPr>
          </w:p>
        </w:tc>
        <w:tc>
          <w:tcPr>
            <w:tcW w:w="377" w:type="dxa"/>
            <w:vMerge/>
            <w:shd w:val="clear" w:color="auto" w:fill="D99594" w:themeFill="accent2" w:themeFillTint="99"/>
          </w:tcPr>
          <w:p w14:paraId="209454C7"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5852677"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10218AB6"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1D315BF"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49F631FA" w14:textId="77777777" w:rsidR="002D3389" w:rsidRPr="00163080" w:rsidRDefault="002D3389" w:rsidP="000E0B9A">
            <w:pPr>
              <w:pStyle w:val="Rowcolumntitles"/>
              <w:rPr>
                <w:rFonts w:eastAsia="Times New Roman"/>
                <w:szCs w:val="22"/>
                <w:lang w:val="en-GB"/>
              </w:rPr>
            </w:pPr>
          </w:p>
        </w:tc>
      </w:tr>
      <w:tr w:rsidR="00B017F8" w:rsidRPr="009400F9" w14:paraId="29432F9D" w14:textId="77777777" w:rsidTr="00BD1202">
        <w:trPr>
          <w:trHeight w:val="300"/>
        </w:trPr>
        <w:tc>
          <w:tcPr>
            <w:tcW w:w="1569" w:type="dxa"/>
            <w:vMerge w:val="restart"/>
            <w:shd w:val="clear" w:color="auto" w:fill="000000" w:themeFill="text1"/>
          </w:tcPr>
          <w:p w14:paraId="01B889B6" w14:textId="0877F340"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 xml:space="preserve">16. Draft law on decentralisation of administrative services </w:t>
            </w:r>
          </w:p>
        </w:tc>
        <w:tc>
          <w:tcPr>
            <w:tcW w:w="415" w:type="dxa"/>
            <w:vMerge w:val="restart"/>
            <w:shd w:val="clear" w:color="auto" w:fill="D6E3BC" w:themeFill="accent3" w:themeFillTint="66"/>
          </w:tcPr>
          <w:p w14:paraId="1F87B2FB"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33EA12F1"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35E5642B"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3C409D70" w14:textId="63A3BDB5"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2362" w:type="dxa"/>
            <w:gridSpan w:val="4"/>
            <w:vMerge w:val="restart"/>
            <w:shd w:val="clear" w:color="auto" w:fill="FBD4B4" w:themeFill="accent6" w:themeFillTint="66"/>
          </w:tcPr>
          <w:p w14:paraId="4FB80EA5" w14:textId="6BD27524" w:rsidR="002D3389" w:rsidRPr="00163080" w:rsidRDefault="002D3389" w:rsidP="000E0B9A">
            <w:pPr>
              <w:pStyle w:val="Rowcolumntitles"/>
              <w:jc w:val="center"/>
              <w:rPr>
                <w:rFonts w:eastAsia="Times New Roman"/>
                <w:szCs w:val="22"/>
                <w:lang w:val="en-GB"/>
              </w:rPr>
            </w:pPr>
            <w:r w:rsidRPr="00163080">
              <w:rPr>
                <w:noProof/>
                <w:szCs w:val="22"/>
                <w:lang w:val="en-GB"/>
              </w:rPr>
              <w:t>Unclear</w:t>
            </w:r>
          </w:p>
        </w:tc>
        <w:tc>
          <w:tcPr>
            <w:tcW w:w="349" w:type="dxa"/>
            <w:vMerge w:val="restart"/>
            <w:shd w:val="clear" w:color="auto" w:fill="CCC0D9" w:themeFill="accent4" w:themeFillTint="66"/>
          </w:tcPr>
          <w:p w14:paraId="6316A07D"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7617BF5D"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08153877" w14:textId="77777777" w:rsidR="002D3389" w:rsidRPr="00163080" w:rsidRDefault="002D3389" w:rsidP="000E0B9A">
            <w:pPr>
              <w:pStyle w:val="Rowcolumntitles"/>
              <w:rPr>
                <w:szCs w:val="22"/>
                <w:lang w:val="en-GB"/>
              </w:rPr>
            </w:pPr>
          </w:p>
        </w:tc>
        <w:tc>
          <w:tcPr>
            <w:tcW w:w="351" w:type="dxa"/>
            <w:gridSpan w:val="2"/>
            <w:vMerge w:val="restart"/>
            <w:shd w:val="clear" w:color="auto" w:fill="CCC0D9" w:themeFill="accent4" w:themeFillTint="66"/>
          </w:tcPr>
          <w:p w14:paraId="3123F371" w14:textId="4E8A3F5A"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5" w:type="dxa"/>
            <w:shd w:val="clear" w:color="auto" w:fill="B8CCE4" w:themeFill="accent1" w:themeFillTint="66"/>
          </w:tcPr>
          <w:p w14:paraId="384685EC" w14:textId="041EC4E4"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048C734C"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1B2FE5CE" w14:textId="178FD659"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1039E7B8" w14:textId="7F353BDD"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187B3F2F"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4B33B089" w14:textId="37017813"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19085608"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6FD937B6"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7B3B33E7" w14:textId="77777777" w:rsidR="002D3389" w:rsidRPr="00163080" w:rsidRDefault="002D3389" w:rsidP="000E0B9A">
            <w:pPr>
              <w:pStyle w:val="Rowcolumntitles"/>
              <w:rPr>
                <w:rFonts w:eastAsia="Times New Roman"/>
                <w:szCs w:val="22"/>
                <w:lang w:val="en-GB"/>
              </w:rPr>
            </w:pPr>
          </w:p>
        </w:tc>
      </w:tr>
      <w:tr w:rsidR="00B017F8" w:rsidRPr="009400F9" w14:paraId="599A3C48" w14:textId="77777777" w:rsidTr="00BD1202">
        <w:trPr>
          <w:trHeight w:val="300"/>
        </w:trPr>
        <w:tc>
          <w:tcPr>
            <w:tcW w:w="1569" w:type="dxa"/>
            <w:vMerge/>
            <w:shd w:val="clear" w:color="auto" w:fill="000000" w:themeFill="text1"/>
          </w:tcPr>
          <w:p w14:paraId="3AB045E0"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17757792"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1078E3AC"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08C309D7"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3D5D341A" w14:textId="77777777" w:rsidR="002D3389" w:rsidRPr="00163080" w:rsidRDefault="002D3389" w:rsidP="000E0B9A">
            <w:pPr>
              <w:pStyle w:val="Rowcolumntitles"/>
              <w:rPr>
                <w:rFonts w:eastAsia="Times New Roman"/>
                <w:szCs w:val="22"/>
                <w:lang w:val="en-GB"/>
              </w:rPr>
            </w:pPr>
          </w:p>
        </w:tc>
        <w:tc>
          <w:tcPr>
            <w:tcW w:w="2362" w:type="dxa"/>
            <w:gridSpan w:val="4"/>
            <w:vMerge/>
            <w:shd w:val="clear" w:color="auto" w:fill="FBD4B4" w:themeFill="accent6" w:themeFillTint="66"/>
          </w:tcPr>
          <w:p w14:paraId="415BA3B3"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73A3DDCB"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7080B7CB"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1517DB1D"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4F3D9E75"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178E7570" w14:textId="68022C7F"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4F3C1A62"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4FCD137E" w14:textId="0971A636"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09F4CDD1" w14:textId="1EB4C24B" w:rsidR="002D3389" w:rsidRPr="00163080" w:rsidRDefault="002D3389" w:rsidP="000E0B9A">
            <w:pPr>
              <w:pStyle w:val="Rowcolumntitles"/>
              <w:rPr>
                <w:rFonts w:eastAsia="Times New Roman"/>
                <w:szCs w:val="22"/>
                <w:lang w:val="en-GB"/>
              </w:rPr>
            </w:pPr>
          </w:p>
        </w:tc>
        <w:tc>
          <w:tcPr>
            <w:tcW w:w="377" w:type="dxa"/>
            <w:vMerge/>
            <w:shd w:val="clear" w:color="auto" w:fill="D99594" w:themeFill="accent2" w:themeFillTint="99"/>
          </w:tcPr>
          <w:p w14:paraId="0F888034"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02AB03FD"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5C4C41E"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18A4B07C"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011339BA" w14:textId="77777777" w:rsidR="002D3389" w:rsidRPr="00163080" w:rsidRDefault="002D3389" w:rsidP="000E0B9A">
            <w:pPr>
              <w:pStyle w:val="Rowcolumntitles"/>
              <w:rPr>
                <w:rFonts w:eastAsia="Times New Roman"/>
                <w:szCs w:val="22"/>
                <w:lang w:val="en-GB"/>
              </w:rPr>
            </w:pPr>
          </w:p>
        </w:tc>
      </w:tr>
      <w:tr w:rsidR="000E0B9A" w:rsidRPr="009400F9" w14:paraId="17AB9157" w14:textId="77777777" w:rsidTr="00BD1202">
        <w:trPr>
          <w:trHeight w:val="227"/>
        </w:trPr>
        <w:tc>
          <w:tcPr>
            <w:tcW w:w="1569" w:type="dxa"/>
            <w:vMerge w:val="restart"/>
            <w:shd w:val="clear" w:color="auto" w:fill="000000" w:themeFill="text1"/>
          </w:tcPr>
          <w:p w14:paraId="50BBC58D" w14:textId="205E38CD"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 xml:space="preserve">15. Administrative services portal </w:t>
            </w:r>
          </w:p>
        </w:tc>
        <w:tc>
          <w:tcPr>
            <w:tcW w:w="415" w:type="dxa"/>
            <w:vMerge w:val="restart"/>
            <w:shd w:val="clear" w:color="auto" w:fill="D6E3BC" w:themeFill="accent3" w:themeFillTint="66"/>
          </w:tcPr>
          <w:p w14:paraId="4E969D5F"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0320159D"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00E9E22F"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2796D6C1" w14:textId="62807C49"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482FFDFF" w14:textId="762CEE69"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742FE937" w14:textId="77777777" w:rsidR="002D3389" w:rsidRPr="00163080" w:rsidRDefault="002D3389" w:rsidP="000E0B9A">
            <w:pPr>
              <w:pStyle w:val="Rowcolumntitles"/>
              <w:rPr>
                <w:rFonts w:eastAsia="Times New Roman"/>
                <w:szCs w:val="22"/>
                <w:lang w:val="en-GB"/>
              </w:rPr>
            </w:pPr>
          </w:p>
        </w:tc>
        <w:tc>
          <w:tcPr>
            <w:tcW w:w="417" w:type="dxa"/>
            <w:vMerge w:val="restart"/>
            <w:shd w:val="clear" w:color="auto" w:fill="FBD4B4" w:themeFill="accent6" w:themeFillTint="66"/>
          </w:tcPr>
          <w:p w14:paraId="6D12CB0E" w14:textId="77777777" w:rsidR="002D3389" w:rsidRPr="00163080" w:rsidRDefault="002D3389" w:rsidP="000E0B9A">
            <w:pPr>
              <w:pStyle w:val="Rowcolumntitles"/>
              <w:rPr>
                <w:rFonts w:eastAsia="Times New Roman"/>
                <w:szCs w:val="22"/>
                <w:lang w:val="en-GB"/>
              </w:rPr>
            </w:pPr>
          </w:p>
        </w:tc>
        <w:tc>
          <w:tcPr>
            <w:tcW w:w="947" w:type="dxa"/>
            <w:vMerge w:val="restart"/>
            <w:shd w:val="clear" w:color="auto" w:fill="FBD4B4" w:themeFill="accent6" w:themeFillTint="66"/>
          </w:tcPr>
          <w:p w14:paraId="0504BD78" w14:textId="34C31B0C"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21E54EEE"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7511CBFC" w14:textId="3BF15A3A"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46CB8658" w14:textId="77777777" w:rsidR="002D3389" w:rsidRPr="00163080" w:rsidRDefault="002D3389" w:rsidP="000E0B9A">
            <w:pPr>
              <w:pStyle w:val="Rowcolumntitles"/>
              <w:rPr>
                <w:szCs w:val="22"/>
                <w:lang w:val="en-GB"/>
              </w:rPr>
            </w:pPr>
          </w:p>
        </w:tc>
        <w:tc>
          <w:tcPr>
            <w:tcW w:w="351" w:type="dxa"/>
            <w:gridSpan w:val="2"/>
            <w:vMerge w:val="restart"/>
            <w:shd w:val="clear" w:color="auto" w:fill="CCC0D9" w:themeFill="accent4" w:themeFillTint="66"/>
          </w:tcPr>
          <w:p w14:paraId="08EDCB4B"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37E16398" w14:textId="3A846A46"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5CB69775"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63DD4A27"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141663A3" w14:textId="3B72B487"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val="restart"/>
            <w:shd w:val="clear" w:color="auto" w:fill="D99594" w:themeFill="accent2" w:themeFillTint="99"/>
          </w:tcPr>
          <w:p w14:paraId="39F91751"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2400539F"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3B94C265" w14:textId="4E684F9C"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54F2690B"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72B4A85B" w14:textId="77777777" w:rsidR="002D3389" w:rsidRPr="00163080" w:rsidRDefault="002D3389" w:rsidP="000E0B9A">
            <w:pPr>
              <w:pStyle w:val="Rowcolumntitles"/>
              <w:rPr>
                <w:rFonts w:eastAsia="Times New Roman"/>
                <w:szCs w:val="22"/>
                <w:lang w:val="en-GB"/>
              </w:rPr>
            </w:pPr>
          </w:p>
        </w:tc>
      </w:tr>
      <w:tr w:rsidR="000E0B9A" w:rsidRPr="009400F9" w14:paraId="092B4BAC" w14:textId="77777777" w:rsidTr="00BD1202">
        <w:trPr>
          <w:trHeight w:val="226"/>
        </w:trPr>
        <w:tc>
          <w:tcPr>
            <w:tcW w:w="1569" w:type="dxa"/>
            <w:vMerge/>
            <w:shd w:val="clear" w:color="auto" w:fill="000000" w:themeFill="text1"/>
          </w:tcPr>
          <w:p w14:paraId="03FBE9F5"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724B1ADE"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46529FB3"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6AC562FA"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3172FF91" w14:textId="77777777" w:rsidR="002D3389" w:rsidRPr="00163080" w:rsidRDefault="002D3389" w:rsidP="000E0B9A">
            <w:pPr>
              <w:pStyle w:val="Rowcolumntitles"/>
              <w:rPr>
                <w:rFonts w:eastAsia="Times New Roman"/>
                <w:szCs w:val="22"/>
                <w:lang w:val="en-GB"/>
              </w:rPr>
            </w:pPr>
          </w:p>
        </w:tc>
        <w:tc>
          <w:tcPr>
            <w:tcW w:w="687" w:type="dxa"/>
            <w:vMerge/>
            <w:shd w:val="clear" w:color="auto" w:fill="FBD4B4" w:themeFill="accent6" w:themeFillTint="66"/>
          </w:tcPr>
          <w:p w14:paraId="1027B7CE" w14:textId="77777777" w:rsidR="002D3389" w:rsidRPr="00163080" w:rsidRDefault="002D3389" w:rsidP="000E0B9A">
            <w:pPr>
              <w:pStyle w:val="Rowcolumntitles"/>
              <w:rPr>
                <w:rFonts w:eastAsia="Times New Roman"/>
                <w:szCs w:val="22"/>
                <w:lang w:val="en-GB"/>
              </w:rPr>
            </w:pPr>
          </w:p>
        </w:tc>
        <w:tc>
          <w:tcPr>
            <w:tcW w:w="311" w:type="dxa"/>
            <w:vMerge/>
            <w:shd w:val="clear" w:color="auto" w:fill="FBD4B4" w:themeFill="accent6" w:themeFillTint="66"/>
          </w:tcPr>
          <w:p w14:paraId="5EC31541" w14:textId="77777777" w:rsidR="002D3389" w:rsidRPr="00163080" w:rsidRDefault="002D3389" w:rsidP="000E0B9A">
            <w:pPr>
              <w:pStyle w:val="Rowcolumntitles"/>
              <w:rPr>
                <w:rFonts w:eastAsia="Times New Roman"/>
                <w:szCs w:val="22"/>
                <w:lang w:val="en-GB"/>
              </w:rPr>
            </w:pPr>
          </w:p>
        </w:tc>
        <w:tc>
          <w:tcPr>
            <w:tcW w:w="417" w:type="dxa"/>
            <w:vMerge/>
            <w:shd w:val="clear" w:color="auto" w:fill="FBD4B4" w:themeFill="accent6" w:themeFillTint="66"/>
          </w:tcPr>
          <w:p w14:paraId="7D133A06" w14:textId="77777777" w:rsidR="002D3389" w:rsidRPr="00163080" w:rsidRDefault="002D3389" w:rsidP="000E0B9A">
            <w:pPr>
              <w:pStyle w:val="Rowcolumntitles"/>
              <w:rPr>
                <w:rFonts w:eastAsia="Times New Roman"/>
                <w:szCs w:val="22"/>
                <w:lang w:val="en-GB"/>
              </w:rPr>
            </w:pPr>
          </w:p>
        </w:tc>
        <w:tc>
          <w:tcPr>
            <w:tcW w:w="947" w:type="dxa"/>
            <w:vMerge/>
            <w:shd w:val="clear" w:color="auto" w:fill="FBD4B4" w:themeFill="accent6" w:themeFillTint="66"/>
          </w:tcPr>
          <w:p w14:paraId="65A5E918"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28EC33BC"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08896A00"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1AB4260B"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0C2435A3"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29961833" w14:textId="13CA9956"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7E2B1DF0"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57286FFB"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642A662F" w14:textId="455CCA53"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499F0D36"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5CABF49"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E193838"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288EC158"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079C1055" w14:textId="77777777" w:rsidR="002D3389" w:rsidRPr="00163080" w:rsidRDefault="002D3389" w:rsidP="000E0B9A">
            <w:pPr>
              <w:pStyle w:val="Rowcolumntitles"/>
              <w:rPr>
                <w:rFonts w:eastAsia="Times New Roman"/>
                <w:szCs w:val="22"/>
                <w:lang w:val="en-GB"/>
              </w:rPr>
            </w:pPr>
          </w:p>
        </w:tc>
      </w:tr>
      <w:tr w:rsidR="00B017F8" w:rsidRPr="009400F9" w14:paraId="0145FD3E" w14:textId="77777777" w:rsidTr="00BD1202">
        <w:trPr>
          <w:trHeight w:val="160"/>
        </w:trPr>
        <w:tc>
          <w:tcPr>
            <w:tcW w:w="1569" w:type="dxa"/>
            <w:vMerge w:val="restart"/>
            <w:shd w:val="clear" w:color="auto" w:fill="000000" w:themeFill="text1"/>
          </w:tcPr>
          <w:p w14:paraId="2852412C" w14:textId="2C2A90F8"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 xml:space="preserve">17. Draft law on social services </w:t>
            </w:r>
          </w:p>
        </w:tc>
        <w:tc>
          <w:tcPr>
            <w:tcW w:w="415" w:type="dxa"/>
            <w:vMerge w:val="restart"/>
            <w:shd w:val="clear" w:color="auto" w:fill="D6E3BC" w:themeFill="accent3" w:themeFillTint="66"/>
          </w:tcPr>
          <w:p w14:paraId="769AFDF6"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330DC36C"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320EE638"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00A2BFF9" w14:textId="6CA7A51B"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2362" w:type="dxa"/>
            <w:gridSpan w:val="4"/>
            <w:vMerge w:val="restart"/>
            <w:shd w:val="clear" w:color="auto" w:fill="FBD4B4" w:themeFill="accent6" w:themeFillTint="66"/>
          </w:tcPr>
          <w:p w14:paraId="76369A13" w14:textId="1F5D7F1B" w:rsidR="002D3389" w:rsidRPr="00163080" w:rsidRDefault="002D3389" w:rsidP="000E0B9A">
            <w:pPr>
              <w:pStyle w:val="Rowcolumntitles"/>
              <w:jc w:val="center"/>
              <w:rPr>
                <w:rFonts w:eastAsia="Times New Roman"/>
                <w:szCs w:val="22"/>
                <w:lang w:val="en-GB"/>
              </w:rPr>
            </w:pPr>
            <w:r w:rsidRPr="00163080">
              <w:rPr>
                <w:noProof/>
                <w:szCs w:val="22"/>
                <w:lang w:val="en-GB"/>
              </w:rPr>
              <w:t>Unclear</w:t>
            </w:r>
          </w:p>
        </w:tc>
        <w:tc>
          <w:tcPr>
            <w:tcW w:w="349" w:type="dxa"/>
            <w:vMerge w:val="restart"/>
            <w:shd w:val="clear" w:color="auto" w:fill="CCC0D9" w:themeFill="accent4" w:themeFillTint="66"/>
          </w:tcPr>
          <w:p w14:paraId="27C1CEB4"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51239659"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5D4BAEB2" w14:textId="2627DD0B"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351" w:type="dxa"/>
            <w:gridSpan w:val="2"/>
            <w:vMerge w:val="restart"/>
            <w:shd w:val="clear" w:color="auto" w:fill="CCC0D9" w:themeFill="accent4" w:themeFillTint="66"/>
          </w:tcPr>
          <w:p w14:paraId="3B79BEC0"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52234D97" w14:textId="5600D22D"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2F647964"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3C91BB82" w14:textId="3DD33D53"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5908583C" w14:textId="7F78A372"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302DCB5E"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67DF9942" w14:textId="12C3044B"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08075717"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1CA4C63B"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785573BC" w14:textId="77777777" w:rsidR="002D3389" w:rsidRPr="00163080" w:rsidRDefault="002D3389" w:rsidP="000E0B9A">
            <w:pPr>
              <w:pStyle w:val="Rowcolumntitles"/>
              <w:rPr>
                <w:rFonts w:eastAsia="Times New Roman"/>
                <w:szCs w:val="22"/>
                <w:lang w:val="en-GB"/>
              </w:rPr>
            </w:pPr>
          </w:p>
        </w:tc>
      </w:tr>
      <w:tr w:rsidR="00B017F8" w:rsidRPr="009400F9" w14:paraId="35A25EC7" w14:textId="77777777" w:rsidTr="00BD1202">
        <w:trPr>
          <w:trHeight w:val="160"/>
        </w:trPr>
        <w:tc>
          <w:tcPr>
            <w:tcW w:w="1569" w:type="dxa"/>
            <w:vMerge/>
            <w:shd w:val="clear" w:color="auto" w:fill="000000" w:themeFill="text1"/>
          </w:tcPr>
          <w:p w14:paraId="6A118E07"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3E82A3A5"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34CCC982"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2F5B4E87"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5CE063C3" w14:textId="77777777" w:rsidR="002D3389" w:rsidRPr="00163080" w:rsidRDefault="002D3389" w:rsidP="000E0B9A">
            <w:pPr>
              <w:pStyle w:val="Rowcolumntitles"/>
              <w:rPr>
                <w:rFonts w:eastAsia="Times New Roman"/>
                <w:szCs w:val="22"/>
                <w:lang w:val="en-GB"/>
              </w:rPr>
            </w:pPr>
          </w:p>
        </w:tc>
        <w:tc>
          <w:tcPr>
            <w:tcW w:w="2362" w:type="dxa"/>
            <w:gridSpan w:val="4"/>
            <w:vMerge/>
            <w:shd w:val="clear" w:color="auto" w:fill="FBD4B4" w:themeFill="accent6" w:themeFillTint="66"/>
          </w:tcPr>
          <w:p w14:paraId="51460C1E"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074BC9A5"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01838441"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2D7565C4"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0BCDD3DE"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03984036" w14:textId="788BF66A"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02E40E18"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01FD6439" w14:textId="70FA8658"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7245AB72" w14:textId="4ECF590E" w:rsidR="002D3389" w:rsidRPr="00163080" w:rsidRDefault="002D3389" w:rsidP="000E0B9A">
            <w:pPr>
              <w:pStyle w:val="Rowcolumntitles"/>
              <w:rPr>
                <w:rFonts w:eastAsia="Times New Roman"/>
                <w:szCs w:val="22"/>
                <w:lang w:val="en-GB"/>
              </w:rPr>
            </w:pPr>
          </w:p>
        </w:tc>
        <w:tc>
          <w:tcPr>
            <w:tcW w:w="377" w:type="dxa"/>
            <w:vMerge/>
            <w:shd w:val="clear" w:color="auto" w:fill="D99594" w:themeFill="accent2" w:themeFillTint="99"/>
          </w:tcPr>
          <w:p w14:paraId="75CF3B05"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2A182821"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BC83075"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49F7FABB"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495AA615" w14:textId="77777777" w:rsidR="002D3389" w:rsidRPr="00163080" w:rsidRDefault="002D3389" w:rsidP="000E0B9A">
            <w:pPr>
              <w:pStyle w:val="Rowcolumntitles"/>
              <w:rPr>
                <w:rFonts w:eastAsia="Times New Roman"/>
                <w:szCs w:val="22"/>
                <w:lang w:val="en-GB"/>
              </w:rPr>
            </w:pPr>
          </w:p>
        </w:tc>
      </w:tr>
      <w:tr w:rsidR="002D3389" w:rsidRPr="009400F9" w14:paraId="49CF904D" w14:textId="77777777" w:rsidTr="00BD1202">
        <w:trPr>
          <w:trHeight w:val="486"/>
        </w:trPr>
        <w:tc>
          <w:tcPr>
            <w:tcW w:w="10620" w:type="dxa"/>
            <w:gridSpan w:val="27"/>
            <w:shd w:val="clear" w:color="auto" w:fill="000000" w:themeFill="text1"/>
          </w:tcPr>
          <w:p w14:paraId="4A5F6C6E" w14:textId="4A3BEFBD" w:rsidR="002D3389" w:rsidRPr="00163080" w:rsidRDefault="002D3389" w:rsidP="000E0B9A">
            <w:pPr>
              <w:pStyle w:val="Rowcolumntitles"/>
              <w:rPr>
                <w:rFonts w:eastAsia="Times New Roman"/>
                <w:color w:val="FFFFFF" w:themeColor="background1"/>
                <w:szCs w:val="22"/>
                <w:lang w:val="en-GB"/>
              </w:rPr>
            </w:pPr>
            <w:r w:rsidRPr="00163080">
              <w:rPr>
                <w:b/>
                <w:color w:val="FFFFFF" w:themeColor="background1"/>
                <w:szCs w:val="22"/>
                <w:lang w:val="en-GB"/>
              </w:rPr>
              <w:lastRenderedPageBreak/>
              <w:t xml:space="preserve">Theme </w:t>
            </w:r>
            <w:r w:rsidR="00163080">
              <w:rPr>
                <w:b/>
                <w:color w:val="FFFFFF" w:themeColor="background1"/>
                <w:szCs w:val="22"/>
                <w:lang w:val="en-GB"/>
              </w:rPr>
              <w:t>V</w:t>
            </w:r>
            <w:r w:rsidRPr="00163080">
              <w:rPr>
                <w:b/>
                <w:color w:val="FFFFFF" w:themeColor="background1"/>
                <w:szCs w:val="22"/>
                <w:lang w:val="en-GB"/>
              </w:rPr>
              <w:t xml:space="preserve">: E-governance technologies to develop e-democracy </w:t>
            </w:r>
          </w:p>
        </w:tc>
      </w:tr>
      <w:tr w:rsidR="000E0B9A" w:rsidRPr="009400F9" w14:paraId="663BA016" w14:textId="77777777" w:rsidTr="00BD1202">
        <w:trPr>
          <w:trHeight w:val="174"/>
        </w:trPr>
        <w:tc>
          <w:tcPr>
            <w:tcW w:w="1569" w:type="dxa"/>
            <w:vMerge w:val="restart"/>
            <w:shd w:val="clear" w:color="auto" w:fill="000000" w:themeFill="text1"/>
          </w:tcPr>
          <w:p w14:paraId="5B7DF2B4" w14:textId="357C5731"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18. E-government laws</w:t>
            </w:r>
          </w:p>
        </w:tc>
        <w:tc>
          <w:tcPr>
            <w:tcW w:w="415" w:type="dxa"/>
            <w:vMerge w:val="restart"/>
            <w:shd w:val="clear" w:color="auto" w:fill="D6E3BC" w:themeFill="accent3" w:themeFillTint="66"/>
          </w:tcPr>
          <w:p w14:paraId="09D4C1CE"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421BAA37"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3A5DEA87"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3FFB221F" w14:textId="679796DD"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0BBE69EC" w14:textId="77777777" w:rsidR="002D3389" w:rsidRPr="00163080" w:rsidRDefault="002D3389" w:rsidP="000E0B9A">
            <w:pPr>
              <w:pStyle w:val="Rowcolumntitles"/>
              <w:rPr>
                <w:rFonts w:eastAsia="Times New Roman"/>
                <w:szCs w:val="22"/>
                <w:lang w:val="en-GB"/>
              </w:rPr>
            </w:pPr>
          </w:p>
        </w:tc>
        <w:tc>
          <w:tcPr>
            <w:tcW w:w="311" w:type="dxa"/>
            <w:vMerge w:val="restart"/>
            <w:shd w:val="clear" w:color="auto" w:fill="FBD4B4" w:themeFill="accent6" w:themeFillTint="66"/>
          </w:tcPr>
          <w:p w14:paraId="22F23C6E" w14:textId="3D837EF7"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17" w:type="dxa"/>
            <w:vMerge w:val="restart"/>
            <w:shd w:val="clear" w:color="auto" w:fill="FBD4B4" w:themeFill="accent6" w:themeFillTint="66"/>
          </w:tcPr>
          <w:p w14:paraId="42051C8E" w14:textId="77777777" w:rsidR="002D3389" w:rsidRPr="00163080" w:rsidRDefault="002D3389" w:rsidP="000E0B9A">
            <w:pPr>
              <w:pStyle w:val="Rowcolumntitles"/>
              <w:rPr>
                <w:rFonts w:eastAsia="Times New Roman"/>
                <w:szCs w:val="22"/>
                <w:lang w:val="en-GB"/>
              </w:rPr>
            </w:pPr>
          </w:p>
        </w:tc>
        <w:tc>
          <w:tcPr>
            <w:tcW w:w="947" w:type="dxa"/>
            <w:vMerge w:val="restart"/>
            <w:shd w:val="clear" w:color="auto" w:fill="FBD4B4" w:themeFill="accent6" w:themeFillTint="66"/>
          </w:tcPr>
          <w:p w14:paraId="59255032" w14:textId="78AAAC09"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07827B7D"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33C81E69" w14:textId="4696BB19"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1F437E3C" w14:textId="77777777" w:rsidR="002D3389" w:rsidRPr="00163080" w:rsidRDefault="002D3389" w:rsidP="000E0B9A">
            <w:pPr>
              <w:pStyle w:val="Rowcolumntitles"/>
              <w:rPr>
                <w:szCs w:val="22"/>
                <w:lang w:val="en-GB"/>
              </w:rPr>
            </w:pPr>
          </w:p>
        </w:tc>
        <w:tc>
          <w:tcPr>
            <w:tcW w:w="351" w:type="dxa"/>
            <w:gridSpan w:val="2"/>
            <w:vMerge w:val="restart"/>
            <w:shd w:val="clear" w:color="auto" w:fill="CCC0D9" w:themeFill="accent4" w:themeFillTint="66"/>
          </w:tcPr>
          <w:p w14:paraId="7B4E8056"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52E52161" w14:textId="47DC49D6"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0A4BB05B" w14:textId="5B8CE93A"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14B94D6E" w14:textId="3B3E76EE"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096D0E64" w14:textId="54638E01"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37CDB8B1"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6A333823"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49FD8EC0"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1F5A3524"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62B5744D" w14:textId="5E8864F2"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r>
      <w:tr w:rsidR="000E0B9A" w:rsidRPr="009400F9" w14:paraId="5EFE367F" w14:textId="77777777" w:rsidTr="00BD1202">
        <w:trPr>
          <w:trHeight w:val="173"/>
        </w:trPr>
        <w:tc>
          <w:tcPr>
            <w:tcW w:w="1569" w:type="dxa"/>
            <w:vMerge/>
            <w:shd w:val="clear" w:color="auto" w:fill="000000" w:themeFill="text1"/>
          </w:tcPr>
          <w:p w14:paraId="594A27CE"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0CE5F2F7"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6CA69B22"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4E9A6A67"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14F0BF6C" w14:textId="77777777" w:rsidR="002D3389" w:rsidRPr="00163080" w:rsidRDefault="002D3389" w:rsidP="000E0B9A">
            <w:pPr>
              <w:pStyle w:val="Rowcolumntitles"/>
              <w:rPr>
                <w:noProof/>
                <w:szCs w:val="22"/>
                <w:lang w:val="en-GB"/>
              </w:rPr>
            </w:pPr>
          </w:p>
        </w:tc>
        <w:tc>
          <w:tcPr>
            <w:tcW w:w="687" w:type="dxa"/>
            <w:vMerge/>
            <w:shd w:val="clear" w:color="auto" w:fill="FBD4B4" w:themeFill="accent6" w:themeFillTint="66"/>
          </w:tcPr>
          <w:p w14:paraId="6DBC82F8" w14:textId="77777777" w:rsidR="002D3389" w:rsidRPr="00163080" w:rsidRDefault="002D3389" w:rsidP="000E0B9A">
            <w:pPr>
              <w:pStyle w:val="Rowcolumntitles"/>
              <w:rPr>
                <w:rFonts w:eastAsia="Times New Roman"/>
                <w:szCs w:val="22"/>
                <w:lang w:val="en-GB"/>
              </w:rPr>
            </w:pPr>
          </w:p>
        </w:tc>
        <w:tc>
          <w:tcPr>
            <w:tcW w:w="311" w:type="dxa"/>
            <w:vMerge/>
            <w:shd w:val="clear" w:color="auto" w:fill="FBD4B4" w:themeFill="accent6" w:themeFillTint="66"/>
          </w:tcPr>
          <w:p w14:paraId="73F943ED" w14:textId="77777777" w:rsidR="002D3389" w:rsidRPr="00163080" w:rsidRDefault="002D3389" w:rsidP="000E0B9A">
            <w:pPr>
              <w:pStyle w:val="Rowcolumntitles"/>
              <w:rPr>
                <w:noProof/>
                <w:szCs w:val="22"/>
                <w:lang w:val="en-GB"/>
              </w:rPr>
            </w:pPr>
          </w:p>
        </w:tc>
        <w:tc>
          <w:tcPr>
            <w:tcW w:w="417" w:type="dxa"/>
            <w:vMerge/>
            <w:shd w:val="clear" w:color="auto" w:fill="FBD4B4" w:themeFill="accent6" w:themeFillTint="66"/>
          </w:tcPr>
          <w:p w14:paraId="3CAFC13A" w14:textId="77777777" w:rsidR="002D3389" w:rsidRPr="00163080" w:rsidRDefault="002D3389" w:rsidP="000E0B9A">
            <w:pPr>
              <w:pStyle w:val="Rowcolumntitles"/>
              <w:rPr>
                <w:rFonts w:eastAsia="Times New Roman"/>
                <w:szCs w:val="22"/>
                <w:lang w:val="en-GB"/>
              </w:rPr>
            </w:pPr>
          </w:p>
        </w:tc>
        <w:tc>
          <w:tcPr>
            <w:tcW w:w="947" w:type="dxa"/>
            <w:vMerge/>
            <w:shd w:val="clear" w:color="auto" w:fill="FBD4B4" w:themeFill="accent6" w:themeFillTint="66"/>
          </w:tcPr>
          <w:p w14:paraId="3D9497BA" w14:textId="77777777" w:rsidR="002D3389" w:rsidRPr="00163080" w:rsidRDefault="002D3389" w:rsidP="000E0B9A">
            <w:pPr>
              <w:pStyle w:val="Rowcolumntitles"/>
              <w:rPr>
                <w:noProof/>
                <w:szCs w:val="22"/>
                <w:lang w:val="en-GB"/>
              </w:rPr>
            </w:pPr>
          </w:p>
        </w:tc>
        <w:tc>
          <w:tcPr>
            <w:tcW w:w="349" w:type="dxa"/>
            <w:vMerge/>
            <w:shd w:val="clear" w:color="auto" w:fill="CCC0D9" w:themeFill="accent4" w:themeFillTint="66"/>
          </w:tcPr>
          <w:p w14:paraId="088D8341"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37F10F6F" w14:textId="77777777" w:rsidR="002D3389" w:rsidRPr="00163080" w:rsidRDefault="002D3389" w:rsidP="000E0B9A">
            <w:pPr>
              <w:pStyle w:val="Rowcolumntitles"/>
              <w:rPr>
                <w:noProof/>
                <w:szCs w:val="22"/>
                <w:lang w:val="en-GB"/>
              </w:rPr>
            </w:pPr>
          </w:p>
        </w:tc>
        <w:tc>
          <w:tcPr>
            <w:tcW w:w="349" w:type="dxa"/>
            <w:vMerge/>
            <w:shd w:val="clear" w:color="auto" w:fill="CCC0D9" w:themeFill="accent4" w:themeFillTint="66"/>
          </w:tcPr>
          <w:p w14:paraId="35E9DF5B"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682A6B37"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01DE2E9A" w14:textId="77777777" w:rsidR="002D3389" w:rsidRPr="00163080" w:rsidRDefault="002D3389" w:rsidP="000E0B9A">
            <w:pPr>
              <w:pStyle w:val="Rowcolumntitles"/>
              <w:rPr>
                <w:szCs w:val="22"/>
                <w:lang w:val="en-US"/>
              </w:rPr>
            </w:pPr>
          </w:p>
        </w:tc>
        <w:tc>
          <w:tcPr>
            <w:tcW w:w="506" w:type="dxa"/>
            <w:gridSpan w:val="2"/>
            <w:shd w:val="clear" w:color="auto" w:fill="B8CCE4" w:themeFill="accent1" w:themeFillTint="66"/>
          </w:tcPr>
          <w:p w14:paraId="43AE86CA" w14:textId="77777777" w:rsidR="002D3389" w:rsidRPr="00163080" w:rsidRDefault="002D3389" w:rsidP="000E0B9A">
            <w:pPr>
              <w:pStyle w:val="Rowcolumntitles"/>
              <w:rPr>
                <w:szCs w:val="22"/>
                <w:lang w:val="en-US"/>
              </w:rPr>
            </w:pPr>
          </w:p>
        </w:tc>
        <w:tc>
          <w:tcPr>
            <w:tcW w:w="506" w:type="dxa"/>
            <w:gridSpan w:val="3"/>
            <w:shd w:val="clear" w:color="auto" w:fill="B8CCE4" w:themeFill="accent1" w:themeFillTint="66"/>
          </w:tcPr>
          <w:p w14:paraId="1975B9BF" w14:textId="6665697E" w:rsidR="002D3389" w:rsidRPr="00163080" w:rsidRDefault="002D3389" w:rsidP="000E0B9A">
            <w:pPr>
              <w:pStyle w:val="Rowcolumntitles"/>
              <w:rPr>
                <w:szCs w:val="22"/>
                <w:lang w:val="en-US"/>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3E600FEC" w14:textId="2559D21B" w:rsidR="002D3389" w:rsidRPr="00163080" w:rsidRDefault="002D3389" w:rsidP="000E0B9A">
            <w:pPr>
              <w:pStyle w:val="Rowcolumntitles"/>
              <w:rPr>
                <w:szCs w:val="22"/>
                <w:lang w:val="en-US"/>
              </w:rPr>
            </w:pPr>
          </w:p>
        </w:tc>
        <w:tc>
          <w:tcPr>
            <w:tcW w:w="377" w:type="dxa"/>
            <w:vMerge/>
            <w:shd w:val="clear" w:color="auto" w:fill="D99594" w:themeFill="accent2" w:themeFillTint="99"/>
          </w:tcPr>
          <w:p w14:paraId="064F9CA4"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3738F321"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1ED411A1"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48B522C2"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68033B13" w14:textId="77777777" w:rsidR="002D3389" w:rsidRPr="00163080" w:rsidRDefault="002D3389" w:rsidP="000E0B9A">
            <w:pPr>
              <w:pStyle w:val="Rowcolumntitles"/>
              <w:rPr>
                <w:noProof/>
                <w:szCs w:val="22"/>
                <w:lang w:val="en-GB"/>
              </w:rPr>
            </w:pPr>
          </w:p>
        </w:tc>
      </w:tr>
      <w:tr w:rsidR="00B017F8" w:rsidRPr="009400F9" w14:paraId="3A108FA2" w14:textId="77777777" w:rsidTr="00BD1202">
        <w:trPr>
          <w:trHeight w:val="227"/>
        </w:trPr>
        <w:tc>
          <w:tcPr>
            <w:tcW w:w="1569" w:type="dxa"/>
            <w:vMerge w:val="restart"/>
            <w:shd w:val="clear" w:color="auto" w:fill="000000" w:themeFill="text1"/>
          </w:tcPr>
          <w:p w14:paraId="14386BC8" w14:textId="71E2A065"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 xml:space="preserve">19. Electronic readiness assessment </w:t>
            </w:r>
          </w:p>
        </w:tc>
        <w:tc>
          <w:tcPr>
            <w:tcW w:w="415" w:type="dxa"/>
            <w:vMerge w:val="restart"/>
            <w:shd w:val="clear" w:color="auto" w:fill="D6E3BC" w:themeFill="accent3" w:themeFillTint="66"/>
          </w:tcPr>
          <w:p w14:paraId="538B86A3"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2AB8F0C9" w14:textId="7B414294"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80" w:type="dxa"/>
            <w:vMerge w:val="restart"/>
            <w:shd w:val="clear" w:color="auto" w:fill="D6E3BC" w:themeFill="accent3" w:themeFillTint="66"/>
          </w:tcPr>
          <w:p w14:paraId="13FA1322"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7BBCB718" w14:textId="77777777" w:rsidR="002D3389" w:rsidRPr="00163080" w:rsidRDefault="002D3389" w:rsidP="000E0B9A">
            <w:pPr>
              <w:pStyle w:val="Rowcolumntitles"/>
              <w:rPr>
                <w:rFonts w:eastAsia="Times New Roman"/>
                <w:szCs w:val="22"/>
                <w:lang w:val="en-GB"/>
              </w:rPr>
            </w:pPr>
          </w:p>
        </w:tc>
        <w:tc>
          <w:tcPr>
            <w:tcW w:w="2362" w:type="dxa"/>
            <w:gridSpan w:val="4"/>
            <w:vMerge w:val="restart"/>
            <w:shd w:val="clear" w:color="auto" w:fill="FBD4B4" w:themeFill="accent6" w:themeFillTint="66"/>
          </w:tcPr>
          <w:p w14:paraId="009028E3" w14:textId="218AE0EF" w:rsidR="002D3389" w:rsidRPr="00163080" w:rsidRDefault="002D3389" w:rsidP="000E0B9A">
            <w:pPr>
              <w:pStyle w:val="Rowcolumntitles"/>
              <w:jc w:val="center"/>
              <w:rPr>
                <w:rFonts w:eastAsia="Times New Roman"/>
                <w:szCs w:val="22"/>
                <w:lang w:val="en-GB"/>
              </w:rPr>
            </w:pPr>
            <w:r w:rsidRPr="00163080">
              <w:rPr>
                <w:noProof/>
                <w:szCs w:val="22"/>
                <w:lang w:val="en-GB"/>
              </w:rPr>
              <w:t>Unclear</w:t>
            </w:r>
          </w:p>
        </w:tc>
        <w:tc>
          <w:tcPr>
            <w:tcW w:w="349" w:type="dxa"/>
            <w:vMerge w:val="restart"/>
            <w:shd w:val="clear" w:color="auto" w:fill="CCC0D9" w:themeFill="accent4" w:themeFillTint="66"/>
          </w:tcPr>
          <w:p w14:paraId="357D32E7" w14:textId="5F791F77"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1F16A8BB"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4353C096" w14:textId="77777777" w:rsidR="002D3389" w:rsidRPr="00163080" w:rsidRDefault="002D3389" w:rsidP="000E0B9A">
            <w:pPr>
              <w:pStyle w:val="Rowcolumntitles"/>
              <w:rPr>
                <w:szCs w:val="22"/>
                <w:lang w:val="en-GB"/>
              </w:rPr>
            </w:pPr>
          </w:p>
        </w:tc>
        <w:tc>
          <w:tcPr>
            <w:tcW w:w="351" w:type="dxa"/>
            <w:gridSpan w:val="2"/>
            <w:vMerge w:val="restart"/>
            <w:shd w:val="clear" w:color="auto" w:fill="CCC0D9" w:themeFill="accent4" w:themeFillTint="66"/>
          </w:tcPr>
          <w:p w14:paraId="7F100C3C"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35B4A9B9" w14:textId="5EC7A825"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7942D683" w14:textId="2C8A71DA"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142C57DA" w14:textId="6EDFE6F6"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12751306" w14:textId="5956FD5E"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30679A35"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1193B29B" w14:textId="31957E7E"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6A37A57E"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73D4D406"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46D6D0AE" w14:textId="77777777" w:rsidR="002D3389" w:rsidRPr="00163080" w:rsidRDefault="002D3389" w:rsidP="000E0B9A">
            <w:pPr>
              <w:pStyle w:val="Rowcolumntitles"/>
              <w:rPr>
                <w:rFonts w:eastAsia="Times New Roman"/>
                <w:szCs w:val="22"/>
                <w:lang w:val="en-GB"/>
              </w:rPr>
            </w:pPr>
          </w:p>
        </w:tc>
      </w:tr>
      <w:tr w:rsidR="00B017F8" w:rsidRPr="009400F9" w14:paraId="083ABA8F" w14:textId="77777777" w:rsidTr="00BD1202">
        <w:trPr>
          <w:trHeight w:val="226"/>
        </w:trPr>
        <w:tc>
          <w:tcPr>
            <w:tcW w:w="1569" w:type="dxa"/>
            <w:vMerge/>
            <w:shd w:val="clear" w:color="auto" w:fill="000000" w:themeFill="text1"/>
          </w:tcPr>
          <w:p w14:paraId="24922103"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15092D76"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1C21B247" w14:textId="77777777" w:rsidR="002D3389" w:rsidRPr="00163080" w:rsidRDefault="002D3389" w:rsidP="000E0B9A">
            <w:pPr>
              <w:pStyle w:val="Rowcolumntitles"/>
              <w:rPr>
                <w:noProof/>
                <w:szCs w:val="22"/>
                <w:lang w:val="en-GB"/>
              </w:rPr>
            </w:pPr>
          </w:p>
        </w:tc>
        <w:tc>
          <w:tcPr>
            <w:tcW w:w="380" w:type="dxa"/>
            <w:vMerge/>
            <w:shd w:val="clear" w:color="auto" w:fill="D6E3BC" w:themeFill="accent3" w:themeFillTint="66"/>
          </w:tcPr>
          <w:p w14:paraId="53C1204A"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33009033" w14:textId="77777777" w:rsidR="002D3389" w:rsidRPr="00163080" w:rsidRDefault="002D3389" w:rsidP="000E0B9A">
            <w:pPr>
              <w:pStyle w:val="Rowcolumntitles"/>
              <w:rPr>
                <w:rFonts w:eastAsia="Times New Roman"/>
                <w:szCs w:val="22"/>
                <w:lang w:val="en-GB"/>
              </w:rPr>
            </w:pPr>
          </w:p>
        </w:tc>
        <w:tc>
          <w:tcPr>
            <w:tcW w:w="2362" w:type="dxa"/>
            <w:gridSpan w:val="4"/>
            <w:vMerge/>
            <w:shd w:val="clear" w:color="auto" w:fill="FBD4B4" w:themeFill="accent6" w:themeFillTint="66"/>
          </w:tcPr>
          <w:p w14:paraId="5B1BF7EE"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5B03393B" w14:textId="77777777" w:rsidR="002D3389" w:rsidRPr="00163080" w:rsidRDefault="002D3389" w:rsidP="000E0B9A">
            <w:pPr>
              <w:pStyle w:val="Rowcolumntitles"/>
              <w:rPr>
                <w:noProof/>
                <w:szCs w:val="22"/>
                <w:lang w:val="en-GB"/>
              </w:rPr>
            </w:pPr>
          </w:p>
        </w:tc>
        <w:tc>
          <w:tcPr>
            <w:tcW w:w="349" w:type="dxa"/>
            <w:vMerge/>
            <w:shd w:val="clear" w:color="auto" w:fill="CCC0D9" w:themeFill="accent4" w:themeFillTint="66"/>
          </w:tcPr>
          <w:p w14:paraId="25B7691F"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08489831"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64033FAE"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62BC2307" w14:textId="77777777" w:rsidR="002D3389" w:rsidRPr="00163080" w:rsidRDefault="002D3389" w:rsidP="000E0B9A">
            <w:pPr>
              <w:pStyle w:val="Rowcolumntitles"/>
              <w:rPr>
                <w:szCs w:val="22"/>
                <w:lang w:val="en-US"/>
              </w:rPr>
            </w:pPr>
          </w:p>
        </w:tc>
        <w:tc>
          <w:tcPr>
            <w:tcW w:w="506" w:type="dxa"/>
            <w:gridSpan w:val="2"/>
            <w:shd w:val="clear" w:color="auto" w:fill="B8CCE4" w:themeFill="accent1" w:themeFillTint="66"/>
          </w:tcPr>
          <w:p w14:paraId="6698BDE6" w14:textId="77777777" w:rsidR="002D3389" w:rsidRPr="00163080" w:rsidRDefault="002D3389" w:rsidP="000E0B9A">
            <w:pPr>
              <w:pStyle w:val="Rowcolumntitles"/>
              <w:rPr>
                <w:szCs w:val="22"/>
                <w:lang w:val="en-US"/>
              </w:rPr>
            </w:pPr>
          </w:p>
        </w:tc>
        <w:tc>
          <w:tcPr>
            <w:tcW w:w="506" w:type="dxa"/>
            <w:gridSpan w:val="3"/>
            <w:shd w:val="clear" w:color="auto" w:fill="B8CCE4" w:themeFill="accent1" w:themeFillTint="66"/>
          </w:tcPr>
          <w:p w14:paraId="0CBA1226" w14:textId="1EAC5385" w:rsidR="002D3389" w:rsidRPr="00163080" w:rsidRDefault="002D3389" w:rsidP="000E0B9A">
            <w:pPr>
              <w:pStyle w:val="Rowcolumntitles"/>
              <w:rPr>
                <w:szCs w:val="22"/>
                <w:lang w:val="en-US"/>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6BAED2AC" w14:textId="661585D5" w:rsidR="002D3389" w:rsidRPr="00163080" w:rsidRDefault="002D3389" w:rsidP="000E0B9A">
            <w:pPr>
              <w:pStyle w:val="Rowcolumntitles"/>
              <w:rPr>
                <w:szCs w:val="22"/>
                <w:lang w:val="en-US"/>
              </w:rPr>
            </w:pPr>
          </w:p>
        </w:tc>
        <w:tc>
          <w:tcPr>
            <w:tcW w:w="377" w:type="dxa"/>
            <w:vMerge/>
            <w:shd w:val="clear" w:color="auto" w:fill="D99594" w:themeFill="accent2" w:themeFillTint="99"/>
          </w:tcPr>
          <w:p w14:paraId="2CD4EFDF"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0002FA55" w14:textId="77777777" w:rsidR="002D3389" w:rsidRPr="00163080" w:rsidRDefault="002D3389" w:rsidP="000E0B9A">
            <w:pPr>
              <w:pStyle w:val="Rowcolumntitles"/>
              <w:rPr>
                <w:noProof/>
                <w:szCs w:val="22"/>
                <w:lang w:val="en-GB"/>
              </w:rPr>
            </w:pPr>
          </w:p>
        </w:tc>
        <w:tc>
          <w:tcPr>
            <w:tcW w:w="325" w:type="dxa"/>
            <w:vMerge/>
            <w:shd w:val="clear" w:color="auto" w:fill="D99594" w:themeFill="accent2" w:themeFillTint="99"/>
          </w:tcPr>
          <w:p w14:paraId="0D4A4AD3"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625401D"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0E19A0CE" w14:textId="77777777" w:rsidR="002D3389" w:rsidRPr="00163080" w:rsidRDefault="002D3389" w:rsidP="000E0B9A">
            <w:pPr>
              <w:pStyle w:val="Rowcolumntitles"/>
              <w:rPr>
                <w:rFonts w:eastAsia="Times New Roman"/>
                <w:szCs w:val="22"/>
                <w:lang w:val="en-GB"/>
              </w:rPr>
            </w:pPr>
          </w:p>
        </w:tc>
      </w:tr>
      <w:tr w:rsidR="000E0B9A" w:rsidRPr="009400F9" w14:paraId="06391B88" w14:textId="77777777" w:rsidTr="00BD1202">
        <w:trPr>
          <w:trHeight w:val="174"/>
        </w:trPr>
        <w:tc>
          <w:tcPr>
            <w:tcW w:w="1569" w:type="dxa"/>
            <w:vMerge w:val="restart"/>
            <w:shd w:val="clear" w:color="auto" w:fill="000000" w:themeFill="text1"/>
          </w:tcPr>
          <w:p w14:paraId="68329EDE" w14:textId="0FA99DD4" w:rsidR="002D3389" w:rsidRPr="00163080" w:rsidRDefault="00163080" w:rsidP="000E0B9A">
            <w:pPr>
              <w:pStyle w:val="Rowcolumntitles"/>
              <w:rPr>
                <w:noProof/>
                <w:color w:val="FFFFFF" w:themeColor="background1"/>
                <w:szCs w:val="22"/>
                <w:lang w:val="en-GB"/>
              </w:rPr>
            </w:pPr>
            <w:r w:rsidRPr="002312E4">
              <w:rPr>
                <w:rFonts w:ascii="MS Mincho" w:eastAsia="MS Mincho" w:hAnsi="MS Mincho" w:cs="MS Mincho"/>
                <w:color w:val="FFFFFF" w:themeColor="background1"/>
                <w:szCs w:val="22"/>
                <w:lang w:val="en-GB"/>
              </w:rPr>
              <w:t>✪</w:t>
            </w:r>
            <w:r w:rsidR="002D3389" w:rsidRPr="00163080">
              <w:rPr>
                <w:color w:val="FFFFFF" w:themeColor="background1"/>
                <w:szCs w:val="22"/>
                <w:lang w:val="en-GB"/>
              </w:rPr>
              <w:t xml:space="preserve">6: Draft law on open data </w:t>
            </w:r>
          </w:p>
        </w:tc>
        <w:tc>
          <w:tcPr>
            <w:tcW w:w="415" w:type="dxa"/>
            <w:vMerge w:val="restart"/>
            <w:shd w:val="clear" w:color="auto" w:fill="D6E3BC" w:themeFill="accent3" w:themeFillTint="66"/>
          </w:tcPr>
          <w:p w14:paraId="79059B0A"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6719BA27"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61075D2E"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728EA6F1" w14:textId="137FD247"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624263D8" w14:textId="48B8B982"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27FD2E30" w14:textId="77777777" w:rsidR="002D3389" w:rsidRPr="00163080" w:rsidRDefault="002D3389" w:rsidP="000E0B9A">
            <w:pPr>
              <w:pStyle w:val="Rowcolumntitles"/>
              <w:rPr>
                <w:rFonts w:eastAsia="Times New Roman"/>
                <w:szCs w:val="22"/>
                <w:lang w:val="en-GB"/>
              </w:rPr>
            </w:pPr>
          </w:p>
        </w:tc>
        <w:tc>
          <w:tcPr>
            <w:tcW w:w="417" w:type="dxa"/>
            <w:vMerge w:val="restart"/>
            <w:shd w:val="clear" w:color="auto" w:fill="FBD4B4" w:themeFill="accent6" w:themeFillTint="66"/>
          </w:tcPr>
          <w:p w14:paraId="36E19D50" w14:textId="77777777" w:rsidR="002D3389" w:rsidRPr="00163080" w:rsidRDefault="002D3389" w:rsidP="000E0B9A">
            <w:pPr>
              <w:pStyle w:val="Rowcolumntitles"/>
              <w:rPr>
                <w:rFonts w:eastAsia="Times New Roman"/>
                <w:szCs w:val="22"/>
                <w:lang w:val="en-GB"/>
              </w:rPr>
            </w:pPr>
          </w:p>
        </w:tc>
        <w:tc>
          <w:tcPr>
            <w:tcW w:w="947" w:type="dxa"/>
            <w:vMerge w:val="restart"/>
            <w:shd w:val="clear" w:color="auto" w:fill="FBD4B4" w:themeFill="accent6" w:themeFillTint="66"/>
          </w:tcPr>
          <w:p w14:paraId="085CD08C" w14:textId="447A6F4B"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6BB92D19"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3A0418A9"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4A32D98B" w14:textId="77777777" w:rsidR="002D3389" w:rsidRPr="00163080" w:rsidRDefault="002D3389" w:rsidP="000E0B9A">
            <w:pPr>
              <w:pStyle w:val="Rowcolumntitles"/>
              <w:rPr>
                <w:szCs w:val="22"/>
                <w:lang w:val="en-GB"/>
              </w:rPr>
            </w:pPr>
          </w:p>
        </w:tc>
        <w:tc>
          <w:tcPr>
            <w:tcW w:w="351" w:type="dxa"/>
            <w:gridSpan w:val="2"/>
            <w:vMerge w:val="restart"/>
            <w:shd w:val="clear" w:color="auto" w:fill="CCC0D9" w:themeFill="accent4" w:themeFillTint="66"/>
          </w:tcPr>
          <w:p w14:paraId="1BD094A5" w14:textId="00B30FA2"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5" w:type="dxa"/>
            <w:shd w:val="clear" w:color="auto" w:fill="B8CCE4" w:themeFill="accent1" w:themeFillTint="66"/>
          </w:tcPr>
          <w:p w14:paraId="763C929D" w14:textId="65EB55DB"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7B3EFABA" w14:textId="51F60359"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3A25A303"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5B497825" w14:textId="0CD1804F"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val="restart"/>
            <w:shd w:val="clear" w:color="auto" w:fill="D99594" w:themeFill="accent2" w:themeFillTint="99"/>
          </w:tcPr>
          <w:p w14:paraId="2C931303"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214D1F53"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26B786B3"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69B748CE"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3771077D" w14:textId="31CE8692"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r>
      <w:tr w:rsidR="000E0B9A" w:rsidRPr="009400F9" w14:paraId="34DC5567" w14:textId="77777777" w:rsidTr="00BD1202">
        <w:trPr>
          <w:trHeight w:val="173"/>
        </w:trPr>
        <w:tc>
          <w:tcPr>
            <w:tcW w:w="1569" w:type="dxa"/>
            <w:vMerge/>
            <w:shd w:val="clear" w:color="auto" w:fill="000000" w:themeFill="text1"/>
          </w:tcPr>
          <w:p w14:paraId="056CDB4D"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3C25D06C"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11B98299"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14D3E660"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2039AC98" w14:textId="77777777" w:rsidR="002D3389" w:rsidRPr="00163080" w:rsidRDefault="002D3389" w:rsidP="000E0B9A">
            <w:pPr>
              <w:pStyle w:val="Rowcolumntitles"/>
              <w:rPr>
                <w:noProof/>
                <w:szCs w:val="22"/>
                <w:lang w:val="en-GB"/>
              </w:rPr>
            </w:pPr>
          </w:p>
        </w:tc>
        <w:tc>
          <w:tcPr>
            <w:tcW w:w="687" w:type="dxa"/>
            <w:vMerge/>
            <w:shd w:val="clear" w:color="auto" w:fill="FBD4B4" w:themeFill="accent6" w:themeFillTint="66"/>
          </w:tcPr>
          <w:p w14:paraId="74D48982" w14:textId="77777777" w:rsidR="002D3389" w:rsidRPr="00163080" w:rsidRDefault="002D3389" w:rsidP="000E0B9A">
            <w:pPr>
              <w:pStyle w:val="Rowcolumntitles"/>
              <w:rPr>
                <w:noProof/>
                <w:szCs w:val="22"/>
                <w:lang w:val="en-GB"/>
              </w:rPr>
            </w:pPr>
          </w:p>
        </w:tc>
        <w:tc>
          <w:tcPr>
            <w:tcW w:w="311" w:type="dxa"/>
            <w:vMerge/>
            <w:shd w:val="clear" w:color="auto" w:fill="FBD4B4" w:themeFill="accent6" w:themeFillTint="66"/>
          </w:tcPr>
          <w:p w14:paraId="18AC37AA" w14:textId="77777777" w:rsidR="002D3389" w:rsidRPr="00163080" w:rsidRDefault="002D3389" w:rsidP="000E0B9A">
            <w:pPr>
              <w:pStyle w:val="Rowcolumntitles"/>
              <w:rPr>
                <w:rFonts w:eastAsia="Times New Roman"/>
                <w:szCs w:val="22"/>
                <w:lang w:val="en-GB"/>
              </w:rPr>
            </w:pPr>
          </w:p>
        </w:tc>
        <w:tc>
          <w:tcPr>
            <w:tcW w:w="417" w:type="dxa"/>
            <w:vMerge/>
            <w:shd w:val="clear" w:color="auto" w:fill="FBD4B4" w:themeFill="accent6" w:themeFillTint="66"/>
          </w:tcPr>
          <w:p w14:paraId="21E03CEA" w14:textId="77777777" w:rsidR="002D3389" w:rsidRPr="00163080" w:rsidRDefault="002D3389" w:rsidP="000E0B9A">
            <w:pPr>
              <w:pStyle w:val="Rowcolumntitles"/>
              <w:rPr>
                <w:rFonts w:eastAsia="Times New Roman"/>
                <w:szCs w:val="22"/>
                <w:lang w:val="en-GB"/>
              </w:rPr>
            </w:pPr>
          </w:p>
        </w:tc>
        <w:tc>
          <w:tcPr>
            <w:tcW w:w="947" w:type="dxa"/>
            <w:vMerge/>
            <w:shd w:val="clear" w:color="auto" w:fill="FBD4B4" w:themeFill="accent6" w:themeFillTint="66"/>
          </w:tcPr>
          <w:p w14:paraId="328DB3C7" w14:textId="77777777" w:rsidR="002D3389" w:rsidRPr="00163080" w:rsidRDefault="002D3389" w:rsidP="000E0B9A">
            <w:pPr>
              <w:pStyle w:val="Rowcolumntitles"/>
              <w:rPr>
                <w:noProof/>
                <w:szCs w:val="22"/>
                <w:lang w:val="en-GB"/>
              </w:rPr>
            </w:pPr>
          </w:p>
        </w:tc>
        <w:tc>
          <w:tcPr>
            <w:tcW w:w="349" w:type="dxa"/>
            <w:vMerge/>
            <w:shd w:val="clear" w:color="auto" w:fill="CCC0D9" w:themeFill="accent4" w:themeFillTint="66"/>
          </w:tcPr>
          <w:p w14:paraId="013699CF"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26B75CBD"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636D7D86"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7A75723A" w14:textId="77777777" w:rsidR="002D3389" w:rsidRPr="00163080" w:rsidRDefault="002D3389" w:rsidP="000E0B9A">
            <w:pPr>
              <w:pStyle w:val="Rowcolumntitles"/>
              <w:rPr>
                <w:noProof/>
                <w:szCs w:val="22"/>
                <w:lang w:val="en-GB"/>
              </w:rPr>
            </w:pPr>
          </w:p>
        </w:tc>
        <w:tc>
          <w:tcPr>
            <w:tcW w:w="505" w:type="dxa"/>
            <w:shd w:val="clear" w:color="auto" w:fill="B8CCE4" w:themeFill="accent1" w:themeFillTint="66"/>
          </w:tcPr>
          <w:p w14:paraId="7A4170B1" w14:textId="77777777" w:rsidR="002D3389" w:rsidRPr="00163080" w:rsidRDefault="002D3389" w:rsidP="000E0B9A">
            <w:pPr>
              <w:pStyle w:val="Rowcolumntitles"/>
              <w:rPr>
                <w:szCs w:val="22"/>
                <w:lang w:val="en-GB"/>
              </w:rPr>
            </w:pPr>
          </w:p>
        </w:tc>
        <w:tc>
          <w:tcPr>
            <w:tcW w:w="506" w:type="dxa"/>
            <w:gridSpan w:val="2"/>
            <w:shd w:val="clear" w:color="auto" w:fill="B8CCE4" w:themeFill="accent1" w:themeFillTint="66"/>
          </w:tcPr>
          <w:p w14:paraId="3B8D2977" w14:textId="77777777" w:rsidR="002D3389" w:rsidRPr="00163080" w:rsidRDefault="002D3389" w:rsidP="000E0B9A">
            <w:pPr>
              <w:pStyle w:val="Rowcolumntitles"/>
              <w:rPr>
                <w:szCs w:val="22"/>
                <w:lang w:val="en-GB"/>
              </w:rPr>
            </w:pPr>
          </w:p>
        </w:tc>
        <w:tc>
          <w:tcPr>
            <w:tcW w:w="506" w:type="dxa"/>
            <w:gridSpan w:val="3"/>
            <w:shd w:val="clear" w:color="auto" w:fill="B8CCE4" w:themeFill="accent1" w:themeFillTint="66"/>
          </w:tcPr>
          <w:p w14:paraId="317C9B1D" w14:textId="77777777" w:rsidR="002D3389" w:rsidRPr="00163080" w:rsidRDefault="002D3389" w:rsidP="000E0B9A">
            <w:pPr>
              <w:pStyle w:val="Rowcolumntitles"/>
              <w:rPr>
                <w:szCs w:val="22"/>
                <w:lang w:val="en-GB"/>
              </w:rPr>
            </w:pPr>
          </w:p>
        </w:tc>
        <w:tc>
          <w:tcPr>
            <w:tcW w:w="511" w:type="dxa"/>
            <w:gridSpan w:val="2"/>
            <w:shd w:val="clear" w:color="auto" w:fill="B8CCE4" w:themeFill="accent1" w:themeFillTint="66"/>
          </w:tcPr>
          <w:p w14:paraId="06AC1CDA" w14:textId="5C340022"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13DB7B64"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66195489"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4CD0839"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8C16798"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2EB019D9" w14:textId="77777777" w:rsidR="002D3389" w:rsidRPr="00163080" w:rsidRDefault="002D3389" w:rsidP="000E0B9A">
            <w:pPr>
              <w:pStyle w:val="Rowcolumntitles"/>
              <w:rPr>
                <w:noProof/>
                <w:szCs w:val="22"/>
                <w:lang w:val="en-GB"/>
              </w:rPr>
            </w:pPr>
          </w:p>
        </w:tc>
      </w:tr>
      <w:tr w:rsidR="000E0B9A" w:rsidRPr="009400F9" w14:paraId="62AD68E1" w14:textId="77777777" w:rsidTr="00BD1202">
        <w:trPr>
          <w:trHeight w:val="227"/>
        </w:trPr>
        <w:tc>
          <w:tcPr>
            <w:tcW w:w="1569" w:type="dxa"/>
            <w:vMerge w:val="restart"/>
            <w:shd w:val="clear" w:color="auto" w:fill="000000" w:themeFill="text1"/>
          </w:tcPr>
          <w:p w14:paraId="773A129A" w14:textId="6D8B39E7"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 xml:space="preserve">20. Government regulations on open data </w:t>
            </w:r>
          </w:p>
        </w:tc>
        <w:tc>
          <w:tcPr>
            <w:tcW w:w="415" w:type="dxa"/>
            <w:vMerge w:val="restart"/>
            <w:shd w:val="clear" w:color="auto" w:fill="D6E3BC" w:themeFill="accent3" w:themeFillTint="66"/>
          </w:tcPr>
          <w:p w14:paraId="09E89802"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3B1C3428" w14:textId="29B2BAE5"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80" w:type="dxa"/>
            <w:vMerge w:val="restart"/>
            <w:shd w:val="clear" w:color="auto" w:fill="D6E3BC" w:themeFill="accent3" w:themeFillTint="66"/>
          </w:tcPr>
          <w:p w14:paraId="4409BB8C"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446CBB9B" w14:textId="77777777" w:rsidR="002D3389" w:rsidRPr="00163080" w:rsidRDefault="002D3389" w:rsidP="000E0B9A">
            <w:pPr>
              <w:pStyle w:val="Rowcolumntitles"/>
              <w:rPr>
                <w:rFonts w:eastAsia="Times New Roman"/>
                <w:szCs w:val="22"/>
                <w:lang w:val="en-GB"/>
              </w:rPr>
            </w:pPr>
          </w:p>
        </w:tc>
        <w:tc>
          <w:tcPr>
            <w:tcW w:w="687" w:type="dxa"/>
            <w:vMerge w:val="restart"/>
            <w:shd w:val="clear" w:color="auto" w:fill="FBD4B4" w:themeFill="accent6" w:themeFillTint="66"/>
          </w:tcPr>
          <w:p w14:paraId="578DAF39" w14:textId="71B193A7"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71881032" w14:textId="77777777" w:rsidR="002D3389" w:rsidRPr="00163080" w:rsidRDefault="002D3389" w:rsidP="000E0B9A">
            <w:pPr>
              <w:pStyle w:val="Rowcolumntitles"/>
              <w:rPr>
                <w:rFonts w:eastAsia="Times New Roman"/>
                <w:szCs w:val="22"/>
                <w:lang w:val="en-GB"/>
              </w:rPr>
            </w:pPr>
          </w:p>
        </w:tc>
        <w:tc>
          <w:tcPr>
            <w:tcW w:w="417" w:type="dxa"/>
            <w:vMerge w:val="restart"/>
            <w:shd w:val="clear" w:color="auto" w:fill="FBD4B4" w:themeFill="accent6" w:themeFillTint="66"/>
          </w:tcPr>
          <w:p w14:paraId="0BE23CFD" w14:textId="77777777" w:rsidR="002D3389" w:rsidRPr="00163080" w:rsidRDefault="002D3389" w:rsidP="000E0B9A">
            <w:pPr>
              <w:pStyle w:val="Rowcolumntitles"/>
              <w:rPr>
                <w:rFonts w:eastAsia="Times New Roman"/>
                <w:szCs w:val="22"/>
                <w:lang w:val="en-GB"/>
              </w:rPr>
            </w:pPr>
          </w:p>
        </w:tc>
        <w:tc>
          <w:tcPr>
            <w:tcW w:w="947" w:type="dxa"/>
            <w:vMerge w:val="restart"/>
            <w:shd w:val="clear" w:color="auto" w:fill="FBD4B4" w:themeFill="accent6" w:themeFillTint="66"/>
          </w:tcPr>
          <w:p w14:paraId="014A5BE7" w14:textId="280C7361"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1CB463EB"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4F69EE49"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2DE7498A" w14:textId="706B6096"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351" w:type="dxa"/>
            <w:gridSpan w:val="2"/>
            <w:vMerge w:val="restart"/>
            <w:shd w:val="clear" w:color="auto" w:fill="CCC0D9" w:themeFill="accent4" w:themeFillTint="66"/>
          </w:tcPr>
          <w:p w14:paraId="1CFCFB37"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0F5FD9D2" w14:textId="3B6EB54A"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6B33FD04"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447E7757" w14:textId="42B52C3B"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6BDCB287" w14:textId="7AA46266"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0CB9E2B4"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523AB808"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31B2DDEE"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35F8B0D4"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20A485CA" w14:textId="0DC3C15A"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r>
      <w:tr w:rsidR="000E0B9A" w:rsidRPr="009400F9" w14:paraId="6E32DC5D" w14:textId="77777777" w:rsidTr="00BD1202">
        <w:trPr>
          <w:trHeight w:val="226"/>
        </w:trPr>
        <w:tc>
          <w:tcPr>
            <w:tcW w:w="1569" w:type="dxa"/>
            <w:vMerge/>
            <w:shd w:val="clear" w:color="auto" w:fill="000000" w:themeFill="text1"/>
          </w:tcPr>
          <w:p w14:paraId="607E50FA"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68F5812D"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2D698CF1" w14:textId="77777777" w:rsidR="002D3389" w:rsidRPr="00163080" w:rsidRDefault="002D3389" w:rsidP="000E0B9A">
            <w:pPr>
              <w:pStyle w:val="Rowcolumntitles"/>
              <w:rPr>
                <w:noProof/>
                <w:szCs w:val="22"/>
                <w:lang w:val="en-GB"/>
              </w:rPr>
            </w:pPr>
          </w:p>
        </w:tc>
        <w:tc>
          <w:tcPr>
            <w:tcW w:w="380" w:type="dxa"/>
            <w:vMerge/>
            <w:shd w:val="clear" w:color="auto" w:fill="D6E3BC" w:themeFill="accent3" w:themeFillTint="66"/>
          </w:tcPr>
          <w:p w14:paraId="4550BB1D"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45271EE7" w14:textId="77777777" w:rsidR="002D3389" w:rsidRPr="00163080" w:rsidRDefault="002D3389" w:rsidP="000E0B9A">
            <w:pPr>
              <w:pStyle w:val="Rowcolumntitles"/>
              <w:rPr>
                <w:rFonts w:eastAsia="Times New Roman"/>
                <w:szCs w:val="22"/>
                <w:lang w:val="en-GB"/>
              </w:rPr>
            </w:pPr>
          </w:p>
        </w:tc>
        <w:tc>
          <w:tcPr>
            <w:tcW w:w="687" w:type="dxa"/>
            <w:vMerge/>
            <w:shd w:val="clear" w:color="auto" w:fill="FBD4B4" w:themeFill="accent6" w:themeFillTint="66"/>
          </w:tcPr>
          <w:p w14:paraId="14BDFADC" w14:textId="77777777" w:rsidR="002D3389" w:rsidRPr="00163080" w:rsidRDefault="002D3389" w:rsidP="000E0B9A">
            <w:pPr>
              <w:pStyle w:val="Rowcolumntitles"/>
              <w:rPr>
                <w:noProof/>
                <w:szCs w:val="22"/>
                <w:lang w:val="en-GB"/>
              </w:rPr>
            </w:pPr>
          </w:p>
        </w:tc>
        <w:tc>
          <w:tcPr>
            <w:tcW w:w="311" w:type="dxa"/>
            <w:vMerge/>
            <w:shd w:val="clear" w:color="auto" w:fill="FBD4B4" w:themeFill="accent6" w:themeFillTint="66"/>
          </w:tcPr>
          <w:p w14:paraId="574D8BC8" w14:textId="77777777" w:rsidR="002D3389" w:rsidRPr="00163080" w:rsidRDefault="002D3389" w:rsidP="000E0B9A">
            <w:pPr>
              <w:pStyle w:val="Rowcolumntitles"/>
              <w:rPr>
                <w:rFonts w:eastAsia="Times New Roman"/>
                <w:szCs w:val="22"/>
                <w:lang w:val="en-GB"/>
              </w:rPr>
            </w:pPr>
          </w:p>
        </w:tc>
        <w:tc>
          <w:tcPr>
            <w:tcW w:w="417" w:type="dxa"/>
            <w:vMerge/>
            <w:shd w:val="clear" w:color="auto" w:fill="FBD4B4" w:themeFill="accent6" w:themeFillTint="66"/>
          </w:tcPr>
          <w:p w14:paraId="54F86AE5" w14:textId="77777777" w:rsidR="002D3389" w:rsidRPr="00163080" w:rsidRDefault="002D3389" w:rsidP="000E0B9A">
            <w:pPr>
              <w:pStyle w:val="Rowcolumntitles"/>
              <w:rPr>
                <w:rFonts w:eastAsia="Times New Roman"/>
                <w:szCs w:val="22"/>
                <w:lang w:val="en-GB"/>
              </w:rPr>
            </w:pPr>
          </w:p>
        </w:tc>
        <w:tc>
          <w:tcPr>
            <w:tcW w:w="947" w:type="dxa"/>
            <w:vMerge/>
            <w:shd w:val="clear" w:color="auto" w:fill="FBD4B4" w:themeFill="accent6" w:themeFillTint="66"/>
          </w:tcPr>
          <w:p w14:paraId="5929BAF7" w14:textId="77777777" w:rsidR="002D3389" w:rsidRPr="00163080" w:rsidRDefault="002D3389" w:rsidP="000E0B9A">
            <w:pPr>
              <w:pStyle w:val="Rowcolumntitles"/>
              <w:rPr>
                <w:noProof/>
                <w:szCs w:val="22"/>
                <w:lang w:val="en-GB"/>
              </w:rPr>
            </w:pPr>
          </w:p>
        </w:tc>
        <w:tc>
          <w:tcPr>
            <w:tcW w:w="349" w:type="dxa"/>
            <w:vMerge/>
            <w:shd w:val="clear" w:color="auto" w:fill="CCC0D9" w:themeFill="accent4" w:themeFillTint="66"/>
          </w:tcPr>
          <w:p w14:paraId="30F68586"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7C6D3FD1"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0636227A" w14:textId="77777777" w:rsidR="002D3389" w:rsidRPr="00163080" w:rsidRDefault="002D3389" w:rsidP="000E0B9A">
            <w:pPr>
              <w:pStyle w:val="Rowcolumntitles"/>
              <w:rPr>
                <w:noProof/>
                <w:szCs w:val="22"/>
                <w:lang w:val="en-GB"/>
              </w:rPr>
            </w:pPr>
          </w:p>
        </w:tc>
        <w:tc>
          <w:tcPr>
            <w:tcW w:w="351" w:type="dxa"/>
            <w:gridSpan w:val="2"/>
            <w:vMerge/>
            <w:shd w:val="clear" w:color="auto" w:fill="CCC0D9" w:themeFill="accent4" w:themeFillTint="66"/>
          </w:tcPr>
          <w:p w14:paraId="65D54503"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13BE6E5F" w14:textId="639BA5AB"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0B9CFF2B"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20F5C121"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41C561C0" w14:textId="0EFEE4C9"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4C43DE89"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62BD1B2A"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0BC7FB98"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120BA7D3"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64320691" w14:textId="77777777" w:rsidR="002D3389" w:rsidRPr="00163080" w:rsidRDefault="002D3389" w:rsidP="000E0B9A">
            <w:pPr>
              <w:pStyle w:val="Rowcolumntitles"/>
              <w:rPr>
                <w:rFonts w:eastAsia="Times New Roman"/>
                <w:szCs w:val="22"/>
                <w:lang w:val="en-GB"/>
              </w:rPr>
            </w:pPr>
          </w:p>
        </w:tc>
      </w:tr>
      <w:tr w:rsidR="000E0B9A" w:rsidRPr="009400F9" w14:paraId="4C1CDEBA" w14:textId="77777777" w:rsidTr="00BD1202">
        <w:trPr>
          <w:trHeight w:val="300"/>
        </w:trPr>
        <w:tc>
          <w:tcPr>
            <w:tcW w:w="1569" w:type="dxa"/>
            <w:vMerge w:val="restart"/>
            <w:shd w:val="clear" w:color="auto" w:fill="000000" w:themeFill="text1"/>
          </w:tcPr>
          <w:p w14:paraId="5E99D420" w14:textId="4108E51E"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21. Electronic democracy development roadmap</w:t>
            </w:r>
          </w:p>
        </w:tc>
        <w:tc>
          <w:tcPr>
            <w:tcW w:w="415" w:type="dxa"/>
            <w:vMerge w:val="restart"/>
            <w:shd w:val="clear" w:color="auto" w:fill="D6E3BC" w:themeFill="accent3" w:themeFillTint="66"/>
          </w:tcPr>
          <w:p w14:paraId="4E6BBD05"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163F4A27" w14:textId="50214A71"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80" w:type="dxa"/>
            <w:vMerge w:val="restart"/>
            <w:shd w:val="clear" w:color="auto" w:fill="D6E3BC" w:themeFill="accent3" w:themeFillTint="66"/>
          </w:tcPr>
          <w:p w14:paraId="150C6BC6"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188F47D9" w14:textId="77777777" w:rsidR="002D3389" w:rsidRPr="00163080" w:rsidRDefault="002D3389" w:rsidP="000E0B9A">
            <w:pPr>
              <w:pStyle w:val="Rowcolumntitles"/>
              <w:rPr>
                <w:rFonts w:eastAsia="Times New Roman"/>
                <w:szCs w:val="22"/>
                <w:lang w:val="en-GB"/>
              </w:rPr>
            </w:pPr>
          </w:p>
        </w:tc>
        <w:tc>
          <w:tcPr>
            <w:tcW w:w="687" w:type="dxa"/>
            <w:vMerge w:val="restart"/>
            <w:shd w:val="clear" w:color="auto" w:fill="FBD4B4" w:themeFill="accent6" w:themeFillTint="66"/>
          </w:tcPr>
          <w:p w14:paraId="3D9F72C1" w14:textId="14E8B954"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29022D2F" w14:textId="3F1A9984"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17" w:type="dxa"/>
            <w:vMerge w:val="restart"/>
            <w:shd w:val="clear" w:color="auto" w:fill="FBD4B4" w:themeFill="accent6" w:themeFillTint="66"/>
          </w:tcPr>
          <w:p w14:paraId="538C1A19" w14:textId="77777777" w:rsidR="002D3389" w:rsidRPr="00163080" w:rsidRDefault="002D3389" w:rsidP="000E0B9A">
            <w:pPr>
              <w:pStyle w:val="Rowcolumntitles"/>
              <w:rPr>
                <w:rFonts w:eastAsia="Times New Roman"/>
                <w:szCs w:val="22"/>
                <w:lang w:val="en-GB"/>
              </w:rPr>
            </w:pPr>
          </w:p>
        </w:tc>
        <w:tc>
          <w:tcPr>
            <w:tcW w:w="947" w:type="dxa"/>
            <w:vMerge w:val="restart"/>
            <w:shd w:val="clear" w:color="auto" w:fill="FBD4B4" w:themeFill="accent6" w:themeFillTint="66"/>
          </w:tcPr>
          <w:p w14:paraId="40D2097F" w14:textId="7A803A29"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54C333DD"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5FA9803F"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04A9DE5C" w14:textId="1878FCED"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351" w:type="dxa"/>
            <w:gridSpan w:val="2"/>
            <w:vMerge w:val="restart"/>
            <w:shd w:val="clear" w:color="auto" w:fill="CCC0D9" w:themeFill="accent4" w:themeFillTint="66"/>
          </w:tcPr>
          <w:p w14:paraId="03C4315D"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124DC747" w14:textId="580FCD66"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3EB9910A" w14:textId="1CC54C60"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6FFDFCA7" w14:textId="4CE2B959"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7C81B4AF" w14:textId="45AAA645"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16FD9CE1"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1A782E98" w14:textId="5B0D6F2C"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0FA0424E"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121C6FF3"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67FF66EF" w14:textId="77777777" w:rsidR="002D3389" w:rsidRPr="00163080" w:rsidRDefault="002D3389" w:rsidP="000E0B9A">
            <w:pPr>
              <w:pStyle w:val="Rowcolumntitles"/>
              <w:rPr>
                <w:rFonts w:eastAsia="Times New Roman"/>
                <w:szCs w:val="22"/>
                <w:lang w:val="en-GB"/>
              </w:rPr>
            </w:pPr>
          </w:p>
        </w:tc>
      </w:tr>
      <w:tr w:rsidR="000E0B9A" w:rsidRPr="009400F9" w14:paraId="22888FED" w14:textId="77777777" w:rsidTr="00BD1202">
        <w:trPr>
          <w:trHeight w:val="300"/>
        </w:trPr>
        <w:tc>
          <w:tcPr>
            <w:tcW w:w="1569" w:type="dxa"/>
            <w:vMerge/>
            <w:shd w:val="clear" w:color="auto" w:fill="000000" w:themeFill="text1"/>
          </w:tcPr>
          <w:p w14:paraId="4F005D93"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5C12C0B8"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56783765" w14:textId="77777777" w:rsidR="002D3389" w:rsidRPr="00163080" w:rsidRDefault="002D3389" w:rsidP="000E0B9A">
            <w:pPr>
              <w:pStyle w:val="Rowcolumntitles"/>
              <w:rPr>
                <w:noProof/>
                <w:szCs w:val="22"/>
                <w:lang w:val="en-GB"/>
              </w:rPr>
            </w:pPr>
          </w:p>
        </w:tc>
        <w:tc>
          <w:tcPr>
            <w:tcW w:w="380" w:type="dxa"/>
            <w:vMerge/>
            <w:shd w:val="clear" w:color="auto" w:fill="D6E3BC" w:themeFill="accent3" w:themeFillTint="66"/>
          </w:tcPr>
          <w:p w14:paraId="5CF214C0"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4E12FBA4" w14:textId="77777777" w:rsidR="002D3389" w:rsidRPr="00163080" w:rsidRDefault="002D3389" w:rsidP="000E0B9A">
            <w:pPr>
              <w:pStyle w:val="Rowcolumntitles"/>
              <w:rPr>
                <w:rFonts w:eastAsia="Times New Roman"/>
                <w:szCs w:val="22"/>
                <w:lang w:val="en-GB"/>
              </w:rPr>
            </w:pPr>
          </w:p>
        </w:tc>
        <w:tc>
          <w:tcPr>
            <w:tcW w:w="687" w:type="dxa"/>
            <w:vMerge/>
            <w:shd w:val="clear" w:color="auto" w:fill="FBD4B4" w:themeFill="accent6" w:themeFillTint="66"/>
          </w:tcPr>
          <w:p w14:paraId="1BA38056" w14:textId="77777777" w:rsidR="002D3389" w:rsidRPr="00163080" w:rsidRDefault="002D3389" w:rsidP="000E0B9A">
            <w:pPr>
              <w:pStyle w:val="Rowcolumntitles"/>
              <w:rPr>
                <w:noProof/>
                <w:szCs w:val="22"/>
                <w:lang w:val="en-GB"/>
              </w:rPr>
            </w:pPr>
          </w:p>
        </w:tc>
        <w:tc>
          <w:tcPr>
            <w:tcW w:w="311" w:type="dxa"/>
            <w:vMerge/>
            <w:shd w:val="clear" w:color="auto" w:fill="FBD4B4" w:themeFill="accent6" w:themeFillTint="66"/>
          </w:tcPr>
          <w:p w14:paraId="6A7F36A3" w14:textId="77777777" w:rsidR="002D3389" w:rsidRPr="00163080" w:rsidRDefault="002D3389" w:rsidP="000E0B9A">
            <w:pPr>
              <w:pStyle w:val="Rowcolumntitles"/>
              <w:rPr>
                <w:noProof/>
                <w:szCs w:val="22"/>
                <w:lang w:val="en-GB"/>
              </w:rPr>
            </w:pPr>
          </w:p>
        </w:tc>
        <w:tc>
          <w:tcPr>
            <w:tcW w:w="417" w:type="dxa"/>
            <w:vMerge/>
            <w:shd w:val="clear" w:color="auto" w:fill="FBD4B4" w:themeFill="accent6" w:themeFillTint="66"/>
          </w:tcPr>
          <w:p w14:paraId="2D5FEB6D" w14:textId="77777777" w:rsidR="002D3389" w:rsidRPr="00163080" w:rsidRDefault="002D3389" w:rsidP="000E0B9A">
            <w:pPr>
              <w:pStyle w:val="Rowcolumntitles"/>
              <w:rPr>
                <w:rFonts w:eastAsia="Times New Roman"/>
                <w:szCs w:val="22"/>
                <w:lang w:val="en-GB"/>
              </w:rPr>
            </w:pPr>
          </w:p>
        </w:tc>
        <w:tc>
          <w:tcPr>
            <w:tcW w:w="947" w:type="dxa"/>
            <w:vMerge/>
            <w:shd w:val="clear" w:color="auto" w:fill="FBD4B4" w:themeFill="accent6" w:themeFillTint="66"/>
          </w:tcPr>
          <w:p w14:paraId="53D770C4" w14:textId="77777777" w:rsidR="002D3389" w:rsidRPr="00163080" w:rsidRDefault="002D3389" w:rsidP="000E0B9A">
            <w:pPr>
              <w:pStyle w:val="Rowcolumntitles"/>
              <w:rPr>
                <w:noProof/>
                <w:szCs w:val="22"/>
                <w:lang w:val="en-GB"/>
              </w:rPr>
            </w:pPr>
          </w:p>
        </w:tc>
        <w:tc>
          <w:tcPr>
            <w:tcW w:w="349" w:type="dxa"/>
            <w:vMerge/>
            <w:shd w:val="clear" w:color="auto" w:fill="CCC0D9" w:themeFill="accent4" w:themeFillTint="66"/>
          </w:tcPr>
          <w:p w14:paraId="0B0DE393"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2EE0461C"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6CEE737D" w14:textId="77777777" w:rsidR="002D3389" w:rsidRPr="00163080" w:rsidRDefault="002D3389" w:rsidP="000E0B9A">
            <w:pPr>
              <w:pStyle w:val="Rowcolumntitles"/>
              <w:rPr>
                <w:noProof/>
                <w:szCs w:val="22"/>
                <w:lang w:val="en-GB"/>
              </w:rPr>
            </w:pPr>
          </w:p>
        </w:tc>
        <w:tc>
          <w:tcPr>
            <w:tcW w:w="351" w:type="dxa"/>
            <w:gridSpan w:val="2"/>
            <w:vMerge/>
            <w:shd w:val="clear" w:color="auto" w:fill="CCC0D9" w:themeFill="accent4" w:themeFillTint="66"/>
          </w:tcPr>
          <w:p w14:paraId="12D18204"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5C7F9337" w14:textId="77777777" w:rsidR="002D3389" w:rsidRPr="00163080" w:rsidRDefault="002D3389" w:rsidP="000E0B9A">
            <w:pPr>
              <w:pStyle w:val="Rowcolumntitles"/>
              <w:rPr>
                <w:szCs w:val="22"/>
                <w:lang w:val="en-US"/>
              </w:rPr>
            </w:pPr>
          </w:p>
        </w:tc>
        <w:tc>
          <w:tcPr>
            <w:tcW w:w="506" w:type="dxa"/>
            <w:gridSpan w:val="2"/>
            <w:shd w:val="clear" w:color="auto" w:fill="B8CCE4" w:themeFill="accent1" w:themeFillTint="66"/>
          </w:tcPr>
          <w:p w14:paraId="253F7D19" w14:textId="77777777" w:rsidR="002D3389" w:rsidRPr="00163080" w:rsidRDefault="002D3389" w:rsidP="000E0B9A">
            <w:pPr>
              <w:pStyle w:val="Rowcolumntitles"/>
              <w:rPr>
                <w:szCs w:val="22"/>
                <w:lang w:val="en-US"/>
              </w:rPr>
            </w:pPr>
          </w:p>
        </w:tc>
        <w:tc>
          <w:tcPr>
            <w:tcW w:w="506" w:type="dxa"/>
            <w:gridSpan w:val="3"/>
            <w:shd w:val="clear" w:color="auto" w:fill="B8CCE4" w:themeFill="accent1" w:themeFillTint="66"/>
          </w:tcPr>
          <w:p w14:paraId="0FAEF2F0" w14:textId="30ED5AE8" w:rsidR="002D3389" w:rsidRPr="00163080" w:rsidRDefault="002D3389" w:rsidP="000E0B9A">
            <w:pPr>
              <w:pStyle w:val="Rowcolumntitles"/>
              <w:rPr>
                <w:szCs w:val="22"/>
                <w:lang w:val="en-US"/>
              </w:rPr>
            </w:pPr>
            <w:r w:rsidRPr="00163080">
              <w:rPr>
                <w:rFonts w:ascii="MS Mincho" w:eastAsia="MS Mincho" w:hAnsi="MS Mincho" w:cs="MS Mincho"/>
                <w:noProof/>
                <w:szCs w:val="22"/>
                <w:lang w:val="en-GB"/>
              </w:rPr>
              <w:t>✔</w:t>
            </w:r>
          </w:p>
        </w:tc>
        <w:tc>
          <w:tcPr>
            <w:tcW w:w="511" w:type="dxa"/>
            <w:gridSpan w:val="2"/>
            <w:shd w:val="clear" w:color="auto" w:fill="B8CCE4" w:themeFill="accent1" w:themeFillTint="66"/>
          </w:tcPr>
          <w:p w14:paraId="0A7593D2" w14:textId="0A4A3929" w:rsidR="002D3389" w:rsidRPr="00163080" w:rsidRDefault="002D3389" w:rsidP="000E0B9A">
            <w:pPr>
              <w:pStyle w:val="Rowcolumntitles"/>
              <w:rPr>
                <w:szCs w:val="22"/>
                <w:lang w:val="en-US"/>
              </w:rPr>
            </w:pPr>
          </w:p>
        </w:tc>
        <w:tc>
          <w:tcPr>
            <w:tcW w:w="377" w:type="dxa"/>
            <w:vMerge/>
            <w:shd w:val="clear" w:color="auto" w:fill="D99594" w:themeFill="accent2" w:themeFillTint="99"/>
          </w:tcPr>
          <w:p w14:paraId="5BB493E3"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399A58F0" w14:textId="77777777" w:rsidR="002D3389" w:rsidRPr="00163080" w:rsidRDefault="002D3389" w:rsidP="000E0B9A">
            <w:pPr>
              <w:pStyle w:val="Rowcolumntitles"/>
              <w:rPr>
                <w:noProof/>
                <w:szCs w:val="22"/>
                <w:lang w:val="en-GB"/>
              </w:rPr>
            </w:pPr>
          </w:p>
        </w:tc>
        <w:tc>
          <w:tcPr>
            <w:tcW w:w="325" w:type="dxa"/>
            <w:vMerge/>
            <w:shd w:val="clear" w:color="auto" w:fill="D99594" w:themeFill="accent2" w:themeFillTint="99"/>
          </w:tcPr>
          <w:p w14:paraId="7152B11F"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0C61EC79"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23B99B53" w14:textId="77777777" w:rsidR="002D3389" w:rsidRPr="00163080" w:rsidRDefault="002D3389" w:rsidP="000E0B9A">
            <w:pPr>
              <w:pStyle w:val="Rowcolumntitles"/>
              <w:rPr>
                <w:rFonts w:eastAsia="Times New Roman"/>
                <w:szCs w:val="22"/>
                <w:lang w:val="en-GB"/>
              </w:rPr>
            </w:pPr>
          </w:p>
        </w:tc>
      </w:tr>
      <w:tr w:rsidR="000E0B9A" w:rsidRPr="009400F9" w14:paraId="51BCD3C6" w14:textId="77777777" w:rsidTr="00BD1202">
        <w:trPr>
          <w:trHeight w:val="160"/>
        </w:trPr>
        <w:tc>
          <w:tcPr>
            <w:tcW w:w="1569" w:type="dxa"/>
            <w:vMerge w:val="restart"/>
            <w:shd w:val="clear" w:color="auto" w:fill="000000" w:themeFill="text1"/>
          </w:tcPr>
          <w:p w14:paraId="622A9192" w14:textId="18CF0263"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23. E-petitions</w:t>
            </w:r>
          </w:p>
        </w:tc>
        <w:tc>
          <w:tcPr>
            <w:tcW w:w="415" w:type="dxa"/>
            <w:vMerge w:val="restart"/>
            <w:shd w:val="clear" w:color="auto" w:fill="D6E3BC" w:themeFill="accent3" w:themeFillTint="66"/>
          </w:tcPr>
          <w:p w14:paraId="161F7452"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4FBE1EF1"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4BB5E362"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1BE10CA8" w14:textId="2831ADE4"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16F5BEC7" w14:textId="77777777" w:rsidR="002D3389" w:rsidRPr="00163080" w:rsidRDefault="002D3389" w:rsidP="000E0B9A">
            <w:pPr>
              <w:pStyle w:val="Rowcolumntitles"/>
              <w:rPr>
                <w:rFonts w:eastAsia="Times New Roman"/>
                <w:szCs w:val="22"/>
                <w:lang w:val="en-GB"/>
              </w:rPr>
            </w:pPr>
          </w:p>
        </w:tc>
        <w:tc>
          <w:tcPr>
            <w:tcW w:w="311" w:type="dxa"/>
            <w:vMerge w:val="restart"/>
            <w:shd w:val="clear" w:color="auto" w:fill="FBD4B4" w:themeFill="accent6" w:themeFillTint="66"/>
          </w:tcPr>
          <w:p w14:paraId="6CA496DB" w14:textId="2444359A"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17" w:type="dxa"/>
            <w:vMerge w:val="restart"/>
            <w:shd w:val="clear" w:color="auto" w:fill="FBD4B4" w:themeFill="accent6" w:themeFillTint="66"/>
          </w:tcPr>
          <w:p w14:paraId="013C431A" w14:textId="67C90E6A"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947" w:type="dxa"/>
            <w:vMerge w:val="restart"/>
            <w:shd w:val="clear" w:color="auto" w:fill="FBD4B4" w:themeFill="accent6" w:themeFillTint="66"/>
          </w:tcPr>
          <w:p w14:paraId="7FE6F384" w14:textId="273ADE90"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5A18FC33"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0B900F77" w14:textId="748BD5EE"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30AE0107" w14:textId="77777777" w:rsidR="002D3389" w:rsidRPr="00163080" w:rsidRDefault="002D3389" w:rsidP="000E0B9A">
            <w:pPr>
              <w:pStyle w:val="Rowcolumntitles"/>
              <w:rPr>
                <w:szCs w:val="22"/>
                <w:lang w:val="en-GB"/>
              </w:rPr>
            </w:pPr>
          </w:p>
        </w:tc>
        <w:tc>
          <w:tcPr>
            <w:tcW w:w="351" w:type="dxa"/>
            <w:gridSpan w:val="2"/>
            <w:vMerge w:val="restart"/>
            <w:shd w:val="clear" w:color="auto" w:fill="CCC0D9" w:themeFill="accent4" w:themeFillTint="66"/>
          </w:tcPr>
          <w:p w14:paraId="1E6A373F"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7DE22B32" w14:textId="689D26B4"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68A01CC4" w14:textId="7E2B926C"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506" w:type="dxa"/>
            <w:gridSpan w:val="3"/>
            <w:shd w:val="clear" w:color="auto" w:fill="B8CCE4" w:themeFill="accent1" w:themeFillTint="66"/>
          </w:tcPr>
          <w:p w14:paraId="617C71EE"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51AC55CC" w14:textId="72CB5754" w:rsidR="002D3389" w:rsidRPr="00163080" w:rsidRDefault="002D3389" w:rsidP="000E0B9A">
            <w:pPr>
              <w:pStyle w:val="Rowcolumntitles"/>
              <w:rPr>
                <w:rFonts w:eastAsia="Times New Roman"/>
                <w:szCs w:val="22"/>
                <w:lang w:val="en-GB"/>
              </w:rPr>
            </w:pPr>
          </w:p>
        </w:tc>
        <w:tc>
          <w:tcPr>
            <w:tcW w:w="377" w:type="dxa"/>
            <w:vMerge w:val="restart"/>
            <w:shd w:val="clear" w:color="auto" w:fill="D99594" w:themeFill="accent2" w:themeFillTint="99"/>
          </w:tcPr>
          <w:p w14:paraId="5B6461ED"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350DB3BD"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69B5300D" w14:textId="2D6EC68C"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67014D1E"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37F87567" w14:textId="77777777" w:rsidR="002D3389" w:rsidRPr="00163080" w:rsidRDefault="002D3389" w:rsidP="000E0B9A">
            <w:pPr>
              <w:pStyle w:val="Rowcolumntitles"/>
              <w:rPr>
                <w:rFonts w:eastAsia="Times New Roman"/>
                <w:szCs w:val="22"/>
                <w:lang w:val="en-GB"/>
              </w:rPr>
            </w:pPr>
          </w:p>
        </w:tc>
      </w:tr>
      <w:tr w:rsidR="000E0B9A" w:rsidRPr="009400F9" w14:paraId="196246D4" w14:textId="77777777" w:rsidTr="00BD1202">
        <w:trPr>
          <w:trHeight w:val="160"/>
        </w:trPr>
        <w:tc>
          <w:tcPr>
            <w:tcW w:w="1569" w:type="dxa"/>
            <w:vMerge/>
            <w:shd w:val="clear" w:color="auto" w:fill="000000" w:themeFill="text1"/>
          </w:tcPr>
          <w:p w14:paraId="76EAB6F0"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25791CE2"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3255E225"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23D16954"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33C284B9" w14:textId="77777777" w:rsidR="002D3389" w:rsidRPr="00163080" w:rsidRDefault="002D3389" w:rsidP="000E0B9A">
            <w:pPr>
              <w:pStyle w:val="Rowcolumntitles"/>
              <w:rPr>
                <w:noProof/>
                <w:szCs w:val="22"/>
                <w:lang w:val="en-GB"/>
              </w:rPr>
            </w:pPr>
          </w:p>
        </w:tc>
        <w:tc>
          <w:tcPr>
            <w:tcW w:w="687" w:type="dxa"/>
            <w:vMerge/>
            <w:shd w:val="clear" w:color="auto" w:fill="FBD4B4" w:themeFill="accent6" w:themeFillTint="66"/>
          </w:tcPr>
          <w:p w14:paraId="36B52C99" w14:textId="77777777" w:rsidR="002D3389" w:rsidRPr="00163080" w:rsidRDefault="002D3389" w:rsidP="000E0B9A">
            <w:pPr>
              <w:pStyle w:val="Rowcolumntitles"/>
              <w:rPr>
                <w:rFonts w:eastAsia="Times New Roman"/>
                <w:szCs w:val="22"/>
                <w:lang w:val="en-GB"/>
              </w:rPr>
            </w:pPr>
          </w:p>
        </w:tc>
        <w:tc>
          <w:tcPr>
            <w:tcW w:w="311" w:type="dxa"/>
            <w:vMerge/>
            <w:shd w:val="clear" w:color="auto" w:fill="FBD4B4" w:themeFill="accent6" w:themeFillTint="66"/>
          </w:tcPr>
          <w:p w14:paraId="5F7CB15D" w14:textId="77777777" w:rsidR="002D3389" w:rsidRPr="00163080" w:rsidRDefault="002D3389" w:rsidP="000E0B9A">
            <w:pPr>
              <w:pStyle w:val="Rowcolumntitles"/>
              <w:rPr>
                <w:noProof/>
                <w:szCs w:val="22"/>
                <w:lang w:val="en-GB"/>
              </w:rPr>
            </w:pPr>
          </w:p>
        </w:tc>
        <w:tc>
          <w:tcPr>
            <w:tcW w:w="417" w:type="dxa"/>
            <w:vMerge/>
            <w:shd w:val="clear" w:color="auto" w:fill="FBD4B4" w:themeFill="accent6" w:themeFillTint="66"/>
          </w:tcPr>
          <w:p w14:paraId="4DAD1713" w14:textId="77777777" w:rsidR="002D3389" w:rsidRPr="00163080" w:rsidRDefault="002D3389" w:rsidP="000E0B9A">
            <w:pPr>
              <w:pStyle w:val="Rowcolumntitles"/>
              <w:rPr>
                <w:noProof/>
                <w:szCs w:val="22"/>
                <w:lang w:val="en-GB"/>
              </w:rPr>
            </w:pPr>
          </w:p>
        </w:tc>
        <w:tc>
          <w:tcPr>
            <w:tcW w:w="947" w:type="dxa"/>
            <w:vMerge/>
            <w:shd w:val="clear" w:color="auto" w:fill="FBD4B4" w:themeFill="accent6" w:themeFillTint="66"/>
          </w:tcPr>
          <w:p w14:paraId="045B0906" w14:textId="77777777" w:rsidR="002D3389" w:rsidRPr="00163080" w:rsidRDefault="002D3389" w:rsidP="000E0B9A">
            <w:pPr>
              <w:pStyle w:val="Rowcolumntitles"/>
              <w:rPr>
                <w:noProof/>
                <w:szCs w:val="22"/>
                <w:lang w:val="en-GB"/>
              </w:rPr>
            </w:pPr>
          </w:p>
        </w:tc>
        <w:tc>
          <w:tcPr>
            <w:tcW w:w="349" w:type="dxa"/>
            <w:vMerge/>
            <w:shd w:val="clear" w:color="auto" w:fill="CCC0D9" w:themeFill="accent4" w:themeFillTint="66"/>
          </w:tcPr>
          <w:p w14:paraId="3375EBD8"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4DE58DF1" w14:textId="77777777" w:rsidR="002D3389" w:rsidRPr="00163080" w:rsidRDefault="002D3389" w:rsidP="000E0B9A">
            <w:pPr>
              <w:pStyle w:val="Rowcolumntitles"/>
              <w:rPr>
                <w:noProof/>
                <w:szCs w:val="22"/>
                <w:lang w:val="en-GB"/>
              </w:rPr>
            </w:pPr>
          </w:p>
        </w:tc>
        <w:tc>
          <w:tcPr>
            <w:tcW w:w="349" w:type="dxa"/>
            <w:vMerge/>
            <w:shd w:val="clear" w:color="auto" w:fill="CCC0D9" w:themeFill="accent4" w:themeFillTint="66"/>
          </w:tcPr>
          <w:p w14:paraId="7A833389"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165CF892"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4F2B577A" w14:textId="7F0AA132"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4CC7CD58" w14:textId="77777777"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281D83A2"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07B8BECD" w14:textId="0F4FAF74"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557C7612"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22CA61D7"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49182BA7"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3F4F8880"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69346061" w14:textId="77777777" w:rsidR="002D3389" w:rsidRPr="00163080" w:rsidRDefault="002D3389" w:rsidP="000E0B9A">
            <w:pPr>
              <w:pStyle w:val="Rowcolumntitles"/>
              <w:rPr>
                <w:rFonts w:eastAsia="Times New Roman"/>
                <w:szCs w:val="22"/>
                <w:lang w:val="en-GB"/>
              </w:rPr>
            </w:pPr>
          </w:p>
        </w:tc>
      </w:tr>
      <w:tr w:rsidR="000E0B9A" w:rsidRPr="009400F9" w14:paraId="26268CB1" w14:textId="77777777" w:rsidTr="00BD1202">
        <w:trPr>
          <w:trHeight w:val="174"/>
        </w:trPr>
        <w:tc>
          <w:tcPr>
            <w:tcW w:w="1569" w:type="dxa"/>
            <w:vMerge w:val="restart"/>
            <w:shd w:val="clear" w:color="auto" w:fill="000000" w:themeFill="text1"/>
          </w:tcPr>
          <w:p w14:paraId="67DA8F0E" w14:textId="24E31CB0" w:rsidR="002D3389" w:rsidRPr="00163080" w:rsidRDefault="002D3389" w:rsidP="000E0B9A">
            <w:pPr>
              <w:pStyle w:val="Rowcolumntitles"/>
              <w:rPr>
                <w:noProof/>
                <w:color w:val="FFFFFF" w:themeColor="background1"/>
                <w:szCs w:val="22"/>
                <w:lang w:val="en-GB"/>
              </w:rPr>
            </w:pPr>
            <w:r w:rsidRPr="00163080">
              <w:rPr>
                <w:color w:val="FFFFFF" w:themeColor="background1"/>
                <w:szCs w:val="22"/>
                <w:lang w:val="en-GB"/>
              </w:rPr>
              <w:t>22. Open budget initiatives</w:t>
            </w:r>
          </w:p>
        </w:tc>
        <w:tc>
          <w:tcPr>
            <w:tcW w:w="415" w:type="dxa"/>
            <w:vMerge w:val="restart"/>
            <w:shd w:val="clear" w:color="auto" w:fill="D6E3BC" w:themeFill="accent3" w:themeFillTint="66"/>
          </w:tcPr>
          <w:p w14:paraId="46AEFE80"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42665C5A"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6BF1B917" w14:textId="77777777" w:rsidR="002D3389" w:rsidRPr="00163080" w:rsidRDefault="002D3389" w:rsidP="000E0B9A">
            <w:pPr>
              <w:pStyle w:val="Rowcolumntitles"/>
              <w:rPr>
                <w:szCs w:val="22"/>
                <w:lang w:val="en-GB"/>
              </w:rPr>
            </w:pPr>
          </w:p>
        </w:tc>
        <w:tc>
          <w:tcPr>
            <w:tcW w:w="298" w:type="dxa"/>
            <w:vMerge w:val="restart"/>
            <w:shd w:val="clear" w:color="auto" w:fill="D6E3BC" w:themeFill="accent3" w:themeFillTint="66"/>
          </w:tcPr>
          <w:p w14:paraId="3356A3BD" w14:textId="1A1046C0"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687" w:type="dxa"/>
            <w:vMerge w:val="restart"/>
            <w:shd w:val="clear" w:color="auto" w:fill="FBD4B4" w:themeFill="accent6" w:themeFillTint="66"/>
          </w:tcPr>
          <w:p w14:paraId="753C96B9" w14:textId="7D76F0E3"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11" w:type="dxa"/>
            <w:vMerge w:val="restart"/>
            <w:shd w:val="clear" w:color="auto" w:fill="FBD4B4" w:themeFill="accent6" w:themeFillTint="66"/>
          </w:tcPr>
          <w:p w14:paraId="306F3F0E" w14:textId="77777777" w:rsidR="002D3389" w:rsidRPr="00163080" w:rsidRDefault="002D3389" w:rsidP="000E0B9A">
            <w:pPr>
              <w:pStyle w:val="Rowcolumntitles"/>
              <w:rPr>
                <w:rFonts w:eastAsia="Times New Roman"/>
                <w:szCs w:val="22"/>
                <w:lang w:val="en-GB"/>
              </w:rPr>
            </w:pPr>
          </w:p>
        </w:tc>
        <w:tc>
          <w:tcPr>
            <w:tcW w:w="417" w:type="dxa"/>
            <w:vMerge w:val="restart"/>
            <w:shd w:val="clear" w:color="auto" w:fill="FBD4B4" w:themeFill="accent6" w:themeFillTint="66"/>
          </w:tcPr>
          <w:p w14:paraId="36D2BBB3" w14:textId="57043D0F"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947" w:type="dxa"/>
            <w:vMerge w:val="restart"/>
            <w:shd w:val="clear" w:color="auto" w:fill="FBD4B4" w:themeFill="accent6" w:themeFillTint="66"/>
          </w:tcPr>
          <w:p w14:paraId="4D77A408" w14:textId="58A74762"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01DCB73A"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0B6DEA44" w14:textId="77777777" w:rsidR="002D3389" w:rsidRPr="00163080" w:rsidRDefault="002D3389" w:rsidP="000E0B9A">
            <w:pPr>
              <w:pStyle w:val="Rowcolumntitles"/>
              <w:rPr>
                <w:rFonts w:eastAsia="Times New Roman"/>
                <w:szCs w:val="22"/>
                <w:lang w:val="en-GB"/>
              </w:rPr>
            </w:pPr>
          </w:p>
        </w:tc>
        <w:tc>
          <w:tcPr>
            <w:tcW w:w="349" w:type="dxa"/>
            <w:vMerge w:val="restart"/>
            <w:shd w:val="clear" w:color="auto" w:fill="CCC0D9" w:themeFill="accent4" w:themeFillTint="66"/>
          </w:tcPr>
          <w:p w14:paraId="12C0DD0B" w14:textId="246A59C3"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351" w:type="dxa"/>
            <w:gridSpan w:val="2"/>
            <w:vMerge w:val="restart"/>
            <w:shd w:val="clear" w:color="auto" w:fill="CCC0D9" w:themeFill="accent4" w:themeFillTint="66"/>
          </w:tcPr>
          <w:p w14:paraId="0BECAB28"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6A5E514C" w14:textId="078B6BED"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6813855A" w14:textId="44623B58"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4FEFC25C"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65FAA86D" w14:textId="3F61B1DE"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val="restart"/>
            <w:shd w:val="clear" w:color="auto" w:fill="D99594" w:themeFill="accent2" w:themeFillTint="99"/>
          </w:tcPr>
          <w:p w14:paraId="5C1C4EAA"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4502AD45"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12BDFDEC"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1DC2EFA6" w14:textId="29DD6107"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400" w:type="dxa"/>
            <w:vMerge w:val="restart"/>
            <w:shd w:val="clear" w:color="auto" w:fill="D99594" w:themeFill="accent2" w:themeFillTint="99"/>
          </w:tcPr>
          <w:p w14:paraId="5A706D86" w14:textId="77777777" w:rsidR="002D3389" w:rsidRPr="00163080" w:rsidRDefault="002D3389" w:rsidP="000E0B9A">
            <w:pPr>
              <w:pStyle w:val="Rowcolumntitles"/>
              <w:rPr>
                <w:rFonts w:eastAsia="Times New Roman"/>
                <w:szCs w:val="22"/>
                <w:lang w:val="en-GB"/>
              </w:rPr>
            </w:pPr>
          </w:p>
        </w:tc>
      </w:tr>
      <w:tr w:rsidR="000E0B9A" w:rsidRPr="009400F9" w14:paraId="1C91A234" w14:textId="77777777" w:rsidTr="00BD1202">
        <w:trPr>
          <w:trHeight w:val="173"/>
        </w:trPr>
        <w:tc>
          <w:tcPr>
            <w:tcW w:w="1569" w:type="dxa"/>
            <w:vMerge/>
            <w:shd w:val="clear" w:color="auto" w:fill="000000" w:themeFill="text1"/>
          </w:tcPr>
          <w:p w14:paraId="602F8309"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19C2CDC8"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615D3F81"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515A2D80" w14:textId="77777777" w:rsidR="002D3389" w:rsidRPr="00163080" w:rsidRDefault="002D3389" w:rsidP="000E0B9A">
            <w:pPr>
              <w:pStyle w:val="Rowcolumntitles"/>
              <w:rPr>
                <w:szCs w:val="22"/>
                <w:lang w:val="en-GB"/>
              </w:rPr>
            </w:pPr>
          </w:p>
        </w:tc>
        <w:tc>
          <w:tcPr>
            <w:tcW w:w="298" w:type="dxa"/>
            <w:vMerge/>
            <w:shd w:val="clear" w:color="auto" w:fill="D6E3BC" w:themeFill="accent3" w:themeFillTint="66"/>
          </w:tcPr>
          <w:p w14:paraId="0B906816" w14:textId="77777777" w:rsidR="002D3389" w:rsidRPr="00163080" w:rsidRDefault="002D3389" w:rsidP="000E0B9A">
            <w:pPr>
              <w:pStyle w:val="Rowcolumntitles"/>
              <w:rPr>
                <w:noProof/>
                <w:szCs w:val="22"/>
                <w:lang w:val="en-GB"/>
              </w:rPr>
            </w:pPr>
          </w:p>
        </w:tc>
        <w:tc>
          <w:tcPr>
            <w:tcW w:w="687" w:type="dxa"/>
            <w:vMerge/>
            <w:shd w:val="clear" w:color="auto" w:fill="FBD4B4" w:themeFill="accent6" w:themeFillTint="66"/>
          </w:tcPr>
          <w:p w14:paraId="19B86F58" w14:textId="77777777" w:rsidR="002D3389" w:rsidRPr="00163080" w:rsidRDefault="002D3389" w:rsidP="000E0B9A">
            <w:pPr>
              <w:pStyle w:val="Rowcolumntitles"/>
              <w:rPr>
                <w:noProof/>
                <w:szCs w:val="22"/>
                <w:lang w:val="en-GB"/>
              </w:rPr>
            </w:pPr>
          </w:p>
        </w:tc>
        <w:tc>
          <w:tcPr>
            <w:tcW w:w="311" w:type="dxa"/>
            <w:vMerge/>
            <w:shd w:val="clear" w:color="auto" w:fill="FBD4B4" w:themeFill="accent6" w:themeFillTint="66"/>
          </w:tcPr>
          <w:p w14:paraId="53944C8C" w14:textId="77777777" w:rsidR="002D3389" w:rsidRPr="00163080" w:rsidRDefault="002D3389" w:rsidP="000E0B9A">
            <w:pPr>
              <w:pStyle w:val="Rowcolumntitles"/>
              <w:rPr>
                <w:rFonts w:eastAsia="Times New Roman"/>
                <w:szCs w:val="22"/>
                <w:lang w:val="en-GB"/>
              </w:rPr>
            </w:pPr>
          </w:p>
        </w:tc>
        <w:tc>
          <w:tcPr>
            <w:tcW w:w="417" w:type="dxa"/>
            <w:vMerge/>
            <w:shd w:val="clear" w:color="auto" w:fill="FBD4B4" w:themeFill="accent6" w:themeFillTint="66"/>
          </w:tcPr>
          <w:p w14:paraId="7B497EEE" w14:textId="77777777" w:rsidR="002D3389" w:rsidRPr="00163080" w:rsidRDefault="002D3389" w:rsidP="000E0B9A">
            <w:pPr>
              <w:pStyle w:val="Rowcolumntitles"/>
              <w:rPr>
                <w:noProof/>
                <w:szCs w:val="22"/>
                <w:lang w:val="en-GB"/>
              </w:rPr>
            </w:pPr>
          </w:p>
        </w:tc>
        <w:tc>
          <w:tcPr>
            <w:tcW w:w="947" w:type="dxa"/>
            <w:vMerge/>
            <w:shd w:val="clear" w:color="auto" w:fill="FBD4B4" w:themeFill="accent6" w:themeFillTint="66"/>
          </w:tcPr>
          <w:p w14:paraId="4D977C20" w14:textId="77777777" w:rsidR="002D3389" w:rsidRPr="00163080" w:rsidRDefault="002D3389" w:rsidP="000E0B9A">
            <w:pPr>
              <w:pStyle w:val="Rowcolumntitles"/>
              <w:rPr>
                <w:noProof/>
                <w:szCs w:val="22"/>
                <w:lang w:val="en-GB"/>
              </w:rPr>
            </w:pPr>
          </w:p>
        </w:tc>
        <w:tc>
          <w:tcPr>
            <w:tcW w:w="349" w:type="dxa"/>
            <w:vMerge/>
            <w:shd w:val="clear" w:color="auto" w:fill="CCC0D9" w:themeFill="accent4" w:themeFillTint="66"/>
          </w:tcPr>
          <w:p w14:paraId="4781C7A5"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58D4CD9F"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76E12DF1" w14:textId="77777777" w:rsidR="002D3389" w:rsidRPr="00163080" w:rsidRDefault="002D3389" w:rsidP="000E0B9A">
            <w:pPr>
              <w:pStyle w:val="Rowcolumntitles"/>
              <w:rPr>
                <w:noProof/>
                <w:szCs w:val="22"/>
                <w:lang w:val="en-GB"/>
              </w:rPr>
            </w:pPr>
          </w:p>
        </w:tc>
        <w:tc>
          <w:tcPr>
            <w:tcW w:w="351" w:type="dxa"/>
            <w:gridSpan w:val="2"/>
            <w:vMerge/>
            <w:shd w:val="clear" w:color="auto" w:fill="CCC0D9" w:themeFill="accent4" w:themeFillTint="66"/>
          </w:tcPr>
          <w:p w14:paraId="37AC66F2"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2B6C5193" w14:textId="77777777" w:rsidR="002D3389" w:rsidRPr="00163080" w:rsidRDefault="002D3389" w:rsidP="000E0B9A">
            <w:pPr>
              <w:pStyle w:val="Rowcolumntitles"/>
              <w:rPr>
                <w:szCs w:val="22"/>
                <w:lang w:val="en-GB"/>
              </w:rPr>
            </w:pPr>
          </w:p>
        </w:tc>
        <w:tc>
          <w:tcPr>
            <w:tcW w:w="506" w:type="dxa"/>
            <w:gridSpan w:val="2"/>
            <w:shd w:val="clear" w:color="auto" w:fill="B8CCE4" w:themeFill="accent1" w:themeFillTint="66"/>
          </w:tcPr>
          <w:p w14:paraId="7582319E" w14:textId="77777777" w:rsidR="002D3389" w:rsidRPr="00163080" w:rsidRDefault="002D3389" w:rsidP="000E0B9A">
            <w:pPr>
              <w:pStyle w:val="Rowcolumntitles"/>
              <w:rPr>
                <w:szCs w:val="22"/>
                <w:lang w:val="en-GB"/>
              </w:rPr>
            </w:pPr>
          </w:p>
        </w:tc>
        <w:tc>
          <w:tcPr>
            <w:tcW w:w="506" w:type="dxa"/>
            <w:gridSpan w:val="3"/>
            <w:shd w:val="clear" w:color="auto" w:fill="B8CCE4" w:themeFill="accent1" w:themeFillTint="66"/>
          </w:tcPr>
          <w:p w14:paraId="1EB6639A" w14:textId="77777777" w:rsidR="002D3389" w:rsidRPr="00163080" w:rsidRDefault="002D3389" w:rsidP="000E0B9A">
            <w:pPr>
              <w:pStyle w:val="Rowcolumntitles"/>
              <w:rPr>
                <w:szCs w:val="22"/>
                <w:lang w:val="en-GB"/>
              </w:rPr>
            </w:pPr>
          </w:p>
        </w:tc>
        <w:tc>
          <w:tcPr>
            <w:tcW w:w="511" w:type="dxa"/>
            <w:gridSpan w:val="2"/>
            <w:shd w:val="clear" w:color="auto" w:fill="B8CCE4" w:themeFill="accent1" w:themeFillTint="66"/>
          </w:tcPr>
          <w:p w14:paraId="6BF61712" w14:textId="21F162A6"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5AE0007A"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5E7F3ABC"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51FD2626"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77AD5033" w14:textId="77777777" w:rsidR="002D3389" w:rsidRPr="00163080" w:rsidRDefault="002D3389" w:rsidP="000E0B9A">
            <w:pPr>
              <w:pStyle w:val="Rowcolumntitles"/>
              <w:rPr>
                <w:noProof/>
                <w:szCs w:val="22"/>
                <w:lang w:val="en-GB"/>
              </w:rPr>
            </w:pPr>
          </w:p>
        </w:tc>
        <w:tc>
          <w:tcPr>
            <w:tcW w:w="400" w:type="dxa"/>
            <w:vMerge/>
            <w:shd w:val="clear" w:color="auto" w:fill="D99594" w:themeFill="accent2" w:themeFillTint="99"/>
          </w:tcPr>
          <w:p w14:paraId="4EEAB0E8" w14:textId="77777777" w:rsidR="002D3389" w:rsidRPr="00163080" w:rsidRDefault="002D3389" w:rsidP="000E0B9A">
            <w:pPr>
              <w:pStyle w:val="Rowcolumntitles"/>
              <w:rPr>
                <w:rFonts w:eastAsia="Times New Roman"/>
                <w:szCs w:val="22"/>
                <w:lang w:val="en-GB"/>
              </w:rPr>
            </w:pPr>
          </w:p>
        </w:tc>
      </w:tr>
      <w:tr w:rsidR="00B017F8" w:rsidRPr="009400F9" w14:paraId="5C905B45" w14:textId="77777777" w:rsidTr="00BD1202">
        <w:trPr>
          <w:trHeight w:val="227"/>
        </w:trPr>
        <w:tc>
          <w:tcPr>
            <w:tcW w:w="1569" w:type="dxa"/>
            <w:vMerge w:val="restart"/>
            <w:shd w:val="clear" w:color="auto" w:fill="000000" w:themeFill="text1"/>
          </w:tcPr>
          <w:p w14:paraId="69ACB4C7" w14:textId="32636D70" w:rsidR="002D3389" w:rsidRPr="00163080" w:rsidRDefault="002D3389" w:rsidP="000E0B9A">
            <w:pPr>
              <w:pStyle w:val="Rowcolumntitles"/>
              <w:rPr>
                <w:color w:val="FFFFFF" w:themeColor="background1"/>
                <w:szCs w:val="22"/>
                <w:lang w:val="en-GB"/>
              </w:rPr>
            </w:pPr>
            <w:r w:rsidRPr="00163080">
              <w:rPr>
                <w:color w:val="FFFFFF" w:themeColor="background1"/>
                <w:szCs w:val="22"/>
                <w:lang w:val="en-GB"/>
              </w:rPr>
              <w:t xml:space="preserve">24. E-governance training for local government </w:t>
            </w:r>
          </w:p>
        </w:tc>
        <w:tc>
          <w:tcPr>
            <w:tcW w:w="415" w:type="dxa"/>
            <w:vMerge w:val="restart"/>
            <w:shd w:val="clear" w:color="auto" w:fill="D6E3BC" w:themeFill="accent3" w:themeFillTint="66"/>
          </w:tcPr>
          <w:p w14:paraId="21A0214B" w14:textId="77777777" w:rsidR="002D3389" w:rsidRPr="00163080" w:rsidRDefault="002D3389" w:rsidP="000E0B9A">
            <w:pPr>
              <w:pStyle w:val="Rowcolumntitles"/>
              <w:rPr>
                <w:szCs w:val="22"/>
                <w:lang w:val="en-GB"/>
              </w:rPr>
            </w:pPr>
          </w:p>
        </w:tc>
        <w:tc>
          <w:tcPr>
            <w:tcW w:w="418" w:type="dxa"/>
            <w:vMerge w:val="restart"/>
            <w:shd w:val="clear" w:color="auto" w:fill="D6E3BC" w:themeFill="accent3" w:themeFillTint="66"/>
          </w:tcPr>
          <w:p w14:paraId="1729FC69" w14:textId="77777777" w:rsidR="002D3389" w:rsidRPr="00163080" w:rsidRDefault="002D3389" w:rsidP="000E0B9A">
            <w:pPr>
              <w:pStyle w:val="Rowcolumntitles"/>
              <w:rPr>
                <w:rFonts w:eastAsia="Times New Roman"/>
                <w:szCs w:val="22"/>
                <w:lang w:val="en-GB"/>
              </w:rPr>
            </w:pPr>
          </w:p>
        </w:tc>
        <w:tc>
          <w:tcPr>
            <w:tcW w:w="380" w:type="dxa"/>
            <w:vMerge w:val="restart"/>
            <w:shd w:val="clear" w:color="auto" w:fill="D6E3BC" w:themeFill="accent3" w:themeFillTint="66"/>
          </w:tcPr>
          <w:p w14:paraId="40C50A88" w14:textId="276AC604"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298" w:type="dxa"/>
            <w:vMerge w:val="restart"/>
            <w:shd w:val="clear" w:color="auto" w:fill="D6E3BC" w:themeFill="accent3" w:themeFillTint="66"/>
          </w:tcPr>
          <w:p w14:paraId="6231DAB2" w14:textId="77777777" w:rsidR="002D3389" w:rsidRPr="00163080" w:rsidRDefault="002D3389" w:rsidP="000E0B9A">
            <w:pPr>
              <w:pStyle w:val="Rowcolumntitles"/>
              <w:rPr>
                <w:rFonts w:eastAsia="Times New Roman"/>
                <w:szCs w:val="22"/>
                <w:lang w:val="en-GB"/>
              </w:rPr>
            </w:pPr>
          </w:p>
        </w:tc>
        <w:tc>
          <w:tcPr>
            <w:tcW w:w="2362" w:type="dxa"/>
            <w:gridSpan w:val="4"/>
            <w:vMerge w:val="restart"/>
            <w:shd w:val="clear" w:color="auto" w:fill="FBD4B4" w:themeFill="accent6" w:themeFillTint="66"/>
          </w:tcPr>
          <w:p w14:paraId="263D2983" w14:textId="0F81FAF6" w:rsidR="002D3389" w:rsidRPr="00163080" w:rsidRDefault="002D3389" w:rsidP="000E0B9A">
            <w:pPr>
              <w:pStyle w:val="Rowcolumntitles"/>
              <w:jc w:val="center"/>
              <w:rPr>
                <w:rFonts w:eastAsia="Times New Roman"/>
                <w:szCs w:val="22"/>
                <w:lang w:val="en-GB"/>
              </w:rPr>
            </w:pPr>
            <w:r w:rsidRPr="00163080">
              <w:rPr>
                <w:noProof/>
                <w:szCs w:val="22"/>
                <w:lang w:val="en-GB"/>
              </w:rPr>
              <w:t>Unclear</w:t>
            </w:r>
          </w:p>
        </w:tc>
        <w:tc>
          <w:tcPr>
            <w:tcW w:w="349" w:type="dxa"/>
            <w:vMerge w:val="restart"/>
            <w:shd w:val="clear" w:color="auto" w:fill="CCC0D9" w:themeFill="accent4" w:themeFillTint="66"/>
          </w:tcPr>
          <w:p w14:paraId="136E4E26" w14:textId="77777777" w:rsidR="002D3389" w:rsidRPr="00163080" w:rsidRDefault="002D3389" w:rsidP="000E0B9A">
            <w:pPr>
              <w:pStyle w:val="Rowcolumntitles"/>
              <w:rPr>
                <w:szCs w:val="22"/>
                <w:lang w:val="en-GB"/>
              </w:rPr>
            </w:pPr>
          </w:p>
        </w:tc>
        <w:tc>
          <w:tcPr>
            <w:tcW w:w="349" w:type="dxa"/>
            <w:vMerge w:val="restart"/>
            <w:shd w:val="clear" w:color="auto" w:fill="CCC0D9" w:themeFill="accent4" w:themeFillTint="66"/>
          </w:tcPr>
          <w:p w14:paraId="09B8CD31" w14:textId="69D1E850"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49" w:type="dxa"/>
            <w:vMerge w:val="restart"/>
            <w:shd w:val="clear" w:color="auto" w:fill="CCC0D9" w:themeFill="accent4" w:themeFillTint="66"/>
          </w:tcPr>
          <w:p w14:paraId="11A48BEC" w14:textId="77777777" w:rsidR="002D3389" w:rsidRPr="00163080" w:rsidRDefault="002D3389" w:rsidP="000E0B9A">
            <w:pPr>
              <w:pStyle w:val="Rowcolumntitles"/>
              <w:rPr>
                <w:szCs w:val="22"/>
                <w:lang w:val="en-GB"/>
              </w:rPr>
            </w:pPr>
          </w:p>
        </w:tc>
        <w:tc>
          <w:tcPr>
            <w:tcW w:w="351" w:type="dxa"/>
            <w:gridSpan w:val="2"/>
            <w:vMerge w:val="restart"/>
            <w:shd w:val="clear" w:color="auto" w:fill="CCC0D9" w:themeFill="accent4" w:themeFillTint="66"/>
          </w:tcPr>
          <w:p w14:paraId="70989C45"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50AA401F" w14:textId="5F04BF81" w:rsidR="002D3389" w:rsidRPr="00163080" w:rsidRDefault="002D3389" w:rsidP="000E0B9A">
            <w:pPr>
              <w:pStyle w:val="Rowcolumntitles"/>
              <w:rPr>
                <w:rFonts w:eastAsia="Times New Roman"/>
                <w:szCs w:val="22"/>
                <w:lang w:val="en-GB"/>
              </w:rPr>
            </w:pPr>
          </w:p>
        </w:tc>
        <w:tc>
          <w:tcPr>
            <w:tcW w:w="506" w:type="dxa"/>
            <w:gridSpan w:val="2"/>
            <w:shd w:val="clear" w:color="auto" w:fill="B8CCE4" w:themeFill="accent1" w:themeFillTint="66"/>
          </w:tcPr>
          <w:p w14:paraId="27B59F7C" w14:textId="1ACDAA23" w:rsidR="002D3389" w:rsidRPr="00163080" w:rsidRDefault="002D3389" w:rsidP="000E0B9A">
            <w:pPr>
              <w:pStyle w:val="Rowcolumntitles"/>
              <w:rPr>
                <w:rFonts w:eastAsia="Times New Roman"/>
                <w:szCs w:val="22"/>
                <w:lang w:val="en-GB"/>
              </w:rPr>
            </w:pPr>
          </w:p>
        </w:tc>
        <w:tc>
          <w:tcPr>
            <w:tcW w:w="506" w:type="dxa"/>
            <w:gridSpan w:val="3"/>
            <w:shd w:val="clear" w:color="auto" w:fill="B8CCE4" w:themeFill="accent1" w:themeFillTint="66"/>
          </w:tcPr>
          <w:p w14:paraId="7DB41CAE" w14:textId="77777777" w:rsidR="002D3389" w:rsidRPr="00163080" w:rsidRDefault="002D3389" w:rsidP="000E0B9A">
            <w:pPr>
              <w:pStyle w:val="Rowcolumntitles"/>
              <w:rPr>
                <w:rFonts w:eastAsia="Times New Roman"/>
                <w:szCs w:val="22"/>
                <w:lang w:val="en-GB"/>
              </w:rPr>
            </w:pPr>
          </w:p>
        </w:tc>
        <w:tc>
          <w:tcPr>
            <w:tcW w:w="511" w:type="dxa"/>
            <w:gridSpan w:val="2"/>
            <w:shd w:val="clear" w:color="auto" w:fill="B8CCE4" w:themeFill="accent1" w:themeFillTint="66"/>
          </w:tcPr>
          <w:p w14:paraId="3A15A115" w14:textId="2E6AC386"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77" w:type="dxa"/>
            <w:vMerge w:val="restart"/>
            <w:shd w:val="clear" w:color="auto" w:fill="D99594" w:themeFill="accent2" w:themeFillTint="99"/>
          </w:tcPr>
          <w:p w14:paraId="6AD18322"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02A0ADC2" w14:textId="2CE02063" w:rsidR="002D3389" w:rsidRPr="00163080" w:rsidRDefault="002D3389" w:rsidP="000E0B9A">
            <w:pPr>
              <w:pStyle w:val="Rowcolumntitles"/>
              <w:rPr>
                <w:rFonts w:eastAsia="Times New Roman"/>
                <w:szCs w:val="22"/>
                <w:lang w:val="en-GB"/>
              </w:rPr>
            </w:pPr>
            <w:r w:rsidRPr="00163080">
              <w:rPr>
                <w:rFonts w:ascii="MS Mincho" w:eastAsia="MS Mincho" w:hAnsi="MS Mincho" w:cs="MS Mincho"/>
                <w:noProof/>
                <w:szCs w:val="22"/>
                <w:lang w:val="en-GB"/>
              </w:rPr>
              <w:t>✔</w:t>
            </w:r>
          </w:p>
        </w:tc>
        <w:tc>
          <w:tcPr>
            <w:tcW w:w="325" w:type="dxa"/>
            <w:vMerge w:val="restart"/>
            <w:shd w:val="clear" w:color="auto" w:fill="D99594" w:themeFill="accent2" w:themeFillTint="99"/>
          </w:tcPr>
          <w:p w14:paraId="6936AF6F" w14:textId="77777777" w:rsidR="002D3389" w:rsidRPr="00163080" w:rsidRDefault="002D3389" w:rsidP="000E0B9A">
            <w:pPr>
              <w:pStyle w:val="Rowcolumntitles"/>
              <w:rPr>
                <w:rFonts w:eastAsia="Times New Roman"/>
                <w:szCs w:val="22"/>
                <w:lang w:val="en-GB"/>
              </w:rPr>
            </w:pPr>
          </w:p>
        </w:tc>
        <w:tc>
          <w:tcPr>
            <w:tcW w:w="325" w:type="dxa"/>
            <w:vMerge w:val="restart"/>
            <w:shd w:val="clear" w:color="auto" w:fill="D99594" w:themeFill="accent2" w:themeFillTint="99"/>
          </w:tcPr>
          <w:p w14:paraId="71F52BDC" w14:textId="77777777" w:rsidR="002D3389" w:rsidRPr="00163080" w:rsidRDefault="002D3389" w:rsidP="000E0B9A">
            <w:pPr>
              <w:pStyle w:val="Rowcolumntitles"/>
              <w:rPr>
                <w:rFonts w:eastAsia="Times New Roman"/>
                <w:szCs w:val="22"/>
                <w:lang w:val="en-GB"/>
              </w:rPr>
            </w:pPr>
          </w:p>
        </w:tc>
        <w:tc>
          <w:tcPr>
            <w:tcW w:w="400" w:type="dxa"/>
            <w:vMerge w:val="restart"/>
            <w:shd w:val="clear" w:color="auto" w:fill="D99594" w:themeFill="accent2" w:themeFillTint="99"/>
          </w:tcPr>
          <w:p w14:paraId="65A09566" w14:textId="77777777" w:rsidR="002D3389" w:rsidRPr="00163080" w:rsidRDefault="002D3389" w:rsidP="000E0B9A">
            <w:pPr>
              <w:pStyle w:val="Rowcolumntitles"/>
              <w:rPr>
                <w:rFonts w:eastAsia="Times New Roman"/>
                <w:szCs w:val="22"/>
                <w:lang w:val="en-GB"/>
              </w:rPr>
            </w:pPr>
          </w:p>
        </w:tc>
      </w:tr>
      <w:tr w:rsidR="00B017F8" w:rsidRPr="009400F9" w14:paraId="5EDAF565" w14:textId="77777777" w:rsidTr="00BD1202">
        <w:trPr>
          <w:trHeight w:val="226"/>
        </w:trPr>
        <w:tc>
          <w:tcPr>
            <w:tcW w:w="1569" w:type="dxa"/>
            <w:vMerge/>
            <w:shd w:val="clear" w:color="auto" w:fill="000000" w:themeFill="text1"/>
          </w:tcPr>
          <w:p w14:paraId="46FB1C2C" w14:textId="77777777" w:rsidR="002D3389" w:rsidRPr="00163080" w:rsidRDefault="002D3389" w:rsidP="000E0B9A">
            <w:pPr>
              <w:pStyle w:val="Rowcolumntitles"/>
              <w:rPr>
                <w:color w:val="FFFFFF" w:themeColor="background1"/>
                <w:szCs w:val="22"/>
                <w:lang w:val="en-GB"/>
              </w:rPr>
            </w:pPr>
          </w:p>
        </w:tc>
        <w:tc>
          <w:tcPr>
            <w:tcW w:w="415" w:type="dxa"/>
            <w:vMerge/>
            <w:shd w:val="clear" w:color="auto" w:fill="D6E3BC" w:themeFill="accent3" w:themeFillTint="66"/>
          </w:tcPr>
          <w:p w14:paraId="2A749236" w14:textId="77777777" w:rsidR="002D3389" w:rsidRPr="00163080" w:rsidRDefault="002D3389" w:rsidP="000E0B9A">
            <w:pPr>
              <w:pStyle w:val="Rowcolumntitles"/>
              <w:rPr>
                <w:szCs w:val="22"/>
                <w:lang w:val="en-GB"/>
              </w:rPr>
            </w:pPr>
          </w:p>
        </w:tc>
        <w:tc>
          <w:tcPr>
            <w:tcW w:w="418" w:type="dxa"/>
            <w:vMerge/>
            <w:shd w:val="clear" w:color="auto" w:fill="D6E3BC" w:themeFill="accent3" w:themeFillTint="66"/>
          </w:tcPr>
          <w:p w14:paraId="5519ED5E" w14:textId="77777777" w:rsidR="002D3389" w:rsidRPr="00163080" w:rsidRDefault="002D3389" w:rsidP="000E0B9A">
            <w:pPr>
              <w:pStyle w:val="Rowcolumntitles"/>
              <w:rPr>
                <w:rFonts w:eastAsia="Times New Roman"/>
                <w:szCs w:val="22"/>
                <w:lang w:val="en-GB"/>
              </w:rPr>
            </w:pPr>
          </w:p>
        </w:tc>
        <w:tc>
          <w:tcPr>
            <w:tcW w:w="380" w:type="dxa"/>
            <w:vMerge/>
            <w:shd w:val="clear" w:color="auto" w:fill="D6E3BC" w:themeFill="accent3" w:themeFillTint="66"/>
          </w:tcPr>
          <w:p w14:paraId="5EB4217D" w14:textId="77777777" w:rsidR="002D3389" w:rsidRPr="00163080" w:rsidRDefault="002D3389" w:rsidP="000E0B9A">
            <w:pPr>
              <w:pStyle w:val="Rowcolumntitles"/>
              <w:rPr>
                <w:noProof/>
                <w:szCs w:val="22"/>
                <w:lang w:val="en-GB"/>
              </w:rPr>
            </w:pPr>
          </w:p>
        </w:tc>
        <w:tc>
          <w:tcPr>
            <w:tcW w:w="298" w:type="dxa"/>
            <w:vMerge/>
            <w:shd w:val="clear" w:color="auto" w:fill="D6E3BC" w:themeFill="accent3" w:themeFillTint="66"/>
          </w:tcPr>
          <w:p w14:paraId="3F75994B" w14:textId="77777777" w:rsidR="002D3389" w:rsidRPr="00163080" w:rsidRDefault="002D3389" w:rsidP="000E0B9A">
            <w:pPr>
              <w:pStyle w:val="Rowcolumntitles"/>
              <w:rPr>
                <w:rFonts w:eastAsia="Times New Roman"/>
                <w:szCs w:val="22"/>
                <w:lang w:val="en-GB"/>
              </w:rPr>
            </w:pPr>
          </w:p>
        </w:tc>
        <w:tc>
          <w:tcPr>
            <w:tcW w:w="2362" w:type="dxa"/>
            <w:gridSpan w:val="4"/>
            <w:vMerge/>
            <w:shd w:val="clear" w:color="auto" w:fill="FBD4B4" w:themeFill="accent6" w:themeFillTint="66"/>
          </w:tcPr>
          <w:p w14:paraId="31A7EB76" w14:textId="77777777" w:rsidR="002D3389" w:rsidRPr="00163080" w:rsidRDefault="002D3389" w:rsidP="000E0B9A">
            <w:pPr>
              <w:pStyle w:val="Rowcolumntitles"/>
              <w:rPr>
                <w:rFonts w:eastAsia="Times New Roman"/>
                <w:szCs w:val="22"/>
                <w:lang w:val="en-GB"/>
              </w:rPr>
            </w:pPr>
          </w:p>
        </w:tc>
        <w:tc>
          <w:tcPr>
            <w:tcW w:w="349" w:type="dxa"/>
            <w:vMerge/>
            <w:shd w:val="clear" w:color="auto" w:fill="CCC0D9" w:themeFill="accent4" w:themeFillTint="66"/>
          </w:tcPr>
          <w:p w14:paraId="1200DF05" w14:textId="77777777" w:rsidR="002D3389" w:rsidRPr="00163080" w:rsidRDefault="002D3389" w:rsidP="000E0B9A">
            <w:pPr>
              <w:pStyle w:val="Rowcolumntitles"/>
              <w:rPr>
                <w:szCs w:val="22"/>
                <w:lang w:val="en-GB"/>
              </w:rPr>
            </w:pPr>
          </w:p>
        </w:tc>
        <w:tc>
          <w:tcPr>
            <w:tcW w:w="349" w:type="dxa"/>
            <w:vMerge/>
            <w:shd w:val="clear" w:color="auto" w:fill="CCC0D9" w:themeFill="accent4" w:themeFillTint="66"/>
          </w:tcPr>
          <w:p w14:paraId="46786B6D" w14:textId="77777777" w:rsidR="002D3389" w:rsidRPr="00163080" w:rsidRDefault="002D3389" w:rsidP="000E0B9A">
            <w:pPr>
              <w:pStyle w:val="Rowcolumntitles"/>
              <w:rPr>
                <w:noProof/>
                <w:szCs w:val="22"/>
                <w:lang w:val="en-GB"/>
              </w:rPr>
            </w:pPr>
          </w:p>
        </w:tc>
        <w:tc>
          <w:tcPr>
            <w:tcW w:w="349" w:type="dxa"/>
            <w:vMerge/>
            <w:shd w:val="clear" w:color="auto" w:fill="CCC0D9" w:themeFill="accent4" w:themeFillTint="66"/>
          </w:tcPr>
          <w:p w14:paraId="14BE1FAC" w14:textId="77777777" w:rsidR="002D3389" w:rsidRPr="00163080" w:rsidRDefault="002D3389" w:rsidP="000E0B9A">
            <w:pPr>
              <w:pStyle w:val="Rowcolumntitles"/>
              <w:rPr>
                <w:szCs w:val="22"/>
                <w:lang w:val="en-GB"/>
              </w:rPr>
            </w:pPr>
          </w:p>
        </w:tc>
        <w:tc>
          <w:tcPr>
            <w:tcW w:w="351" w:type="dxa"/>
            <w:gridSpan w:val="2"/>
            <w:vMerge/>
            <w:shd w:val="clear" w:color="auto" w:fill="CCC0D9" w:themeFill="accent4" w:themeFillTint="66"/>
          </w:tcPr>
          <w:p w14:paraId="5CD1D29D" w14:textId="77777777" w:rsidR="002D3389" w:rsidRPr="00163080" w:rsidRDefault="002D3389" w:rsidP="000E0B9A">
            <w:pPr>
              <w:pStyle w:val="Rowcolumntitles"/>
              <w:rPr>
                <w:rFonts w:eastAsia="Times New Roman"/>
                <w:szCs w:val="22"/>
                <w:lang w:val="en-GB"/>
              </w:rPr>
            </w:pPr>
          </w:p>
        </w:tc>
        <w:tc>
          <w:tcPr>
            <w:tcW w:w="505" w:type="dxa"/>
            <w:shd w:val="clear" w:color="auto" w:fill="B8CCE4" w:themeFill="accent1" w:themeFillTint="66"/>
          </w:tcPr>
          <w:p w14:paraId="66596CEE" w14:textId="77777777" w:rsidR="002D3389" w:rsidRPr="00163080" w:rsidRDefault="002D3389" w:rsidP="000E0B9A">
            <w:pPr>
              <w:pStyle w:val="Rowcolumntitles"/>
              <w:rPr>
                <w:szCs w:val="22"/>
                <w:lang w:val="en-GB"/>
              </w:rPr>
            </w:pPr>
          </w:p>
        </w:tc>
        <w:tc>
          <w:tcPr>
            <w:tcW w:w="506" w:type="dxa"/>
            <w:gridSpan w:val="2"/>
            <w:shd w:val="clear" w:color="auto" w:fill="B8CCE4" w:themeFill="accent1" w:themeFillTint="66"/>
          </w:tcPr>
          <w:p w14:paraId="0FB4CFF7" w14:textId="77777777" w:rsidR="002D3389" w:rsidRPr="00163080" w:rsidRDefault="002D3389" w:rsidP="000E0B9A">
            <w:pPr>
              <w:pStyle w:val="Rowcolumntitles"/>
              <w:rPr>
                <w:szCs w:val="22"/>
                <w:lang w:val="en-GB"/>
              </w:rPr>
            </w:pPr>
          </w:p>
        </w:tc>
        <w:tc>
          <w:tcPr>
            <w:tcW w:w="506" w:type="dxa"/>
            <w:gridSpan w:val="3"/>
            <w:shd w:val="clear" w:color="auto" w:fill="B8CCE4" w:themeFill="accent1" w:themeFillTint="66"/>
          </w:tcPr>
          <w:p w14:paraId="269AE09E" w14:textId="77777777" w:rsidR="002D3389" w:rsidRPr="00163080" w:rsidRDefault="002D3389" w:rsidP="000E0B9A">
            <w:pPr>
              <w:pStyle w:val="Rowcolumntitles"/>
              <w:rPr>
                <w:szCs w:val="22"/>
                <w:lang w:val="en-GB"/>
              </w:rPr>
            </w:pPr>
          </w:p>
        </w:tc>
        <w:tc>
          <w:tcPr>
            <w:tcW w:w="511" w:type="dxa"/>
            <w:gridSpan w:val="2"/>
            <w:shd w:val="clear" w:color="auto" w:fill="B8CCE4" w:themeFill="accent1" w:themeFillTint="66"/>
          </w:tcPr>
          <w:p w14:paraId="7889B5A9" w14:textId="50DBC97D" w:rsidR="002D3389" w:rsidRPr="00163080" w:rsidRDefault="002D3389" w:rsidP="000E0B9A">
            <w:pPr>
              <w:pStyle w:val="Rowcolumntitles"/>
              <w:rPr>
                <w:szCs w:val="22"/>
                <w:lang w:val="en-GB"/>
              </w:rPr>
            </w:pPr>
            <w:r w:rsidRPr="00163080">
              <w:rPr>
                <w:rFonts w:ascii="MS Mincho" w:eastAsia="MS Mincho" w:hAnsi="MS Mincho" w:cs="MS Mincho"/>
                <w:noProof/>
                <w:szCs w:val="22"/>
                <w:lang w:val="en-GB"/>
              </w:rPr>
              <w:t>✔</w:t>
            </w:r>
          </w:p>
        </w:tc>
        <w:tc>
          <w:tcPr>
            <w:tcW w:w="377" w:type="dxa"/>
            <w:vMerge/>
            <w:shd w:val="clear" w:color="auto" w:fill="D99594" w:themeFill="accent2" w:themeFillTint="99"/>
          </w:tcPr>
          <w:p w14:paraId="560B126C"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01CEA729" w14:textId="77777777" w:rsidR="002D3389" w:rsidRPr="00163080" w:rsidRDefault="002D3389" w:rsidP="000E0B9A">
            <w:pPr>
              <w:pStyle w:val="Rowcolumntitles"/>
              <w:rPr>
                <w:noProof/>
                <w:szCs w:val="22"/>
                <w:lang w:val="en-GB"/>
              </w:rPr>
            </w:pPr>
          </w:p>
        </w:tc>
        <w:tc>
          <w:tcPr>
            <w:tcW w:w="325" w:type="dxa"/>
            <w:vMerge/>
            <w:shd w:val="clear" w:color="auto" w:fill="D99594" w:themeFill="accent2" w:themeFillTint="99"/>
          </w:tcPr>
          <w:p w14:paraId="6FEF6EEA" w14:textId="77777777" w:rsidR="002D3389" w:rsidRPr="00163080" w:rsidRDefault="002D3389" w:rsidP="000E0B9A">
            <w:pPr>
              <w:pStyle w:val="Rowcolumntitles"/>
              <w:rPr>
                <w:rFonts w:eastAsia="Times New Roman"/>
                <w:szCs w:val="22"/>
                <w:lang w:val="en-GB"/>
              </w:rPr>
            </w:pPr>
          </w:p>
        </w:tc>
        <w:tc>
          <w:tcPr>
            <w:tcW w:w="325" w:type="dxa"/>
            <w:vMerge/>
            <w:shd w:val="clear" w:color="auto" w:fill="D99594" w:themeFill="accent2" w:themeFillTint="99"/>
          </w:tcPr>
          <w:p w14:paraId="4F7EE87E" w14:textId="77777777" w:rsidR="002D3389" w:rsidRPr="00163080" w:rsidRDefault="002D3389" w:rsidP="000E0B9A">
            <w:pPr>
              <w:pStyle w:val="Rowcolumntitles"/>
              <w:rPr>
                <w:rFonts w:eastAsia="Times New Roman"/>
                <w:szCs w:val="22"/>
                <w:lang w:val="en-GB"/>
              </w:rPr>
            </w:pPr>
          </w:p>
        </w:tc>
        <w:tc>
          <w:tcPr>
            <w:tcW w:w="400" w:type="dxa"/>
            <w:vMerge/>
            <w:shd w:val="clear" w:color="auto" w:fill="D99594" w:themeFill="accent2" w:themeFillTint="99"/>
          </w:tcPr>
          <w:p w14:paraId="52AA0051" w14:textId="77777777" w:rsidR="002D3389" w:rsidRPr="00163080" w:rsidRDefault="002D3389" w:rsidP="000E0B9A">
            <w:pPr>
              <w:pStyle w:val="Rowcolumntitles"/>
              <w:rPr>
                <w:rFonts w:eastAsia="Times New Roman"/>
                <w:szCs w:val="22"/>
                <w:lang w:val="en-GB"/>
              </w:rPr>
            </w:pPr>
          </w:p>
        </w:tc>
      </w:tr>
    </w:tbl>
    <w:p w14:paraId="1F6C37E2" w14:textId="77777777" w:rsidR="00EC4256" w:rsidRPr="009400F9" w:rsidRDefault="00EC4256" w:rsidP="00EC4256">
      <w:pPr>
        <w:rPr>
          <w:lang w:val="en-GB"/>
        </w:rPr>
        <w:sectPr w:rsidR="00EC4256" w:rsidRPr="009400F9" w:rsidSect="00F710A3">
          <w:endnotePr>
            <w:numFmt w:val="decimal"/>
            <w:numRestart w:val="eachSect"/>
          </w:endnotePr>
          <w:pgSz w:w="11907" w:h="16839" w:code="9"/>
          <w:pgMar w:top="1417" w:right="1417" w:bottom="1417" w:left="1417" w:header="0" w:footer="0" w:gutter="0"/>
          <w:cols w:space="708"/>
          <w:docGrid w:linePitch="360"/>
        </w:sectPr>
      </w:pPr>
    </w:p>
    <w:p w14:paraId="231C6719" w14:textId="4BC3B5B9" w:rsidR="00AA4BDF" w:rsidRDefault="00316E04" w:rsidP="00163080">
      <w:pPr>
        <w:pStyle w:val="Heading2"/>
        <w:spacing w:before="0"/>
        <w:rPr>
          <w:noProof/>
          <w:lang w:val="en-GB"/>
        </w:rPr>
      </w:pPr>
      <w:r w:rsidRPr="009400F9">
        <w:rPr>
          <w:lang w:val="en-GB"/>
        </w:rPr>
        <w:lastRenderedPageBreak/>
        <w:t>Theme</w:t>
      </w:r>
      <w:r w:rsidR="00163080">
        <w:rPr>
          <w:lang w:val="en-GB"/>
        </w:rPr>
        <w:t xml:space="preserve"> I</w:t>
      </w:r>
      <w:r w:rsidR="00C476E2">
        <w:rPr>
          <w:lang w:val="en-GB"/>
        </w:rPr>
        <w:t xml:space="preserve">: </w:t>
      </w:r>
      <w:r w:rsidR="00C476E2" w:rsidRPr="00D307EB">
        <w:rPr>
          <w:noProof/>
          <w:lang w:val="en-GB"/>
        </w:rPr>
        <w:t>Create enabling environment for civil society engagement in public policies</w:t>
      </w:r>
    </w:p>
    <w:p w14:paraId="3DA00D95" w14:textId="77777777" w:rsidR="00BE05F8" w:rsidRPr="00BE05F8" w:rsidRDefault="00BE05F8" w:rsidP="00BE05F8"/>
    <w:p w14:paraId="231C8F9B" w14:textId="7868FA1A" w:rsidR="00316E04" w:rsidRPr="00BB3451" w:rsidRDefault="00C476E2" w:rsidP="00392E63">
      <w:pPr>
        <w:pStyle w:val="Normalrglronly"/>
        <w:rPr>
          <w:b/>
          <w:lang w:val="en-GB"/>
        </w:rPr>
      </w:pPr>
      <w:r w:rsidRPr="00BB3451">
        <w:rPr>
          <w:b/>
          <w:lang w:val="en-GB"/>
        </w:rPr>
        <w:t>1</w:t>
      </w:r>
      <w:r w:rsidR="00316E04" w:rsidRPr="00BB3451">
        <w:rPr>
          <w:b/>
          <w:lang w:val="en-GB"/>
        </w:rPr>
        <w:t xml:space="preserve">. </w:t>
      </w:r>
      <w:r w:rsidRPr="00BB3451">
        <w:rPr>
          <w:b/>
          <w:lang w:val="en-GB"/>
        </w:rPr>
        <w:t>Improve government rules on CSO involvement</w:t>
      </w:r>
    </w:p>
    <w:p w14:paraId="01D76FB2" w14:textId="1D6F3CD3" w:rsidR="00C476E2" w:rsidRPr="00BB3451" w:rsidRDefault="00B33ACA" w:rsidP="00BB3451">
      <w:pPr>
        <w:pStyle w:val="Normalrglronly"/>
        <w:rPr>
          <w:i/>
          <w:noProof/>
          <w:lang w:val="en-GB"/>
        </w:rPr>
      </w:pPr>
      <w:r w:rsidRPr="00BB3451">
        <w:rPr>
          <w:b/>
          <w:lang w:val="en-GB"/>
        </w:rPr>
        <w:t xml:space="preserve">Commitment </w:t>
      </w:r>
      <w:r>
        <w:rPr>
          <w:b/>
          <w:lang w:val="en-GB"/>
        </w:rPr>
        <w:t xml:space="preserve">Text: </w:t>
      </w:r>
      <w:r w:rsidR="00C476E2" w:rsidRPr="00BB3451">
        <w:rPr>
          <w:i/>
          <w:noProof/>
          <w:lang w:val="en-GB"/>
        </w:rPr>
        <w:t>Preparing and submitting to the Cabinet of Ministers of Ukraine proposals on amending the Cabinet of Ministers resolutions that govern the procedure of interaction with civil society institutions as regards public consultations, establishment and operation of public councils under executive authorities, facilitation of public expert evaluations of executive authorities’ activities</w:t>
      </w:r>
      <w:r w:rsidR="00463183">
        <w:rPr>
          <w:i/>
          <w:noProof/>
          <w:lang w:val="en-GB"/>
        </w:rPr>
        <w:t>.</w:t>
      </w:r>
    </w:p>
    <w:p w14:paraId="40E4C041" w14:textId="4F7D35A8" w:rsidR="00C476E2" w:rsidRPr="00BB3451" w:rsidRDefault="00C476E2" w:rsidP="00C476E2">
      <w:pPr>
        <w:spacing w:after="120"/>
        <w:rPr>
          <w:rFonts w:ascii="Gill Sans" w:hAnsi="Gill Sans" w:cs="Gill Sans"/>
          <w:i/>
          <w:noProof/>
          <w:sz w:val="22"/>
          <w:szCs w:val="22"/>
          <w:lang w:val="en-GB"/>
        </w:rPr>
      </w:pPr>
      <w:r w:rsidRPr="00BB3451">
        <w:rPr>
          <w:rFonts w:ascii="Gill Sans" w:hAnsi="Gill Sans" w:cs="Gill Sans"/>
          <w:i/>
          <w:noProof/>
          <w:sz w:val="22"/>
          <w:szCs w:val="22"/>
          <w:lang w:val="en-GB"/>
        </w:rPr>
        <w:t xml:space="preserve">Expected result: </w:t>
      </w:r>
      <w:r w:rsidRPr="00BB3451">
        <w:rPr>
          <w:rFonts w:ascii="Gill Sans" w:hAnsi="Gill Sans" w:cs="Gill Sans"/>
          <w:i/>
          <w:sz w:val="22"/>
          <w:szCs w:val="22"/>
          <w:lang w:val="en-GB"/>
        </w:rPr>
        <w:t>relevant resolution adopted by the Cabinet of Ministers of Ukraine</w:t>
      </w:r>
      <w:r w:rsidR="00463183">
        <w:rPr>
          <w:rFonts w:ascii="Gill Sans" w:hAnsi="Gill Sans" w:cs="Gill Sans"/>
          <w:i/>
          <w:sz w:val="22"/>
          <w:szCs w:val="22"/>
          <w:lang w:val="en-GB"/>
        </w:rPr>
        <w:t>.</w:t>
      </w:r>
    </w:p>
    <w:p w14:paraId="5E473F56" w14:textId="6E4FAC7B" w:rsidR="00BE05F8" w:rsidRPr="00BB3451" w:rsidRDefault="00BE05F8" w:rsidP="00BE05F8">
      <w:pPr>
        <w:pStyle w:val="Normalrglronly"/>
        <w:rPr>
          <w:b/>
          <w:lang w:val="en-GB"/>
        </w:rPr>
      </w:pPr>
      <w:r w:rsidRPr="00BB3451">
        <w:rPr>
          <w:b/>
          <w:lang w:val="en-GB"/>
        </w:rPr>
        <w:t>4. Public Participation Law</w:t>
      </w:r>
    </w:p>
    <w:p w14:paraId="22B0471F" w14:textId="4B5FED67" w:rsidR="00C476E2" w:rsidRPr="00BB3451" w:rsidRDefault="00B33ACA" w:rsidP="00C476E2">
      <w:pPr>
        <w:spacing w:after="120"/>
        <w:rPr>
          <w:rFonts w:ascii="Gill Sans" w:hAnsi="Gill Sans" w:cs="Gill Sans"/>
          <w:i/>
          <w:sz w:val="22"/>
          <w:szCs w:val="22"/>
          <w:lang w:val="en-GB"/>
        </w:rPr>
      </w:pPr>
      <w:r w:rsidRPr="00163080">
        <w:rPr>
          <w:rFonts w:ascii="Gill Sans" w:hAnsi="Gill Sans" w:cs="Gill Sans"/>
          <w:b/>
          <w:sz w:val="22"/>
          <w:szCs w:val="22"/>
          <w:lang w:val="en-GB"/>
        </w:rPr>
        <w:t>Commitment Text:</w:t>
      </w:r>
      <w:r>
        <w:rPr>
          <w:b/>
          <w:lang w:val="en-GB"/>
        </w:rPr>
        <w:t xml:space="preserve"> </w:t>
      </w:r>
      <w:r w:rsidR="00C476E2" w:rsidRPr="00BB3451">
        <w:rPr>
          <w:rFonts w:ascii="Gill Sans" w:hAnsi="Gill Sans" w:cs="Gill Sans"/>
          <w:i/>
          <w:noProof/>
          <w:sz w:val="22"/>
          <w:szCs w:val="22"/>
          <w:lang w:val="en-GB"/>
        </w:rPr>
        <w:t>Developing and submitting to the Cabinet of Ministers of Ukraine in due course of a draft law on public participation in state policy making and implementation as well as in addressing local-level issues</w:t>
      </w:r>
      <w:r w:rsidR="00463183">
        <w:rPr>
          <w:rFonts w:ascii="Gill Sans" w:hAnsi="Gill Sans" w:cs="Gill Sans"/>
          <w:i/>
          <w:noProof/>
          <w:sz w:val="22"/>
          <w:szCs w:val="22"/>
          <w:lang w:val="en-GB"/>
        </w:rPr>
        <w:t>.</w:t>
      </w:r>
    </w:p>
    <w:p w14:paraId="5FA54202" w14:textId="004C7375" w:rsidR="00C476E2" w:rsidRPr="00BB3451" w:rsidRDefault="00C476E2" w:rsidP="00C476E2">
      <w:pPr>
        <w:spacing w:after="120"/>
        <w:rPr>
          <w:rFonts w:ascii="Gill Sans" w:hAnsi="Gill Sans" w:cs="Gill Sans"/>
          <w:i/>
          <w:sz w:val="22"/>
          <w:szCs w:val="22"/>
          <w:lang w:val="en-GB"/>
        </w:rPr>
      </w:pPr>
      <w:r w:rsidRPr="00BB3451">
        <w:rPr>
          <w:rFonts w:ascii="Gill Sans" w:hAnsi="Gill Sans" w:cs="Gill Sans"/>
          <w:i/>
          <w:noProof/>
          <w:sz w:val="22"/>
          <w:szCs w:val="22"/>
          <w:lang w:val="en-GB"/>
        </w:rPr>
        <w:t xml:space="preserve">Expected result: </w:t>
      </w:r>
      <w:r w:rsidRPr="00BB3451">
        <w:rPr>
          <w:rFonts w:ascii="Gill Sans" w:hAnsi="Gill Sans" w:cs="Gill Sans"/>
          <w:i/>
          <w:sz w:val="22"/>
          <w:szCs w:val="22"/>
          <w:lang w:val="en-GB"/>
        </w:rPr>
        <w:t xml:space="preserve">relevant draft law endorsed by the Cabinet of Ministers of Ukraine, submitted to the </w:t>
      </w:r>
      <w:proofErr w:type="spellStart"/>
      <w:r w:rsidRPr="00BB3451">
        <w:rPr>
          <w:rFonts w:ascii="Gill Sans" w:hAnsi="Gill Sans" w:cs="Gill Sans"/>
          <w:i/>
          <w:sz w:val="22"/>
          <w:szCs w:val="22"/>
          <w:lang w:val="en-GB"/>
        </w:rPr>
        <w:t>Verkhovna</w:t>
      </w:r>
      <w:proofErr w:type="spellEnd"/>
      <w:r w:rsidRPr="00BB3451">
        <w:rPr>
          <w:rFonts w:ascii="Gill Sans" w:hAnsi="Gill Sans" w:cs="Gill Sans"/>
          <w:i/>
          <w:sz w:val="22"/>
          <w:szCs w:val="22"/>
          <w:lang w:val="en-GB"/>
        </w:rPr>
        <w:t xml:space="preserve"> Rada of Ukraine, and followed up until adoption</w:t>
      </w:r>
      <w:r w:rsidR="00463183">
        <w:rPr>
          <w:rFonts w:ascii="Gill Sans" w:hAnsi="Gill Sans" w:cs="Gill Sans"/>
          <w:i/>
          <w:sz w:val="22"/>
          <w:szCs w:val="22"/>
          <w:lang w:val="en-GB"/>
        </w:rPr>
        <w:t>.</w:t>
      </w:r>
    </w:p>
    <w:p w14:paraId="285FE4C0" w14:textId="7A3B329F" w:rsidR="00C476E2" w:rsidRPr="00163080" w:rsidRDefault="00C476E2" w:rsidP="00463183">
      <w:pPr>
        <w:pStyle w:val="Normalrglronly"/>
        <w:rPr>
          <w:lang w:val="en-GB"/>
        </w:rPr>
      </w:pPr>
      <w:r w:rsidRPr="00BB3451">
        <w:rPr>
          <w:b/>
          <w:lang w:val="en-GB"/>
        </w:rPr>
        <w:t xml:space="preserve">Editorial Note: </w:t>
      </w:r>
      <w:r w:rsidRPr="00BB3451">
        <w:rPr>
          <w:lang w:val="en-GB"/>
        </w:rPr>
        <w:t>The IRM researcher grouped these two commitments together</w:t>
      </w:r>
      <w:r w:rsidR="00426663">
        <w:rPr>
          <w:lang w:val="en-GB"/>
        </w:rPr>
        <w:t>, since</w:t>
      </w:r>
      <w:r w:rsidRPr="00BB3451">
        <w:rPr>
          <w:lang w:val="en-GB"/>
        </w:rPr>
        <w:t xml:space="preserve"> both are </w:t>
      </w:r>
      <w:r w:rsidR="00463183">
        <w:rPr>
          <w:lang w:val="en-GB"/>
        </w:rPr>
        <w:t xml:space="preserve">related to </w:t>
      </w:r>
      <w:r w:rsidRPr="00BB3451">
        <w:rPr>
          <w:lang w:val="en-GB"/>
        </w:rPr>
        <w:t xml:space="preserve">public </w:t>
      </w:r>
      <w:r w:rsidRPr="00463183">
        <w:rPr>
          <w:lang w:val="en-GB"/>
        </w:rPr>
        <w:t xml:space="preserve">participation </w:t>
      </w:r>
      <w:r w:rsidRPr="00163080">
        <w:rPr>
          <w:lang w:val="en-GB"/>
        </w:rPr>
        <w:t>in policy making.</w:t>
      </w:r>
    </w:p>
    <w:p w14:paraId="68B4905A" w14:textId="5E92392B" w:rsidR="00AA4BDF" w:rsidRPr="00BB3451" w:rsidRDefault="00AA4BDF" w:rsidP="00C476E2">
      <w:pPr>
        <w:pStyle w:val="Normalrglronly"/>
        <w:rPr>
          <w:lang w:val="en-GB"/>
        </w:rPr>
      </w:pPr>
      <w:r w:rsidRPr="00BB3451">
        <w:rPr>
          <w:lang w:val="en-GB"/>
        </w:rPr>
        <w:t>Responsible institution</w:t>
      </w:r>
      <w:r w:rsidR="00B33ACA">
        <w:rPr>
          <w:lang w:val="en-GB"/>
        </w:rPr>
        <w:t>(s)</w:t>
      </w:r>
      <w:r w:rsidRPr="00BB3451">
        <w:rPr>
          <w:lang w:val="en-GB"/>
        </w:rPr>
        <w:t xml:space="preserve">: </w:t>
      </w:r>
      <w:r w:rsidR="00C476E2" w:rsidRPr="00BB3451">
        <w:rPr>
          <w:lang w:val="en-GB"/>
        </w:rPr>
        <w:t>Ministry of Justice</w:t>
      </w:r>
    </w:p>
    <w:p w14:paraId="7212A9FA" w14:textId="0198E066" w:rsidR="00AA4BDF" w:rsidRPr="00BB3451" w:rsidRDefault="00AA4BDF" w:rsidP="00C476E2">
      <w:pPr>
        <w:pStyle w:val="Normalrglronly"/>
        <w:rPr>
          <w:lang w:val="en-GB"/>
        </w:rPr>
      </w:pPr>
      <w:r w:rsidRPr="00BB3451">
        <w:rPr>
          <w:lang w:val="en-GB"/>
        </w:rPr>
        <w:t xml:space="preserve">Supporting institution(s): </w:t>
      </w:r>
      <w:r w:rsidR="00C476E2" w:rsidRPr="00BB3451">
        <w:rPr>
          <w:bCs/>
          <w:noProof/>
          <w:lang w:val="en-GB"/>
        </w:rPr>
        <w:t>United Nations Development Programme (UNDP), unspecified NGOs and international organisations (commitment 1); Ministry of Regional Development, State Agency for E-Governance, Administration of the State Service for Special Communications and Information Protection, NGO "Ukrainian Independent Centre for Political Research," UNDP, non-specified NGOs and international organisations (</w:t>
      </w:r>
      <w:r w:rsidR="00350131">
        <w:rPr>
          <w:bCs/>
          <w:noProof/>
          <w:lang w:val="en-GB"/>
        </w:rPr>
        <w:t>C</w:t>
      </w:r>
      <w:r w:rsidR="00C476E2" w:rsidRPr="00BB3451">
        <w:rPr>
          <w:bCs/>
          <w:noProof/>
          <w:lang w:val="en-GB"/>
        </w:rPr>
        <w:t>ommitment 4)</w:t>
      </w:r>
    </w:p>
    <w:p w14:paraId="61161685" w14:textId="4801587F" w:rsidR="00AA4BDF" w:rsidRPr="009400F9" w:rsidRDefault="00AA4BDF" w:rsidP="00C476E2">
      <w:pPr>
        <w:pStyle w:val="Normalrglronly"/>
        <w:rPr>
          <w:lang w:val="en-GB"/>
        </w:rPr>
      </w:pPr>
      <w:r w:rsidRPr="00BB3451">
        <w:rPr>
          <w:lang w:val="en-GB"/>
        </w:rPr>
        <w:t xml:space="preserve">Start </w:t>
      </w:r>
      <w:r w:rsidR="00B33ACA">
        <w:rPr>
          <w:lang w:val="en-GB"/>
        </w:rPr>
        <w:t>D</w:t>
      </w:r>
      <w:r w:rsidRPr="00BB3451">
        <w:rPr>
          <w:lang w:val="en-GB"/>
        </w:rPr>
        <w:t>ate:</w:t>
      </w:r>
      <w:r w:rsidR="00316E04" w:rsidRPr="00BB3451">
        <w:rPr>
          <w:lang w:val="en-GB"/>
        </w:rPr>
        <w:t xml:space="preserve"> </w:t>
      </w:r>
      <w:r w:rsidR="00C476E2" w:rsidRPr="00BB3451">
        <w:rPr>
          <w:lang w:val="en-GB"/>
        </w:rPr>
        <w:t>Not specified</w:t>
      </w:r>
      <w:r w:rsidR="00316E04" w:rsidRPr="00BB3451">
        <w:rPr>
          <w:lang w:val="en-GB"/>
        </w:rPr>
        <w:t xml:space="preserve">              </w:t>
      </w:r>
      <w:r w:rsidR="00131C34">
        <w:rPr>
          <w:lang w:val="en-GB"/>
        </w:rPr>
        <w:tab/>
      </w:r>
      <w:r w:rsidR="00131C34">
        <w:rPr>
          <w:lang w:val="en-GB"/>
        </w:rPr>
        <w:tab/>
      </w:r>
      <w:r w:rsidR="00131C34">
        <w:rPr>
          <w:lang w:val="en-GB"/>
        </w:rPr>
        <w:tab/>
      </w:r>
      <w:r w:rsidR="00131C34">
        <w:rPr>
          <w:lang w:val="en-GB"/>
        </w:rPr>
        <w:tab/>
      </w:r>
      <w:r w:rsidR="00131C34">
        <w:rPr>
          <w:lang w:val="en-GB"/>
        </w:rPr>
        <w:tab/>
      </w:r>
      <w:r w:rsidR="00131C34">
        <w:rPr>
          <w:lang w:val="en-GB"/>
        </w:rPr>
        <w:tab/>
      </w:r>
      <w:r w:rsidRPr="00BB3451">
        <w:rPr>
          <w:lang w:val="en-GB"/>
        </w:rPr>
        <w:t xml:space="preserve">End </w:t>
      </w:r>
      <w:r w:rsidR="00B33ACA">
        <w:rPr>
          <w:lang w:val="en-GB"/>
        </w:rPr>
        <w:t>D</w:t>
      </w:r>
      <w:r w:rsidRPr="00BB3451">
        <w:rPr>
          <w:lang w:val="en-GB"/>
        </w:rPr>
        <w:t xml:space="preserve">ate: </w:t>
      </w:r>
      <w:r w:rsidR="00C476E2" w:rsidRPr="00BB3451">
        <w:rPr>
          <w:lang w:val="en-GB"/>
        </w:rPr>
        <w:t>May 2015</w:t>
      </w:r>
    </w:p>
    <w:tbl>
      <w:tblPr>
        <w:tblW w:w="10368"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493"/>
        <w:gridCol w:w="431"/>
        <w:gridCol w:w="351"/>
        <w:gridCol w:w="351"/>
        <w:gridCol w:w="375"/>
        <w:gridCol w:w="374"/>
        <w:gridCol w:w="375"/>
        <w:gridCol w:w="861"/>
        <w:gridCol w:w="341"/>
        <w:gridCol w:w="349"/>
        <w:gridCol w:w="430"/>
        <w:gridCol w:w="349"/>
        <w:gridCol w:w="486"/>
        <w:gridCol w:w="537"/>
        <w:gridCol w:w="537"/>
        <w:gridCol w:w="418"/>
        <w:gridCol w:w="349"/>
        <w:gridCol w:w="428"/>
        <w:gridCol w:w="349"/>
        <w:gridCol w:w="349"/>
        <w:gridCol w:w="430"/>
      </w:tblGrid>
      <w:tr w:rsidR="00463183" w:rsidRPr="009651AC" w14:paraId="4754450C" w14:textId="77777777" w:rsidTr="00B017F8">
        <w:trPr>
          <w:trHeight w:val="405"/>
        </w:trPr>
        <w:tc>
          <w:tcPr>
            <w:tcW w:w="1522" w:type="dxa"/>
            <w:vMerge w:val="restart"/>
            <w:tcBorders>
              <w:top w:val="single" w:sz="18" w:space="0" w:color="FFFFFF"/>
              <w:left w:val="single" w:sz="4" w:space="0" w:color="FFFFFF"/>
              <w:right w:val="single" w:sz="18" w:space="0" w:color="FFFFFF"/>
            </w:tcBorders>
            <w:shd w:val="clear" w:color="auto" w:fill="000000"/>
          </w:tcPr>
          <w:p w14:paraId="79BAC795" w14:textId="77777777" w:rsidR="00716638" w:rsidRPr="009651AC" w:rsidRDefault="00716638" w:rsidP="00131C34">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tc>
        <w:tc>
          <w:tcPr>
            <w:tcW w:w="1695" w:type="dxa"/>
            <w:gridSpan w:val="4"/>
            <w:vMerge w:val="restart"/>
            <w:tcBorders>
              <w:top w:val="single" w:sz="18" w:space="0" w:color="FFFFFF"/>
              <w:left w:val="single" w:sz="18" w:space="0" w:color="FFFFFF"/>
              <w:right w:val="single" w:sz="18" w:space="0" w:color="FFFFFF"/>
            </w:tcBorders>
            <w:shd w:val="clear" w:color="auto" w:fill="D6E3BC"/>
          </w:tcPr>
          <w:p w14:paraId="0D878BC7"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Specificity</w:t>
            </w:r>
          </w:p>
        </w:tc>
        <w:tc>
          <w:tcPr>
            <w:tcW w:w="2090" w:type="dxa"/>
            <w:gridSpan w:val="4"/>
            <w:vMerge w:val="restart"/>
            <w:tcBorders>
              <w:top w:val="single" w:sz="18" w:space="0" w:color="FFFFFF"/>
              <w:left w:val="single" w:sz="18" w:space="0" w:color="FFFFFF"/>
              <w:right w:val="single" w:sz="18" w:space="0" w:color="FFFFFF"/>
            </w:tcBorders>
            <w:shd w:val="clear" w:color="auto" w:fill="FBD4B4"/>
          </w:tcPr>
          <w:p w14:paraId="240A1375" w14:textId="127F350B"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 xml:space="preserve">OGP </w:t>
            </w:r>
            <w:r w:rsidR="00B33ACA">
              <w:rPr>
                <w:rFonts w:ascii="Gill Sans" w:hAnsi="Gill Sans" w:cs="Gill Sans"/>
                <w:sz w:val="22"/>
                <w:szCs w:val="22"/>
                <w:lang w:val="en-GB"/>
              </w:rPr>
              <w:t>V</w:t>
            </w:r>
            <w:r w:rsidRPr="009651AC">
              <w:rPr>
                <w:rFonts w:ascii="Gill Sans" w:hAnsi="Gill Sans" w:cs="Gill Sans"/>
                <w:sz w:val="22"/>
                <w:szCs w:val="22"/>
                <w:lang w:val="en-GB"/>
              </w:rPr>
              <w:t xml:space="preserve">alue </w:t>
            </w:r>
            <w:r w:rsidR="00B33ACA">
              <w:rPr>
                <w:rFonts w:ascii="Gill Sans" w:hAnsi="Gill Sans" w:cs="Gill Sans"/>
                <w:sz w:val="22"/>
                <w:szCs w:val="22"/>
                <w:lang w:val="en-GB"/>
              </w:rPr>
              <w:t>R</w:t>
            </w:r>
            <w:r w:rsidRPr="009651AC">
              <w:rPr>
                <w:rFonts w:ascii="Gill Sans" w:hAnsi="Gill Sans" w:cs="Gill Sans"/>
                <w:sz w:val="22"/>
                <w:szCs w:val="22"/>
                <w:lang w:val="en-GB"/>
              </w:rPr>
              <w:t>elevance</w:t>
            </w:r>
            <w:r w:rsidR="00B33ACA">
              <w:rPr>
                <w:rFonts w:ascii="Gill Sans" w:hAnsi="Gill Sans" w:cs="Gill Sans"/>
                <w:sz w:val="22"/>
                <w:szCs w:val="22"/>
                <w:lang w:val="en-GB"/>
              </w:rPr>
              <w:t xml:space="preserve"> (as written)</w:t>
            </w:r>
          </w:p>
        </w:tc>
        <w:tc>
          <w:tcPr>
            <w:tcW w:w="1522" w:type="dxa"/>
            <w:gridSpan w:val="4"/>
            <w:vMerge w:val="restart"/>
            <w:tcBorders>
              <w:top w:val="single" w:sz="18" w:space="0" w:color="FFFFFF"/>
              <w:left w:val="single" w:sz="18" w:space="0" w:color="FFFFFF"/>
              <w:right w:val="single" w:sz="18" w:space="0" w:color="FFFFFF"/>
            </w:tcBorders>
            <w:shd w:val="clear" w:color="auto" w:fill="CCC0D9"/>
          </w:tcPr>
          <w:p w14:paraId="319931E4"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78" w:type="dxa"/>
            <w:gridSpan w:val="2"/>
            <w:vMerge w:val="restart"/>
            <w:tcBorders>
              <w:top w:val="single" w:sz="18" w:space="0" w:color="FFFFFF"/>
              <w:left w:val="single" w:sz="18" w:space="0" w:color="FFFFFF"/>
              <w:right w:val="single" w:sz="2" w:space="0" w:color="FFFFFF"/>
            </w:tcBorders>
            <w:shd w:val="clear" w:color="auto" w:fill="B8CCE4"/>
          </w:tcPr>
          <w:p w14:paraId="5D1BCF1E" w14:textId="1A8BA426" w:rsidR="00716638" w:rsidRPr="009651AC" w:rsidRDefault="00716638" w:rsidP="00131C34">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sidR="00B33ACA">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1003"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0EE5A331"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Midterm</w:t>
            </w:r>
          </w:p>
        </w:tc>
        <w:tc>
          <w:tcPr>
            <w:tcW w:w="1977" w:type="dxa"/>
            <w:gridSpan w:val="5"/>
            <w:vMerge w:val="restart"/>
            <w:tcBorders>
              <w:top w:val="single" w:sz="18" w:space="0" w:color="FFFFFF"/>
              <w:left w:val="single" w:sz="18" w:space="0" w:color="FFFFFF"/>
              <w:right w:val="single" w:sz="18" w:space="0" w:color="FFFFFF"/>
            </w:tcBorders>
            <w:shd w:val="clear" w:color="auto" w:fill="D99594"/>
          </w:tcPr>
          <w:p w14:paraId="1AB25ADB" w14:textId="0C02C054"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 xml:space="preserve">Did it </w:t>
            </w:r>
            <w:r w:rsidR="00B33ACA">
              <w:rPr>
                <w:rFonts w:ascii="Gill Sans" w:hAnsi="Gill Sans" w:cs="Gill Sans"/>
                <w:sz w:val="22"/>
                <w:szCs w:val="22"/>
                <w:lang w:val="en-GB"/>
              </w:rPr>
              <w:t>O</w:t>
            </w:r>
            <w:r w:rsidRPr="009651AC">
              <w:rPr>
                <w:rFonts w:ascii="Gill Sans" w:hAnsi="Gill Sans" w:cs="Gill Sans"/>
                <w:sz w:val="22"/>
                <w:szCs w:val="22"/>
                <w:lang w:val="en-GB"/>
              </w:rPr>
              <w:t xml:space="preserve">pen </w:t>
            </w:r>
            <w:r w:rsidR="00B33ACA">
              <w:rPr>
                <w:rFonts w:ascii="Gill Sans" w:hAnsi="Gill Sans" w:cs="Gill Sans"/>
                <w:sz w:val="22"/>
                <w:szCs w:val="22"/>
                <w:lang w:val="en-GB"/>
              </w:rPr>
              <w:t>G</w:t>
            </w:r>
            <w:r w:rsidRPr="009651AC">
              <w:rPr>
                <w:rFonts w:ascii="Gill Sans" w:hAnsi="Gill Sans" w:cs="Gill Sans"/>
                <w:sz w:val="22"/>
                <w:szCs w:val="22"/>
                <w:lang w:val="en-GB"/>
              </w:rPr>
              <w:t>overnment?</w:t>
            </w:r>
          </w:p>
        </w:tc>
      </w:tr>
      <w:tr w:rsidR="00463183" w:rsidRPr="009651AC" w14:paraId="5D6DD547" w14:textId="77777777" w:rsidTr="00B017F8">
        <w:trPr>
          <w:trHeight w:val="373"/>
        </w:trPr>
        <w:tc>
          <w:tcPr>
            <w:tcW w:w="1522" w:type="dxa"/>
            <w:vMerge/>
            <w:tcBorders>
              <w:left w:val="single" w:sz="4" w:space="0" w:color="FFFFFF"/>
              <w:right w:val="single" w:sz="18" w:space="0" w:color="FFFFFF"/>
            </w:tcBorders>
            <w:shd w:val="clear" w:color="auto" w:fill="000000"/>
          </w:tcPr>
          <w:p w14:paraId="06E9ADC3" w14:textId="77777777" w:rsidR="00716638" w:rsidRPr="009651AC" w:rsidRDefault="00716638" w:rsidP="00131C34">
            <w:pPr>
              <w:rPr>
                <w:rFonts w:ascii="Gill Sans" w:hAnsi="Gill Sans" w:cs="Gill Sans"/>
                <w:color w:val="FFFFFF" w:themeColor="background1"/>
                <w:sz w:val="22"/>
                <w:szCs w:val="22"/>
                <w:lang w:val="en-GB"/>
              </w:rPr>
            </w:pPr>
          </w:p>
        </w:tc>
        <w:tc>
          <w:tcPr>
            <w:tcW w:w="1695" w:type="dxa"/>
            <w:gridSpan w:val="4"/>
            <w:vMerge/>
            <w:tcBorders>
              <w:left w:val="single" w:sz="18" w:space="0" w:color="FFFFFF"/>
              <w:bottom w:val="single" w:sz="18" w:space="0" w:color="FFFFFF"/>
              <w:right w:val="single" w:sz="18" w:space="0" w:color="FFFFFF"/>
            </w:tcBorders>
            <w:shd w:val="clear" w:color="auto" w:fill="D6E3BC"/>
          </w:tcPr>
          <w:p w14:paraId="4DBBC17E" w14:textId="77777777" w:rsidR="00716638" w:rsidRPr="009651AC" w:rsidRDefault="00716638" w:rsidP="00131C34">
            <w:pPr>
              <w:rPr>
                <w:rFonts w:ascii="Gill Sans" w:hAnsi="Gill Sans" w:cs="Gill Sans"/>
                <w:sz w:val="22"/>
                <w:szCs w:val="22"/>
                <w:lang w:val="en-GB"/>
              </w:rPr>
            </w:pPr>
          </w:p>
        </w:tc>
        <w:tc>
          <w:tcPr>
            <w:tcW w:w="2090" w:type="dxa"/>
            <w:gridSpan w:val="4"/>
            <w:vMerge/>
            <w:tcBorders>
              <w:left w:val="single" w:sz="18" w:space="0" w:color="FFFFFF"/>
              <w:bottom w:val="single" w:sz="18" w:space="0" w:color="FFFFFF"/>
              <w:right w:val="single" w:sz="18" w:space="0" w:color="FFFFFF"/>
            </w:tcBorders>
            <w:shd w:val="clear" w:color="auto" w:fill="FBD4B4"/>
          </w:tcPr>
          <w:p w14:paraId="36FAECB2" w14:textId="77777777" w:rsidR="00716638" w:rsidRPr="009651AC" w:rsidRDefault="00716638" w:rsidP="00131C34">
            <w:pPr>
              <w:rPr>
                <w:rFonts w:ascii="Gill Sans" w:hAnsi="Gill Sans" w:cs="Gill Sans"/>
                <w:sz w:val="22"/>
                <w:szCs w:val="22"/>
                <w:lang w:val="en-GB"/>
              </w:rPr>
            </w:pPr>
          </w:p>
        </w:tc>
        <w:tc>
          <w:tcPr>
            <w:tcW w:w="1522" w:type="dxa"/>
            <w:gridSpan w:val="4"/>
            <w:vMerge/>
            <w:tcBorders>
              <w:left w:val="single" w:sz="18" w:space="0" w:color="FFFFFF"/>
              <w:bottom w:val="single" w:sz="18" w:space="0" w:color="FFFFFF"/>
              <w:right w:val="single" w:sz="18" w:space="0" w:color="FFFFFF"/>
            </w:tcBorders>
            <w:shd w:val="clear" w:color="auto" w:fill="CCC0D9"/>
          </w:tcPr>
          <w:p w14:paraId="53572E0C" w14:textId="77777777" w:rsidR="00716638" w:rsidRPr="009651AC" w:rsidRDefault="00716638" w:rsidP="00131C34">
            <w:pPr>
              <w:rPr>
                <w:rFonts w:ascii="Gill Sans" w:hAnsi="Gill Sans" w:cs="Gill Sans"/>
                <w:sz w:val="22"/>
                <w:szCs w:val="22"/>
                <w:lang w:val="en-GB"/>
              </w:rPr>
            </w:pPr>
          </w:p>
        </w:tc>
        <w:tc>
          <w:tcPr>
            <w:tcW w:w="1078" w:type="dxa"/>
            <w:gridSpan w:val="2"/>
            <w:vMerge/>
            <w:tcBorders>
              <w:left w:val="single" w:sz="18" w:space="0" w:color="FFFFFF"/>
              <w:bottom w:val="single" w:sz="18" w:space="0" w:color="FFFFFF"/>
              <w:right w:val="single" w:sz="2" w:space="0" w:color="FFFFFF"/>
            </w:tcBorders>
            <w:shd w:val="clear" w:color="auto" w:fill="B8CCE4"/>
          </w:tcPr>
          <w:p w14:paraId="528E63D7" w14:textId="77777777" w:rsidR="00716638" w:rsidRPr="009651AC" w:rsidRDefault="00716638" w:rsidP="00131C34">
            <w:pPr>
              <w:rPr>
                <w:rFonts w:ascii="Gill Sans" w:hAnsi="Gill Sans" w:cs="Gill Sans"/>
                <w:sz w:val="22"/>
                <w:szCs w:val="22"/>
                <w:lang w:val="en-GB"/>
              </w:rPr>
            </w:pPr>
          </w:p>
        </w:tc>
        <w:tc>
          <w:tcPr>
            <w:tcW w:w="1003"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3B991502" w14:textId="60992065"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 xml:space="preserve">End of </w:t>
            </w:r>
            <w:r w:rsidR="00B33ACA">
              <w:rPr>
                <w:rFonts w:ascii="Gill Sans" w:hAnsi="Gill Sans" w:cs="Gill Sans"/>
                <w:sz w:val="22"/>
                <w:szCs w:val="22"/>
                <w:lang w:val="en-GB"/>
              </w:rPr>
              <w:t>T</w:t>
            </w:r>
            <w:r w:rsidRPr="009651AC">
              <w:rPr>
                <w:rFonts w:ascii="Gill Sans" w:hAnsi="Gill Sans" w:cs="Gill Sans"/>
                <w:sz w:val="22"/>
                <w:szCs w:val="22"/>
                <w:lang w:val="en-GB"/>
              </w:rPr>
              <w:t>erm</w:t>
            </w:r>
          </w:p>
        </w:tc>
        <w:tc>
          <w:tcPr>
            <w:tcW w:w="1977" w:type="dxa"/>
            <w:gridSpan w:val="5"/>
            <w:vMerge/>
            <w:tcBorders>
              <w:left w:val="single" w:sz="18" w:space="0" w:color="FFFFFF"/>
              <w:bottom w:val="single" w:sz="18" w:space="0" w:color="FFFFFF"/>
              <w:right w:val="single" w:sz="18" w:space="0" w:color="FFFFFF"/>
            </w:tcBorders>
            <w:shd w:val="clear" w:color="auto" w:fill="D99594"/>
          </w:tcPr>
          <w:p w14:paraId="7AC7C8C3" w14:textId="77777777" w:rsidR="00716638" w:rsidRPr="009651AC" w:rsidRDefault="00716638" w:rsidP="00131C34">
            <w:pPr>
              <w:rPr>
                <w:rFonts w:ascii="Gill Sans" w:hAnsi="Gill Sans" w:cs="Gill Sans"/>
                <w:sz w:val="22"/>
                <w:szCs w:val="22"/>
                <w:lang w:val="en-GB"/>
              </w:rPr>
            </w:pPr>
          </w:p>
        </w:tc>
      </w:tr>
      <w:tr w:rsidR="009B0529" w:rsidRPr="009651AC" w14:paraId="0350543C" w14:textId="77777777" w:rsidTr="00B017F8">
        <w:trPr>
          <w:cantSplit/>
          <w:trHeight w:val="2336"/>
        </w:trPr>
        <w:tc>
          <w:tcPr>
            <w:tcW w:w="1522" w:type="dxa"/>
            <w:vMerge/>
            <w:tcBorders>
              <w:left w:val="single" w:sz="4" w:space="0" w:color="FFFFFF"/>
              <w:bottom w:val="single" w:sz="18" w:space="0" w:color="FFFFFF"/>
              <w:right w:val="single" w:sz="18" w:space="0" w:color="FFFFFF"/>
            </w:tcBorders>
            <w:shd w:val="clear" w:color="auto" w:fill="000000"/>
          </w:tcPr>
          <w:p w14:paraId="599BE91F" w14:textId="77777777" w:rsidR="00716638" w:rsidRPr="009651AC" w:rsidRDefault="00716638" w:rsidP="00131C34">
            <w:pPr>
              <w:rPr>
                <w:rFonts w:ascii="Gill Sans" w:hAnsi="Gill Sans" w:cs="Gill Sans"/>
                <w:color w:val="FFFFFF" w:themeColor="background1"/>
                <w:sz w:val="22"/>
                <w:szCs w:val="22"/>
                <w:lang w:val="en-GB"/>
              </w:rPr>
            </w:pPr>
          </w:p>
        </w:tc>
        <w:tc>
          <w:tcPr>
            <w:tcW w:w="519"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4D4B2C6B"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57F3DCC3"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41690127"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745E069D"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56309FE2"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22727BD8"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1D05BFAC"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924"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0096F7CA"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52"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3AACACBE"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0D6BBCE2"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7939F075"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3ECAA7D9"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511"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7F9606AC" w14:textId="6D7CA046"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 xml:space="preserve">Not </w:t>
            </w:r>
            <w:r w:rsidR="00B33ACA">
              <w:rPr>
                <w:rFonts w:ascii="Gill Sans" w:hAnsi="Gill Sans" w:cs="Gill Sans"/>
                <w:sz w:val="22"/>
                <w:szCs w:val="22"/>
                <w:lang w:val="en-GB"/>
              </w:rPr>
              <w:t>S</w:t>
            </w:r>
            <w:r w:rsidRPr="009651AC">
              <w:rPr>
                <w:rFonts w:ascii="Gill Sans" w:hAnsi="Gill Sans" w:cs="Gill Sans"/>
                <w:sz w:val="22"/>
                <w:szCs w:val="22"/>
                <w:lang w:val="en-GB"/>
              </w:rPr>
              <w:t>tarted</w:t>
            </w:r>
          </w:p>
        </w:tc>
        <w:tc>
          <w:tcPr>
            <w:tcW w:w="567"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398AE254"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Limited</w:t>
            </w:r>
          </w:p>
        </w:tc>
        <w:tc>
          <w:tcPr>
            <w:tcW w:w="567"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20199572"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Substantial</w:t>
            </w:r>
          </w:p>
        </w:tc>
        <w:tc>
          <w:tcPr>
            <w:tcW w:w="436"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10870398"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26A19525" w14:textId="5F5B9FE5"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44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FE36564" w14:textId="47748A30" w:rsidR="00716638" w:rsidRPr="009651AC" w:rsidRDefault="005B6F2C" w:rsidP="00131C34">
            <w:pPr>
              <w:rPr>
                <w:rFonts w:ascii="Gill Sans" w:hAnsi="Gill Sans" w:cs="Gill Sans"/>
                <w:sz w:val="22"/>
                <w:szCs w:val="22"/>
                <w:lang w:val="en-GB"/>
              </w:rPr>
            </w:pPr>
            <w:r w:rsidRPr="009651AC">
              <w:rPr>
                <w:rFonts w:ascii="Gill Sans" w:hAnsi="Gill Sans" w:cs="Gill Sans"/>
                <w:sz w:val="22"/>
                <w:szCs w:val="22"/>
                <w:lang w:val="en-GB"/>
              </w:rPr>
              <w:t>Di</w:t>
            </w:r>
            <w:r w:rsidR="00716638" w:rsidRPr="009651AC">
              <w:rPr>
                <w:rFonts w:ascii="Gill Sans" w:hAnsi="Gill Sans" w:cs="Gill Sans"/>
                <w:sz w:val="22"/>
                <w:szCs w:val="22"/>
                <w:lang w:val="en-GB"/>
              </w:rPr>
              <w:t xml:space="preserve">d </w:t>
            </w:r>
            <w:r w:rsidR="00B33ACA">
              <w:rPr>
                <w:rFonts w:ascii="Gill Sans" w:hAnsi="Gill Sans" w:cs="Gill Sans"/>
                <w:sz w:val="22"/>
                <w:szCs w:val="22"/>
                <w:lang w:val="en-GB"/>
              </w:rPr>
              <w:t>N</w:t>
            </w:r>
            <w:r w:rsidR="00716638" w:rsidRPr="009651AC">
              <w:rPr>
                <w:rFonts w:ascii="Gill Sans" w:hAnsi="Gill Sans" w:cs="Gill Sans"/>
                <w:sz w:val="22"/>
                <w:szCs w:val="22"/>
                <w:lang w:val="en-GB"/>
              </w:rPr>
              <w:t xml:space="preserve">ot </w:t>
            </w:r>
            <w:r w:rsidR="00B33ACA">
              <w:rPr>
                <w:rFonts w:ascii="Gill Sans" w:hAnsi="Gill Sans" w:cs="Gill Sans"/>
                <w:sz w:val="22"/>
                <w:szCs w:val="22"/>
                <w:lang w:val="en-GB"/>
              </w:rPr>
              <w:t>C</w:t>
            </w:r>
            <w:r w:rsidR="00716638" w:rsidRPr="009651AC">
              <w:rPr>
                <w:rFonts w:ascii="Gill Sans" w:hAnsi="Gill Sans" w:cs="Gill Sans"/>
                <w:sz w:val="22"/>
                <w:szCs w:val="22"/>
                <w:lang w:val="en-GB"/>
              </w:rPr>
              <w:t>hange</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1B56299"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Marginal</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6948D67"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50"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1C019225" w14:textId="77777777" w:rsidR="00716638" w:rsidRPr="009651AC" w:rsidRDefault="00716638" w:rsidP="00131C34">
            <w:pPr>
              <w:rPr>
                <w:rFonts w:ascii="Gill Sans" w:hAnsi="Gill Sans" w:cs="Gill Sans"/>
                <w:sz w:val="22"/>
                <w:szCs w:val="22"/>
                <w:lang w:val="en-GB"/>
              </w:rPr>
            </w:pPr>
            <w:r w:rsidRPr="009651AC">
              <w:rPr>
                <w:rFonts w:ascii="Gill Sans" w:hAnsi="Gill Sans" w:cs="Gill Sans"/>
                <w:sz w:val="22"/>
                <w:szCs w:val="22"/>
                <w:lang w:val="en-GB"/>
              </w:rPr>
              <w:t>Outstanding</w:t>
            </w:r>
          </w:p>
        </w:tc>
      </w:tr>
      <w:tr w:rsidR="009B0529" w:rsidRPr="009651AC" w14:paraId="40256F2B" w14:textId="77777777" w:rsidTr="00B017F8">
        <w:trPr>
          <w:trHeight w:val="340"/>
        </w:trPr>
        <w:tc>
          <w:tcPr>
            <w:tcW w:w="1522" w:type="dxa"/>
            <w:vMerge w:val="restart"/>
            <w:tcBorders>
              <w:top w:val="single" w:sz="18" w:space="0" w:color="FFFFFF"/>
              <w:left w:val="single" w:sz="4" w:space="0" w:color="FFFFFF"/>
            </w:tcBorders>
            <w:shd w:val="clear" w:color="auto" w:fill="000000"/>
          </w:tcPr>
          <w:p w14:paraId="50C54170" w14:textId="4F0525DC" w:rsidR="00716638" w:rsidRPr="009651AC" w:rsidRDefault="00716638" w:rsidP="00131C34">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 xml:space="preserve">1. </w:t>
            </w:r>
            <w:r w:rsidRPr="009651AC">
              <w:rPr>
                <w:rFonts w:ascii="Gill Sans" w:hAnsi="Gill Sans" w:cs="Gill Sans"/>
                <w:noProof/>
                <w:color w:val="FFFFFF" w:themeColor="background1"/>
                <w:sz w:val="22"/>
                <w:szCs w:val="22"/>
                <w:lang w:val="en-GB"/>
              </w:rPr>
              <w:t>Improve government rules on CSO involvement</w:t>
            </w:r>
          </w:p>
        </w:tc>
        <w:tc>
          <w:tcPr>
            <w:tcW w:w="519" w:type="dxa"/>
            <w:vMerge w:val="restart"/>
            <w:tcBorders>
              <w:top w:val="single" w:sz="18" w:space="0" w:color="FFFFFF"/>
              <w:right w:val="single" w:sz="2" w:space="0" w:color="FFFFFF"/>
            </w:tcBorders>
            <w:shd w:val="clear" w:color="auto" w:fill="D6E3BC"/>
          </w:tcPr>
          <w:p w14:paraId="3A6C36FC" w14:textId="77777777" w:rsidR="00716638" w:rsidRPr="00DF1741" w:rsidRDefault="00716638" w:rsidP="00131C34">
            <w:pPr>
              <w:rPr>
                <w:rFonts w:ascii="Zapf Dingbats" w:hAnsi="Zapf Dingbats" w:cs="Gill Sans"/>
                <w:sz w:val="22"/>
                <w:szCs w:val="22"/>
                <w:lang w:val="en-GB"/>
              </w:rPr>
            </w:pPr>
          </w:p>
        </w:tc>
        <w:tc>
          <w:tcPr>
            <w:tcW w:w="451" w:type="dxa"/>
            <w:vMerge w:val="restart"/>
            <w:tcBorders>
              <w:top w:val="single" w:sz="18" w:space="0" w:color="FFFFFF"/>
              <w:left w:val="single" w:sz="2" w:space="0" w:color="FFFFFF"/>
              <w:right w:val="single" w:sz="2" w:space="0" w:color="FFFFFF"/>
            </w:tcBorders>
            <w:shd w:val="clear" w:color="auto" w:fill="D6E3BC"/>
          </w:tcPr>
          <w:p w14:paraId="64863E75" w14:textId="77777777" w:rsidR="00716638" w:rsidRPr="00DF1741" w:rsidRDefault="00716638" w:rsidP="00131C34">
            <w:pPr>
              <w:rPr>
                <w:rFonts w:ascii="Zapf Dingbats" w:hAnsi="Zapf Dingbats" w:cs="Gill Sans"/>
                <w:sz w:val="22"/>
                <w:szCs w:val="22"/>
                <w:lang w:val="en-GB"/>
              </w:rPr>
            </w:pPr>
          </w:p>
        </w:tc>
        <w:tc>
          <w:tcPr>
            <w:tcW w:w="362" w:type="dxa"/>
            <w:vMerge w:val="restart"/>
            <w:tcBorders>
              <w:top w:val="single" w:sz="18" w:space="0" w:color="FFFFFF"/>
              <w:left w:val="single" w:sz="2" w:space="0" w:color="FFFFFF"/>
              <w:right w:val="single" w:sz="2" w:space="0" w:color="FFFFFF"/>
            </w:tcBorders>
            <w:shd w:val="clear" w:color="auto" w:fill="D6E3BC"/>
          </w:tcPr>
          <w:p w14:paraId="0D16F156" w14:textId="77777777" w:rsidR="00716638" w:rsidRPr="00DF1741" w:rsidRDefault="00716638" w:rsidP="00131C34">
            <w:pPr>
              <w:rPr>
                <w:rFonts w:ascii="Zapf Dingbats" w:hAnsi="Zapf Dingbats" w:cs="Gill Sans"/>
                <w:sz w:val="22"/>
                <w:szCs w:val="22"/>
                <w:lang w:val="en-GB"/>
              </w:rPr>
            </w:pPr>
          </w:p>
        </w:tc>
        <w:tc>
          <w:tcPr>
            <w:tcW w:w="363" w:type="dxa"/>
            <w:vMerge w:val="restart"/>
            <w:tcBorders>
              <w:top w:val="single" w:sz="18" w:space="0" w:color="FFFFFF"/>
              <w:left w:val="single" w:sz="2" w:space="0" w:color="FFFFFF"/>
              <w:right w:val="single" w:sz="18" w:space="0" w:color="FFFFFF"/>
            </w:tcBorders>
            <w:shd w:val="clear" w:color="auto" w:fill="D6E3BC"/>
          </w:tcPr>
          <w:p w14:paraId="44353A1F" w14:textId="5D0781A2" w:rsidR="00716638" w:rsidRPr="00DF1741" w:rsidRDefault="00716638" w:rsidP="00131C34">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490394D9" w14:textId="77777777" w:rsidR="00716638" w:rsidRPr="00DF1741" w:rsidRDefault="00716638" w:rsidP="00131C34">
            <w:pPr>
              <w:rPr>
                <w:rFonts w:ascii="Zapf Dingbats" w:hAnsi="Zapf Dingbats" w:cs="Gill Sans"/>
                <w:sz w:val="22"/>
                <w:szCs w:val="22"/>
                <w:lang w:val="en-GB"/>
              </w:rPr>
            </w:pPr>
          </w:p>
        </w:tc>
        <w:tc>
          <w:tcPr>
            <w:tcW w:w="388" w:type="dxa"/>
            <w:vMerge w:val="restart"/>
            <w:tcBorders>
              <w:top w:val="single" w:sz="18" w:space="0" w:color="FFFFFF"/>
              <w:left w:val="single" w:sz="2" w:space="0" w:color="FFFFFF"/>
              <w:right w:val="single" w:sz="2" w:space="0" w:color="FFFFFF"/>
            </w:tcBorders>
            <w:shd w:val="clear" w:color="auto" w:fill="FBD4B4"/>
          </w:tcPr>
          <w:p w14:paraId="29721DA7" w14:textId="0404FA66" w:rsidR="00716638" w:rsidRPr="00DF1741" w:rsidRDefault="00716638" w:rsidP="00131C34">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19E85AD3" w14:textId="4E06C6AA" w:rsidR="00716638" w:rsidRPr="00DF1741" w:rsidRDefault="00716638" w:rsidP="00131C34">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924" w:type="dxa"/>
            <w:vMerge w:val="restart"/>
            <w:tcBorders>
              <w:top w:val="single" w:sz="18" w:space="0" w:color="FFFFFF"/>
              <w:left w:val="single" w:sz="2" w:space="0" w:color="FFFFFF"/>
              <w:right w:val="single" w:sz="18" w:space="0" w:color="FFFFFF"/>
            </w:tcBorders>
            <w:shd w:val="clear" w:color="auto" w:fill="FBD4B4"/>
          </w:tcPr>
          <w:p w14:paraId="01F10B40" w14:textId="77777777" w:rsidR="00716638" w:rsidRPr="00DF1741" w:rsidRDefault="00716638" w:rsidP="00131C34">
            <w:pPr>
              <w:rPr>
                <w:rFonts w:ascii="Zapf Dingbats" w:hAnsi="Zapf Dingbats" w:cs="Gill Sans"/>
                <w:sz w:val="22"/>
                <w:szCs w:val="22"/>
                <w:lang w:val="en-GB"/>
              </w:rPr>
            </w:pPr>
          </w:p>
        </w:tc>
        <w:tc>
          <w:tcPr>
            <w:tcW w:w="352" w:type="dxa"/>
            <w:vMerge w:val="restart"/>
            <w:tcBorders>
              <w:top w:val="single" w:sz="18" w:space="0" w:color="FFFFFF"/>
              <w:left w:val="single" w:sz="18" w:space="0" w:color="FFFFFF"/>
              <w:right w:val="single" w:sz="2" w:space="0" w:color="FFFFFF"/>
            </w:tcBorders>
            <w:shd w:val="clear" w:color="auto" w:fill="CCC0D9"/>
          </w:tcPr>
          <w:p w14:paraId="17494B61" w14:textId="77777777" w:rsidR="00716638" w:rsidRPr="00DF1741" w:rsidRDefault="00716638" w:rsidP="00131C34">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71DD7366" w14:textId="77777777" w:rsidR="00716638" w:rsidRPr="00DF1741" w:rsidRDefault="00716638" w:rsidP="00131C34">
            <w:pPr>
              <w:rPr>
                <w:rFonts w:ascii="Zapf Dingbats" w:hAnsi="Zapf Dingbats" w:cs="Gill Sans"/>
                <w:sz w:val="22"/>
                <w:szCs w:val="22"/>
                <w:lang w:val="en-GB"/>
              </w:rPr>
            </w:pPr>
          </w:p>
        </w:tc>
        <w:tc>
          <w:tcPr>
            <w:tcW w:w="450" w:type="dxa"/>
            <w:vMerge w:val="restart"/>
            <w:tcBorders>
              <w:top w:val="single" w:sz="18" w:space="0" w:color="FFFFFF"/>
              <w:left w:val="single" w:sz="2" w:space="0" w:color="FFFFFF"/>
              <w:right w:val="single" w:sz="2" w:space="0" w:color="FFFFFF"/>
            </w:tcBorders>
            <w:shd w:val="clear" w:color="auto" w:fill="CCC0D9"/>
          </w:tcPr>
          <w:p w14:paraId="57A0F282" w14:textId="7D1F4DBC" w:rsidR="00716638" w:rsidRPr="00DF1741" w:rsidRDefault="00DF1741" w:rsidP="00131C34">
            <w:pPr>
              <w:rPr>
                <w:rFonts w:ascii="Zapf Dingbats" w:hAnsi="Zapf Dingbats" w:cs="Gill Sans"/>
                <w:noProof/>
                <w:sz w:val="22"/>
                <w:szCs w:val="22"/>
                <w:lang w:val="en-GB"/>
              </w:rPr>
            </w:pPr>
            <w:r w:rsidRPr="00DF1741">
              <w:rPr>
                <w:rFonts w:ascii="Zapf Dingbats" w:eastAsia="MS Mincho" w:hAnsi="Zapf Dingbats" w:cs="Menlo Bold"/>
                <w:noProof/>
                <w:sz w:val="22"/>
                <w:szCs w:val="22"/>
                <w:lang w:val="en-GB"/>
              </w:rPr>
              <w:t>✔</w:t>
            </w:r>
          </w:p>
        </w:tc>
        <w:tc>
          <w:tcPr>
            <w:tcW w:w="360" w:type="dxa"/>
            <w:vMerge w:val="restart"/>
            <w:tcBorders>
              <w:top w:val="single" w:sz="18" w:space="0" w:color="FFFFFF"/>
              <w:left w:val="single" w:sz="2" w:space="0" w:color="FFFFFF"/>
              <w:right w:val="single" w:sz="18" w:space="0" w:color="FFFFFF"/>
            </w:tcBorders>
            <w:shd w:val="clear" w:color="auto" w:fill="CCC0D9"/>
          </w:tcPr>
          <w:p w14:paraId="54845924" w14:textId="77777777" w:rsidR="00716638" w:rsidRPr="00DF1741" w:rsidRDefault="00716638" w:rsidP="00131C34">
            <w:pPr>
              <w:rPr>
                <w:rFonts w:ascii="Zapf Dingbats" w:hAnsi="Zapf Dingbats" w:cs="Gill Sans"/>
                <w:sz w:val="22"/>
                <w:szCs w:val="22"/>
                <w:lang w:val="en-GB"/>
              </w:rPr>
            </w:pPr>
          </w:p>
        </w:tc>
        <w:tc>
          <w:tcPr>
            <w:tcW w:w="511"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0A5D048A" w14:textId="77777777" w:rsidR="00716638" w:rsidRPr="00DF1741" w:rsidRDefault="00716638" w:rsidP="00131C34">
            <w:pPr>
              <w:rPr>
                <w:rFonts w:ascii="Zapf Dingbats" w:hAnsi="Zapf Dingbats" w:cs="Gill Sans"/>
                <w:sz w:val="22"/>
                <w:szCs w:val="22"/>
                <w:lang w:val="en-GB"/>
              </w:rPr>
            </w:pPr>
          </w:p>
        </w:tc>
        <w:tc>
          <w:tcPr>
            <w:tcW w:w="56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D83EB1D" w14:textId="77777777" w:rsidR="00716638" w:rsidRPr="00DF1741" w:rsidRDefault="00716638" w:rsidP="00131C34">
            <w:pPr>
              <w:rPr>
                <w:rFonts w:ascii="Zapf Dingbats" w:hAnsi="Zapf Dingbats" w:cs="Gill Sans"/>
                <w:sz w:val="22"/>
                <w:szCs w:val="22"/>
                <w:lang w:val="en-GB"/>
              </w:rPr>
            </w:pPr>
          </w:p>
        </w:tc>
        <w:tc>
          <w:tcPr>
            <w:tcW w:w="56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8DF8E3A" w14:textId="77777777" w:rsidR="00716638" w:rsidRPr="00DF1741" w:rsidRDefault="00716638" w:rsidP="00131C34">
            <w:pPr>
              <w:rPr>
                <w:rFonts w:ascii="Zapf Dingbats" w:hAnsi="Zapf Dingbats" w:cs="Gill Sans"/>
                <w:sz w:val="22"/>
                <w:szCs w:val="22"/>
                <w:lang w:val="en-GB"/>
              </w:rPr>
            </w:pPr>
          </w:p>
        </w:tc>
        <w:tc>
          <w:tcPr>
            <w:tcW w:w="436"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5AF346DB" w14:textId="4CD4FC4A" w:rsidR="00716638" w:rsidRPr="00DF1741" w:rsidRDefault="000E2003" w:rsidP="00131C34">
            <w:pPr>
              <w:rPr>
                <w:rFonts w:ascii="Zapf Dingbats" w:hAnsi="Zapf Dingbats" w:cs="Gill Sans"/>
                <w:sz w:val="22"/>
                <w:szCs w:val="22"/>
                <w:lang w:val="en-GB"/>
              </w:rPr>
            </w:pPr>
            <w:r w:rsidRPr="00DF1741">
              <w:rPr>
                <w:rFonts w:ascii="Zapf Dingbats" w:eastAsia="MS Mincho" w:hAnsi="Zapf Dingbats" w:cs="Menlo Bold"/>
                <w:noProof/>
                <w:sz w:val="22"/>
                <w:szCs w:val="22"/>
                <w:lang w:val="en-GB"/>
              </w:rPr>
              <w:t>✔</w:t>
            </w:r>
          </w:p>
        </w:tc>
        <w:tc>
          <w:tcPr>
            <w:tcW w:w="360" w:type="dxa"/>
            <w:vMerge w:val="restart"/>
            <w:tcBorders>
              <w:top w:val="single" w:sz="18" w:space="0" w:color="FFFFFF"/>
              <w:left w:val="single" w:sz="18" w:space="0" w:color="FFFFFF"/>
              <w:right w:val="single" w:sz="2" w:space="0" w:color="FFFFFF"/>
            </w:tcBorders>
            <w:shd w:val="clear" w:color="auto" w:fill="D99594"/>
          </w:tcPr>
          <w:p w14:paraId="41F23113" w14:textId="77777777" w:rsidR="00716638" w:rsidRPr="009651AC" w:rsidRDefault="00716638" w:rsidP="00131C34">
            <w:pPr>
              <w:rPr>
                <w:rFonts w:ascii="Gill Sans" w:hAnsi="Gill Sans" w:cs="Gill Sans"/>
                <w:sz w:val="22"/>
                <w:szCs w:val="22"/>
                <w:lang w:val="en-GB"/>
              </w:rPr>
            </w:pPr>
          </w:p>
        </w:tc>
        <w:tc>
          <w:tcPr>
            <w:tcW w:w="447" w:type="dxa"/>
            <w:vMerge w:val="restart"/>
            <w:tcBorders>
              <w:top w:val="single" w:sz="18" w:space="0" w:color="FFFFFF"/>
              <w:left w:val="single" w:sz="2" w:space="0" w:color="FFFFFF"/>
              <w:right w:val="single" w:sz="2" w:space="0" w:color="FFFFFF"/>
            </w:tcBorders>
            <w:shd w:val="clear" w:color="auto" w:fill="D99594"/>
          </w:tcPr>
          <w:p w14:paraId="035186DD" w14:textId="77777777" w:rsidR="00716638" w:rsidRPr="009651AC" w:rsidRDefault="00716638" w:rsidP="00131C34">
            <w:pPr>
              <w:rPr>
                <w:rFonts w:ascii="Gill Sans" w:hAnsi="Gill San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99594"/>
          </w:tcPr>
          <w:p w14:paraId="69AF8168" w14:textId="5F36D77A" w:rsidR="00716638" w:rsidRPr="00DF1741" w:rsidRDefault="00DF1741" w:rsidP="00131C34">
            <w:pPr>
              <w:rPr>
                <w:rFonts w:ascii="Zapf Dingbats" w:hAnsi="Zapf Dingbats" w:cs="Gill Sans"/>
                <w:sz w:val="22"/>
                <w:szCs w:val="22"/>
                <w:lang w:val="en-GB"/>
              </w:rPr>
            </w:pPr>
            <w:r w:rsidRPr="00DF1741">
              <w:rPr>
                <w:rFonts w:ascii="Zapf Dingbats" w:eastAsia="MS Mincho" w:hAnsi="Zapf Dingbats" w:cs="Menlo Bold"/>
                <w:noProof/>
                <w:sz w:val="22"/>
                <w:szCs w:val="22"/>
                <w:lang w:val="en-GB"/>
              </w:rPr>
              <w:t>✔</w:t>
            </w:r>
          </w:p>
        </w:tc>
        <w:tc>
          <w:tcPr>
            <w:tcW w:w="360" w:type="dxa"/>
            <w:vMerge w:val="restart"/>
            <w:tcBorders>
              <w:top w:val="single" w:sz="18" w:space="0" w:color="FFFFFF"/>
              <w:left w:val="single" w:sz="2" w:space="0" w:color="FFFFFF"/>
              <w:right w:val="single" w:sz="2" w:space="0" w:color="FFFFFF"/>
            </w:tcBorders>
            <w:shd w:val="clear" w:color="auto" w:fill="D99594"/>
          </w:tcPr>
          <w:p w14:paraId="0D046AAC" w14:textId="77777777" w:rsidR="00716638" w:rsidRPr="009651AC" w:rsidRDefault="00716638" w:rsidP="00131C34">
            <w:pPr>
              <w:rPr>
                <w:rFonts w:ascii="Gill Sans" w:hAnsi="Gill Sans" w:cs="Gill Sans"/>
                <w:noProof/>
                <w:sz w:val="22"/>
                <w:szCs w:val="22"/>
                <w:lang w:val="en-GB"/>
              </w:rPr>
            </w:pPr>
          </w:p>
        </w:tc>
        <w:tc>
          <w:tcPr>
            <w:tcW w:w="450" w:type="dxa"/>
            <w:vMerge w:val="restart"/>
            <w:tcBorders>
              <w:top w:val="single" w:sz="18" w:space="0" w:color="FFFFFF"/>
              <w:left w:val="single" w:sz="2" w:space="0" w:color="FFFFFF"/>
              <w:right w:val="single" w:sz="18" w:space="0" w:color="FFFFFF"/>
            </w:tcBorders>
            <w:shd w:val="clear" w:color="auto" w:fill="D99594"/>
          </w:tcPr>
          <w:p w14:paraId="7D7D0493" w14:textId="77777777" w:rsidR="00716638" w:rsidRPr="009651AC" w:rsidRDefault="00716638" w:rsidP="00131C34">
            <w:pPr>
              <w:rPr>
                <w:rFonts w:ascii="Gill Sans" w:hAnsi="Gill Sans" w:cs="Gill Sans"/>
                <w:sz w:val="22"/>
                <w:szCs w:val="22"/>
                <w:lang w:val="en-GB"/>
              </w:rPr>
            </w:pPr>
          </w:p>
        </w:tc>
      </w:tr>
      <w:tr w:rsidR="009B0529" w:rsidRPr="009651AC" w14:paraId="178AA80A" w14:textId="77777777" w:rsidTr="00B017F8">
        <w:trPr>
          <w:trHeight w:val="340"/>
        </w:trPr>
        <w:tc>
          <w:tcPr>
            <w:tcW w:w="1522" w:type="dxa"/>
            <w:vMerge/>
            <w:tcBorders>
              <w:left w:val="single" w:sz="4" w:space="0" w:color="FFFFFF"/>
            </w:tcBorders>
            <w:shd w:val="clear" w:color="auto" w:fill="000000"/>
          </w:tcPr>
          <w:p w14:paraId="6A526E76" w14:textId="77777777" w:rsidR="00716638" w:rsidRPr="009651AC" w:rsidRDefault="00716638" w:rsidP="00131C34">
            <w:pPr>
              <w:rPr>
                <w:rFonts w:ascii="Gill Sans" w:hAnsi="Gill Sans" w:cs="Gill Sans"/>
                <w:color w:val="FFFFFF" w:themeColor="background1"/>
                <w:sz w:val="22"/>
                <w:szCs w:val="22"/>
                <w:lang w:val="en-GB"/>
              </w:rPr>
            </w:pPr>
          </w:p>
        </w:tc>
        <w:tc>
          <w:tcPr>
            <w:tcW w:w="519" w:type="dxa"/>
            <w:vMerge/>
            <w:tcBorders>
              <w:right w:val="single" w:sz="2" w:space="0" w:color="FFFFFF"/>
            </w:tcBorders>
            <w:shd w:val="clear" w:color="auto" w:fill="D6E3BC"/>
          </w:tcPr>
          <w:p w14:paraId="77649435" w14:textId="77777777" w:rsidR="00716638" w:rsidRPr="00DF1741" w:rsidRDefault="00716638" w:rsidP="00131C34">
            <w:pPr>
              <w:rPr>
                <w:rFonts w:ascii="Zapf Dingbats" w:hAnsi="Zapf Dingbats" w:cs="Gill Sans"/>
                <w:sz w:val="22"/>
                <w:szCs w:val="22"/>
                <w:lang w:val="en-GB"/>
              </w:rPr>
            </w:pPr>
          </w:p>
        </w:tc>
        <w:tc>
          <w:tcPr>
            <w:tcW w:w="451" w:type="dxa"/>
            <w:vMerge/>
            <w:tcBorders>
              <w:left w:val="single" w:sz="2" w:space="0" w:color="FFFFFF"/>
              <w:right w:val="single" w:sz="2" w:space="0" w:color="FFFFFF"/>
            </w:tcBorders>
            <w:shd w:val="clear" w:color="auto" w:fill="D6E3BC"/>
          </w:tcPr>
          <w:p w14:paraId="6896BDC5" w14:textId="77777777" w:rsidR="00716638" w:rsidRPr="00DF1741" w:rsidRDefault="00716638" w:rsidP="00131C34">
            <w:pPr>
              <w:rPr>
                <w:rFonts w:ascii="Zapf Dingbats" w:hAnsi="Zapf Dingbats" w:cs="Gill Sans"/>
                <w:sz w:val="22"/>
                <w:szCs w:val="22"/>
                <w:lang w:val="en-GB"/>
              </w:rPr>
            </w:pPr>
          </w:p>
        </w:tc>
        <w:tc>
          <w:tcPr>
            <w:tcW w:w="362" w:type="dxa"/>
            <w:vMerge/>
            <w:tcBorders>
              <w:left w:val="single" w:sz="2" w:space="0" w:color="FFFFFF"/>
              <w:right w:val="single" w:sz="2" w:space="0" w:color="FFFFFF"/>
            </w:tcBorders>
            <w:shd w:val="clear" w:color="auto" w:fill="D6E3BC"/>
          </w:tcPr>
          <w:p w14:paraId="79FB2CF8" w14:textId="77777777" w:rsidR="00716638" w:rsidRPr="00DF1741" w:rsidRDefault="00716638" w:rsidP="00131C34">
            <w:pPr>
              <w:rPr>
                <w:rFonts w:ascii="Zapf Dingbats" w:hAnsi="Zapf Dingbats" w:cs="Gill Sans"/>
                <w:sz w:val="22"/>
                <w:szCs w:val="22"/>
                <w:lang w:val="en-GB"/>
              </w:rPr>
            </w:pPr>
          </w:p>
        </w:tc>
        <w:tc>
          <w:tcPr>
            <w:tcW w:w="363" w:type="dxa"/>
            <w:vMerge/>
            <w:tcBorders>
              <w:left w:val="single" w:sz="2" w:space="0" w:color="FFFFFF"/>
              <w:right w:val="single" w:sz="18" w:space="0" w:color="FFFFFF"/>
            </w:tcBorders>
            <w:shd w:val="clear" w:color="auto" w:fill="D6E3BC"/>
          </w:tcPr>
          <w:p w14:paraId="33F91058" w14:textId="77777777" w:rsidR="00716638" w:rsidRPr="00DF1741" w:rsidRDefault="00716638" w:rsidP="00131C34">
            <w:pPr>
              <w:rPr>
                <w:rFonts w:ascii="Zapf Dingbats" w:hAnsi="Zapf Dingbat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74F4C952" w14:textId="77777777" w:rsidR="00716638" w:rsidRPr="00DF1741" w:rsidRDefault="00716638" w:rsidP="00131C34">
            <w:pPr>
              <w:rPr>
                <w:rFonts w:ascii="Zapf Dingbats" w:hAnsi="Zapf Dingbats" w:cs="Gill Sans"/>
                <w:sz w:val="22"/>
                <w:szCs w:val="22"/>
                <w:lang w:val="en-GB"/>
              </w:rPr>
            </w:pPr>
          </w:p>
        </w:tc>
        <w:tc>
          <w:tcPr>
            <w:tcW w:w="388" w:type="dxa"/>
            <w:vMerge/>
            <w:tcBorders>
              <w:left w:val="single" w:sz="2" w:space="0" w:color="FFFFFF"/>
              <w:right w:val="single" w:sz="2" w:space="0" w:color="FFFFFF"/>
            </w:tcBorders>
            <w:shd w:val="clear" w:color="auto" w:fill="FBD4B4"/>
          </w:tcPr>
          <w:p w14:paraId="6DDC4852" w14:textId="77777777" w:rsidR="00716638" w:rsidRPr="00DF1741" w:rsidRDefault="00716638" w:rsidP="00131C34">
            <w:pPr>
              <w:rPr>
                <w:rFonts w:ascii="Zapf Dingbats" w:hAnsi="Zapf Dingbat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36CF639B" w14:textId="77777777" w:rsidR="00716638" w:rsidRPr="00DF1741" w:rsidRDefault="00716638" w:rsidP="00131C34">
            <w:pPr>
              <w:rPr>
                <w:rFonts w:ascii="Zapf Dingbats" w:hAnsi="Zapf Dingbats" w:cs="Gill Sans"/>
                <w:noProof/>
                <w:sz w:val="22"/>
                <w:szCs w:val="22"/>
                <w:lang w:val="en-GB"/>
              </w:rPr>
            </w:pPr>
          </w:p>
        </w:tc>
        <w:tc>
          <w:tcPr>
            <w:tcW w:w="924" w:type="dxa"/>
            <w:vMerge/>
            <w:tcBorders>
              <w:left w:val="single" w:sz="2" w:space="0" w:color="FFFFFF"/>
              <w:right w:val="single" w:sz="18" w:space="0" w:color="FFFFFF"/>
            </w:tcBorders>
            <w:shd w:val="clear" w:color="auto" w:fill="FBD4B4"/>
          </w:tcPr>
          <w:p w14:paraId="4D2D07DA" w14:textId="77777777" w:rsidR="00716638" w:rsidRPr="00DF1741" w:rsidRDefault="00716638" w:rsidP="00131C34">
            <w:pPr>
              <w:rPr>
                <w:rFonts w:ascii="Zapf Dingbats" w:hAnsi="Zapf Dingbats" w:cs="Gill Sans"/>
                <w:sz w:val="22"/>
                <w:szCs w:val="22"/>
                <w:lang w:val="en-GB"/>
              </w:rPr>
            </w:pPr>
          </w:p>
        </w:tc>
        <w:tc>
          <w:tcPr>
            <w:tcW w:w="352" w:type="dxa"/>
            <w:vMerge/>
            <w:tcBorders>
              <w:left w:val="single" w:sz="18" w:space="0" w:color="FFFFFF"/>
              <w:right w:val="single" w:sz="2" w:space="0" w:color="FFFFFF"/>
            </w:tcBorders>
            <w:shd w:val="clear" w:color="auto" w:fill="CCC0D9"/>
          </w:tcPr>
          <w:p w14:paraId="5393082A" w14:textId="77777777" w:rsidR="00716638" w:rsidRPr="00DF1741" w:rsidRDefault="00716638" w:rsidP="00131C34">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CCC0D9"/>
          </w:tcPr>
          <w:p w14:paraId="4AAD2885" w14:textId="77777777" w:rsidR="00716638" w:rsidRPr="00DF1741" w:rsidRDefault="00716638" w:rsidP="00131C34">
            <w:pPr>
              <w:rPr>
                <w:rFonts w:ascii="Zapf Dingbats" w:hAnsi="Zapf Dingbats" w:cs="Gill Sans"/>
                <w:sz w:val="22"/>
                <w:szCs w:val="22"/>
                <w:lang w:val="en-GB"/>
              </w:rPr>
            </w:pPr>
          </w:p>
        </w:tc>
        <w:tc>
          <w:tcPr>
            <w:tcW w:w="450" w:type="dxa"/>
            <w:vMerge/>
            <w:tcBorders>
              <w:left w:val="single" w:sz="2" w:space="0" w:color="FFFFFF"/>
              <w:right w:val="single" w:sz="2" w:space="0" w:color="FFFFFF"/>
            </w:tcBorders>
            <w:shd w:val="clear" w:color="auto" w:fill="CCC0D9"/>
          </w:tcPr>
          <w:p w14:paraId="6FF85A6B" w14:textId="77777777" w:rsidR="00716638" w:rsidRPr="00DF1741" w:rsidRDefault="00716638" w:rsidP="00131C34">
            <w:pPr>
              <w:rPr>
                <w:rFonts w:ascii="Zapf Dingbats" w:hAnsi="Zapf Dingbats" w:cs="Gill Sans"/>
                <w:noProof/>
                <w:sz w:val="22"/>
                <w:szCs w:val="22"/>
                <w:lang w:val="en-GB"/>
              </w:rPr>
            </w:pPr>
          </w:p>
        </w:tc>
        <w:tc>
          <w:tcPr>
            <w:tcW w:w="360" w:type="dxa"/>
            <w:vMerge/>
            <w:tcBorders>
              <w:left w:val="single" w:sz="2" w:space="0" w:color="FFFFFF"/>
              <w:right w:val="single" w:sz="18" w:space="0" w:color="FFFFFF"/>
            </w:tcBorders>
            <w:shd w:val="clear" w:color="auto" w:fill="CCC0D9"/>
          </w:tcPr>
          <w:p w14:paraId="25B1AE7D" w14:textId="77777777" w:rsidR="00716638" w:rsidRPr="00DF1741" w:rsidRDefault="00716638" w:rsidP="00131C34">
            <w:pPr>
              <w:rPr>
                <w:rFonts w:ascii="Zapf Dingbats" w:hAnsi="Zapf Dingbats" w:cs="Gill Sans"/>
                <w:sz w:val="22"/>
                <w:szCs w:val="22"/>
                <w:lang w:val="en-GB"/>
              </w:rPr>
            </w:pPr>
          </w:p>
        </w:tc>
        <w:tc>
          <w:tcPr>
            <w:tcW w:w="511"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729E601A" w14:textId="77777777" w:rsidR="00716638" w:rsidRPr="00DF1741" w:rsidRDefault="00716638" w:rsidP="00131C34">
            <w:pPr>
              <w:rPr>
                <w:rFonts w:ascii="Zapf Dingbats" w:hAnsi="Zapf Dingbats" w:cs="Gill Sans"/>
                <w:sz w:val="22"/>
                <w:szCs w:val="22"/>
                <w:lang w:val="en-GB"/>
              </w:rPr>
            </w:pPr>
          </w:p>
        </w:tc>
        <w:tc>
          <w:tcPr>
            <w:tcW w:w="567"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40D9CC8B" w14:textId="77777777" w:rsidR="00716638" w:rsidRPr="00DF1741" w:rsidRDefault="00716638" w:rsidP="00131C34">
            <w:pPr>
              <w:rPr>
                <w:rFonts w:ascii="Zapf Dingbats" w:hAnsi="Zapf Dingbats" w:cs="Gill Sans"/>
                <w:sz w:val="22"/>
                <w:szCs w:val="22"/>
                <w:lang w:val="en-GB"/>
              </w:rPr>
            </w:pPr>
          </w:p>
        </w:tc>
        <w:tc>
          <w:tcPr>
            <w:tcW w:w="567"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7E88B726" w14:textId="77777777" w:rsidR="00716638" w:rsidRPr="00DF1741" w:rsidRDefault="00716638" w:rsidP="00131C34">
            <w:pPr>
              <w:rPr>
                <w:rFonts w:ascii="Zapf Dingbats" w:hAnsi="Zapf Dingbats" w:cs="Gill Sans"/>
                <w:sz w:val="22"/>
                <w:szCs w:val="22"/>
                <w:lang w:val="en-GB"/>
              </w:rPr>
            </w:pPr>
          </w:p>
        </w:tc>
        <w:tc>
          <w:tcPr>
            <w:tcW w:w="436" w:type="dxa"/>
            <w:tcBorders>
              <w:top w:val="single" w:sz="8" w:space="0" w:color="FFFFFF" w:themeColor="background1"/>
              <w:left w:val="single" w:sz="4" w:space="0" w:color="FFFFFF" w:themeColor="background1"/>
              <w:bottom w:val="single" w:sz="18" w:space="0" w:color="FFFFFF"/>
              <w:right w:val="single" w:sz="18" w:space="0" w:color="FFFFFF"/>
            </w:tcBorders>
            <w:shd w:val="clear" w:color="auto" w:fill="B8CCE4"/>
          </w:tcPr>
          <w:p w14:paraId="2C7FAF61" w14:textId="0F7491FE" w:rsidR="00716638" w:rsidRPr="00DF1741" w:rsidRDefault="000E2003" w:rsidP="00131C34">
            <w:pPr>
              <w:rPr>
                <w:rFonts w:ascii="Zapf Dingbats" w:hAnsi="Zapf Dingbats" w:cs="Gill Sans"/>
                <w:sz w:val="22"/>
                <w:szCs w:val="22"/>
                <w:lang w:val="en-GB"/>
              </w:rPr>
            </w:pPr>
            <w:r w:rsidRPr="00DF1741">
              <w:rPr>
                <w:rFonts w:ascii="Zapf Dingbats" w:eastAsia="MS Mincho" w:hAnsi="Zapf Dingbats" w:cs="Menlo Bold"/>
                <w:noProof/>
                <w:sz w:val="22"/>
                <w:szCs w:val="22"/>
                <w:lang w:val="en-GB"/>
              </w:rPr>
              <w:t>✔</w:t>
            </w:r>
          </w:p>
        </w:tc>
        <w:tc>
          <w:tcPr>
            <w:tcW w:w="360" w:type="dxa"/>
            <w:vMerge/>
            <w:tcBorders>
              <w:left w:val="single" w:sz="18" w:space="0" w:color="FFFFFF"/>
              <w:right w:val="single" w:sz="2" w:space="0" w:color="FFFFFF"/>
            </w:tcBorders>
            <w:shd w:val="clear" w:color="auto" w:fill="D99594"/>
          </w:tcPr>
          <w:p w14:paraId="3977D808" w14:textId="77777777" w:rsidR="00716638" w:rsidRPr="00DF1741" w:rsidRDefault="00716638" w:rsidP="00131C34">
            <w:pPr>
              <w:rPr>
                <w:rFonts w:ascii="Zapf Dingbats" w:hAnsi="Zapf Dingbats" w:cs="Gill Sans"/>
                <w:sz w:val="22"/>
                <w:szCs w:val="22"/>
                <w:lang w:val="en-GB"/>
              </w:rPr>
            </w:pPr>
          </w:p>
        </w:tc>
        <w:tc>
          <w:tcPr>
            <w:tcW w:w="447" w:type="dxa"/>
            <w:vMerge/>
            <w:tcBorders>
              <w:left w:val="single" w:sz="2" w:space="0" w:color="FFFFFF"/>
              <w:right w:val="single" w:sz="2" w:space="0" w:color="FFFFFF"/>
            </w:tcBorders>
            <w:shd w:val="clear" w:color="auto" w:fill="D99594"/>
          </w:tcPr>
          <w:p w14:paraId="45A782CC" w14:textId="77777777" w:rsidR="00716638" w:rsidRPr="00DF1741" w:rsidRDefault="00716638" w:rsidP="00131C34">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D99594"/>
          </w:tcPr>
          <w:p w14:paraId="4651A86C" w14:textId="77777777" w:rsidR="00716638" w:rsidRPr="00DF1741" w:rsidRDefault="00716638" w:rsidP="00131C34">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D99594"/>
          </w:tcPr>
          <w:p w14:paraId="45B708AE" w14:textId="77777777" w:rsidR="00716638" w:rsidRPr="009651AC" w:rsidRDefault="00716638" w:rsidP="00131C34">
            <w:pPr>
              <w:rPr>
                <w:rFonts w:ascii="Gill Sans" w:hAnsi="Gill Sans" w:cs="Gill Sans"/>
                <w:noProof/>
                <w:sz w:val="22"/>
                <w:szCs w:val="22"/>
                <w:lang w:val="en-GB"/>
              </w:rPr>
            </w:pPr>
          </w:p>
        </w:tc>
        <w:tc>
          <w:tcPr>
            <w:tcW w:w="450" w:type="dxa"/>
            <w:vMerge/>
            <w:tcBorders>
              <w:left w:val="single" w:sz="2" w:space="0" w:color="FFFFFF"/>
              <w:right w:val="single" w:sz="18" w:space="0" w:color="FFFFFF"/>
            </w:tcBorders>
            <w:shd w:val="clear" w:color="auto" w:fill="D99594"/>
          </w:tcPr>
          <w:p w14:paraId="19D4E610" w14:textId="77777777" w:rsidR="00716638" w:rsidRPr="009651AC" w:rsidRDefault="00716638" w:rsidP="00131C34">
            <w:pPr>
              <w:rPr>
                <w:rFonts w:ascii="Gill Sans" w:hAnsi="Gill Sans" w:cs="Gill Sans"/>
                <w:sz w:val="22"/>
                <w:szCs w:val="22"/>
                <w:lang w:val="en-GB"/>
              </w:rPr>
            </w:pPr>
          </w:p>
        </w:tc>
      </w:tr>
      <w:tr w:rsidR="009B0529" w:rsidRPr="009651AC" w14:paraId="6D706AC8" w14:textId="77777777" w:rsidTr="00B017F8">
        <w:trPr>
          <w:trHeight w:val="600"/>
        </w:trPr>
        <w:tc>
          <w:tcPr>
            <w:tcW w:w="1522" w:type="dxa"/>
            <w:vMerge w:val="restart"/>
            <w:tcBorders>
              <w:top w:val="single" w:sz="18" w:space="0" w:color="FFFFFF"/>
              <w:left w:val="single" w:sz="4" w:space="0" w:color="FFFFFF"/>
            </w:tcBorders>
            <w:shd w:val="clear" w:color="auto" w:fill="000000"/>
          </w:tcPr>
          <w:p w14:paraId="3BBC3D84" w14:textId="1D96DDF7" w:rsidR="00716638" w:rsidRPr="009651AC" w:rsidRDefault="00716638" w:rsidP="00131C34">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 xml:space="preserve">4. </w:t>
            </w:r>
            <w:r w:rsidRPr="009651AC">
              <w:rPr>
                <w:rFonts w:ascii="Gill Sans" w:hAnsi="Gill Sans" w:cs="Gill Sans"/>
                <w:noProof/>
                <w:color w:val="FFFFFF" w:themeColor="background1"/>
                <w:sz w:val="22"/>
                <w:szCs w:val="22"/>
                <w:lang w:val="en-GB"/>
              </w:rPr>
              <w:t xml:space="preserve">Law on public participation   </w:t>
            </w:r>
          </w:p>
        </w:tc>
        <w:tc>
          <w:tcPr>
            <w:tcW w:w="519" w:type="dxa"/>
            <w:vMerge w:val="restart"/>
            <w:tcBorders>
              <w:top w:val="single" w:sz="18" w:space="0" w:color="FFFFFF"/>
              <w:right w:val="single" w:sz="2" w:space="0" w:color="FFFFFF"/>
            </w:tcBorders>
            <w:shd w:val="clear" w:color="auto" w:fill="D6E3BC"/>
          </w:tcPr>
          <w:p w14:paraId="3F90C1E1" w14:textId="77777777" w:rsidR="00716638" w:rsidRPr="00DF1741" w:rsidRDefault="00716638" w:rsidP="00131C34">
            <w:pPr>
              <w:rPr>
                <w:rFonts w:ascii="Zapf Dingbats" w:hAnsi="Zapf Dingbats" w:cs="Gill Sans"/>
                <w:sz w:val="22"/>
                <w:szCs w:val="22"/>
                <w:lang w:val="en-GB"/>
              </w:rPr>
            </w:pPr>
          </w:p>
        </w:tc>
        <w:tc>
          <w:tcPr>
            <w:tcW w:w="451" w:type="dxa"/>
            <w:vMerge w:val="restart"/>
            <w:tcBorders>
              <w:top w:val="single" w:sz="18" w:space="0" w:color="FFFFFF"/>
              <w:left w:val="single" w:sz="2" w:space="0" w:color="FFFFFF"/>
              <w:right w:val="single" w:sz="2" w:space="0" w:color="FFFFFF"/>
            </w:tcBorders>
            <w:shd w:val="clear" w:color="auto" w:fill="D6E3BC"/>
          </w:tcPr>
          <w:p w14:paraId="2F6AA5D0" w14:textId="77777777" w:rsidR="00716638" w:rsidRPr="00DF1741" w:rsidRDefault="00716638" w:rsidP="00131C34">
            <w:pPr>
              <w:rPr>
                <w:rFonts w:ascii="Zapf Dingbats" w:hAnsi="Zapf Dingbats" w:cs="Gill Sans"/>
                <w:sz w:val="22"/>
                <w:szCs w:val="22"/>
                <w:lang w:val="en-GB"/>
              </w:rPr>
            </w:pPr>
          </w:p>
        </w:tc>
        <w:tc>
          <w:tcPr>
            <w:tcW w:w="362" w:type="dxa"/>
            <w:vMerge w:val="restart"/>
            <w:tcBorders>
              <w:top w:val="single" w:sz="18" w:space="0" w:color="FFFFFF"/>
              <w:left w:val="single" w:sz="2" w:space="0" w:color="FFFFFF"/>
              <w:right w:val="single" w:sz="2" w:space="0" w:color="FFFFFF"/>
            </w:tcBorders>
            <w:shd w:val="clear" w:color="auto" w:fill="D6E3BC"/>
          </w:tcPr>
          <w:p w14:paraId="2967E492" w14:textId="77777777" w:rsidR="00716638" w:rsidRPr="00DF1741" w:rsidRDefault="00716638" w:rsidP="00131C34">
            <w:pPr>
              <w:rPr>
                <w:rFonts w:ascii="Zapf Dingbats" w:hAnsi="Zapf Dingbats" w:cs="Gill Sans"/>
                <w:sz w:val="22"/>
                <w:szCs w:val="22"/>
                <w:lang w:val="en-GB"/>
              </w:rPr>
            </w:pPr>
          </w:p>
        </w:tc>
        <w:tc>
          <w:tcPr>
            <w:tcW w:w="363" w:type="dxa"/>
            <w:vMerge w:val="restart"/>
            <w:tcBorders>
              <w:top w:val="single" w:sz="18" w:space="0" w:color="FFFFFF"/>
              <w:left w:val="single" w:sz="2" w:space="0" w:color="FFFFFF"/>
              <w:right w:val="single" w:sz="18" w:space="0" w:color="FFFFFF"/>
            </w:tcBorders>
            <w:shd w:val="clear" w:color="auto" w:fill="D6E3BC"/>
          </w:tcPr>
          <w:p w14:paraId="11B87DDF" w14:textId="77777777" w:rsidR="00716638" w:rsidRPr="00DF1741" w:rsidRDefault="00716638"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6DC19CC4" w14:textId="77777777" w:rsidR="00716638" w:rsidRPr="00DF1741" w:rsidRDefault="00716638" w:rsidP="00131C34">
            <w:pPr>
              <w:rPr>
                <w:rFonts w:ascii="Zapf Dingbats" w:hAnsi="Zapf Dingbats" w:cs="Gill Sans"/>
                <w:sz w:val="22"/>
                <w:szCs w:val="22"/>
                <w:lang w:val="en-GB"/>
              </w:rPr>
            </w:pPr>
          </w:p>
        </w:tc>
        <w:tc>
          <w:tcPr>
            <w:tcW w:w="388" w:type="dxa"/>
            <w:vMerge w:val="restart"/>
            <w:tcBorders>
              <w:top w:val="single" w:sz="18" w:space="0" w:color="FFFFFF"/>
              <w:left w:val="single" w:sz="2" w:space="0" w:color="FFFFFF"/>
              <w:right w:val="single" w:sz="2" w:space="0" w:color="FFFFFF"/>
            </w:tcBorders>
            <w:shd w:val="clear" w:color="auto" w:fill="FBD4B4"/>
          </w:tcPr>
          <w:p w14:paraId="37A7F35B" w14:textId="77777777" w:rsidR="00716638" w:rsidRPr="00DF1741" w:rsidRDefault="00716638"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412FB01E" w14:textId="77777777" w:rsidR="00716638" w:rsidRPr="00DF1741" w:rsidRDefault="00716638"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924" w:type="dxa"/>
            <w:vMerge w:val="restart"/>
            <w:tcBorders>
              <w:top w:val="single" w:sz="18" w:space="0" w:color="FFFFFF"/>
              <w:left w:val="single" w:sz="2" w:space="0" w:color="FFFFFF"/>
              <w:right w:val="single" w:sz="18" w:space="0" w:color="FFFFFF"/>
            </w:tcBorders>
            <w:shd w:val="clear" w:color="auto" w:fill="FBD4B4"/>
          </w:tcPr>
          <w:p w14:paraId="5D84425E" w14:textId="77777777" w:rsidR="00716638" w:rsidRPr="00DF1741" w:rsidRDefault="00716638" w:rsidP="00131C34">
            <w:pPr>
              <w:rPr>
                <w:rFonts w:ascii="Zapf Dingbats" w:hAnsi="Zapf Dingbats" w:cs="Gill Sans"/>
                <w:sz w:val="22"/>
                <w:szCs w:val="22"/>
                <w:lang w:val="en-GB"/>
              </w:rPr>
            </w:pPr>
          </w:p>
        </w:tc>
        <w:tc>
          <w:tcPr>
            <w:tcW w:w="352" w:type="dxa"/>
            <w:vMerge w:val="restart"/>
            <w:tcBorders>
              <w:top w:val="single" w:sz="18" w:space="0" w:color="FFFFFF"/>
              <w:left w:val="single" w:sz="18" w:space="0" w:color="FFFFFF"/>
              <w:right w:val="single" w:sz="2" w:space="0" w:color="FFFFFF"/>
            </w:tcBorders>
            <w:shd w:val="clear" w:color="auto" w:fill="CCC0D9"/>
          </w:tcPr>
          <w:p w14:paraId="35F2F753" w14:textId="77777777" w:rsidR="00716638" w:rsidRPr="00DF1741" w:rsidRDefault="00716638" w:rsidP="00131C34">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45070990" w14:textId="77777777" w:rsidR="00716638" w:rsidRPr="00DF1741" w:rsidRDefault="00716638" w:rsidP="00131C34">
            <w:pPr>
              <w:rPr>
                <w:rFonts w:ascii="Zapf Dingbats" w:hAnsi="Zapf Dingbats" w:cs="Gill Sans"/>
                <w:sz w:val="22"/>
                <w:szCs w:val="22"/>
                <w:lang w:val="en-GB"/>
              </w:rPr>
            </w:pPr>
          </w:p>
        </w:tc>
        <w:tc>
          <w:tcPr>
            <w:tcW w:w="450" w:type="dxa"/>
            <w:vMerge w:val="restart"/>
            <w:tcBorders>
              <w:top w:val="single" w:sz="18" w:space="0" w:color="FFFFFF"/>
              <w:left w:val="single" w:sz="2" w:space="0" w:color="FFFFFF"/>
              <w:right w:val="single" w:sz="2" w:space="0" w:color="FFFFFF"/>
            </w:tcBorders>
            <w:shd w:val="clear" w:color="auto" w:fill="CCC0D9"/>
          </w:tcPr>
          <w:p w14:paraId="3A06AE0F" w14:textId="77777777" w:rsidR="00716638" w:rsidRPr="00DF1741" w:rsidRDefault="00716638"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18" w:space="0" w:color="FFFFFF"/>
            </w:tcBorders>
            <w:shd w:val="clear" w:color="auto" w:fill="CCC0D9"/>
          </w:tcPr>
          <w:p w14:paraId="2D5039A3" w14:textId="77777777" w:rsidR="00716638" w:rsidRPr="00DF1741" w:rsidRDefault="00716638" w:rsidP="00131C34">
            <w:pPr>
              <w:rPr>
                <w:rFonts w:ascii="Zapf Dingbats" w:hAnsi="Zapf Dingbats" w:cs="Gill Sans"/>
                <w:sz w:val="22"/>
                <w:szCs w:val="22"/>
                <w:lang w:val="en-GB"/>
              </w:rPr>
            </w:pPr>
          </w:p>
        </w:tc>
        <w:tc>
          <w:tcPr>
            <w:tcW w:w="511"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79BFE0ED" w14:textId="77777777" w:rsidR="00716638" w:rsidRPr="00DF1741" w:rsidRDefault="00716638" w:rsidP="00131C34">
            <w:pPr>
              <w:rPr>
                <w:rFonts w:ascii="Zapf Dingbats" w:hAnsi="Zapf Dingbats" w:cs="Gill Sans"/>
                <w:sz w:val="22"/>
                <w:szCs w:val="22"/>
                <w:lang w:val="en-GB"/>
              </w:rPr>
            </w:pPr>
          </w:p>
        </w:tc>
        <w:tc>
          <w:tcPr>
            <w:tcW w:w="56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5124E593" w14:textId="77777777" w:rsidR="00716638" w:rsidRPr="00DF1741" w:rsidRDefault="00716638"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56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0F880D73" w14:textId="77777777" w:rsidR="00716638" w:rsidRPr="00DF1741" w:rsidRDefault="00716638" w:rsidP="00131C34">
            <w:pPr>
              <w:rPr>
                <w:rFonts w:ascii="Zapf Dingbats" w:hAnsi="Zapf Dingbats" w:cs="Gill Sans"/>
                <w:sz w:val="22"/>
                <w:szCs w:val="22"/>
                <w:lang w:val="en-GB"/>
              </w:rPr>
            </w:pPr>
          </w:p>
        </w:tc>
        <w:tc>
          <w:tcPr>
            <w:tcW w:w="436"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7178AE78" w14:textId="77777777" w:rsidR="00716638" w:rsidRPr="00DF1741" w:rsidRDefault="00716638" w:rsidP="00131C34">
            <w:pPr>
              <w:rPr>
                <w:rFonts w:ascii="Zapf Dingbats" w:hAnsi="Zapf Dingbats" w:cs="Gill Sans"/>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99594"/>
          </w:tcPr>
          <w:p w14:paraId="3DCA2C8D" w14:textId="77777777" w:rsidR="00716638" w:rsidRPr="00DF1741" w:rsidRDefault="00716638" w:rsidP="00131C34">
            <w:pPr>
              <w:rPr>
                <w:rFonts w:ascii="Zapf Dingbats" w:hAnsi="Zapf Dingbats" w:cs="Gill Sans"/>
                <w:sz w:val="22"/>
                <w:szCs w:val="22"/>
                <w:lang w:val="en-GB"/>
              </w:rPr>
            </w:pPr>
          </w:p>
        </w:tc>
        <w:tc>
          <w:tcPr>
            <w:tcW w:w="447" w:type="dxa"/>
            <w:vMerge w:val="restart"/>
            <w:tcBorders>
              <w:top w:val="single" w:sz="18" w:space="0" w:color="FFFFFF"/>
              <w:left w:val="single" w:sz="2" w:space="0" w:color="FFFFFF"/>
              <w:right w:val="single" w:sz="2" w:space="0" w:color="FFFFFF"/>
            </w:tcBorders>
            <w:shd w:val="clear" w:color="auto" w:fill="D99594"/>
          </w:tcPr>
          <w:p w14:paraId="101BF9EA" w14:textId="77777777" w:rsidR="00716638" w:rsidRPr="00DF1741" w:rsidRDefault="00716638" w:rsidP="00131C34">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99594"/>
          </w:tcPr>
          <w:p w14:paraId="1C4F2D93" w14:textId="3E4EC783" w:rsidR="00716638" w:rsidRPr="00DF1741" w:rsidRDefault="00DF1741" w:rsidP="00131C34">
            <w:pPr>
              <w:rPr>
                <w:rFonts w:ascii="Zapf Dingbats" w:hAnsi="Zapf Dingbats" w:cs="Gill Sans"/>
                <w:sz w:val="22"/>
                <w:szCs w:val="22"/>
                <w:lang w:val="en-GB"/>
              </w:rPr>
            </w:pPr>
            <w:r w:rsidRPr="00DF1741">
              <w:rPr>
                <w:rFonts w:ascii="Zapf Dingbats" w:eastAsia="MS Mincho" w:hAnsi="Zapf Dingbats" w:cs="Menlo Bold"/>
                <w:noProof/>
                <w:sz w:val="22"/>
                <w:szCs w:val="22"/>
                <w:lang w:val="en-GB"/>
              </w:rPr>
              <w:t>✔</w:t>
            </w:r>
          </w:p>
        </w:tc>
        <w:tc>
          <w:tcPr>
            <w:tcW w:w="360" w:type="dxa"/>
            <w:vMerge w:val="restart"/>
            <w:tcBorders>
              <w:top w:val="single" w:sz="18" w:space="0" w:color="FFFFFF"/>
              <w:left w:val="single" w:sz="2" w:space="0" w:color="FFFFFF"/>
              <w:right w:val="single" w:sz="2" w:space="0" w:color="FFFFFF"/>
            </w:tcBorders>
            <w:shd w:val="clear" w:color="auto" w:fill="D99594"/>
          </w:tcPr>
          <w:p w14:paraId="24941049" w14:textId="388B0456" w:rsidR="00716638" w:rsidRPr="009651AC" w:rsidRDefault="00716638" w:rsidP="00131C34">
            <w:pPr>
              <w:rPr>
                <w:rFonts w:ascii="Gill Sans" w:hAnsi="Gill Sans" w:cs="Gill Sans"/>
                <w:sz w:val="22"/>
                <w:szCs w:val="22"/>
                <w:lang w:val="en-GB"/>
              </w:rPr>
            </w:pPr>
          </w:p>
        </w:tc>
        <w:tc>
          <w:tcPr>
            <w:tcW w:w="450" w:type="dxa"/>
            <w:vMerge w:val="restart"/>
            <w:tcBorders>
              <w:top w:val="single" w:sz="18" w:space="0" w:color="FFFFFF"/>
              <w:left w:val="single" w:sz="2" w:space="0" w:color="FFFFFF"/>
              <w:right w:val="single" w:sz="18" w:space="0" w:color="FFFFFF"/>
            </w:tcBorders>
            <w:shd w:val="clear" w:color="auto" w:fill="D99594"/>
          </w:tcPr>
          <w:p w14:paraId="5F41769E" w14:textId="77777777" w:rsidR="00716638" w:rsidRPr="009651AC" w:rsidRDefault="00716638" w:rsidP="00131C34">
            <w:pPr>
              <w:rPr>
                <w:rFonts w:ascii="Gill Sans" w:hAnsi="Gill Sans" w:cs="Gill Sans"/>
                <w:sz w:val="22"/>
                <w:szCs w:val="22"/>
                <w:lang w:val="en-GB"/>
              </w:rPr>
            </w:pPr>
          </w:p>
        </w:tc>
      </w:tr>
      <w:tr w:rsidR="009B0529" w:rsidRPr="009651AC" w14:paraId="2B18FB7B" w14:textId="77777777" w:rsidTr="00B017F8">
        <w:trPr>
          <w:trHeight w:val="663"/>
        </w:trPr>
        <w:tc>
          <w:tcPr>
            <w:tcW w:w="1522" w:type="dxa"/>
            <w:vMerge/>
            <w:tcBorders>
              <w:left w:val="nil"/>
              <w:bottom w:val="single" w:sz="18" w:space="0" w:color="FFFFFF"/>
            </w:tcBorders>
            <w:shd w:val="clear" w:color="auto" w:fill="000000"/>
          </w:tcPr>
          <w:p w14:paraId="0CBD5D44" w14:textId="77777777" w:rsidR="00716638" w:rsidRPr="009651AC" w:rsidRDefault="00716638" w:rsidP="00131C34">
            <w:pPr>
              <w:rPr>
                <w:rFonts w:ascii="Gill Sans" w:hAnsi="Gill Sans" w:cs="Gill Sans"/>
                <w:sz w:val="22"/>
                <w:szCs w:val="22"/>
                <w:lang w:val="en-GB"/>
              </w:rPr>
            </w:pPr>
          </w:p>
        </w:tc>
        <w:tc>
          <w:tcPr>
            <w:tcW w:w="519" w:type="dxa"/>
            <w:vMerge/>
            <w:tcBorders>
              <w:bottom w:val="single" w:sz="18" w:space="0" w:color="FFFFFF"/>
              <w:right w:val="single" w:sz="2" w:space="0" w:color="FFFFFF"/>
            </w:tcBorders>
            <w:shd w:val="clear" w:color="auto" w:fill="D6E3BC"/>
          </w:tcPr>
          <w:p w14:paraId="57AFAEAD" w14:textId="77777777" w:rsidR="00716638" w:rsidRPr="00DF1741" w:rsidRDefault="00716638" w:rsidP="00131C34">
            <w:pPr>
              <w:rPr>
                <w:rFonts w:ascii="Zapf Dingbats" w:hAnsi="Zapf Dingbats" w:cs="Gill Sans"/>
                <w:sz w:val="22"/>
                <w:szCs w:val="22"/>
                <w:lang w:val="en-GB"/>
              </w:rPr>
            </w:pPr>
          </w:p>
        </w:tc>
        <w:tc>
          <w:tcPr>
            <w:tcW w:w="451" w:type="dxa"/>
            <w:vMerge/>
            <w:tcBorders>
              <w:left w:val="single" w:sz="2" w:space="0" w:color="FFFFFF"/>
              <w:bottom w:val="single" w:sz="18" w:space="0" w:color="FFFFFF"/>
              <w:right w:val="single" w:sz="2" w:space="0" w:color="FFFFFF"/>
            </w:tcBorders>
            <w:shd w:val="clear" w:color="auto" w:fill="D6E3BC"/>
          </w:tcPr>
          <w:p w14:paraId="09CD0CCD" w14:textId="77777777" w:rsidR="00716638" w:rsidRPr="00DF1741" w:rsidRDefault="00716638" w:rsidP="00131C34">
            <w:pPr>
              <w:rPr>
                <w:rFonts w:ascii="Zapf Dingbats" w:hAnsi="Zapf Dingbats" w:cs="Gill Sans"/>
                <w:sz w:val="22"/>
                <w:szCs w:val="22"/>
                <w:lang w:val="en-GB"/>
              </w:rPr>
            </w:pPr>
          </w:p>
        </w:tc>
        <w:tc>
          <w:tcPr>
            <w:tcW w:w="362" w:type="dxa"/>
            <w:vMerge/>
            <w:tcBorders>
              <w:left w:val="single" w:sz="2" w:space="0" w:color="FFFFFF"/>
              <w:bottom w:val="single" w:sz="18" w:space="0" w:color="FFFFFF"/>
              <w:right w:val="single" w:sz="2" w:space="0" w:color="FFFFFF"/>
            </w:tcBorders>
            <w:shd w:val="clear" w:color="auto" w:fill="D6E3BC"/>
          </w:tcPr>
          <w:p w14:paraId="1A70C1CF" w14:textId="77777777" w:rsidR="00716638" w:rsidRPr="00DF1741" w:rsidRDefault="00716638" w:rsidP="00131C34">
            <w:pPr>
              <w:rPr>
                <w:rFonts w:ascii="Zapf Dingbats" w:hAnsi="Zapf Dingbats" w:cs="Gill Sans"/>
                <w:sz w:val="22"/>
                <w:szCs w:val="22"/>
                <w:lang w:val="en-GB"/>
              </w:rPr>
            </w:pPr>
          </w:p>
        </w:tc>
        <w:tc>
          <w:tcPr>
            <w:tcW w:w="363" w:type="dxa"/>
            <w:vMerge/>
            <w:tcBorders>
              <w:left w:val="single" w:sz="2" w:space="0" w:color="FFFFFF"/>
              <w:bottom w:val="single" w:sz="18" w:space="0" w:color="FFFFFF"/>
              <w:right w:val="single" w:sz="18" w:space="0" w:color="FFFFFF"/>
            </w:tcBorders>
            <w:shd w:val="clear" w:color="auto" w:fill="D6E3BC"/>
          </w:tcPr>
          <w:p w14:paraId="72C7D18D" w14:textId="77777777" w:rsidR="00716638" w:rsidRPr="00DF1741" w:rsidRDefault="00716638" w:rsidP="00131C34">
            <w:pPr>
              <w:rPr>
                <w:rFonts w:ascii="Zapf Dingbats" w:hAnsi="Zapf Dingbats" w:cs="Gill Sans"/>
                <w:sz w:val="22"/>
                <w:szCs w:val="22"/>
                <w:lang w:val="en-GB"/>
              </w:rPr>
            </w:pPr>
          </w:p>
        </w:tc>
        <w:tc>
          <w:tcPr>
            <w:tcW w:w="389" w:type="dxa"/>
            <w:vMerge/>
            <w:tcBorders>
              <w:left w:val="single" w:sz="2" w:space="0" w:color="FFFFFF"/>
              <w:bottom w:val="single" w:sz="18" w:space="0" w:color="FFFFFF"/>
              <w:right w:val="single" w:sz="2" w:space="0" w:color="FFFFFF"/>
            </w:tcBorders>
            <w:shd w:val="clear" w:color="auto" w:fill="FBD4B4"/>
          </w:tcPr>
          <w:p w14:paraId="76BF06A1" w14:textId="77777777" w:rsidR="00716638" w:rsidRPr="00DF1741" w:rsidRDefault="00716638" w:rsidP="00131C34">
            <w:pPr>
              <w:rPr>
                <w:rFonts w:ascii="Zapf Dingbats" w:hAnsi="Zapf Dingbats" w:cs="Gill Sans"/>
                <w:sz w:val="22"/>
                <w:szCs w:val="22"/>
                <w:lang w:val="en-GB"/>
              </w:rPr>
            </w:pPr>
          </w:p>
        </w:tc>
        <w:tc>
          <w:tcPr>
            <w:tcW w:w="388" w:type="dxa"/>
            <w:vMerge/>
            <w:tcBorders>
              <w:left w:val="single" w:sz="2" w:space="0" w:color="FFFFFF"/>
              <w:bottom w:val="single" w:sz="18" w:space="0" w:color="FFFFFF"/>
              <w:right w:val="single" w:sz="2" w:space="0" w:color="FFFFFF"/>
            </w:tcBorders>
            <w:shd w:val="clear" w:color="auto" w:fill="FBD4B4"/>
          </w:tcPr>
          <w:p w14:paraId="196E4ACC" w14:textId="77777777" w:rsidR="00716638" w:rsidRPr="00DF1741" w:rsidRDefault="00716638" w:rsidP="00131C34">
            <w:pPr>
              <w:rPr>
                <w:rFonts w:ascii="Zapf Dingbats" w:hAnsi="Zapf Dingbats" w:cs="Gill Sans"/>
                <w:sz w:val="22"/>
                <w:szCs w:val="22"/>
                <w:lang w:val="en-GB"/>
              </w:rPr>
            </w:pPr>
          </w:p>
        </w:tc>
        <w:tc>
          <w:tcPr>
            <w:tcW w:w="389" w:type="dxa"/>
            <w:vMerge/>
            <w:tcBorders>
              <w:left w:val="single" w:sz="2" w:space="0" w:color="FFFFFF"/>
              <w:bottom w:val="single" w:sz="18" w:space="0" w:color="FFFFFF"/>
              <w:right w:val="single" w:sz="2" w:space="0" w:color="FFFFFF"/>
            </w:tcBorders>
            <w:shd w:val="clear" w:color="auto" w:fill="FBD4B4"/>
          </w:tcPr>
          <w:p w14:paraId="373834C6" w14:textId="77777777" w:rsidR="00716638" w:rsidRPr="00DF1741" w:rsidRDefault="00716638" w:rsidP="00131C34">
            <w:pPr>
              <w:rPr>
                <w:rFonts w:ascii="Zapf Dingbats" w:hAnsi="Zapf Dingbats" w:cs="Gill Sans"/>
                <w:sz w:val="22"/>
                <w:szCs w:val="22"/>
                <w:lang w:val="en-GB"/>
              </w:rPr>
            </w:pPr>
          </w:p>
        </w:tc>
        <w:tc>
          <w:tcPr>
            <w:tcW w:w="924" w:type="dxa"/>
            <w:vMerge/>
            <w:tcBorders>
              <w:left w:val="single" w:sz="2" w:space="0" w:color="FFFFFF"/>
              <w:bottom w:val="single" w:sz="18" w:space="0" w:color="FFFFFF"/>
              <w:right w:val="single" w:sz="18" w:space="0" w:color="FFFFFF"/>
            </w:tcBorders>
            <w:shd w:val="clear" w:color="auto" w:fill="FBD4B4"/>
          </w:tcPr>
          <w:p w14:paraId="024D6068" w14:textId="77777777" w:rsidR="00716638" w:rsidRPr="00DF1741" w:rsidRDefault="00716638" w:rsidP="00131C34">
            <w:pPr>
              <w:rPr>
                <w:rFonts w:ascii="Zapf Dingbats" w:hAnsi="Zapf Dingbats" w:cs="Gill Sans"/>
                <w:sz w:val="22"/>
                <w:szCs w:val="22"/>
                <w:lang w:val="en-GB"/>
              </w:rPr>
            </w:pPr>
          </w:p>
        </w:tc>
        <w:tc>
          <w:tcPr>
            <w:tcW w:w="352" w:type="dxa"/>
            <w:vMerge/>
            <w:tcBorders>
              <w:left w:val="single" w:sz="18" w:space="0" w:color="FFFFFF"/>
              <w:bottom w:val="single" w:sz="18" w:space="0" w:color="FFFFFF"/>
              <w:right w:val="single" w:sz="2" w:space="0" w:color="FFFFFF"/>
            </w:tcBorders>
            <w:shd w:val="clear" w:color="auto" w:fill="CCC0D9"/>
          </w:tcPr>
          <w:p w14:paraId="6D782C67" w14:textId="77777777" w:rsidR="00716638" w:rsidRPr="00DF1741" w:rsidRDefault="00716638" w:rsidP="00131C34">
            <w:pPr>
              <w:rPr>
                <w:rFonts w:ascii="Zapf Dingbats" w:hAnsi="Zapf Dingbats" w:cs="Gill Sans"/>
                <w:sz w:val="22"/>
                <w:szCs w:val="22"/>
                <w:lang w:val="en-GB"/>
              </w:rPr>
            </w:pPr>
          </w:p>
        </w:tc>
        <w:tc>
          <w:tcPr>
            <w:tcW w:w="360" w:type="dxa"/>
            <w:vMerge/>
            <w:tcBorders>
              <w:left w:val="single" w:sz="2" w:space="0" w:color="FFFFFF"/>
              <w:bottom w:val="single" w:sz="18" w:space="0" w:color="FFFFFF"/>
              <w:right w:val="single" w:sz="2" w:space="0" w:color="FFFFFF"/>
            </w:tcBorders>
            <w:shd w:val="clear" w:color="auto" w:fill="CCC0D9"/>
          </w:tcPr>
          <w:p w14:paraId="364C5538" w14:textId="77777777" w:rsidR="00716638" w:rsidRPr="00DF1741" w:rsidRDefault="00716638" w:rsidP="00131C34">
            <w:pPr>
              <w:rPr>
                <w:rFonts w:ascii="Zapf Dingbats" w:hAnsi="Zapf Dingbats" w:cs="Gill Sans"/>
                <w:sz w:val="22"/>
                <w:szCs w:val="22"/>
                <w:lang w:val="en-GB"/>
              </w:rPr>
            </w:pPr>
          </w:p>
        </w:tc>
        <w:tc>
          <w:tcPr>
            <w:tcW w:w="450" w:type="dxa"/>
            <w:vMerge/>
            <w:tcBorders>
              <w:left w:val="single" w:sz="2" w:space="0" w:color="FFFFFF"/>
              <w:bottom w:val="single" w:sz="18" w:space="0" w:color="FFFFFF"/>
              <w:right w:val="single" w:sz="2" w:space="0" w:color="FFFFFF"/>
            </w:tcBorders>
            <w:shd w:val="clear" w:color="auto" w:fill="CCC0D9"/>
          </w:tcPr>
          <w:p w14:paraId="296E222E" w14:textId="77777777" w:rsidR="00716638" w:rsidRPr="00DF1741" w:rsidRDefault="00716638" w:rsidP="00131C34">
            <w:pPr>
              <w:rPr>
                <w:rFonts w:ascii="Zapf Dingbats" w:hAnsi="Zapf Dingbats" w:cs="Gill Sans"/>
                <w:sz w:val="22"/>
                <w:szCs w:val="22"/>
                <w:lang w:val="en-GB"/>
              </w:rPr>
            </w:pPr>
          </w:p>
        </w:tc>
        <w:tc>
          <w:tcPr>
            <w:tcW w:w="360" w:type="dxa"/>
            <w:vMerge/>
            <w:tcBorders>
              <w:left w:val="single" w:sz="2" w:space="0" w:color="FFFFFF"/>
              <w:bottom w:val="single" w:sz="18" w:space="0" w:color="FFFFFF"/>
              <w:right w:val="single" w:sz="18" w:space="0" w:color="FFFFFF"/>
            </w:tcBorders>
            <w:shd w:val="clear" w:color="auto" w:fill="CCC0D9"/>
          </w:tcPr>
          <w:p w14:paraId="01221A94" w14:textId="77777777" w:rsidR="00716638" w:rsidRPr="00DF1741" w:rsidRDefault="00716638" w:rsidP="00131C34">
            <w:pPr>
              <w:rPr>
                <w:rFonts w:ascii="Zapf Dingbats" w:hAnsi="Zapf Dingbats" w:cs="Gill Sans"/>
                <w:sz w:val="22"/>
                <w:szCs w:val="22"/>
                <w:lang w:val="en-GB"/>
              </w:rPr>
            </w:pPr>
          </w:p>
        </w:tc>
        <w:tc>
          <w:tcPr>
            <w:tcW w:w="511"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14624768" w14:textId="77777777" w:rsidR="00716638" w:rsidRPr="00DF1741" w:rsidRDefault="00716638" w:rsidP="00131C34">
            <w:pPr>
              <w:rPr>
                <w:rFonts w:ascii="Zapf Dingbats" w:hAnsi="Zapf Dingbats" w:cs="Gill Sans"/>
                <w:sz w:val="22"/>
                <w:szCs w:val="22"/>
                <w:lang w:val="en-GB"/>
              </w:rPr>
            </w:pPr>
          </w:p>
        </w:tc>
        <w:tc>
          <w:tcPr>
            <w:tcW w:w="567" w:type="dxa"/>
            <w:tcBorders>
              <w:top w:val="single" w:sz="8" w:space="0" w:color="FFFFFF" w:themeColor="background1"/>
              <w:left w:val="single" w:sz="4" w:space="0" w:color="FFFFFF" w:themeColor="background1"/>
              <w:bottom w:val="single" w:sz="18" w:space="0" w:color="FFFFFF"/>
              <w:right w:val="single" w:sz="2" w:space="0" w:color="FFFFFF"/>
            </w:tcBorders>
            <w:shd w:val="clear" w:color="auto" w:fill="B8CCE4"/>
          </w:tcPr>
          <w:p w14:paraId="195A17A2" w14:textId="77777777" w:rsidR="00716638" w:rsidRPr="00DF1741" w:rsidRDefault="00716638" w:rsidP="00131C34">
            <w:pPr>
              <w:rPr>
                <w:rFonts w:ascii="Zapf Dingbats" w:hAnsi="Zapf Dingbats" w:cs="Gill Sans"/>
                <w:sz w:val="22"/>
                <w:szCs w:val="22"/>
                <w:lang w:val="en-GB"/>
              </w:rPr>
            </w:pPr>
          </w:p>
        </w:tc>
        <w:tc>
          <w:tcPr>
            <w:tcW w:w="567" w:type="dxa"/>
            <w:tcBorders>
              <w:top w:val="single" w:sz="8" w:space="0" w:color="FFFFFF" w:themeColor="background1"/>
              <w:left w:val="single" w:sz="2" w:space="0" w:color="FFFFFF"/>
              <w:bottom w:val="single" w:sz="18" w:space="0" w:color="FFFFFF"/>
              <w:right w:val="single" w:sz="2" w:space="0" w:color="FFFFFF"/>
            </w:tcBorders>
            <w:shd w:val="clear" w:color="auto" w:fill="B8CCE4"/>
          </w:tcPr>
          <w:p w14:paraId="30495F55" w14:textId="44B62FBC" w:rsidR="00716638" w:rsidRPr="00DF1741" w:rsidRDefault="005B6F2C"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436" w:type="dxa"/>
            <w:tcBorders>
              <w:top w:val="single" w:sz="8" w:space="0" w:color="FFFFFF" w:themeColor="background1"/>
              <w:left w:val="single" w:sz="2" w:space="0" w:color="FFFFFF"/>
              <w:bottom w:val="single" w:sz="18" w:space="0" w:color="FFFFFF"/>
              <w:right w:val="single" w:sz="18" w:space="0" w:color="FFFFFF"/>
            </w:tcBorders>
            <w:shd w:val="clear" w:color="auto" w:fill="B8CCE4"/>
          </w:tcPr>
          <w:p w14:paraId="09DB07ED" w14:textId="243DAF23" w:rsidR="00716638" w:rsidRPr="009651AC" w:rsidRDefault="00716638" w:rsidP="00131C34">
            <w:pPr>
              <w:rPr>
                <w:rFonts w:ascii="Gill Sans" w:hAnsi="Gill Sans" w:cs="Gill Sans"/>
                <w:sz w:val="22"/>
                <w:szCs w:val="22"/>
                <w:lang w:val="en-GB"/>
              </w:rPr>
            </w:pPr>
          </w:p>
        </w:tc>
        <w:tc>
          <w:tcPr>
            <w:tcW w:w="360" w:type="dxa"/>
            <w:vMerge/>
            <w:tcBorders>
              <w:left w:val="single" w:sz="18" w:space="0" w:color="FFFFFF"/>
              <w:bottom w:val="single" w:sz="18" w:space="0" w:color="FFFFFF"/>
              <w:right w:val="single" w:sz="2" w:space="0" w:color="FFFFFF"/>
            </w:tcBorders>
            <w:shd w:val="clear" w:color="auto" w:fill="D99594"/>
          </w:tcPr>
          <w:p w14:paraId="32CBC83B" w14:textId="77777777" w:rsidR="00716638" w:rsidRPr="009651AC" w:rsidRDefault="00716638" w:rsidP="00131C34">
            <w:pPr>
              <w:rPr>
                <w:rFonts w:ascii="Gill Sans" w:hAnsi="Gill Sans" w:cs="Gill Sans"/>
                <w:sz w:val="22"/>
                <w:szCs w:val="22"/>
                <w:lang w:val="en-GB"/>
              </w:rPr>
            </w:pPr>
          </w:p>
        </w:tc>
        <w:tc>
          <w:tcPr>
            <w:tcW w:w="447" w:type="dxa"/>
            <w:vMerge/>
            <w:tcBorders>
              <w:left w:val="single" w:sz="2" w:space="0" w:color="FFFFFF"/>
              <w:bottom w:val="single" w:sz="18" w:space="0" w:color="FFFFFF"/>
              <w:right w:val="single" w:sz="2" w:space="0" w:color="FFFFFF"/>
            </w:tcBorders>
            <w:shd w:val="clear" w:color="auto" w:fill="D99594"/>
          </w:tcPr>
          <w:p w14:paraId="4ECD594F" w14:textId="77777777" w:rsidR="00716638" w:rsidRPr="009651AC" w:rsidRDefault="00716638" w:rsidP="00131C34">
            <w:pPr>
              <w:rPr>
                <w:rFonts w:ascii="Gill Sans" w:hAnsi="Gill Sans" w:cs="Gill Sans"/>
                <w:sz w:val="22"/>
                <w:szCs w:val="22"/>
                <w:lang w:val="en-GB"/>
              </w:rPr>
            </w:pPr>
          </w:p>
        </w:tc>
        <w:tc>
          <w:tcPr>
            <w:tcW w:w="360" w:type="dxa"/>
            <w:vMerge/>
            <w:tcBorders>
              <w:left w:val="single" w:sz="2" w:space="0" w:color="FFFFFF"/>
              <w:bottom w:val="single" w:sz="18" w:space="0" w:color="FFFFFF"/>
              <w:right w:val="single" w:sz="2" w:space="0" w:color="FFFFFF"/>
            </w:tcBorders>
            <w:shd w:val="clear" w:color="auto" w:fill="D99594"/>
          </w:tcPr>
          <w:p w14:paraId="36E8140A" w14:textId="77777777" w:rsidR="00716638" w:rsidRPr="009651AC" w:rsidRDefault="00716638" w:rsidP="00131C34">
            <w:pPr>
              <w:rPr>
                <w:rFonts w:ascii="Gill Sans" w:hAnsi="Gill Sans" w:cs="Gill Sans"/>
                <w:sz w:val="22"/>
                <w:szCs w:val="22"/>
                <w:lang w:val="en-GB"/>
              </w:rPr>
            </w:pPr>
          </w:p>
        </w:tc>
        <w:tc>
          <w:tcPr>
            <w:tcW w:w="360" w:type="dxa"/>
            <w:vMerge/>
            <w:tcBorders>
              <w:left w:val="single" w:sz="2" w:space="0" w:color="FFFFFF"/>
              <w:bottom w:val="single" w:sz="18" w:space="0" w:color="FFFFFF"/>
              <w:right w:val="single" w:sz="2" w:space="0" w:color="FFFFFF"/>
            </w:tcBorders>
            <w:shd w:val="clear" w:color="auto" w:fill="D99594"/>
          </w:tcPr>
          <w:p w14:paraId="005587D2" w14:textId="77777777" w:rsidR="00716638" w:rsidRPr="009651AC" w:rsidRDefault="00716638" w:rsidP="00131C34">
            <w:pPr>
              <w:rPr>
                <w:rFonts w:ascii="Gill Sans" w:hAnsi="Gill Sans" w:cs="Gill Sans"/>
                <w:sz w:val="22"/>
                <w:szCs w:val="22"/>
                <w:lang w:val="en-GB"/>
              </w:rPr>
            </w:pPr>
          </w:p>
        </w:tc>
        <w:tc>
          <w:tcPr>
            <w:tcW w:w="450" w:type="dxa"/>
            <w:vMerge/>
            <w:tcBorders>
              <w:left w:val="single" w:sz="2" w:space="0" w:color="FFFFFF"/>
              <w:bottom w:val="single" w:sz="18" w:space="0" w:color="FFFFFF"/>
              <w:right w:val="single" w:sz="18" w:space="0" w:color="FFFFFF"/>
            </w:tcBorders>
            <w:shd w:val="clear" w:color="auto" w:fill="D99594"/>
          </w:tcPr>
          <w:p w14:paraId="6C484200" w14:textId="77777777" w:rsidR="00716638" w:rsidRPr="009651AC" w:rsidRDefault="00716638" w:rsidP="00131C34">
            <w:pPr>
              <w:rPr>
                <w:rFonts w:ascii="Gill Sans" w:hAnsi="Gill Sans" w:cs="Gill Sans"/>
                <w:sz w:val="22"/>
                <w:szCs w:val="22"/>
                <w:lang w:val="en-GB"/>
              </w:rPr>
            </w:pPr>
          </w:p>
        </w:tc>
      </w:tr>
    </w:tbl>
    <w:p w14:paraId="56570AAE" w14:textId="77777777" w:rsidR="00716638" w:rsidRDefault="00C476E2">
      <w:r>
        <w:br w:type="page"/>
      </w:r>
    </w:p>
    <w:p w14:paraId="6F7C909D" w14:textId="0674E22F" w:rsidR="005D7EC5" w:rsidRPr="00BB3451" w:rsidRDefault="005D7EC5" w:rsidP="006319F4">
      <w:pPr>
        <w:pStyle w:val="Heading3"/>
      </w:pPr>
      <w:r w:rsidRPr="00BB3451">
        <w:lastRenderedPageBreak/>
        <w:t xml:space="preserve">Commitment </w:t>
      </w:r>
      <w:r w:rsidR="001E48D4">
        <w:t>a</w:t>
      </w:r>
      <w:r w:rsidRPr="00BB3451">
        <w:t>im</w:t>
      </w:r>
    </w:p>
    <w:p w14:paraId="43FEEC07" w14:textId="29DD20E9" w:rsidR="00536A96" w:rsidRPr="00BB3451" w:rsidRDefault="00D31881" w:rsidP="00163080">
      <w:pPr>
        <w:spacing w:after="120"/>
        <w:rPr>
          <w:rFonts w:ascii="Gill Sans" w:hAnsi="Gill Sans" w:cs="Gill Sans"/>
          <w:sz w:val="22"/>
          <w:szCs w:val="22"/>
          <w:lang w:val="en-GB"/>
        </w:rPr>
      </w:pPr>
      <w:r w:rsidRPr="00BB3451">
        <w:rPr>
          <w:rFonts w:ascii="Gill Sans" w:hAnsi="Gill Sans" w:cs="Gill Sans"/>
          <w:sz w:val="22"/>
          <w:szCs w:val="22"/>
          <w:lang w:val="en-GB"/>
        </w:rPr>
        <w:t xml:space="preserve">Both commitments aimed to improve civil society participation in </w:t>
      </w:r>
      <w:r w:rsidR="00196AC8">
        <w:rPr>
          <w:rFonts w:ascii="Gill Sans" w:hAnsi="Gill Sans" w:cs="Gill Sans"/>
          <w:sz w:val="22"/>
          <w:szCs w:val="22"/>
          <w:lang w:val="en-GB"/>
        </w:rPr>
        <w:t xml:space="preserve">the </w:t>
      </w:r>
      <w:r w:rsidR="00196AC8" w:rsidRPr="00BB3451">
        <w:rPr>
          <w:rFonts w:ascii="Gill Sans" w:hAnsi="Gill Sans" w:cs="Gill Sans"/>
          <w:sz w:val="22"/>
          <w:szCs w:val="22"/>
          <w:lang w:val="en-GB"/>
        </w:rPr>
        <w:t xml:space="preserve">development and implementation </w:t>
      </w:r>
      <w:r w:rsidR="00196AC8">
        <w:rPr>
          <w:rFonts w:ascii="Gill Sans" w:hAnsi="Gill Sans" w:cs="Gill Sans"/>
          <w:sz w:val="22"/>
          <w:szCs w:val="22"/>
          <w:lang w:val="en-GB"/>
        </w:rPr>
        <w:t xml:space="preserve">of </w:t>
      </w:r>
      <w:r w:rsidRPr="00BB3451">
        <w:rPr>
          <w:rFonts w:ascii="Gill Sans" w:hAnsi="Gill Sans" w:cs="Gill Sans"/>
          <w:sz w:val="22"/>
          <w:szCs w:val="22"/>
          <w:lang w:val="en-GB"/>
        </w:rPr>
        <w:t xml:space="preserve">public policy by establishing new </w:t>
      </w:r>
      <w:r w:rsidR="00196AC8" w:rsidRPr="00BB3451">
        <w:rPr>
          <w:rFonts w:ascii="Gill Sans" w:hAnsi="Gill Sans" w:cs="Gill Sans"/>
          <w:sz w:val="22"/>
          <w:szCs w:val="22"/>
          <w:lang w:val="en-GB"/>
        </w:rPr>
        <w:t xml:space="preserve">formal procedures </w:t>
      </w:r>
      <w:r w:rsidR="00196AC8" w:rsidRPr="00BB3451">
        <w:rPr>
          <w:rFonts w:ascii="Gill Sans" w:hAnsi="Gill Sans" w:cs="Gill Sans"/>
          <w:sz w:val="22"/>
          <w:szCs w:val="22"/>
        </w:rPr>
        <w:t>and structures</w:t>
      </w:r>
      <w:r w:rsidR="00196AC8" w:rsidRPr="00BB3451">
        <w:rPr>
          <w:rFonts w:ascii="Gill Sans" w:hAnsi="Gill Sans" w:cs="Gill Sans"/>
          <w:sz w:val="22"/>
          <w:szCs w:val="22"/>
          <w:lang w:val="en-GB"/>
        </w:rPr>
        <w:t xml:space="preserve"> </w:t>
      </w:r>
      <w:r w:rsidRPr="00BB3451">
        <w:rPr>
          <w:rFonts w:ascii="Gill Sans" w:hAnsi="Gill Sans" w:cs="Gill Sans"/>
          <w:sz w:val="22"/>
          <w:szCs w:val="22"/>
          <w:lang w:val="en-GB"/>
        </w:rPr>
        <w:t>or refining existing</w:t>
      </w:r>
      <w:r w:rsidR="00196AC8">
        <w:rPr>
          <w:rFonts w:ascii="Gill Sans" w:hAnsi="Gill Sans" w:cs="Gill Sans"/>
          <w:sz w:val="22"/>
          <w:szCs w:val="22"/>
          <w:lang w:val="en-GB"/>
        </w:rPr>
        <w:t xml:space="preserve"> ones</w:t>
      </w:r>
      <w:r w:rsidRPr="00BB3451">
        <w:rPr>
          <w:rFonts w:ascii="Gill Sans" w:hAnsi="Gill Sans" w:cs="Gill Sans"/>
          <w:sz w:val="22"/>
          <w:szCs w:val="22"/>
          <w:lang w:val="en-GB"/>
        </w:rPr>
        <w:t>.</w:t>
      </w:r>
      <w:r w:rsidR="004D6F87" w:rsidRPr="00BB3451">
        <w:rPr>
          <w:rFonts w:ascii="Gill Sans" w:hAnsi="Gill Sans" w:cs="Gill Sans"/>
          <w:sz w:val="22"/>
          <w:szCs w:val="22"/>
          <w:lang w:val="en-GB"/>
        </w:rPr>
        <w:t xml:space="preserve"> Civil society engagement is crucial for effective participatory democracy, especially in Ukraine, where the legacy of state monopoly over public policy is still strong. </w:t>
      </w:r>
      <w:r w:rsidR="00536A96" w:rsidRPr="00BB3451">
        <w:rPr>
          <w:rFonts w:ascii="Gill Sans" w:hAnsi="Gill Sans" w:cs="Gill Sans"/>
          <w:sz w:val="22"/>
          <w:szCs w:val="22"/>
          <w:lang w:val="en-GB"/>
        </w:rPr>
        <w:t xml:space="preserve">Commitment </w:t>
      </w:r>
      <w:r w:rsidR="00196AC8">
        <w:rPr>
          <w:rFonts w:ascii="Gill Sans" w:hAnsi="Gill Sans" w:cs="Gill Sans"/>
          <w:sz w:val="22"/>
          <w:szCs w:val="22"/>
          <w:lang w:val="en-GB"/>
        </w:rPr>
        <w:t>1</w:t>
      </w:r>
      <w:r w:rsidR="00196AC8" w:rsidRPr="00BB3451">
        <w:rPr>
          <w:rFonts w:ascii="Gill Sans" w:hAnsi="Gill Sans" w:cs="Gill Sans"/>
          <w:sz w:val="22"/>
          <w:szCs w:val="22"/>
          <w:lang w:val="en-GB"/>
        </w:rPr>
        <w:t xml:space="preserve"> </w:t>
      </w:r>
      <w:r w:rsidR="00BE05F8" w:rsidRPr="00BB3451">
        <w:rPr>
          <w:rFonts w:ascii="Gill Sans" w:hAnsi="Gill Sans" w:cs="Gill Sans"/>
          <w:sz w:val="22"/>
          <w:szCs w:val="22"/>
          <w:lang w:val="en-GB"/>
        </w:rPr>
        <w:t>focuse</w:t>
      </w:r>
      <w:r w:rsidR="00DF6D33">
        <w:rPr>
          <w:rFonts w:ascii="Gill Sans" w:hAnsi="Gill Sans" w:cs="Gill Sans"/>
          <w:sz w:val="22"/>
          <w:szCs w:val="22"/>
          <w:lang w:val="en-GB"/>
        </w:rPr>
        <w:t>d</w:t>
      </w:r>
      <w:r w:rsidR="00BE05F8" w:rsidRPr="00BB3451">
        <w:rPr>
          <w:rFonts w:ascii="Gill Sans" w:hAnsi="Gill Sans" w:cs="Gill Sans"/>
          <w:sz w:val="22"/>
          <w:szCs w:val="22"/>
          <w:lang w:val="en-GB"/>
        </w:rPr>
        <w:t xml:space="preserve"> on improving government rules</w:t>
      </w:r>
      <w:r w:rsidR="00536A96" w:rsidRPr="00BB3451">
        <w:rPr>
          <w:rFonts w:ascii="Gill Sans" w:hAnsi="Gill Sans" w:cs="Gill Sans"/>
          <w:sz w:val="22"/>
          <w:szCs w:val="22"/>
          <w:lang w:val="en-GB"/>
        </w:rPr>
        <w:t xml:space="preserve"> to better facilitate </w:t>
      </w:r>
      <w:r w:rsidR="00536A96" w:rsidRPr="00BB3451">
        <w:rPr>
          <w:rFonts w:ascii="Gill Sans" w:hAnsi="Gill Sans" w:cs="Gill Sans"/>
          <w:noProof/>
          <w:sz w:val="22"/>
          <w:szCs w:val="22"/>
          <w:lang w:val="en-GB"/>
        </w:rPr>
        <w:t>public consultation in policymaking.</w:t>
      </w:r>
      <w:r w:rsidR="00536A96" w:rsidRPr="00BB3451">
        <w:rPr>
          <w:rFonts w:ascii="Gill Sans" w:hAnsi="Gill Sans" w:cs="Gill Sans"/>
          <w:i/>
          <w:noProof/>
          <w:sz w:val="22"/>
          <w:szCs w:val="22"/>
          <w:lang w:val="en-GB"/>
        </w:rPr>
        <w:t xml:space="preserve"> </w:t>
      </w:r>
      <w:r w:rsidR="00536A96" w:rsidRPr="00BB3451">
        <w:rPr>
          <w:rFonts w:ascii="Gill Sans" w:hAnsi="Gill Sans" w:cs="Gill Sans"/>
          <w:noProof/>
          <w:sz w:val="22"/>
          <w:szCs w:val="22"/>
          <w:lang w:val="en-GB"/>
        </w:rPr>
        <w:t xml:space="preserve">Commitment </w:t>
      </w:r>
      <w:r w:rsidR="00DF6D33">
        <w:rPr>
          <w:rFonts w:ascii="Gill Sans" w:hAnsi="Gill Sans" w:cs="Gill Sans"/>
          <w:noProof/>
          <w:sz w:val="22"/>
          <w:szCs w:val="22"/>
          <w:lang w:val="en-GB"/>
        </w:rPr>
        <w:t>4</w:t>
      </w:r>
      <w:r w:rsidR="00DF6D33" w:rsidRPr="00BB3451">
        <w:rPr>
          <w:rFonts w:ascii="Gill Sans" w:hAnsi="Gill Sans" w:cs="Gill Sans"/>
          <w:noProof/>
          <w:sz w:val="22"/>
          <w:szCs w:val="22"/>
          <w:lang w:val="en-GB"/>
        </w:rPr>
        <w:t xml:space="preserve"> </w:t>
      </w:r>
      <w:r w:rsidR="00DF6D33">
        <w:rPr>
          <w:rFonts w:ascii="Gill Sans" w:hAnsi="Gill Sans" w:cs="Gill Sans"/>
          <w:noProof/>
          <w:sz w:val="22"/>
          <w:szCs w:val="22"/>
          <w:lang w:val="en-GB"/>
        </w:rPr>
        <w:t>sought</w:t>
      </w:r>
      <w:r w:rsidR="00DF6D33" w:rsidRPr="00BB3451">
        <w:rPr>
          <w:rFonts w:ascii="Gill Sans" w:hAnsi="Gill Sans" w:cs="Gill Sans"/>
          <w:noProof/>
          <w:sz w:val="22"/>
          <w:szCs w:val="22"/>
          <w:lang w:val="en-GB"/>
        </w:rPr>
        <w:t xml:space="preserve"> </w:t>
      </w:r>
      <w:r w:rsidR="00536A96" w:rsidRPr="00BB3451">
        <w:rPr>
          <w:rFonts w:ascii="Gill Sans" w:hAnsi="Gill Sans" w:cs="Gill Sans"/>
          <w:noProof/>
          <w:sz w:val="22"/>
          <w:szCs w:val="22"/>
          <w:lang w:val="en-GB"/>
        </w:rPr>
        <w:t xml:space="preserve">to </w:t>
      </w:r>
      <w:r w:rsidR="00536A96" w:rsidRPr="00BB3451">
        <w:rPr>
          <w:rFonts w:ascii="Gill Sans" w:hAnsi="Gill Sans" w:cs="Gill Sans"/>
          <w:sz w:val="22"/>
          <w:szCs w:val="22"/>
          <w:lang w:val="en-GB"/>
        </w:rPr>
        <w:t xml:space="preserve">draft </w:t>
      </w:r>
      <w:r w:rsidR="00B5403B" w:rsidRPr="00BB3451">
        <w:rPr>
          <w:rFonts w:ascii="Gill Sans" w:hAnsi="Gill Sans" w:cs="Gill Sans"/>
          <w:sz w:val="22"/>
          <w:szCs w:val="22"/>
          <w:lang w:val="en-GB"/>
        </w:rPr>
        <w:t>and</w:t>
      </w:r>
      <w:r w:rsidR="00DF6D33">
        <w:rPr>
          <w:rFonts w:ascii="Gill Sans" w:hAnsi="Gill Sans" w:cs="Gill Sans"/>
          <w:sz w:val="22"/>
          <w:szCs w:val="22"/>
          <w:lang w:val="en-GB"/>
        </w:rPr>
        <w:t>,</w:t>
      </w:r>
      <w:r w:rsidR="00B5403B" w:rsidRPr="00BB3451">
        <w:rPr>
          <w:rFonts w:ascii="Gill Sans" w:hAnsi="Gill Sans" w:cs="Gill Sans"/>
          <w:sz w:val="22"/>
          <w:szCs w:val="22"/>
          <w:lang w:val="en-GB"/>
        </w:rPr>
        <w:t xml:space="preserve"> ultimately</w:t>
      </w:r>
      <w:r w:rsidR="00DF6D33">
        <w:rPr>
          <w:rFonts w:ascii="Gill Sans" w:hAnsi="Gill Sans" w:cs="Gill Sans"/>
          <w:sz w:val="22"/>
          <w:szCs w:val="22"/>
          <w:lang w:val="en-GB"/>
        </w:rPr>
        <w:t>,</w:t>
      </w:r>
      <w:r w:rsidR="00B5403B" w:rsidRPr="00BB3451">
        <w:rPr>
          <w:rFonts w:ascii="Gill Sans" w:hAnsi="Gill Sans" w:cs="Gill Sans"/>
          <w:sz w:val="22"/>
          <w:szCs w:val="22"/>
          <w:lang w:val="en-GB"/>
        </w:rPr>
        <w:t xml:space="preserve"> adopt a law on public participation. If implemented, this would be </w:t>
      </w:r>
      <w:r w:rsidR="00536A96" w:rsidRPr="00BB3451">
        <w:rPr>
          <w:rFonts w:ascii="Gill Sans" w:hAnsi="Gill Sans" w:cs="Gill Sans"/>
          <w:sz w:val="22"/>
          <w:szCs w:val="22"/>
          <w:lang w:val="en-GB"/>
        </w:rPr>
        <w:t xml:space="preserve">a major step </w:t>
      </w:r>
      <w:r w:rsidR="00B5403B" w:rsidRPr="00BB3451">
        <w:rPr>
          <w:rFonts w:ascii="Gill Sans" w:hAnsi="Gill Sans" w:cs="Gill Sans"/>
          <w:sz w:val="22"/>
          <w:szCs w:val="22"/>
          <w:lang w:val="en-GB"/>
        </w:rPr>
        <w:t>forward in</w:t>
      </w:r>
      <w:r w:rsidR="00536A96" w:rsidRPr="00BB3451">
        <w:rPr>
          <w:rFonts w:ascii="Gill Sans" w:hAnsi="Gill Sans" w:cs="Gill Sans"/>
          <w:sz w:val="22"/>
          <w:szCs w:val="22"/>
          <w:lang w:val="en-GB"/>
        </w:rPr>
        <w:t xml:space="preserve"> improving citizen engagement in decision making</w:t>
      </w:r>
      <w:r w:rsidR="00B5403B" w:rsidRPr="00BB3451">
        <w:rPr>
          <w:rFonts w:ascii="Gill Sans" w:hAnsi="Gill Sans" w:cs="Gill Sans"/>
          <w:sz w:val="22"/>
          <w:szCs w:val="22"/>
          <w:lang w:val="en-GB"/>
        </w:rPr>
        <w:t>.</w:t>
      </w:r>
    </w:p>
    <w:p w14:paraId="0246F967" w14:textId="234463A9" w:rsidR="000318B7" w:rsidRPr="00BB3451" w:rsidRDefault="000318B7" w:rsidP="006319F4">
      <w:pPr>
        <w:pStyle w:val="Heading3"/>
      </w:pPr>
      <w:r w:rsidRPr="00BB3451">
        <w:t>Status</w:t>
      </w:r>
    </w:p>
    <w:p w14:paraId="2154DB77" w14:textId="77777777" w:rsidR="00FF59DF" w:rsidRPr="00BB3451" w:rsidRDefault="00FF59DF" w:rsidP="00FF59DF">
      <w:pPr>
        <w:spacing w:after="120"/>
        <w:rPr>
          <w:rFonts w:ascii="Gill Sans" w:hAnsi="Gill Sans" w:cs="Gill Sans"/>
          <w:b/>
          <w:noProof/>
          <w:sz w:val="22"/>
          <w:szCs w:val="22"/>
          <w:lang w:val="en-GB"/>
        </w:rPr>
      </w:pPr>
      <w:r w:rsidRPr="00BB3451">
        <w:rPr>
          <w:rFonts w:ascii="Gill Sans" w:hAnsi="Gill Sans" w:cs="Gill Sans"/>
          <w:b/>
          <w:noProof/>
          <w:sz w:val="22"/>
          <w:szCs w:val="22"/>
          <w:lang w:val="en-GB"/>
        </w:rPr>
        <w:t>1. Improving government rules on CSO involvement</w:t>
      </w:r>
    </w:p>
    <w:p w14:paraId="77DAA381" w14:textId="11B01C25" w:rsidR="000318B7" w:rsidRPr="00BB3451" w:rsidRDefault="000318B7" w:rsidP="00FF59DF">
      <w:pPr>
        <w:pStyle w:val="Normalrglronly"/>
        <w:rPr>
          <w:b/>
          <w:lang w:val="en-GB"/>
        </w:rPr>
      </w:pPr>
      <w:r w:rsidRPr="00BB3451">
        <w:rPr>
          <w:b/>
          <w:lang w:val="en-GB"/>
        </w:rPr>
        <w:t>Midterm: Complete</w:t>
      </w:r>
    </w:p>
    <w:p w14:paraId="34D75843" w14:textId="334EC301" w:rsidR="009D2C1F" w:rsidRPr="00BB3451" w:rsidRDefault="00481E04" w:rsidP="0008527B">
      <w:pPr>
        <w:spacing w:after="120"/>
        <w:rPr>
          <w:rFonts w:ascii="Gill Sans" w:hAnsi="Gill Sans" w:cs="Gill Sans"/>
          <w:noProof/>
          <w:sz w:val="22"/>
          <w:szCs w:val="22"/>
          <w:lang w:val="en-GB"/>
        </w:rPr>
      </w:pPr>
      <w:r w:rsidRPr="00BB3451">
        <w:rPr>
          <w:rFonts w:ascii="Gill Sans" w:hAnsi="Gill Sans" w:cs="Gill Sans"/>
          <w:noProof/>
          <w:sz w:val="22"/>
          <w:szCs w:val="22"/>
          <w:lang w:val="en-GB"/>
        </w:rPr>
        <w:t xml:space="preserve">The government adopted several regulations </w:t>
      </w:r>
      <w:r w:rsidR="00DF6D33">
        <w:rPr>
          <w:rFonts w:ascii="Gill Sans" w:hAnsi="Gill Sans" w:cs="Gill Sans"/>
          <w:noProof/>
          <w:sz w:val="22"/>
          <w:szCs w:val="22"/>
          <w:lang w:val="en-GB"/>
        </w:rPr>
        <w:t>with regard to</w:t>
      </w:r>
      <w:r w:rsidR="00DF6D33" w:rsidRPr="00BB3451">
        <w:rPr>
          <w:rFonts w:ascii="Gill Sans" w:hAnsi="Gill Sans" w:cs="Gill Sans"/>
          <w:noProof/>
          <w:sz w:val="22"/>
          <w:szCs w:val="22"/>
          <w:lang w:val="en-GB"/>
        </w:rPr>
        <w:t xml:space="preserve"> </w:t>
      </w:r>
      <w:r w:rsidRPr="00BB3451">
        <w:rPr>
          <w:rFonts w:ascii="Gill Sans" w:hAnsi="Gill Sans" w:cs="Gill Sans"/>
          <w:noProof/>
          <w:sz w:val="22"/>
          <w:szCs w:val="22"/>
          <w:lang w:val="en-GB"/>
        </w:rPr>
        <w:t xml:space="preserve">CSOs involvement in the policy </w:t>
      </w:r>
      <w:r w:rsidR="00FF59DF" w:rsidRPr="00BB3451">
        <w:rPr>
          <w:rFonts w:ascii="Gill Sans" w:hAnsi="Gill Sans" w:cs="Gill Sans"/>
          <w:noProof/>
          <w:sz w:val="22"/>
          <w:szCs w:val="22"/>
          <w:lang w:val="en-GB"/>
        </w:rPr>
        <w:t>making process</w:t>
      </w:r>
      <w:r w:rsidR="00FF59DF" w:rsidRPr="00BB3451">
        <w:rPr>
          <w:rFonts w:ascii="Gill Sans" w:hAnsi="Gill Sans" w:cs="Gill Sans"/>
          <w:noProof/>
          <w:sz w:val="22"/>
          <w:szCs w:val="22"/>
        </w:rPr>
        <w:t>:</w:t>
      </w:r>
      <w:r w:rsidRPr="00BB3451">
        <w:rPr>
          <w:rFonts w:ascii="Gill Sans" w:hAnsi="Gill Sans" w:cs="Gill Sans"/>
          <w:noProof/>
          <w:sz w:val="22"/>
          <w:szCs w:val="22"/>
          <w:lang w:val="en-GB"/>
        </w:rPr>
        <w:t xml:space="preserve"> Procedure for Consultations with the Public on Policy Development and Implementation</w:t>
      </w:r>
      <w:r w:rsidR="00DF6D33">
        <w:rPr>
          <w:rFonts w:ascii="Gill Sans" w:hAnsi="Gill Sans" w:cs="Gill Sans"/>
          <w:noProof/>
          <w:sz w:val="22"/>
          <w:szCs w:val="22"/>
          <w:lang w:val="en-GB"/>
        </w:rPr>
        <w:t>,</w:t>
      </w:r>
      <w:r w:rsidRPr="00BB3451">
        <w:rPr>
          <w:rFonts w:ascii="Gill Sans" w:hAnsi="Gill Sans" w:cs="Gill Sans"/>
          <w:noProof/>
          <w:sz w:val="22"/>
          <w:szCs w:val="22"/>
          <w:lang w:val="en-GB"/>
        </w:rPr>
        <w:t xml:space="preserve"> and Model Regulations on Public Councils to the Executive Authorities (both adopted in 2010), as well as Procedure for Facilitating Public Examination of the Executive Authorities (adopted in 2008). For a long time, CSOs advocated for revision of the above regulations to streamline and make them more effective. The first commitment was fully implemented. </w:t>
      </w:r>
      <w:r w:rsidR="00B5403B" w:rsidRPr="00BB3451">
        <w:rPr>
          <w:rFonts w:ascii="Gill Sans" w:hAnsi="Gill Sans" w:cs="Gill Sans"/>
          <w:noProof/>
          <w:sz w:val="22"/>
          <w:szCs w:val="22"/>
          <w:lang w:val="en-GB"/>
        </w:rPr>
        <w:t>The Ministry of Justice set up a working group to develop amendments</w:t>
      </w:r>
      <w:r w:rsidR="00DF6D33">
        <w:rPr>
          <w:rFonts w:ascii="Gill Sans" w:hAnsi="Gill Sans" w:cs="Gill Sans"/>
          <w:noProof/>
          <w:sz w:val="22"/>
          <w:szCs w:val="22"/>
          <w:lang w:val="en-GB"/>
        </w:rPr>
        <w:t>,</w:t>
      </w:r>
      <w:r w:rsidR="00B5403B" w:rsidRPr="00BB3451">
        <w:rPr>
          <w:rFonts w:ascii="Gill Sans" w:hAnsi="Gill Sans" w:cs="Gill Sans"/>
          <w:noProof/>
          <w:sz w:val="22"/>
          <w:szCs w:val="22"/>
          <w:lang w:val="en-GB"/>
        </w:rPr>
        <w:t xml:space="preserve"> and held public consultations on the draft proposals in December 2014. Draft amendments were published on the </w:t>
      </w:r>
      <w:r w:rsidR="001E48D4">
        <w:rPr>
          <w:rFonts w:ascii="Gill Sans" w:hAnsi="Gill Sans" w:cs="Gill Sans"/>
          <w:noProof/>
          <w:sz w:val="22"/>
          <w:szCs w:val="22"/>
          <w:lang w:val="en-GB"/>
        </w:rPr>
        <w:t>m</w:t>
      </w:r>
      <w:r w:rsidR="00B5403B" w:rsidRPr="00BB3451">
        <w:rPr>
          <w:rFonts w:ascii="Gill Sans" w:hAnsi="Gill Sans" w:cs="Gill Sans"/>
          <w:noProof/>
          <w:sz w:val="22"/>
          <w:szCs w:val="22"/>
          <w:lang w:val="en-GB"/>
        </w:rPr>
        <w:t>inistry</w:t>
      </w:r>
      <w:r w:rsidR="001E48D4">
        <w:rPr>
          <w:rFonts w:ascii="Gill Sans" w:hAnsi="Gill Sans" w:cs="Gill Sans"/>
          <w:noProof/>
          <w:sz w:val="22"/>
          <w:szCs w:val="22"/>
          <w:lang w:val="en-GB"/>
        </w:rPr>
        <w:t>’s</w:t>
      </w:r>
      <w:r w:rsidR="00B5403B" w:rsidRPr="00BB3451">
        <w:rPr>
          <w:rFonts w:ascii="Gill Sans" w:hAnsi="Gill Sans" w:cs="Gill Sans"/>
          <w:noProof/>
          <w:sz w:val="22"/>
          <w:szCs w:val="22"/>
          <w:lang w:val="en-GB"/>
        </w:rPr>
        <w:t xml:space="preserve"> </w:t>
      </w:r>
      <w:r w:rsidR="00DF6D33">
        <w:rPr>
          <w:rFonts w:ascii="Gill Sans" w:hAnsi="Gill Sans" w:cs="Gill Sans"/>
          <w:noProof/>
          <w:sz w:val="22"/>
          <w:szCs w:val="22"/>
          <w:lang w:val="en-GB"/>
        </w:rPr>
        <w:t>website</w:t>
      </w:r>
      <w:r w:rsidR="00B5403B" w:rsidRPr="00BB3451">
        <w:rPr>
          <w:rFonts w:ascii="Gill Sans" w:hAnsi="Gill Sans" w:cs="Gill Sans"/>
          <w:noProof/>
          <w:sz w:val="22"/>
          <w:szCs w:val="22"/>
          <w:lang w:val="en-GB"/>
        </w:rPr>
        <w:t xml:space="preserve"> and the government</w:t>
      </w:r>
      <w:r w:rsidR="001E48D4">
        <w:rPr>
          <w:rFonts w:ascii="Gill Sans" w:hAnsi="Gill Sans" w:cs="Gill Sans"/>
          <w:noProof/>
          <w:sz w:val="22"/>
          <w:szCs w:val="22"/>
          <w:lang w:val="en-GB"/>
        </w:rPr>
        <w:t>’s</w:t>
      </w:r>
      <w:r w:rsidR="00B5403B" w:rsidRPr="00BB3451">
        <w:rPr>
          <w:rFonts w:ascii="Gill Sans" w:hAnsi="Gill Sans" w:cs="Gill Sans"/>
          <w:noProof/>
          <w:sz w:val="22"/>
          <w:szCs w:val="22"/>
          <w:lang w:val="en-GB"/>
        </w:rPr>
        <w:t xml:space="preserve"> web portal</w:t>
      </w:r>
      <w:r w:rsidR="00DF6D33">
        <w:rPr>
          <w:rFonts w:ascii="Gill Sans" w:hAnsi="Gill Sans" w:cs="Gill Sans"/>
          <w:noProof/>
          <w:sz w:val="22"/>
          <w:szCs w:val="22"/>
          <w:lang w:val="en-GB"/>
        </w:rPr>
        <w:t>,</w:t>
      </w:r>
      <w:r w:rsidR="00B5403B" w:rsidRPr="00BB3451">
        <w:rPr>
          <w:rFonts w:ascii="Gill Sans" w:hAnsi="Gill Sans" w:cs="Gill Sans"/>
          <w:noProof/>
          <w:sz w:val="22"/>
          <w:szCs w:val="22"/>
          <w:lang w:val="en-GB"/>
        </w:rPr>
        <w:t xml:space="preserve"> “Civil Society and Authorities.” The government enacted relevant amendments </w:t>
      </w:r>
      <w:r w:rsidR="00DF6D33">
        <w:rPr>
          <w:rFonts w:ascii="Gill Sans" w:hAnsi="Gill Sans" w:cs="Gill Sans"/>
          <w:noProof/>
          <w:sz w:val="22"/>
          <w:szCs w:val="22"/>
          <w:lang w:val="en-GB"/>
        </w:rPr>
        <w:t>to</w:t>
      </w:r>
      <w:r w:rsidR="00DF6D33" w:rsidRPr="00BB3451">
        <w:rPr>
          <w:rFonts w:ascii="Gill Sans" w:hAnsi="Gill Sans" w:cs="Gill Sans"/>
          <w:noProof/>
          <w:sz w:val="22"/>
          <w:szCs w:val="22"/>
          <w:lang w:val="en-GB"/>
        </w:rPr>
        <w:t xml:space="preserve"> </w:t>
      </w:r>
      <w:r w:rsidR="00B5403B" w:rsidRPr="00BB3451">
        <w:rPr>
          <w:rFonts w:ascii="Gill Sans" w:hAnsi="Gill Sans" w:cs="Gill Sans"/>
          <w:noProof/>
          <w:sz w:val="22"/>
          <w:szCs w:val="22"/>
          <w:lang w:val="en-GB"/>
        </w:rPr>
        <w:t>its own regulations in April 2015. Civil society groups reported that the ministry developed the draft amendments in an open and inclusive manner</w:t>
      </w:r>
      <w:r w:rsidR="00DF6D33">
        <w:rPr>
          <w:rFonts w:ascii="Gill Sans" w:hAnsi="Gill Sans" w:cs="Gill Sans"/>
          <w:noProof/>
          <w:sz w:val="22"/>
          <w:szCs w:val="22"/>
          <w:lang w:val="en-GB"/>
        </w:rPr>
        <w:t>,</w:t>
      </w:r>
      <w:r w:rsidR="00B5403B" w:rsidRPr="00BB3451">
        <w:rPr>
          <w:rFonts w:ascii="Gill Sans" w:hAnsi="Gill Sans" w:cs="Gill Sans"/>
          <w:noProof/>
          <w:sz w:val="22"/>
          <w:szCs w:val="22"/>
          <w:lang w:val="en-GB"/>
        </w:rPr>
        <w:t xml:space="preserve"> and that they</w:t>
      </w:r>
      <w:r w:rsidR="00DF6D33">
        <w:rPr>
          <w:rFonts w:ascii="Gill Sans" w:hAnsi="Gill Sans" w:cs="Gill Sans"/>
          <w:noProof/>
          <w:sz w:val="22"/>
          <w:szCs w:val="22"/>
          <w:lang w:val="en-GB"/>
        </w:rPr>
        <w:t xml:space="preserve"> (the amendments) are</w:t>
      </w:r>
      <w:r w:rsidR="00B5403B" w:rsidRPr="00BB3451">
        <w:rPr>
          <w:rFonts w:ascii="Gill Sans" w:hAnsi="Gill Sans" w:cs="Gill Sans"/>
          <w:noProof/>
          <w:sz w:val="22"/>
          <w:szCs w:val="22"/>
          <w:lang w:val="en-GB"/>
        </w:rPr>
        <w:t xml:space="preserve"> general</w:t>
      </w:r>
      <w:r w:rsidR="00DF6D33">
        <w:rPr>
          <w:rFonts w:ascii="Gill Sans" w:hAnsi="Gill Sans" w:cs="Gill Sans"/>
          <w:noProof/>
          <w:sz w:val="22"/>
          <w:szCs w:val="22"/>
          <w:lang w:val="en-GB"/>
        </w:rPr>
        <w:t>ly</w:t>
      </w:r>
      <w:r w:rsidR="00B5403B" w:rsidRPr="00BB3451">
        <w:rPr>
          <w:rFonts w:ascii="Gill Sans" w:hAnsi="Gill Sans" w:cs="Gill Sans"/>
          <w:noProof/>
          <w:sz w:val="22"/>
          <w:szCs w:val="22"/>
          <w:lang w:val="en-GB"/>
        </w:rPr>
        <w:t xml:space="preserve"> positive and significantly improve relevant procedures.</w:t>
      </w:r>
      <w:r w:rsidR="00DF6D33">
        <w:rPr>
          <w:rFonts w:ascii="Gill Sans" w:hAnsi="Gill Sans" w:cs="Gill Sans"/>
          <w:noProof/>
          <w:sz w:val="22"/>
          <w:szCs w:val="22"/>
          <w:lang w:val="en-GB"/>
        </w:rPr>
        <w:t xml:space="preserve"> The</w:t>
      </w:r>
      <w:r w:rsidR="00B5403B" w:rsidRPr="00BB3451">
        <w:rPr>
          <w:rFonts w:ascii="Gill Sans" w:hAnsi="Gill Sans" w:cs="Gill Sans"/>
          <w:noProof/>
          <w:sz w:val="22"/>
          <w:szCs w:val="22"/>
          <w:lang w:val="en-GB"/>
        </w:rPr>
        <w:t xml:space="preserve"> </w:t>
      </w:r>
      <w:r w:rsidR="00DF6D33">
        <w:rPr>
          <w:rFonts w:ascii="Gill Sans" w:hAnsi="Gill Sans" w:cs="Gill Sans"/>
          <w:noProof/>
          <w:sz w:val="22"/>
          <w:szCs w:val="22"/>
          <w:lang w:val="en-GB"/>
        </w:rPr>
        <w:t>c</w:t>
      </w:r>
      <w:r w:rsidR="00B5403B" w:rsidRPr="00BB3451">
        <w:rPr>
          <w:rFonts w:ascii="Gill Sans" w:hAnsi="Gill Sans" w:cs="Gill Sans"/>
          <w:noProof/>
          <w:sz w:val="22"/>
          <w:szCs w:val="22"/>
          <w:lang w:val="en-GB"/>
        </w:rPr>
        <w:t xml:space="preserve">hanges include </w:t>
      </w:r>
      <w:r w:rsidR="00AE7AA6" w:rsidRPr="00BB3451">
        <w:rPr>
          <w:rFonts w:ascii="Gill Sans" w:hAnsi="Gill Sans" w:cs="Gill Sans"/>
          <w:noProof/>
          <w:sz w:val="22"/>
          <w:szCs w:val="22"/>
          <w:lang w:val="en-GB"/>
        </w:rPr>
        <w:t>simplifying and improving consultation methods, making consultations more open and inclusive, and setting clear lists of issues that require mandatory public consultation. In addition</w:t>
      </w:r>
      <w:r w:rsidR="00DF6D33">
        <w:rPr>
          <w:rFonts w:ascii="Gill Sans" w:hAnsi="Gill Sans" w:cs="Gill Sans"/>
          <w:noProof/>
          <w:sz w:val="22"/>
          <w:szCs w:val="22"/>
          <w:lang w:val="en-GB"/>
        </w:rPr>
        <w:t>,</w:t>
      </w:r>
      <w:r w:rsidR="00AE7AA6" w:rsidRPr="00BB3451">
        <w:rPr>
          <w:rFonts w:ascii="Gill Sans" w:hAnsi="Gill Sans" w:cs="Gill Sans"/>
          <w:noProof/>
          <w:sz w:val="22"/>
          <w:szCs w:val="22"/>
          <w:lang w:val="en-GB"/>
        </w:rPr>
        <w:t xml:space="preserve"> regulations were strengthened for an accountability mechanism </w:t>
      </w:r>
      <w:r w:rsidR="00DF6D33">
        <w:rPr>
          <w:rFonts w:ascii="Gill Sans" w:hAnsi="Gill Sans" w:cs="Gill Sans"/>
          <w:noProof/>
          <w:sz w:val="22"/>
          <w:szCs w:val="22"/>
          <w:lang w:val="en-GB"/>
        </w:rPr>
        <w:t xml:space="preserve">that </w:t>
      </w:r>
      <w:r w:rsidR="00AE7AA6" w:rsidRPr="00BB3451">
        <w:rPr>
          <w:rFonts w:ascii="Gill Sans" w:hAnsi="Gill Sans" w:cs="Gill Sans"/>
          <w:noProof/>
          <w:sz w:val="22"/>
          <w:szCs w:val="22"/>
          <w:lang w:val="en-GB"/>
        </w:rPr>
        <w:t>allow</w:t>
      </w:r>
      <w:r w:rsidR="00DF6D33">
        <w:rPr>
          <w:rFonts w:ascii="Gill Sans" w:hAnsi="Gill Sans" w:cs="Gill Sans"/>
          <w:noProof/>
          <w:sz w:val="22"/>
          <w:szCs w:val="22"/>
          <w:lang w:val="en-GB"/>
        </w:rPr>
        <w:t>s</w:t>
      </w:r>
      <w:r w:rsidR="00AE7AA6" w:rsidRPr="00BB3451">
        <w:rPr>
          <w:rFonts w:ascii="Gill Sans" w:hAnsi="Gill Sans" w:cs="Gill Sans"/>
          <w:noProof/>
          <w:sz w:val="22"/>
          <w:szCs w:val="22"/>
          <w:lang w:val="en-GB"/>
        </w:rPr>
        <w:t xml:space="preserve"> public examination of authorities.</w:t>
      </w:r>
      <w:r w:rsidR="00AE360A" w:rsidRPr="00BB3451">
        <w:rPr>
          <w:rStyle w:val="EndnoteReference"/>
          <w:rFonts w:ascii="Gill Sans" w:hAnsi="Gill Sans" w:cs="Gill Sans"/>
          <w:noProof/>
          <w:sz w:val="22"/>
          <w:szCs w:val="22"/>
          <w:lang w:val="en-GB"/>
        </w:rPr>
        <w:endnoteReference w:id="3"/>
      </w:r>
    </w:p>
    <w:p w14:paraId="08914125" w14:textId="0C9A4879" w:rsidR="00FF59DF" w:rsidRPr="00BB3451" w:rsidRDefault="00FF59DF" w:rsidP="0068746A">
      <w:pPr>
        <w:spacing w:after="120"/>
        <w:rPr>
          <w:rFonts w:ascii="Gill Sans" w:hAnsi="Gill Sans" w:cs="Gill Sans"/>
          <w:b/>
          <w:noProof/>
          <w:sz w:val="22"/>
          <w:szCs w:val="22"/>
          <w:lang w:val="en-GB"/>
        </w:rPr>
      </w:pPr>
      <w:r w:rsidRPr="00BB3451">
        <w:rPr>
          <w:rFonts w:ascii="Gill Sans" w:hAnsi="Gill Sans" w:cs="Gill Sans"/>
          <w:b/>
          <w:noProof/>
          <w:sz w:val="22"/>
          <w:szCs w:val="22"/>
          <w:lang w:val="en-GB"/>
        </w:rPr>
        <w:t>4. Public Participation Law</w:t>
      </w:r>
    </w:p>
    <w:p w14:paraId="36AF6A8B" w14:textId="09016AEC" w:rsidR="00FF59DF" w:rsidRPr="00BB3451" w:rsidRDefault="00FF59DF" w:rsidP="0068746A">
      <w:pPr>
        <w:pStyle w:val="Normalrglronly"/>
        <w:rPr>
          <w:b/>
          <w:lang w:val="en-GB"/>
        </w:rPr>
      </w:pPr>
      <w:r w:rsidRPr="00BB3451">
        <w:rPr>
          <w:b/>
          <w:lang w:val="en-GB"/>
        </w:rPr>
        <w:t>Midterm: Limited</w:t>
      </w:r>
    </w:p>
    <w:p w14:paraId="3B5009B5" w14:textId="6F9BBBC7" w:rsidR="00FF59DF" w:rsidRPr="00BB3451" w:rsidRDefault="00FF59DF" w:rsidP="009B0529">
      <w:pPr>
        <w:spacing w:after="120"/>
        <w:rPr>
          <w:rFonts w:ascii="Gill Sans" w:hAnsi="Gill Sans" w:cs="Gill Sans"/>
          <w:noProof/>
          <w:sz w:val="22"/>
          <w:szCs w:val="22"/>
          <w:lang w:val="en-GB"/>
        </w:rPr>
      </w:pPr>
      <w:r w:rsidRPr="00BB3451">
        <w:rPr>
          <w:rFonts w:ascii="Gill Sans" w:hAnsi="Gill Sans" w:cs="Gill Sans"/>
          <w:noProof/>
          <w:sz w:val="22"/>
          <w:szCs w:val="22"/>
          <w:lang w:val="en-GB"/>
        </w:rPr>
        <w:t>The government</w:t>
      </w:r>
      <w:r w:rsidR="00DF6D33">
        <w:rPr>
          <w:rFonts w:ascii="Gill Sans" w:hAnsi="Gill Sans" w:cs="Gill Sans"/>
          <w:noProof/>
          <w:sz w:val="22"/>
          <w:szCs w:val="22"/>
          <w:lang w:val="en-GB"/>
        </w:rPr>
        <w:t>’</w:t>
      </w:r>
      <w:r w:rsidRPr="00BB3451">
        <w:rPr>
          <w:rFonts w:ascii="Gill Sans" w:hAnsi="Gill Sans" w:cs="Gill Sans"/>
          <w:noProof/>
          <w:sz w:val="22"/>
          <w:szCs w:val="22"/>
          <w:lang w:val="en-GB"/>
        </w:rPr>
        <w:t xml:space="preserve">s plan for many years included the development of </w:t>
      </w:r>
      <w:r w:rsidR="009B0529">
        <w:rPr>
          <w:rFonts w:ascii="Gill Sans" w:hAnsi="Gill Sans" w:cs="Gill Sans"/>
          <w:noProof/>
          <w:sz w:val="22"/>
          <w:szCs w:val="22"/>
          <w:lang w:val="en-GB"/>
        </w:rPr>
        <w:t xml:space="preserve">a </w:t>
      </w:r>
      <w:r w:rsidR="009B0529" w:rsidRPr="00BB3451">
        <w:rPr>
          <w:rFonts w:ascii="Gill Sans" w:hAnsi="Gill Sans" w:cs="Gill Sans"/>
          <w:noProof/>
          <w:sz w:val="22"/>
          <w:szCs w:val="22"/>
          <w:lang w:val="en-GB"/>
        </w:rPr>
        <w:t xml:space="preserve"> </w:t>
      </w:r>
      <w:r w:rsidRPr="00BB3451">
        <w:rPr>
          <w:rFonts w:ascii="Gill Sans" w:hAnsi="Gill Sans" w:cs="Gill Sans"/>
          <w:noProof/>
          <w:sz w:val="22"/>
          <w:szCs w:val="22"/>
          <w:lang w:val="en-GB"/>
        </w:rPr>
        <w:t>law on public participation in policy formulation and implementation. According to the government</w:t>
      </w:r>
      <w:r w:rsidR="00B902B3">
        <w:rPr>
          <w:rFonts w:ascii="Gill Sans" w:hAnsi="Gill Sans" w:cs="Gill Sans"/>
          <w:noProof/>
          <w:sz w:val="22"/>
          <w:szCs w:val="22"/>
          <w:lang w:val="en-GB"/>
        </w:rPr>
        <w:t>’s</w:t>
      </w:r>
      <w:r w:rsidR="009D2C1F" w:rsidRPr="00BB3451">
        <w:rPr>
          <w:rFonts w:ascii="Gill Sans" w:hAnsi="Gill Sans" w:cs="Gill Sans"/>
          <w:noProof/>
          <w:sz w:val="22"/>
          <w:szCs w:val="22"/>
          <w:lang w:val="en-GB"/>
        </w:rPr>
        <w:t xml:space="preserve"> self-assessment</w:t>
      </w:r>
      <w:r w:rsidRPr="00BB3451">
        <w:rPr>
          <w:rFonts w:ascii="Gill Sans" w:hAnsi="Gill Sans" w:cs="Gill Sans"/>
          <w:noProof/>
          <w:sz w:val="22"/>
          <w:szCs w:val="22"/>
          <w:lang w:val="en-GB"/>
        </w:rPr>
        <w:t xml:space="preserve">, the Ministry of Justice set up a working group to develop the draft law. </w:t>
      </w:r>
      <w:r w:rsidR="003B0C45">
        <w:rPr>
          <w:rFonts w:ascii="Gill Sans" w:hAnsi="Gill Sans" w:cs="Gill Sans"/>
          <w:noProof/>
          <w:sz w:val="22"/>
          <w:szCs w:val="22"/>
          <w:lang w:val="en-GB"/>
        </w:rPr>
        <w:t>It</w:t>
      </w:r>
      <w:r w:rsidRPr="00BB3451">
        <w:rPr>
          <w:rFonts w:ascii="Gill Sans" w:hAnsi="Gill Sans" w:cs="Gill Sans"/>
          <w:noProof/>
          <w:sz w:val="22"/>
          <w:szCs w:val="22"/>
          <w:lang w:val="en-GB"/>
        </w:rPr>
        <w:t xml:space="preserve"> included representatives of CSOs and, in March 2015, the Government’s Secretariat and the Ministry of Justice held public consultations on the topic. The Ministry of Justice, together with the Organisation for Security and Cooperation in Europe (OSCE) Project Coordinator’s Office and the Government’s Secretariat, organised six regional discussions in June and September 2015. The working group prepared a compendium of best practices and international standards in this area, and published </w:t>
      </w:r>
      <w:r w:rsidR="003B0C45">
        <w:rPr>
          <w:rFonts w:ascii="Gill Sans" w:hAnsi="Gill Sans" w:cs="Gill Sans"/>
          <w:noProof/>
          <w:sz w:val="22"/>
          <w:szCs w:val="22"/>
          <w:lang w:val="en-GB"/>
        </w:rPr>
        <w:t xml:space="preserve">it </w:t>
      </w:r>
      <w:r w:rsidRPr="00BB3451">
        <w:rPr>
          <w:rFonts w:ascii="Gill Sans" w:hAnsi="Gill Sans" w:cs="Gill Sans"/>
          <w:noProof/>
          <w:sz w:val="22"/>
          <w:szCs w:val="22"/>
          <w:lang w:val="en-GB"/>
        </w:rPr>
        <w:t xml:space="preserve">on the government’s website. Comments </w:t>
      </w:r>
      <w:r w:rsidR="003B0C45">
        <w:rPr>
          <w:rFonts w:ascii="Gill Sans" w:hAnsi="Gill Sans" w:cs="Gill Sans"/>
          <w:noProof/>
          <w:sz w:val="22"/>
          <w:szCs w:val="22"/>
          <w:lang w:val="en-GB"/>
        </w:rPr>
        <w:t>on</w:t>
      </w:r>
      <w:r w:rsidR="003B0C45" w:rsidRPr="00BB3451">
        <w:rPr>
          <w:rFonts w:ascii="Gill Sans" w:hAnsi="Gill Sans" w:cs="Gill Sans"/>
          <w:noProof/>
          <w:sz w:val="22"/>
          <w:szCs w:val="22"/>
          <w:lang w:val="en-GB"/>
        </w:rPr>
        <w:t xml:space="preserve"> </w:t>
      </w:r>
      <w:r w:rsidRPr="00BB3451">
        <w:rPr>
          <w:rFonts w:ascii="Gill Sans" w:hAnsi="Gill Sans" w:cs="Gill Sans"/>
          <w:noProof/>
          <w:sz w:val="22"/>
          <w:szCs w:val="22"/>
          <w:lang w:val="en-GB"/>
        </w:rPr>
        <w:t xml:space="preserve">the </w:t>
      </w:r>
      <w:r w:rsidR="003B0C45" w:rsidRPr="00BB3451">
        <w:rPr>
          <w:rFonts w:ascii="Gill Sans" w:hAnsi="Gill Sans" w:cs="Gill Sans"/>
          <w:noProof/>
          <w:sz w:val="22"/>
          <w:szCs w:val="22"/>
          <w:lang w:val="en-GB"/>
        </w:rPr>
        <w:t xml:space="preserve">draft law </w:t>
      </w:r>
      <w:r w:rsidRPr="00BB3451">
        <w:rPr>
          <w:rFonts w:ascii="Gill Sans" w:hAnsi="Gill Sans" w:cs="Gill Sans"/>
          <w:noProof/>
          <w:sz w:val="22"/>
          <w:szCs w:val="22"/>
          <w:lang w:val="en-GB"/>
        </w:rPr>
        <w:t xml:space="preserve">proposals were also solicited through an online form. </w:t>
      </w:r>
      <w:r w:rsidR="006B11FD" w:rsidRPr="00BB3451">
        <w:rPr>
          <w:rFonts w:ascii="Gill Sans" w:hAnsi="Gill Sans" w:cs="Gill Sans"/>
          <w:noProof/>
          <w:sz w:val="22"/>
          <w:szCs w:val="22"/>
          <w:lang w:val="en-GB"/>
        </w:rPr>
        <w:t>Eventually, t</w:t>
      </w:r>
      <w:r w:rsidRPr="00BB3451">
        <w:rPr>
          <w:rFonts w:ascii="Gill Sans" w:hAnsi="Gill Sans" w:cs="Gill Sans"/>
          <w:noProof/>
          <w:sz w:val="22"/>
          <w:szCs w:val="22"/>
          <w:lang w:val="en-GB"/>
        </w:rPr>
        <w:t>he scope of the draft law was narrowed to focus on “public consultations</w:t>
      </w:r>
      <w:r w:rsidR="003B0C45">
        <w:rPr>
          <w:rFonts w:ascii="Gill Sans" w:hAnsi="Gill Sans" w:cs="Gill Sans"/>
          <w:noProof/>
          <w:sz w:val="22"/>
          <w:szCs w:val="22"/>
          <w:lang w:val="en-GB"/>
        </w:rPr>
        <w:t>,</w:t>
      </w:r>
      <w:r w:rsidRPr="00BB3451">
        <w:rPr>
          <w:rFonts w:ascii="Gill Sans" w:hAnsi="Gill Sans" w:cs="Gill Sans"/>
          <w:noProof/>
          <w:sz w:val="22"/>
          <w:szCs w:val="22"/>
          <w:lang w:val="en-GB"/>
        </w:rPr>
        <w:t>” which made it more tangible and realistic</w:t>
      </w:r>
      <w:r w:rsidR="003B0C45">
        <w:rPr>
          <w:rFonts w:ascii="Gill Sans" w:hAnsi="Gill Sans" w:cs="Gill Sans"/>
          <w:noProof/>
          <w:sz w:val="22"/>
          <w:szCs w:val="22"/>
          <w:lang w:val="en-GB"/>
        </w:rPr>
        <w:t>.</w:t>
      </w:r>
      <w:r w:rsidR="009D2C1F" w:rsidRPr="00BB3451">
        <w:rPr>
          <w:rStyle w:val="EndnoteReference"/>
          <w:rFonts w:ascii="Gill Sans" w:hAnsi="Gill Sans" w:cs="Gill Sans"/>
          <w:noProof/>
          <w:sz w:val="22"/>
          <w:szCs w:val="22"/>
          <w:lang w:val="en-GB"/>
        </w:rPr>
        <w:endnoteReference w:id="4"/>
      </w:r>
      <w:r w:rsidR="0068746A" w:rsidRPr="00BB3451">
        <w:rPr>
          <w:rFonts w:ascii="Gill Sans" w:hAnsi="Gill Sans" w:cs="Gill Sans"/>
          <w:noProof/>
          <w:sz w:val="22"/>
          <w:szCs w:val="22"/>
          <w:lang w:val="en-GB"/>
        </w:rPr>
        <w:t xml:space="preserve"> </w:t>
      </w:r>
    </w:p>
    <w:p w14:paraId="752185B7" w14:textId="70F0085E" w:rsidR="0068746A" w:rsidRPr="00BB3451" w:rsidRDefault="0068746A" w:rsidP="0068746A">
      <w:pPr>
        <w:pStyle w:val="Normalrglronly"/>
        <w:rPr>
          <w:b/>
          <w:lang w:val="en-GB"/>
        </w:rPr>
      </w:pPr>
      <w:r w:rsidRPr="00BB3451">
        <w:rPr>
          <w:b/>
          <w:lang w:val="en-GB"/>
        </w:rPr>
        <w:t>End of term: Substantial</w:t>
      </w:r>
    </w:p>
    <w:p w14:paraId="434625B6" w14:textId="3A7387BE" w:rsidR="0068746A" w:rsidRDefault="0068746A" w:rsidP="0008527B">
      <w:pPr>
        <w:pStyle w:val="Normalrglronly"/>
        <w:rPr>
          <w:lang w:val="en-GB"/>
        </w:rPr>
      </w:pPr>
      <w:r w:rsidRPr="00BB3451">
        <w:rPr>
          <w:lang w:val="en-GB"/>
        </w:rPr>
        <w:t>Based on the preliminary discussion</w:t>
      </w:r>
      <w:r w:rsidR="006B11FD" w:rsidRPr="00BB3451">
        <w:rPr>
          <w:lang w:val="en-GB"/>
        </w:rPr>
        <w:t>s</w:t>
      </w:r>
      <w:r w:rsidR="003B0C45">
        <w:rPr>
          <w:lang w:val="en-GB"/>
        </w:rPr>
        <w:t>,</w:t>
      </w:r>
      <w:r w:rsidRPr="00BB3451">
        <w:rPr>
          <w:lang w:val="en-GB"/>
        </w:rPr>
        <w:t xml:space="preserve"> the Ministry of Justice prepared a draft law on </w:t>
      </w:r>
      <w:r w:rsidR="00CC7446">
        <w:rPr>
          <w:lang w:val="en-GB"/>
        </w:rPr>
        <w:t>p</w:t>
      </w:r>
      <w:r w:rsidRPr="00BB3451">
        <w:rPr>
          <w:lang w:val="en-GB"/>
        </w:rPr>
        <w:t xml:space="preserve">ublic </w:t>
      </w:r>
      <w:r w:rsidR="00CC7446">
        <w:rPr>
          <w:lang w:val="en-GB"/>
        </w:rPr>
        <w:t>c</w:t>
      </w:r>
      <w:r w:rsidRPr="00BB3451">
        <w:rPr>
          <w:lang w:val="en-GB"/>
        </w:rPr>
        <w:t>onsultations</w:t>
      </w:r>
      <w:r w:rsidR="007F0619">
        <w:rPr>
          <w:lang w:val="en-GB"/>
        </w:rPr>
        <w:t>. This</w:t>
      </w:r>
      <w:r w:rsidRPr="00BB3451">
        <w:rPr>
          <w:lang w:val="en-GB"/>
        </w:rPr>
        <w:t xml:space="preserve"> was published for consultation </w:t>
      </w:r>
      <w:r w:rsidR="006B11FD" w:rsidRPr="00BB3451">
        <w:rPr>
          <w:lang w:val="en-GB"/>
        </w:rPr>
        <w:t xml:space="preserve">on the </w:t>
      </w:r>
      <w:r w:rsidR="007F0619">
        <w:rPr>
          <w:lang w:val="en-GB"/>
        </w:rPr>
        <w:t xml:space="preserve">websites of both the </w:t>
      </w:r>
      <w:r w:rsidR="003B0C45">
        <w:rPr>
          <w:lang w:val="en-GB"/>
        </w:rPr>
        <w:t>m</w:t>
      </w:r>
      <w:r w:rsidR="006B11FD" w:rsidRPr="00BB3451">
        <w:rPr>
          <w:lang w:val="en-GB"/>
        </w:rPr>
        <w:t xml:space="preserve">inistry and </w:t>
      </w:r>
      <w:r w:rsidR="003B0C45">
        <w:rPr>
          <w:lang w:val="en-GB"/>
        </w:rPr>
        <w:t>g</w:t>
      </w:r>
      <w:r w:rsidR="006B11FD" w:rsidRPr="00BB3451">
        <w:rPr>
          <w:lang w:val="en-GB"/>
        </w:rPr>
        <w:t xml:space="preserve">overnment </w:t>
      </w:r>
      <w:r w:rsidR="007F0619" w:rsidRPr="00BB3451">
        <w:rPr>
          <w:lang w:val="en-GB"/>
        </w:rPr>
        <w:t>in July</w:t>
      </w:r>
      <w:r w:rsidR="007F0619">
        <w:rPr>
          <w:lang w:val="en-GB"/>
        </w:rPr>
        <w:t>-</w:t>
      </w:r>
      <w:r w:rsidR="007F0619" w:rsidRPr="00BB3451">
        <w:rPr>
          <w:lang w:val="en-GB"/>
        </w:rPr>
        <w:t>August 2016</w:t>
      </w:r>
      <w:r w:rsidRPr="00BB3451">
        <w:rPr>
          <w:lang w:val="en-GB"/>
        </w:rPr>
        <w:t xml:space="preserve">. On 31 October 2016, the </w:t>
      </w:r>
      <w:r w:rsidR="003B0C45">
        <w:rPr>
          <w:lang w:val="en-GB"/>
        </w:rPr>
        <w:t>m</w:t>
      </w:r>
      <w:r w:rsidRPr="00BB3451">
        <w:rPr>
          <w:lang w:val="en-GB"/>
        </w:rPr>
        <w:t xml:space="preserve">inistry </w:t>
      </w:r>
      <w:r w:rsidR="007F0619">
        <w:rPr>
          <w:lang w:val="en-GB"/>
        </w:rPr>
        <w:t xml:space="preserve">put out a </w:t>
      </w:r>
      <w:r w:rsidRPr="00BB3451">
        <w:rPr>
          <w:lang w:val="en-GB"/>
        </w:rPr>
        <w:t>report on the results of the consultations.</w:t>
      </w:r>
      <w:r w:rsidR="009D2C1F" w:rsidRPr="00BB3451">
        <w:rPr>
          <w:rStyle w:val="EndnoteReference"/>
          <w:lang w:val="en-GB"/>
        </w:rPr>
        <w:endnoteReference w:id="5"/>
      </w:r>
      <w:r w:rsidR="009D2C1F" w:rsidRPr="00BB3451">
        <w:rPr>
          <w:lang w:val="en-GB"/>
        </w:rPr>
        <w:t xml:space="preserve"> </w:t>
      </w:r>
      <w:r w:rsidRPr="00BB3451">
        <w:rPr>
          <w:lang w:val="en-GB"/>
        </w:rPr>
        <w:t>The report described the latest consultation exercise, as well as previous discussions</w:t>
      </w:r>
      <w:r w:rsidR="003B0C45">
        <w:rPr>
          <w:lang w:val="en-GB"/>
        </w:rPr>
        <w:t>,</w:t>
      </w:r>
      <w:r w:rsidRPr="00BB3451">
        <w:rPr>
          <w:lang w:val="en-GB"/>
        </w:rPr>
        <w:t xml:space="preserve"> </w:t>
      </w:r>
      <w:r w:rsidR="003B0C45">
        <w:rPr>
          <w:lang w:val="en-GB"/>
        </w:rPr>
        <w:t>and</w:t>
      </w:r>
      <w:r w:rsidRPr="00BB3451">
        <w:rPr>
          <w:lang w:val="en-GB"/>
        </w:rPr>
        <w:t xml:space="preserve"> explained which proposals were taken into account and which were not. </w:t>
      </w:r>
      <w:r w:rsidR="00AB3865" w:rsidRPr="00BB3451">
        <w:rPr>
          <w:lang w:val="en-US"/>
        </w:rPr>
        <w:t>The Ministry of Justice also requested OSCE/ODIHR to examine the draft law</w:t>
      </w:r>
      <w:r w:rsidR="009C62CF" w:rsidRPr="00BB3451">
        <w:rPr>
          <w:lang w:val="en-US"/>
        </w:rPr>
        <w:t xml:space="preserve">. </w:t>
      </w:r>
      <w:r w:rsidR="003B0C45">
        <w:rPr>
          <w:lang w:val="en-US"/>
        </w:rPr>
        <w:t xml:space="preserve">The </w:t>
      </w:r>
      <w:r w:rsidR="009C62CF" w:rsidRPr="00BB3451">
        <w:rPr>
          <w:lang w:val="en-US"/>
        </w:rPr>
        <w:t xml:space="preserve">OSCE/ODIHR </w:t>
      </w:r>
      <w:r w:rsidR="00AB3865" w:rsidRPr="00BB3451">
        <w:rPr>
          <w:lang w:val="en-US"/>
        </w:rPr>
        <w:t>evaluation</w:t>
      </w:r>
      <w:r w:rsidR="009C62CF" w:rsidRPr="00BB3451">
        <w:rPr>
          <w:lang w:val="en-US"/>
        </w:rPr>
        <w:t xml:space="preserve">s were </w:t>
      </w:r>
      <w:r w:rsidR="00AB3865" w:rsidRPr="00BB3451">
        <w:rPr>
          <w:lang w:val="en-US"/>
        </w:rPr>
        <w:t>delivered in September 2016.</w:t>
      </w:r>
      <w:r w:rsidR="009D2C1F" w:rsidRPr="00BB3451">
        <w:rPr>
          <w:rStyle w:val="EndnoteReference"/>
          <w:lang w:val="en-US"/>
        </w:rPr>
        <w:endnoteReference w:id="6"/>
      </w:r>
      <w:r w:rsidR="009D2C1F" w:rsidRPr="00BB3451">
        <w:rPr>
          <w:lang w:val="en-US"/>
        </w:rPr>
        <w:t xml:space="preserve"> </w:t>
      </w:r>
      <w:r w:rsidR="009C62CF" w:rsidRPr="00BB3451">
        <w:rPr>
          <w:lang w:val="en-US"/>
        </w:rPr>
        <w:t>As of December 2016</w:t>
      </w:r>
      <w:r w:rsidR="003B0C45">
        <w:rPr>
          <w:lang w:val="en-US"/>
        </w:rPr>
        <w:t>,</w:t>
      </w:r>
      <w:r w:rsidR="009C62CF" w:rsidRPr="00BB3451">
        <w:rPr>
          <w:lang w:val="en-US"/>
        </w:rPr>
        <w:t xml:space="preserve"> </w:t>
      </w:r>
      <w:r w:rsidR="009C62CF" w:rsidRPr="00BB3451">
        <w:rPr>
          <w:lang w:val="en-GB"/>
        </w:rPr>
        <w:t>t</w:t>
      </w:r>
      <w:r w:rsidR="00152FB2">
        <w:rPr>
          <w:lang w:val="en-GB"/>
        </w:rPr>
        <w:t>he draft law had</w:t>
      </w:r>
      <w:r w:rsidRPr="00BB3451">
        <w:rPr>
          <w:lang w:val="en-GB"/>
        </w:rPr>
        <w:t xml:space="preserve"> not</w:t>
      </w:r>
      <w:r w:rsidR="00152FB2">
        <w:rPr>
          <w:lang w:val="en-GB"/>
        </w:rPr>
        <w:t xml:space="preserve"> yet</w:t>
      </w:r>
      <w:r w:rsidRPr="00BB3451">
        <w:rPr>
          <w:lang w:val="en-GB"/>
        </w:rPr>
        <w:t xml:space="preserve"> been submitted to </w:t>
      </w:r>
      <w:r w:rsidR="007F0619">
        <w:rPr>
          <w:lang w:val="en-GB"/>
        </w:rPr>
        <w:t>P</w:t>
      </w:r>
      <w:r w:rsidRPr="00BB3451">
        <w:rPr>
          <w:lang w:val="en-GB"/>
        </w:rPr>
        <w:t>arliament.</w:t>
      </w:r>
    </w:p>
    <w:p w14:paraId="39C4DCB0" w14:textId="77777777" w:rsidR="00131C34" w:rsidRPr="00BB3451" w:rsidRDefault="00131C34" w:rsidP="0008527B">
      <w:pPr>
        <w:pStyle w:val="Normalrglronly"/>
        <w:rPr>
          <w:lang w:val="en-GB"/>
        </w:rPr>
      </w:pPr>
    </w:p>
    <w:p w14:paraId="2782A493" w14:textId="77777777" w:rsidR="000318B7" w:rsidRPr="00BB3451" w:rsidRDefault="000318B7" w:rsidP="006319F4">
      <w:pPr>
        <w:pStyle w:val="Heading3"/>
      </w:pPr>
      <w:r w:rsidRPr="00BB3451">
        <w:lastRenderedPageBreak/>
        <w:t>Did it open government?</w:t>
      </w:r>
    </w:p>
    <w:p w14:paraId="3978F0D9" w14:textId="77777777" w:rsidR="0068746A" w:rsidRPr="00BB3451" w:rsidRDefault="0068746A" w:rsidP="00F83378">
      <w:pPr>
        <w:rPr>
          <w:rFonts w:ascii="Gill Sans" w:hAnsi="Gill Sans" w:cs="Gill Sans"/>
          <w:b/>
          <w:noProof/>
          <w:sz w:val="22"/>
          <w:szCs w:val="22"/>
          <w:lang w:val="en-GB"/>
        </w:rPr>
      </w:pPr>
      <w:r w:rsidRPr="00BB3451">
        <w:rPr>
          <w:rFonts w:ascii="Gill Sans" w:hAnsi="Gill Sans" w:cs="Gill Sans"/>
          <w:b/>
          <w:noProof/>
          <w:sz w:val="22"/>
          <w:szCs w:val="22"/>
          <w:lang w:val="en-GB"/>
        </w:rPr>
        <w:t>1. Improving government rules on CSO involvement</w:t>
      </w:r>
    </w:p>
    <w:p w14:paraId="77D1A893" w14:textId="16F7C228" w:rsidR="000318B7" w:rsidRPr="00BB3451" w:rsidRDefault="009C62CF" w:rsidP="00B33ACA">
      <w:pPr>
        <w:ind w:left="90"/>
        <w:rPr>
          <w:rFonts w:ascii="Gill Sans" w:hAnsi="Gill Sans" w:cs="Gill Sans"/>
          <w:b/>
          <w:color w:val="000000" w:themeColor="text1"/>
          <w:sz w:val="22"/>
          <w:szCs w:val="22"/>
          <w:lang w:val="en-GB"/>
        </w:rPr>
      </w:pPr>
      <w:r w:rsidRPr="00BB3451">
        <w:rPr>
          <w:rFonts w:ascii="Gill Sans" w:hAnsi="Gill Sans" w:cs="Gill Sans"/>
          <w:b/>
          <w:color w:val="000000" w:themeColor="text1"/>
          <w:sz w:val="22"/>
          <w:szCs w:val="22"/>
          <w:lang w:val="en-GB"/>
        </w:rPr>
        <w:t xml:space="preserve">   </w:t>
      </w:r>
      <w:r w:rsidR="000318B7" w:rsidRPr="00BB3451">
        <w:rPr>
          <w:rFonts w:ascii="Gill Sans" w:hAnsi="Gill Sans" w:cs="Gill Sans"/>
          <w:b/>
          <w:color w:val="000000" w:themeColor="text1"/>
          <w:sz w:val="22"/>
          <w:szCs w:val="22"/>
          <w:lang w:val="en-GB"/>
        </w:rPr>
        <w:t>Civic participation: Marginal</w:t>
      </w:r>
    </w:p>
    <w:p w14:paraId="413CFA2D" w14:textId="39E026FD" w:rsidR="000318B7" w:rsidRDefault="009C62CF" w:rsidP="00163080">
      <w:pPr>
        <w:spacing w:after="120"/>
        <w:ind w:left="86"/>
        <w:rPr>
          <w:rFonts w:ascii="Gill Sans" w:hAnsi="Gill Sans" w:cs="Gill Sans"/>
          <w:b/>
          <w:color w:val="000000" w:themeColor="text1"/>
          <w:sz w:val="22"/>
          <w:szCs w:val="22"/>
          <w:lang w:val="en-GB"/>
        </w:rPr>
      </w:pPr>
      <w:r w:rsidRPr="00BB3451">
        <w:rPr>
          <w:rFonts w:ascii="Gill Sans" w:hAnsi="Gill Sans" w:cs="Gill Sans"/>
          <w:b/>
          <w:color w:val="000000" w:themeColor="text1"/>
          <w:sz w:val="22"/>
          <w:szCs w:val="22"/>
          <w:lang w:val="en-GB"/>
        </w:rPr>
        <w:t xml:space="preserve">   </w:t>
      </w:r>
      <w:r w:rsidR="000318B7" w:rsidRPr="00BB3451">
        <w:rPr>
          <w:rFonts w:ascii="Gill Sans" w:hAnsi="Gill Sans" w:cs="Gill Sans"/>
          <w:b/>
          <w:color w:val="000000" w:themeColor="text1"/>
          <w:sz w:val="22"/>
          <w:szCs w:val="22"/>
          <w:lang w:val="en-GB"/>
        </w:rPr>
        <w:t xml:space="preserve">Public </w:t>
      </w:r>
      <w:r w:rsidR="005B6F2C" w:rsidRPr="00BB3451">
        <w:rPr>
          <w:rFonts w:ascii="Gill Sans" w:hAnsi="Gill Sans" w:cs="Gill Sans"/>
          <w:b/>
          <w:color w:val="000000" w:themeColor="text1"/>
          <w:sz w:val="22"/>
          <w:szCs w:val="22"/>
          <w:lang w:val="en-GB"/>
        </w:rPr>
        <w:t>accountability</w:t>
      </w:r>
      <w:r w:rsidR="000318B7" w:rsidRPr="00BB3451">
        <w:rPr>
          <w:rFonts w:ascii="Gill Sans" w:hAnsi="Gill Sans" w:cs="Gill Sans"/>
          <w:b/>
          <w:color w:val="000000" w:themeColor="text1"/>
          <w:sz w:val="22"/>
          <w:szCs w:val="22"/>
          <w:lang w:val="en-GB"/>
        </w:rPr>
        <w:t>: Marginal</w:t>
      </w:r>
    </w:p>
    <w:p w14:paraId="5B56640B" w14:textId="61C4CDF7" w:rsidR="000318B7" w:rsidRDefault="007B6EE3" w:rsidP="0008527B">
      <w:pPr>
        <w:spacing w:after="120"/>
        <w:rPr>
          <w:rFonts w:ascii="Gill Sans" w:hAnsi="Gill Sans" w:cs="Gill Sans"/>
          <w:sz w:val="22"/>
          <w:szCs w:val="22"/>
          <w:lang w:val="en-GB"/>
        </w:rPr>
      </w:pPr>
      <w:r w:rsidRPr="00BB3451">
        <w:rPr>
          <w:rFonts w:ascii="Gill Sans" w:hAnsi="Gill Sans" w:cs="Gill Sans"/>
          <w:sz w:val="22"/>
          <w:szCs w:val="22"/>
          <w:lang w:val="en-GB"/>
        </w:rPr>
        <w:t xml:space="preserve">The commitment aimed to improve </w:t>
      </w:r>
      <w:r w:rsidR="004A3EF7">
        <w:rPr>
          <w:rFonts w:ascii="Gill Sans" w:hAnsi="Gill Sans" w:cs="Gill Sans"/>
          <w:sz w:val="22"/>
          <w:szCs w:val="22"/>
          <w:lang w:val="en-GB"/>
        </w:rPr>
        <w:t>a set of</w:t>
      </w:r>
      <w:r w:rsidRPr="00BB3451">
        <w:rPr>
          <w:rFonts w:ascii="Gill Sans" w:hAnsi="Gill Sans" w:cs="Gill Sans"/>
          <w:sz w:val="22"/>
          <w:szCs w:val="22"/>
          <w:lang w:val="en-GB"/>
        </w:rPr>
        <w:t xml:space="preserve"> formal rules for civic participation and oversight </w:t>
      </w:r>
      <w:r w:rsidR="003B0C45">
        <w:rPr>
          <w:rFonts w:ascii="Gill Sans" w:hAnsi="Gill Sans" w:cs="Gill Sans"/>
          <w:sz w:val="22"/>
          <w:szCs w:val="22"/>
          <w:lang w:val="en-GB"/>
        </w:rPr>
        <w:t>of</w:t>
      </w:r>
      <w:r w:rsidRPr="00BB3451">
        <w:rPr>
          <w:rFonts w:ascii="Gill Sans" w:hAnsi="Gill Sans" w:cs="Gill Sans"/>
          <w:sz w:val="22"/>
          <w:szCs w:val="22"/>
          <w:lang w:val="en-GB"/>
        </w:rPr>
        <w:t xml:space="preserve"> government decision</w:t>
      </w:r>
      <w:r w:rsidR="003B0C45">
        <w:rPr>
          <w:rFonts w:ascii="Gill Sans" w:hAnsi="Gill Sans" w:cs="Gill Sans"/>
          <w:sz w:val="22"/>
          <w:szCs w:val="22"/>
          <w:lang w:val="en-GB"/>
        </w:rPr>
        <w:t xml:space="preserve"> </w:t>
      </w:r>
      <w:r w:rsidRPr="00BB3451">
        <w:rPr>
          <w:rFonts w:ascii="Gill Sans" w:hAnsi="Gill Sans" w:cs="Gill Sans"/>
          <w:sz w:val="22"/>
          <w:szCs w:val="22"/>
          <w:lang w:val="en-GB"/>
        </w:rPr>
        <w:t xml:space="preserve">making. Its potential was </w:t>
      </w:r>
      <w:r w:rsidR="00434A64" w:rsidRPr="00BB3451">
        <w:rPr>
          <w:rFonts w:ascii="Gill Sans" w:hAnsi="Gill Sans" w:cs="Gill Sans"/>
          <w:sz w:val="22"/>
          <w:szCs w:val="22"/>
          <w:lang w:val="en-GB"/>
        </w:rPr>
        <w:t>moderate</w:t>
      </w:r>
      <w:r w:rsidRPr="00BB3451">
        <w:rPr>
          <w:rFonts w:ascii="Gill Sans" w:hAnsi="Gill Sans" w:cs="Gill Sans"/>
          <w:sz w:val="22"/>
          <w:szCs w:val="22"/>
          <w:lang w:val="en-GB"/>
        </w:rPr>
        <w:t xml:space="preserve">, as it aimed to streamline </w:t>
      </w:r>
      <w:r w:rsidR="003B0C45">
        <w:rPr>
          <w:rFonts w:ascii="Gill Sans" w:hAnsi="Gill Sans" w:cs="Gill Sans"/>
          <w:sz w:val="22"/>
          <w:szCs w:val="22"/>
          <w:lang w:val="en-GB"/>
        </w:rPr>
        <w:t xml:space="preserve">the </w:t>
      </w:r>
      <w:r w:rsidR="00840D87">
        <w:rPr>
          <w:rFonts w:ascii="Gill Sans" w:hAnsi="Gill Sans" w:cs="Gill Sans"/>
          <w:sz w:val="22"/>
          <w:szCs w:val="22"/>
          <w:lang w:val="en-GB"/>
        </w:rPr>
        <w:t xml:space="preserve">rules and </w:t>
      </w:r>
      <w:r w:rsidRPr="00BB3451">
        <w:rPr>
          <w:rFonts w:ascii="Gill Sans" w:hAnsi="Gill Sans" w:cs="Gill Sans"/>
          <w:sz w:val="22"/>
          <w:szCs w:val="22"/>
          <w:lang w:val="en-GB"/>
        </w:rPr>
        <w:t xml:space="preserve">procedures </w:t>
      </w:r>
      <w:r w:rsidR="00840D87">
        <w:rPr>
          <w:rFonts w:ascii="Gill Sans" w:hAnsi="Gill Sans" w:cs="Gill Sans"/>
          <w:sz w:val="22"/>
          <w:szCs w:val="22"/>
          <w:lang w:val="en-GB"/>
        </w:rPr>
        <w:t xml:space="preserve">put in place between 2008 and 2010. In completing this commitment, the Ministry of Justice worked with civil society to amend three regulations: </w:t>
      </w:r>
      <w:proofErr w:type="gramStart"/>
      <w:r w:rsidR="00840D87">
        <w:rPr>
          <w:rFonts w:ascii="Gill Sans" w:hAnsi="Gill Sans" w:cs="Gill Sans"/>
          <w:sz w:val="22"/>
          <w:szCs w:val="22"/>
          <w:lang w:val="en-GB"/>
        </w:rPr>
        <w:t>the</w:t>
      </w:r>
      <w:proofErr w:type="gramEnd"/>
      <w:r w:rsidR="00840D87">
        <w:rPr>
          <w:rFonts w:ascii="Gill Sans" w:hAnsi="Gill Sans" w:cs="Gill Sans"/>
          <w:sz w:val="22"/>
          <w:szCs w:val="22"/>
          <w:lang w:val="en-GB"/>
        </w:rPr>
        <w:t xml:space="preserve"> </w:t>
      </w:r>
      <w:r w:rsidR="00840D87" w:rsidRPr="00BB3451">
        <w:rPr>
          <w:rFonts w:ascii="Gill Sans" w:hAnsi="Gill Sans" w:cs="Gill Sans"/>
          <w:noProof/>
          <w:sz w:val="22"/>
          <w:szCs w:val="22"/>
          <w:lang w:val="en-GB"/>
        </w:rPr>
        <w:t>Procedure for Consultations with the Public on Policy Development and Implementation</w:t>
      </w:r>
      <w:r w:rsidR="00840D87">
        <w:rPr>
          <w:rFonts w:ascii="Gill Sans" w:hAnsi="Gill Sans" w:cs="Gill Sans"/>
          <w:noProof/>
          <w:sz w:val="22"/>
          <w:szCs w:val="22"/>
          <w:lang w:val="en-GB"/>
        </w:rPr>
        <w:t>;</w:t>
      </w:r>
      <w:r w:rsidR="00840D87" w:rsidRPr="00BB3451">
        <w:rPr>
          <w:rFonts w:ascii="Gill Sans" w:hAnsi="Gill Sans" w:cs="Gill Sans"/>
          <w:noProof/>
          <w:sz w:val="22"/>
          <w:szCs w:val="22"/>
          <w:lang w:val="en-GB"/>
        </w:rPr>
        <w:t xml:space="preserve"> Model Regulations on Public Councils to the Executive Authorities</w:t>
      </w:r>
      <w:r w:rsidR="00840D87">
        <w:rPr>
          <w:rFonts w:ascii="Gill Sans" w:hAnsi="Gill Sans" w:cs="Gill Sans"/>
          <w:noProof/>
          <w:sz w:val="22"/>
          <w:szCs w:val="22"/>
          <w:lang w:val="en-GB"/>
        </w:rPr>
        <w:t>; and</w:t>
      </w:r>
      <w:r w:rsidR="00840D87" w:rsidRPr="00BB3451">
        <w:rPr>
          <w:rFonts w:ascii="Gill Sans" w:hAnsi="Gill Sans" w:cs="Gill Sans"/>
          <w:noProof/>
          <w:sz w:val="22"/>
          <w:szCs w:val="22"/>
          <w:lang w:val="en-GB"/>
        </w:rPr>
        <w:t xml:space="preserve"> Procedure</w:t>
      </w:r>
      <w:r w:rsidR="00840D87">
        <w:rPr>
          <w:rFonts w:ascii="Gill Sans" w:hAnsi="Gill Sans" w:cs="Gill Sans"/>
          <w:noProof/>
          <w:sz w:val="22"/>
          <w:szCs w:val="22"/>
          <w:lang w:val="en-GB"/>
        </w:rPr>
        <w:t>s</w:t>
      </w:r>
      <w:r w:rsidR="00840D87" w:rsidRPr="00BB3451">
        <w:rPr>
          <w:rFonts w:ascii="Gill Sans" w:hAnsi="Gill Sans" w:cs="Gill Sans"/>
          <w:noProof/>
          <w:sz w:val="22"/>
          <w:szCs w:val="22"/>
          <w:lang w:val="en-GB"/>
        </w:rPr>
        <w:t xml:space="preserve"> for Facilitating Public Examination of the Executive Authorities</w:t>
      </w:r>
      <w:r w:rsidR="00840D87">
        <w:rPr>
          <w:rFonts w:ascii="Gill Sans" w:hAnsi="Gill Sans" w:cs="Gill Sans"/>
          <w:noProof/>
          <w:sz w:val="22"/>
          <w:szCs w:val="22"/>
          <w:lang w:val="en-GB"/>
        </w:rPr>
        <w:t xml:space="preserve">. As reported at the midterm, the changes were brought about through an inclusive consultation process between the </w:t>
      </w:r>
      <w:r w:rsidR="003B0C45">
        <w:rPr>
          <w:rFonts w:ascii="Gill Sans" w:hAnsi="Gill Sans" w:cs="Gill Sans"/>
          <w:noProof/>
          <w:sz w:val="22"/>
          <w:szCs w:val="22"/>
          <w:lang w:val="en-GB"/>
        </w:rPr>
        <w:t>m</w:t>
      </w:r>
      <w:r w:rsidR="00840D87">
        <w:rPr>
          <w:rFonts w:ascii="Gill Sans" w:hAnsi="Gill Sans" w:cs="Gill Sans"/>
          <w:noProof/>
          <w:sz w:val="22"/>
          <w:szCs w:val="22"/>
          <w:lang w:val="en-GB"/>
        </w:rPr>
        <w:t>inistry and civil soceity</w:t>
      </w:r>
      <w:r w:rsidR="00374D64">
        <w:rPr>
          <w:rFonts w:ascii="Gill Sans" w:hAnsi="Gill Sans" w:cs="Gill Sans"/>
          <w:noProof/>
          <w:sz w:val="22"/>
          <w:szCs w:val="22"/>
          <w:lang w:val="en-GB"/>
        </w:rPr>
        <w:t>.</w:t>
      </w:r>
      <w:r w:rsidR="00840D87">
        <w:rPr>
          <w:rFonts w:ascii="Gill Sans" w:hAnsi="Gill Sans" w:cs="Gill Sans"/>
          <w:noProof/>
          <w:sz w:val="22"/>
          <w:szCs w:val="22"/>
          <w:lang w:val="en-GB"/>
        </w:rPr>
        <w:t xml:space="preserve"> </w:t>
      </w:r>
      <w:r w:rsidR="00374D64">
        <w:rPr>
          <w:rFonts w:ascii="Gill Sans" w:hAnsi="Gill Sans" w:cs="Gill Sans"/>
          <w:noProof/>
          <w:sz w:val="22"/>
          <w:szCs w:val="22"/>
          <w:lang w:val="en-GB"/>
        </w:rPr>
        <w:t>The activities</w:t>
      </w:r>
      <w:r w:rsidR="00840D87">
        <w:rPr>
          <w:rFonts w:ascii="Gill Sans" w:hAnsi="Gill Sans" w:cs="Gill Sans"/>
          <w:noProof/>
          <w:sz w:val="22"/>
          <w:szCs w:val="22"/>
          <w:lang w:val="en-GB"/>
        </w:rPr>
        <w:t xml:space="preserve"> included simplifying the consultation process and strengthening</w:t>
      </w:r>
      <w:r w:rsidR="00840D87" w:rsidRPr="00BB3451">
        <w:rPr>
          <w:rFonts w:ascii="Gill Sans" w:hAnsi="Gill Sans" w:cs="Gill Sans"/>
          <w:noProof/>
          <w:sz w:val="22"/>
          <w:szCs w:val="22"/>
          <w:lang w:val="en-GB"/>
        </w:rPr>
        <w:t xml:space="preserve"> an accountability mechanism </w:t>
      </w:r>
      <w:r w:rsidR="003B0C45">
        <w:rPr>
          <w:rFonts w:ascii="Gill Sans" w:hAnsi="Gill Sans" w:cs="Gill Sans"/>
          <w:noProof/>
          <w:sz w:val="22"/>
          <w:szCs w:val="22"/>
          <w:lang w:val="en-GB"/>
        </w:rPr>
        <w:t xml:space="preserve">to </w:t>
      </w:r>
      <w:r w:rsidR="00840D87" w:rsidRPr="00BB3451">
        <w:rPr>
          <w:rFonts w:ascii="Gill Sans" w:hAnsi="Gill Sans" w:cs="Gill Sans"/>
          <w:noProof/>
          <w:sz w:val="22"/>
          <w:szCs w:val="22"/>
          <w:lang w:val="en-GB"/>
        </w:rPr>
        <w:t>allow public examination of authorities</w:t>
      </w:r>
      <w:r w:rsidR="00335E25">
        <w:rPr>
          <w:rFonts w:ascii="Gill Sans" w:hAnsi="Gill Sans" w:cs="Gill Sans"/>
          <w:noProof/>
          <w:sz w:val="22"/>
          <w:szCs w:val="22"/>
          <w:lang w:val="en-GB"/>
        </w:rPr>
        <w:t>.</w:t>
      </w:r>
      <w:r w:rsidR="00840D87" w:rsidRPr="00BB3451">
        <w:rPr>
          <w:rFonts w:ascii="Gill Sans" w:hAnsi="Gill Sans" w:cs="Gill Sans"/>
          <w:noProof/>
          <w:sz w:val="22"/>
          <w:szCs w:val="22"/>
          <w:lang w:val="en-GB"/>
        </w:rPr>
        <w:t xml:space="preserve"> </w:t>
      </w:r>
      <w:r w:rsidR="00434A64" w:rsidRPr="00BB3451">
        <w:rPr>
          <w:rFonts w:ascii="Gill Sans" w:hAnsi="Gill Sans" w:cs="Gill Sans"/>
          <w:sz w:val="22"/>
          <w:szCs w:val="22"/>
          <w:lang w:val="en-GB"/>
        </w:rPr>
        <w:t>However</w:t>
      </w:r>
      <w:r w:rsidRPr="00BB3451">
        <w:rPr>
          <w:rFonts w:ascii="Gill Sans" w:hAnsi="Gill Sans" w:cs="Gill Sans"/>
          <w:sz w:val="22"/>
          <w:szCs w:val="22"/>
          <w:lang w:val="en-GB"/>
        </w:rPr>
        <w:t xml:space="preserve">, </w:t>
      </w:r>
      <w:r w:rsidR="00335E25">
        <w:rPr>
          <w:rFonts w:ascii="Gill Sans" w:hAnsi="Gill Sans" w:cs="Gill Sans"/>
          <w:sz w:val="22"/>
          <w:szCs w:val="22"/>
          <w:lang w:val="en-GB"/>
        </w:rPr>
        <w:t>as implemented</w:t>
      </w:r>
      <w:r w:rsidR="003B0C45">
        <w:rPr>
          <w:rFonts w:ascii="Gill Sans" w:hAnsi="Gill Sans" w:cs="Gill Sans"/>
          <w:sz w:val="22"/>
          <w:szCs w:val="22"/>
          <w:lang w:val="en-GB"/>
        </w:rPr>
        <w:t>,</w:t>
      </w:r>
      <w:r w:rsidR="00335E25">
        <w:rPr>
          <w:rFonts w:ascii="Gill Sans" w:hAnsi="Gill Sans" w:cs="Gill Sans"/>
          <w:sz w:val="22"/>
          <w:szCs w:val="22"/>
          <w:lang w:val="en-GB"/>
        </w:rPr>
        <w:t xml:space="preserve"> </w:t>
      </w:r>
      <w:r w:rsidRPr="00BB3451">
        <w:rPr>
          <w:rFonts w:ascii="Gill Sans" w:hAnsi="Gill Sans" w:cs="Gill Sans"/>
          <w:sz w:val="22"/>
          <w:szCs w:val="22"/>
          <w:lang w:val="en-GB"/>
        </w:rPr>
        <w:t>the commitment had only</w:t>
      </w:r>
      <w:r w:rsidR="00434A64" w:rsidRPr="00BB3451">
        <w:rPr>
          <w:rFonts w:ascii="Gill Sans" w:hAnsi="Gill Sans" w:cs="Gill Sans"/>
          <w:sz w:val="22"/>
          <w:szCs w:val="22"/>
          <w:lang w:val="en-GB"/>
        </w:rPr>
        <w:t xml:space="preserve"> a</w:t>
      </w:r>
      <w:r w:rsidRPr="00BB3451">
        <w:rPr>
          <w:rFonts w:ascii="Gill Sans" w:hAnsi="Gill Sans" w:cs="Gill Sans"/>
          <w:sz w:val="22"/>
          <w:szCs w:val="22"/>
          <w:lang w:val="en-GB"/>
        </w:rPr>
        <w:t xml:space="preserve"> marginal impact on </w:t>
      </w:r>
      <w:r w:rsidR="00532790" w:rsidRPr="00BB3451">
        <w:rPr>
          <w:rFonts w:ascii="Gill Sans" w:hAnsi="Gill Sans" w:cs="Gill Sans"/>
          <w:sz w:val="22"/>
          <w:szCs w:val="22"/>
          <w:lang w:val="en-GB"/>
        </w:rPr>
        <w:t>changing</w:t>
      </w:r>
      <w:r w:rsidR="00434A64" w:rsidRPr="00BB3451">
        <w:rPr>
          <w:rFonts w:ascii="Gill Sans" w:hAnsi="Gill Sans" w:cs="Gill Sans"/>
          <w:sz w:val="22"/>
          <w:szCs w:val="22"/>
          <w:lang w:val="en-GB"/>
        </w:rPr>
        <w:t xml:space="preserve"> </w:t>
      </w:r>
      <w:r w:rsidRPr="00BB3451">
        <w:rPr>
          <w:rFonts w:ascii="Gill Sans" w:hAnsi="Gill Sans" w:cs="Gill Sans"/>
          <w:sz w:val="22"/>
          <w:szCs w:val="22"/>
          <w:lang w:val="en-GB"/>
        </w:rPr>
        <w:t xml:space="preserve">government practice. The government used </w:t>
      </w:r>
      <w:r w:rsidR="005D0F4B">
        <w:rPr>
          <w:rFonts w:ascii="Gill Sans" w:hAnsi="Gill Sans" w:cs="Gill Sans"/>
          <w:sz w:val="22"/>
          <w:szCs w:val="22"/>
          <w:lang w:val="en-GB"/>
        </w:rPr>
        <w:t xml:space="preserve">the </w:t>
      </w:r>
      <w:r w:rsidRPr="00BB3451">
        <w:rPr>
          <w:rFonts w:ascii="Gill Sans" w:hAnsi="Gill Sans" w:cs="Gill Sans"/>
          <w:sz w:val="22"/>
          <w:szCs w:val="22"/>
          <w:lang w:val="en-GB"/>
        </w:rPr>
        <w:t xml:space="preserve">adopted changes in the rules to re-launch civic councils that </w:t>
      </w:r>
      <w:r w:rsidR="00D50236">
        <w:rPr>
          <w:rFonts w:ascii="Gill Sans" w:hAnsi="Gill Sans" w:cs="Gill Sans"/>
          <w:sz w:val="22"/>
          <w:szCs w:val="22"/>
          <w:lang w:val="en-GB"/>
        </w:rPr>
        <w:t>had been</w:t>
      </w:r>
      <w:r w:rsidRPr="00BB3451">
        <w:rPr>
          <w:rFonts w:ascii="Gill Sans" w:hAnsi="Gill Sans" w:cs="Gill Sans"/>
          <w:sz w:val="22"/>
          <w:szCs w:val="22"/>
          <w:lang w:val="en-GB"/>
        </w:rPr>
        <w:t xml:space="preserve"> discredited </w:t>
      </w:r>
      <w:r w:rsidR="00434A64" w:rsidRPr="00BB3451">
        <w:rPr>
          <w:rFonts w:ascii="Gill Sans" w:hAnsi="Gill Sans" w:cs="Gill Sans"/>
          <w:sz w:val="22"/>
          <w:szCs w:val="22"/>
          <w:lang w:val="en-GB"/>
        </w:rPr>
        <w:t xml:space="preserve">due to </w:t>
      </w:r>
      <w:r w:rsidR="00532790" w:rsidRPr="00BB3451">
        <w:rPr>
          <w:rFonts w:ascii="Gill Sans" w:hAnsi="Gill Sans" w:cs="Gill Sans"/>
          <w:sz w:val="22"/>
          <w:szCs w:val="22"/>
          <w:lang w:val="en-GB"/>
        </w:rPr>
        <w:t xml:space="preserve">their </w:t>
      </w:r>
      <w:r w:rsidRPr="00BB3451">
        <w:rPr>
          <w:rFonts w:ascii="Gill Sans" w:hAnsi="Gill Sans" w:cs="Gill Sans"/>
          <w:sz w:val="22"/>
          <w:szCs w:val="22"/>
          <w:lang w:val="en-GB"/>
        </w:rPr>
        <w:t>collaboration with the previous government</w:t>
      </w:r>
      <w:r w:rsidR="00532790" w:rsidRPr="00BB3451">
        <w:rPr>
          <w:rFonts w:ascii="Gill Sans" w:hAnsi="Gill Sans" w:cs="Gill Sans"/>
          <w:sz w:val="22"/>
          <w:szCs w:val="22"/>
          <w:lang w:val="en-GB"/>
        </w:rPr>
        <w:t xml:space="preserve">. </w:t>
      </w:r>
      <w:r w:rsidR="00680934" w:rsidRPr="00BB3451">
        <w:rPr>
          <w:rFonts w:ascii="Gill Sans" w:hAnsi="Gill Sans" w:cs="Gill Sans"/>
          <w:sz w:val="22"/>
          <w:szCs w:val="22"/>
          <w:lang w:val="en-GB"/>
        </w:rPr>
        <w:t>T</w:t>
      </w:r>
      <w:r w:rsidRPr="00BB3451">
        <w:rPr>
          <w:rFonts w:ascii="Gill Sans" w:hAnsi="Gill Sans" w:cs="Gill Sans"/>
          <w:sz w:val="22"/>
          <w:szCs w:val="22"/>
          <w:lang w:val="en-GB"/>
        </w:rPr>
        <w:t xml:space="preserve">he new regulations </w:t>
      </w:r>
      <w:r w:rsidR="007B36C7">
        <w:rPr>
          <w:rFonts w:ascii="Gill Sans" w:hAnsi="Gill Sans" w:cs="Gill Sans"/>
          <w:sz w:val="22"/>
          <w:szCs w:val="22"/>
          <w:lang w:val="en-GB"/>
        </w:rPr>
        <w:t>attempted to address</w:t>
      </w:r>
      <w:r w:rsidRPr="00BB3451">
        <w:rPr>
          <w:rFonts w:ascii="Gill Sans" w:hAnsi="Gill Sans" w:cs="Gill Sans"/>
          <w:sz w:val="22"/>
          <w:szCs w:val="22"/>
          <w:lang w:val="en-GB"/>
        </w:rPr>
        <w:t xml:space="preserve"> </w:t>
      </w:r>
      <w:r w:rsidR="00532790" w:rsidRPr="00BB3451">
        <w:rPr>
          <w:rFonts w:ascii="Gill Sans" w:hAnsi="Gill Sans" w:cs="Gill Sans"/>
          <w:sz w:val="22"/>
          <w:szCs w:val="22"/>
          <w:lang w:val="en-GB"/>
        </w:rPr>
        <w:t>deficiencies</w:t>
      </w:r>
      <w:r w:rsidRPr="00BB3451">
        <w:rPr>
          <w:rFonts w:ascii="Gill Sans" w:hAnsi="Gill Sans" w:cs="Gill Sans"/>
          <w:sz w:val="22"/>
          <w:szCs w:val="22"/>
          <w:lang w:val="en-GB"/>
        </w:rPr>
        <w:t xml:space="preserve"> </w:t>
      </w:r>
      <w:r w:rsidR="00532790" w:rsidRPr="00BB3451">
        <w:rPr>
          <w:rFonts w:ascii="Gill Sans" w:hAnsi="Gill Sans" w:cs="Gill Sans"/>
          <w:sz w:val="22"/>
          <w:szCs w:val="22"/>
          <w:lang w:val="en-GB"/>
        </w:rPr>
        <w:t>in the older version</w:t>
      </w:r>
      <w:r w:rsidRPr="00BB3451">
        <w:rPr>
          <w:rFonts w:ascii="Gill Sans" w:hAnsi="Gill Sans" w:cs="Gill Sans"/>
          <w:sz w:val="22"/>
          <w:szCs w:val="22"/>
          <w:lang w:val="en-GB"/>
        </w:rPr>
        <w:t>s</w:t>
      </w:r>
      <w:r w:rsidR="005D0F4B">
        <w:rPr>
          <w:rFonts w:ascii="Gill Sans" w:hAnsi="Gill Sans" w:cs="Gill Sans"/>
          <w:sz w:val="22"/>
          <w:szCs w:val="22"/>
          <w:lang w:val="en-GB"/>
        </w:rPr>
        <w:t>; the latter</w:t>
      </w:r>
      <w:r w:rsidRPr="00BB3451">
        <w:rPr>
          <w:rFonts w:ascii="Gill Sans" w:hAnsi="Gill Sans" w:cs="Gill Sans"/>
          <w:sz w:val="22"/>
          <w:szCs w:val="22"/>
          <w:lang w:val="en-GB"/>
        </w:rPr>
        <w:t xml:space="preserve"> allowed civic participation structures</w:t>
      </w:r>
      <w:r w:rsidR="007B36C7">
        <w:rPr>
          <w:rFonts w:ascii="Gill Sans" w:hAnsi="Gill Sans" w:cs="Gill Sans"/>
          <w:sz w:val="22"/>
          <w:szCs w:val="22"/>
          <w:lang w:val="en-GB"/>
        </w:rPr>
        <w:t xml:space="preserve"> to be hijacked</w:t>
      </w:r>
      <w:r w:rsidRPr="00BB3451">
        <w:rPr>
          <w:rFonts w:ascii="Gill Sans" w:hAnsi="Gill Sans" w:cs="Gill Sans"/>
          <w:sz w:val="22"/>
          <w:szCs w:val="22"/>
          <w:lang w:val="en-GB"/>
        </w:rPr>
        <w:t xml:space="preserve"> by fake or government-affiliated NGOs</w:t>
      </w:r>
      <w:r w:rsidR="007B36C7">
        <w:rPr>
          <w:rFonts w:ascii="Gill Sans" w:hAnsi="Gill Sans" w:cs="Gill Sans"/>
          <w:sz w:val="22"/>
          <w:szCs w:val="22"/>
          <w:lang w:val="en-GB"/>
        </w:rPr>
        <w:t xml:space="preserve"> (GONGOs), </w:t>
      </w:r>
      <w:r w:rsidR="003B0C45">
        <w:rPr>
          <w:rFonts w:ascii="Gill Sans" w:hAnsi="Gill Sans" w:cs="Gill Sans"/>
          <w:sz w:val="22"/>
          <w:szCs w:val="22"/>
          <w:lang w:val="en-GB"/>
        </w:rPr>
        <w:t xml:space="preserve">thereby </w:t>
      </w:r>
      <w:r w:rsidR="007B36C7">
        <w:rPr>
          <w:rFonts w:ascii="Gill Sans" w:hAnsi="Gill Sans" w:cs="Gill Sans"/>
          <w:sz w:val="22"/>
          <w:szCs w:val="22"/>
          <w:lang w:val="en-GB"/>
        </w:rPr>
        <w:t xml:space="preserve">undermining </w:t>
      </w:r>
      <w:r w:rsidRPr="00BB3451">
        <w:rPr>
          <w:rFonts w:ascii="Gill Sans" w:hAnsi="Gill Sans" w:cs="Gill Sans"/>
          <w:sz w:val="22"/>
          <w:szCs w:val="22"/>
          <w:lang w:val="en-GB"/>
        </w:rPr>
        <w:t xml:space="preserve">their watchdog function. </w:t>
      </w:r>
      <w:r w:rsidR="005D0F4B">
        <w:rPr>
          <w:rFonts w:ascii="Gill Sans" w:hAnsi="Gill Sans" w:cs="Gill Sans"/>
          <w:sz w:val="22"/>
          <w:szCs w:val="22"/>
          <w:lang w:val="en-GB"/>
        </w:rPr>
        <w:t>Nevertheless,</w:t>
      </w:r>
      <w:r w:rsidR="005D0F4B" w:rsidRPr="00BB3451">
        <w:rPr>
          <w:rFonts w:ascii="Gill Sans" w:hAnsi="Gill Sans" w:cs="Gill Sans"/>
          <w:sz w:val="22"/>
          <w:szCs w:val="22"/>
          <w:lang w:val="en-GB"/>
        </w:rPr>
        <w:t xml:space="preserve"> </w:t>
      </w:r>
      <w:r w:rsidR="007B36C7">
        <w:rPr>
          <w:rFonts w:ascii="Gill Sans" w:hAnsi="Gill Sans" w:cs="Gill Sans"/>
          <w:sz w:val="22"/>
          <w:szCs w:val="22"/>
          <w:lang w:val="en-GB"/>
        </w:rPr>
        <w:t xml:space="preserve">the </w:t>
      </w:r>
      <w:r w:rsidRPr="00BB3451">
        <w:rPr>
          <w:rFonts w:ascii="Gill Sans" w:hAnsi="Gill Sans" w:cs="Gill Sans"/>
          <w:sz w:val="22"/>
          <w:szCs w:val="22"/>
          <w:lang w:val="en-GB"/>
        </w:rPr>
        <w:t xml:space="preserve">changes </w:t>
      </w:r>
      <w:r w:rsidR="007B36C7">
        <w:rPr>
          <w:rFonts w:ascii="Gill Sans" w:hAnsi="Gill Sans" w:cs="Gill Sans"/>
          <w:sz w:val="22"/>
          <w:szCs w:val="22"/>
          <w:lang w:val="en-GB"/>
        </w:rPr>
        <w:t>implemented to replace the</w:t>
      </w:r>
      <w:r w:rsidRPr="00BB3451">
        <w:rPr>
          <w:rFonts w:ascii="Gill Sans" w:hAnsi="Gill Sans" w:cs="Gill Sans"/>
          <w:sz w:val="22"/>
          <w:szCs w:val="22"/>
          <w:lang w:val="en-GB"/>
        </w:rPr>
        <w:t xml:space="preserve"> old procedures and structures did </w:t>
      </w:r>
      <w:r w:rsidR="00680934" w:rsidRPr="00BB3451">
        <w:rPr>
          <w:rFonts w:ascii="Gill Sans" w:hAnsi="Gill Sans" w:cs="Gill Sans"/>
          <w:sz w:val="22"/>
          <w:szCs w:val="22"/>
          <w:lang w:val="en-GB"/>
        </w:rPr>
        <w:t xml:space="preserve">not </w:t>
      </w:r>
      <w:r w:rsidR="00A4369E" w:rsidRPr="00BB3451">
        <w:rPr>
          <w:rFonts w:ascii="Gill Sans" w:hAnsi="Gill Sans" w:cs="Gill Sans"/>
          <w:sz w:val="22"/>
          <w:szCs w:val="22"/>
          <w:lang w:val="en-GB"/>
        </w:rPr>
        <w:t xml:space="preserve">improve their </w:t>
      </w:r>
      <w:r w:rsidRPr="00BB3451">
        <w:rPr>
          <w:rFonts w:ascii="Gill Sans" w:hAnsi="Gill Sans" w:cs="Gill Sans"/>
          <w:sz w:val="22"/>
          <w:szCs w:val="22"/>
          <w:lang w:val="en-GB"/>
        </w:rPr>
        <w:t>effectiveness</w:t>
      </w:r>
      <w:r w:rsidR="00D50236">
        <w:rPr>
          <w:rFonts w:ascii="Gill Sans" w:hAnsi="Gill Sans" w:cs="Gill Sans"/>
          <w:sz w:val="22"/>
          <w:szCs w:val="22"/>
          <w:lang w:val="en-GB"/>
        </w:rPr>
        <w:t xml:space="preserve">. While this commitment marginally improved civic participation and public accountability </w:t>
      </w:r>
      <w:r w:rsidR="00335E25">
        <w:rPr>
          <w:rFonts w:ascii="Gill Sans" w:hAnsi="Gill Sans" w:cs="Gill Sans"/>
          <w:sz w:val="22"/>
          <w:szCs w:val="22"/>
          <w:lang w:val="en-GB"/>
        </w:rPr>
        <w:t xml:space="preserve">by </w:t>
      </w:r>
      <w:r w:rsidR="00E65980">
        <w:rPr>
          <w:rFonts w:ascii="Gill Sans" w:hAnsi="Gill Sans" w:cs="Gill Sans"/>
          <w:sz w:val="22"/>
          <w:szCs w:val="22"/>
          <w:lang w:val="en-GB"/>
        </w:rPr>
        <w:t xml:space="preserve">modernising some formal procedures of cooperation, </w:t>
      </w:r>
      <w:r w:rsidR="00652C7D">
        <w:rPr>
          <w:rFonts w:ascii="Gill Sans" w:hAnsi="Gill Sans" w:cs="Gill Sans"/>
          <w:sz w:val="22"/>
          <w:szCs w:val="22"/>
          <w:lang w:val="en-GB"/>
        </w:rPr>
        <w:t>the</w:t>
      </w:r>
      <w:r w:rsidR="00374D64">
        <w:rPr>
          <w:rFonts w:ascii="Gill Sans" w:hAnsi="Gill Sans" w:cs="Gill Sans"/>
          <w:sz w:val="22"/>
          <w:szCs w:val="22"/>
          <w:lang w:val="en-GB"/>
        </w:rPr>
        <w:t xml:space="preserve"> </w:t>
      </w:r>
      <w:r w:rsidR="00E65980">
        <w:rPr>
          <w:rFonts w:ascii="Gill Sans" w:hAnsi="Gill Sans" w:cs="Gill Sans"/>
          <w:sz w:val="22"/>
          <w:szCs w:val="22"/>
          <w:lang w:val="en-GB"/>
        </w:rPr>
        <w:t xml:space="preserve">effect on open government was limited. This can be explained by outdated </w:t>
      </w:r>
      <w:r w:rsidR="004B3FB1">
        <w:rPr>
          <w:rFonts w:ascii="Gill Sans" w:hAnsi="Gill Sans" w:cs="Gill Sans"/>
          <w:sz w:val="22"/>
          <w:szCs w:val="22"/>
          <w:lang w:val="en-GB"/>
        </w:rPr>
        <w:t>procedures</w:t>
      </w:r>
      <w:r w:rsidR="00554EA9">
        <w:rPr>
          <w:rFonts w:ascii="Gill Sans" w:hAnsi="Gill Sans" w:cs="Gill Sans"/>
          <w:sz w:val="22"/>
          <w:szCs w:val="22"/>
          <w:lang w:val="en-GB"/>
        </w:rPr>
        <w:t xml:space="preserve"> and structures</w:t>
      </w:r>
      <w:r w:rsidR="003B0C45">
        <w:rPr>
          <w:rFonts w:ascii="Gill Sans" w:hAnsi="Gill Sans" w:cs="Gill Sans"/>
          <w:sz w:val="22"/>
          <w:szCs w:val="22"/>
          <w:lang w:val="en-GB"/>
        </w:rPr>
        <w:t>,</w:t>
      </w:r>
      <w:r w:rsidR="00554EA9">
        <w:rPr>
          <w:rFonts w:ascii="Gill Sans" w:hAnsi="Gill Sans" w:cs="Gill Sans"/>
          <w:sz w:val="22"/>
          <w:szCs w:val="22"/>
          <w:lang w:val="en-GB"/>
        </w:rPr>
        <w:t xml:space="preserve"> </w:t>
      </w:r>
      <w:r w:rsidR="003B0C45">
        <w:rPr>
          <w:rFonts w:ascii="Gill Sans" w:hAnsi="Gill Sans" w:cs="Gill Sans"/>
          <w:sz w:val="22"/>
          <w:szCs w:val="22"/>
          <w:lang w:val="en-GB"/>
        </w:rPr>
        <w:t xml:space="preserve">for example, </w:t>
      </w:r>
      <w:r w:rsidR="00554EA9">
        <w:rPr>
          <w:rFonts w:ascii="Gill Sans" w:hAnsi="Gill Sans" w:cs="Gill Sans"/>
          <w:sz w:val="22"/>
          <w:szCs w:val="22"/>
          <w:lang w:val="en-GB"/>
        </w:rPr>
        <w:t xml:space="preserve">civic councils, </w:t>
      </w:r>
      <w:r w:rsidR="003B0C45">
        <w:rPr>
          <w:rFonts w:ascii="Gill Sans" w:hAnsi="Gill Sans" w:cs="Gill Sans"/>
          <w:sz w:val="22"/>
          <w:szCs w:val="22"/>
          <w:lang w:val="en-GB"/>
        </w:rPr>
        <w:t xml:space="preserve">whose </w:t>
      </w:r>
      <w:r w:rsidR="00554EA9">
        <w:rPr>
          <w:rFonts w:ascii="Gill Sans" w:hAnsi="Gill Sans" w:cs="Gill Sans"/>
          <w:sz w:val="22"/>
          <w:szCs w:val="22"/>
          <w:lang w:val="en-GB"/>
        </w:rPr>
        <w:t>role</w:t>
      </w:r>
      <w:r w:rsidR="005D0F4B">
        <w:rPr>
          <w:rFonts w:ascii="Gill Sans" w:hAnsi="Gill Sans" w:cs="Gill Sans"/>
          <w:sz w:val="22"/>
          <w:szCs w:val="22"/>
          <w:lang w:val="en-GB"/>
        </w:rPr>
        <w:t xml:space="preserve"> </w:t>
      </w:r>
      <w:r w:rsidR="00524F26">
        <w:rPr>
          <w:rFonts w:ascii="Gill Sans" w:hAnsi="Gill Sans" w:cs="Gill Sans"/>
          <w:sz w:val="22"/>
          <w:szCs w:val="22"/>
          <w:lang w:val="en-GB"/>
        </w:rPr>
        <w:t>—</w:t>
      </w:r>
      <w:r w:rsidR="005D0F4B">
        <w:rPr>
          <w:rFonts w:ascii="Gill Sans" w:hAnsi="Gill Sans" w:cs="Gill Sans"/>
          <w:sz w:val="22"/>
          <w:szCs w:val="22"/>
          <w:lang w:val="en-GB"/>
        </w:rPr>
        <w:t xml:space="preserve"> </w:t>
      </w:r>
      <w:r w:rsidR="00524F26">
        <w:rPr>
          <w:rFonts w:ascii="Gill Sans" w:hAnsi="Gill Sans" w:cs="Gill Sans"/>
          <w:sz w:val="22"/>
          <w:szCs w:val="22"/>
          <w:lang w:val="en-GB"/>
        </w:rPr>
        <w:t>to</w:t>
      </w:r>
      <w:r w:rsidR="00554EA9">
        <w:rPr>
          <w:rFonts w:ascii="Gill Sans" w:hAnsi="Gill Sans" w:cs="Gill Sans"/>
          <w:sz w:val="22"/>
          <w:szCs w:val="22"/>
          <w:lang w:val="en-GB"/>
        </w:rPr>
        <w:t xml:space="preserve"> ensur</w:t>
      </w:r>
      <w:r w:rsidR="003B0C45">
        <w:rPr>
          <w:rFonts w:ascii="Gill Sans" w:hAnsi="Gill Sans" w:cs="Gill Sans"/>
          <w:sz w:val="22"/>
          <w:szCs w:val="22"/>
          <w:lang w:val="en-GB"/>
        </w:rPr>
        <w:t>e</w:t>
      </w:r>
      <w:r w:rsidR="00554EA9">
        <w:rPr>
          <w:rFonts w:ascii="Gill Sans" w:hAnsi="Gill Sans" w:cs="Gill Sans"/>
          <w:sz w:val="22"/>
          <w:szCs w:val="22"/>
          <w:lang w:val="en-GB"/>
        </w:rPr>
        <w:t xml:space="preserve"> </w:t>
      </w:r>
      <w:r w:rsidR="00554EA9" w:rsidRPr="00BB3451">
        <w:rPr>
          <w:rFonts w:ascii="Gill Sans" w:hAnsi="Gill Sans" w:cs="Gill Sans"/>
          <w:sz w:val="22"/>
          <w:szCs w:val="22"/>
          <w:lang w:val="en-GB"/>
        </w:rPr>
        <w:t>collaboration with civil society and public oversight</w:t>
      </w:r>
      <w:r w:rsidR="005D0F4B">
        <w:rPr>
          <w:rFonts w:ascii="Gill Sans" w:hAnsi="Gill Sans" w:cs="Gill Sans"/>
          <w:sz w:val="22"/>
          <w:szCs w:val="22"/>
          <w:lang w:val="en-GB"/>
        </w:rPr>
        <w:t xml:space="preserve"> </w:t>
      </w:r>
      <w:r w:rsidR="00524F26">
        <w:rPr>
          <w:rFonts w:ascii="Gill Sans" w:hAnsi="Gill Sans" w:cs="Gill Sans"/>
          <w:sz w:val="22"/>
          <w:szCs w:val="22"/>
          <w:lang w:val="en-GB"/>
        </w:rPr>
        <w:t>—</w:t>
      </w:r>
      <w:r w:rsidR="005D0F4B">
        <w:rPr>
          <w:rFonts w:ascii="Gill Sans" w:hAnsi="Gill Sans" w:cs="Gill Sans"/>
          <w:sz w:val="22"/>
          <w:szCs w:val="22"/>
          <w:lang w:val="en-GB"/>
        </w:rPr>
        <w:t xml:space="preserve"> </w:t>
      </w:r>
      <w:r w:rsidR="00524F26">
        <w:rPr>
          <w:rFonts w:ascii="Gill Sans" w:hAnsi="Gill Sans" w:cs="Gill Sans"/>
          <w:sz w:val="22"/>
          <w:szCs w:val="22"/>
          <w:lang w:val="en-GB"/>
        </w:rPr>
        <w:t>d</w:t>
      </w:r>
      <w:r w:rsidR="003B0C45">
        <w:rPr>
          <w:rFonts w:ascii="Gill Sans" w:hAnsi="Gill Sans" w:cs="Gill Sans"/>
          <w:sz w:val="22"/>
          <w:szCs w:val="22"/>
          <w:lang w:val="en-GB"/>
        </w:rPr>
        <w:t xml:space="preserve">eclined </w:t>
      </w:r>
      <w:r w:rsidR="00554EA9" w:rsidRPr="00BB3451">
        <w:rPr>
          <w:rFonts w:ascii="Gill Sans" w:hAnsi="Gill Sans" w:cs="Gill Sans"/>
          <w:sz w:val="22"/>
          <w:szCs w:val="22"/>
          <w:lang w:val="en-GB"/>
        </w:rPr>
        <w:t>further</w:t>
      </w:r>
      <w:r w:rsidRPr="00BB3451">
        <w:rPr>
          <w:rFonts w:ascii="Gill Sans" w:hAnsi="Gill Sans" w:cs="Gill Sans"/>
          <w:sz w:val="22"/>
          <w:szCs w:val="22"/>
          <w:lang w:val="en-GB"/>
        </w:rPr>
        <w:t>.</w:t>
      </w:r>
      <w:r w:rsidR="00707EC6">
        <w:rPr>
          <w:rStyle w:val="EndnoteReference"/>
          <w:rFonts w:ascii="Gill Sans" w:hAnsi="Gill Sans" w:cs="Gill Sans"/>
          <w:sz w:val="22"/>
          <w:szCs w:val="22"/>
          <w:lang w:val="en-GB"/>
        </w:rPr>
        <w:endnoteReference w:id="7"/>
      </w:r>
      <w:r w:rsidR="00D50236">
        <w:rPr>
          <w:rFonts w:ascii="Gill Sans" w:hAnsi="Gill Sans" w:cs="Gill Sans"/>
          <w:sz w:val="22"/>
          <w:szCs w:val="22"/>
          <w:lang w:val="en-GB"/>
        </w:rPr>
        <w:t xml:space="preserve"> </w:t>
      </w:r>
    </w:p>
    <w:p w14:paraId="42130B29" w14:textId="77777777" w:rsidR="007F586E" w:rsidRPr="00BB3451" w:rsidRDefault="007F586E" w:rsidP="00163080">
      <w:pPr>
        <w:rPr>
          <w:rFonts w:ascii="Gill Sans" w:hAnsi="Gill Sans" w:cs="Gill Sans"/>
          <w:b/>
          <w:noProof/>
          <w:sz w:val="22"/>
          <w:szCs w:val="22"/>
          <w:lang w:val="en-GB"/>
        </w:rPr>
      </w:pPr>
      <w:r w:rsidRPr="00BB3451">
        <w:rPr>
          <w:rFonts w:ascii="Gill Sans" w:hAnsi="Gill Sans" w:cs="Gill Sans"/>
          <w:b/>
          <w:noProof/>
          <w:sz w:val="22"/>
          <w:szCs w:val="22"/>
          <w:lang w:val="en-GB"/>
        </w:rPr>
        <w:t>4. Public Participation Law</w:t>
      </w:r>
    </w:p>
    <w:p w14:paraId="5D713D7E" w14:textId="4F0BEF02" w:rsidR="007F586E" w:rsidRPr="00BB3451" w:rsidRDefault="007F586E" w:rsidP="00163080">
      <w:pPr>
        <w:ind w:left="270"/>
        <w:rPr>
          <w:rFonts w:ascii="Gill Sans" w:hAnsi="Gill Sans" w:cs="Gill Sans"/>
          <w:b/>
          <w:color w:val="000000" w:themeColor="text1"/>
          <w:sz w:val="22"/>
          <w:szCs w:val="22"/>
          <w:lang w:val="en-GB"/>
        </w:rPr>
      </w:pPr>
      <w:r w:rsidRPr="00BB3451">
        <w:rPr>
          <w:rFonts w:ascii="Gill Sans" w:hAnsi="Gill Sans" w:cs="Gill Sans"/>
          <w:b/>
          <w:color w:val="000000" w:themeColor="text1"/>
          <w:sz w:val="22"/>
          <w:szCs w:val="22"/>
          <w:lang w:val="en-GB"/>
        </w:rPr>
        <w:t xml:space="preserve">Civic participation: </w:t>
      </w:r>
      <w:r w:rsidR="009E6AEA">
        <w:rPr>
          <w:rFonts w:ascii="Gill Sans" w:hAnsi="Gill Sans" w:cs="Gill Sans"/>
          <w:b/>
          <w:color w:val="000000" w:themeColor="text1"/>
          <w:sz w:val="22"/>
          <w:szCs w:val="22"/>
          <w:lang w:val="en-GB"/>
        </w:rPr>
        <w:t>Marginal</w:t>
      </w:r>
    </w:p>
    <w:p w14:paraId="5C510355" w14:textId="77777777" w:rsidR="007F586E" w:rsidRPr="00BB3451" w:rsidRDefault="007F586E" w:rsidP="00B33ACA">
      <w:pPr>
        <w:spacing w:after="120"/>
        <w:ind w:left="270"/>
        <w:rPr>
          <w:rFonts w:ascii="Gill Sans" w:hAnsi="Gill Sans" w:cs="Gill Sans"/>
          <w:b/>
          <w:color w:val="000000" w:themeColor="text1"/>
          <w:sz w:val="22"/>
          <w:szCs w:val="22"/>
          <w:lang w:val="en-GB"/>
        </w:rPr>
      </w:pPr>
      <w:r w:rsidRPr="00BB3451">
        <w:rPr>
          <w:rFonts w:ascii="Gill Sans" w:hAnsi="Gill Sans" w:cs="Gill Sans"/>
          <w:b/>
          <w:color w:val="000000" w:themeColor="text1"/>
          <w:sz w:val="22"/>
          <w:szCs w:val="22"/>
          <w:lang w:val="en-GB"/>
        </w:rPr>
        <w:t>Public accountability: Did not change</w:t>
      </w:r>
    </w:p>
    <w:p w14:paraId="2AF9B7AF" w14:textId="447FA6E5" w:rsidR="007F586E" w:rsidRPr="00BB3451" w:rsidRDefault="007F586E" w:rsidP="0008527B">
      <w:pPr>
        <w:spacing w:after="120"/>
        <w:rPr>
          <w:rFonts w:ascii="Gill Sans" w:hAnsi="Gill Sans" w:cs="Gill Sans"/>
          <w:noProof/>
          <w:sz w:val="22"/>
          <w:szCs w:val="22"/>
          <w:lang w:val="uk-UA"/>
        </w:rPr>
      </w:pPr>
      <w:r w:rsidRPr="00BB3451">
        <w:rPr>
          <w:rFonts w:ascii="Gill Sans" w:hAnsi="Gill Sans" w:cs="Gill Sans"/>
          <w:noProof/>
          <w:sz w:val="22"/>
          <w:szCs w:val="22"/>
          <w:lang w:val="en-GB"/>
        </w:rPr>
        <w:t xml:space="preserve">The commitment aimed to develop a new mechanism for involving civil society in the government decision-making process. If </w:t>
      </w:r>
      <w:r w:rsidR="002B4D5B" w:rsidRPr="00BB3451">
        <w:rPr>
          <w:rFonts w:ascii="Gill Sans" w:hAnsi="Gill Sans" w:cs="Gill Sans"/>
          <w:noProof/>
          <w:sz w:val="22"/>
          <w:szCs w:val="22"/>
          <w:lang w:val="en-GB"/>
        </w:rPr>
        <w:t xml:space="preserve">it </w:t>
      </w:r>
      <w:r w:rsidRPr="00BB3451">
        <w:rPr>
          <w:rFonts w:ascii="Gill Sans" w:hAnsi="Gill Sans" w:cs="Gill Sans"/>
          <w:noProof/>
          <w:sz w:val="22"/>
          <w:szCs w:val="22"/>
          <w:lang w:val="en-GB"/>
        </w:rPr>
        <w:t>provide</w:t>
      </w:r>
      <w:r w:rsidR="002B4D5B" w:rsidRPr="00BB3451">
        <w:rPr>
          <w:rFonts w:ascii="Gill Sans" w:hAnsi="Gill Sans" w:cs="Gill Sans"/>
          <w:noProof/>
          <w:sz w:val="22"/>
          <w:szCs w:val="22"/>
          <w:lang w:val="en-GB"/>
        </w:rPr>
        <w:t>s</w:t>
      </w:r>
      <w:r w:rsidRPr="00BB3451">
        <w:rPr>
          <w:rFonts w:ascii="Gill Sans" w:hAnsi="Gill Sans" w:cs="Gill Sans"/>
          <w:noProof/>
          <w:sz w:val="22"/>
          <w:szCs w:val="22"/>
          <w:lang w:val="en-GB"/>
        </w:rPr>
        <w:t xml:space="preserve"> for detailed and meaningful consultation procedures, the draft law could have</w:t>
      </w:r>
      <w:r w:rsidR="00A67E03" w:rsidRPr="00BB3451">
        <w:rPr>
          <w:rFonts w:ascii="Gill Sans" w:hAnsi="Gill Sans" w:cs="Gill Sans"/>
          <w:noProof/>
          <w:sz w:val="22"/>
          <w:szCs w:val="22"/>
          <w:lang w:val="en-GB"/>
        </w:rPr>
        <w:t xml:space="preserve"> a</w:t>
      </w:r>
      <w:r w:rsidRPr="00BB3451">
        <w:rPr>
          <w:rFonts w:ascii="Gill Sans" w:hAnsi="Gill Sans" w:cs="Gill Sans"/>
          <w:noProof/>
          <w:sz w:val="22"/>
          <w:szCs w:val="22"/>
          <w:lang w:val="en-GB"/>
        </w:rPr>
        <w:t xml:space="preserve"> moderate impact on public engagement. However, as noted in the midterm report, the drafting process would have benefited </w:t>
      </w:r>
      <w:r w:rsidRPr="00BB3451">
        <w:rPr>
          <w:rFonts w:ascii="Gill Sans" w:hAnsi="Gill Sans" w:cs="Gill Sans"/>
          <w:sz w:val="22"/>
          <w:szCs w:val="22"/>
          <w:lang w:val="en-GB"/>
        </w:rPr>
        <w:t xml:space="preserve">from an analysis of the reasons behind poor enforcement of the current regulations on public consultations </w:t>
      </w:r>
      <w:r w:rsidR="00131C34" w:rsidRPr="00BB3451">
        <w:rPr>
          <w:rFonts w:ascii="Gill Sans" w:hAnsi="Gill Sans" w:cs="Gill Sans"/>
          <w:sz w:val="22"/>
          <w:szCs w:val="22"/>
          <w:lang w:val="en-GB"/>
        </w:rPr>
        <w:t>to</w:t>
      </w:r>
      <w:r w:rsidRPr="00BB3451">
        <w:rPr>
          <w:rFonts w:ascii="Gill Sans" w:hAnsi="Gill Sans" w:cs="Gill Sans"/>
          <w:sz w:val="22"/>
          <w:szCs w:val="22"/>
          <w:lang w:val="en-GB"/>
        </w:rPr>
        <w:t xml:space="preserve"> identify more effective tools to address this problem. The government has yet to complete this commitment.</w:t>
      </w:r>
      <w:r w:rsidRPr="00BB3451">
        <w:rPr>
          <w:rFonts w:ascii="Gill Sans" w:hAnsi="Gill Sans" w:cs="Gill Sans"/>
          <w:noProof/>
          <w:sz w:val="22"/>
          <w:szCs w:val="22"/>
          <w:lang w:val="en-GB"/>
        </w:rPr>
        <w:t xml:space="preserve"> </w:t>
      </w:r>
      <w:r w:rsidR="00524F26">
        <w:rPr>
          <w:rFonts w:ascii="Gill Sans" w:hAnsi="Gill Sans" w:cs="Gill Sans"/>
          <w:noProof/>
          <w:sz w:val="22"/>
          <w:szCs w:val="22"/>
          <w:lang w:val="en-GB"/>
        </w:rPr>
        <w:t>Still</w:t>
      </w:r>
      <w:r w:rsidR="004A3EF7">
        <w:rPr>
          <w:rFonts w:ascii="Gill Sans" w:hAnsi="Gill Sans" w:cs="Gill Sans"/>
          <w:noProof/>
          <w:sz w:val="22"/>
          <w:szCs w:val="22"/>
          <w:lang w:val="en-GB"/>
        </w:rPr>
        <w:t xml:space="preserve">, </w:t>
      </w:r>
      <w:r w:rsidR="005D0F4B">
        <w:rPr>
          <w:rFonts w:ascii="Gill Sans" w:hAnsi="Gill Sans" w:cs="Gill Sans"/>
          <w:noProof/>
          <w:sz w:val="22"/>
          <w:szCs w:val="22"/>
          <w:lang w:val="en-GB"/>
        </w:rPr>
        <w:t>its</w:t>
      </w:r>
      <w:r w:rsidR="009E6AEA">
        <w:rPr>
          <w:rFonts w:ascii="Gill Sans" w:hAnsi="Gill Sans" w:cs="Gill Sans"/>
          <w:noProof/>
          <w:sz w:val="22"/>
          <w:szCs w:val="22"/>
          <w:lang w:val="en-GB"/>
        </w:rPr>
        <w:t xml:space="preserve"> consultation process </w:t>
      </w:r>
      <w:r w:rsidR="005D0F4B">
        <w:rPr>
          <w:rFonts w:ascii="Gill Sans" w:hAnsi="Gill Sans" w:cs="Gill Sans"/>
          <w:noProof/>
          <w:sz w:val="22"/>
          <w:szCs w:val="22"/>
          <w:lang w:val="en-GB"/>
        </w:rPr>
        <w:t xml:space="preserve">vis-a-vis </w:t>
      </w:r>
      <w:r w:rsidR="009E6AEA">
        <w:rPr>
          <w:rFonts w:ascii="Gill Sans" w:hAnsi="Gill Sans" w:cs="Gill Sans"/>
          <w:noProof/>
          <w:sz w:val="22"/>
          <w:szCs w:val="22"/>
          <w:lang w:val="en-GB"/>
        </w:rPr>
        <w:t xml:space="preserve">this draft law was more open than </w:t>
      </w:r>
      <w:r w:rsidR="00524F26">
        <w:rPr>
          <w:rFonts w:ascii="Gill Sans" w:hAnsi="Gill Sans" w:cs="Gill Sans"/>
          <w:noProof/>
          <w:sz w:val="22"/>
          <w:szCs w:val="22"/>
          <w:lang w:val="en-GB"/>
        </w:rPr>
        <w:t>th</w:t>
      </w:r>
      <w:r w:rsidR="005D0F4B">
        <w:rPr>
          <w:rFonts w:ascii="Gill Sans" w:hAnsi="Gill Sans" w:cs="Gill Sans"/>
          <w:noProof/>
          <w:sz w:val="22"/>
          <w:szCs w:val="22"/>
          <w:lang w:val="en-GB"/>
        </w:rPr>
        <w:t xml:space="preserve">at </w:t>
      </w:r>
      <w:r w:rsidR="009E6AEA">
        <w:rPr>
          <w:rFonts w:ascii="Gill Sans" w:hAnsi="Gill Sans" w:cs="Gill Sans"/>
          <w:noProof/>
          <w:sz w:val="22"/>
          <w:szCs w:val="22"/>
          <w:lang w:val="en-GB"/>
        </w:rPr>
        <w:t>of many other policy decisions or draft laws</w:t>
      </w:r>
      <w:r w:rsidR="005D0F4B">
        <w:rPr>
          <w:rFonts w:ascii="Gill Sans" w:hAnsi="Gill Sans" w:cs="Gill Sans"/>
          <w:noProof/>
          <w:sz w:val="22"/>
          <w:szCs w:val="22"/>
          <w:lang w:val="en-GB"/>
        </w:rPr>
        <w:t>. T</w:t>
      </w:r>
      <w:r w:rsidR="009E6AEA">
        <w:rPr>
          <w:rFonts w:ascii="Gill Sans" w:hAnsi="Gill Sans" w:cs="Gill Sans"/>
          <w:noProof/>
          <w:sz w:val="22"/>
          <w:szCs w:val="22"/>
          <w:lang w:val="en-GB"/>
        </w:rPr>
        <w:t xml:space="preserve">his marginally opened the government </w:t>
      </w:r>
      <w:r w:rsidR="00524F26">
        <w:rPr>
          <w:rFonts w:ascii="Gill Sans" w:hAnsi="Gill Sans" w:cs="Gill Sans"/>
          <w:noProof/>
          <w:sz w:val="22"/>
          <w:szCs w:val="22"/>
          <w:lang w:val="en-GB"/>
        </w:rPr>
        <w:t xml:space="preserve">with </w:t>
      </w:r>
      <w:r w:rsidR="009E6AEA">
        <w:rPr>
          <w:rFonts w:ascii="Gill Sans" w:hAnsi="Gill Sans" w:cs="Gill Sans"/>
          <w:noProof/>
          <w:sz w:val="22"/>
          <w:szCs w:val="22"/>
          <w:lang w:val="en-GB"/>
        </w:rPr>
        <w:t>regard</w:t>
      </w:r>
      <w:r w:rsidR="00524F26">
        <w:rPr>
          <w:rFonts w:ascii="Gill Sans" w:hAnsi="Gill Sans" w:cs="Gill Sans"/>
          <w:noProof/>
          <w:sz w:val="22"/>
          <w:szCs w:val="22"/>
          <w:lang w:val="en-GB"/>
        </w:rPr>
        <w:t xml:space="preserve"> to</w:t>
      </w:r>
      <w:r w:rsidR="009E6AEA">
        <w:rPr>
          <w:rFonts w:ascii="Gill Sans" w:hAnsi="Gill Sans" w:cs="Gill Sans"/>
          <w:noProof/>
          <w:sz w:val="22"/>
          <w:szCs w:val="22"/>
          <w:lang w:val="en-GB"/>
        </w:rPr>
        <w:t xml:space="preserve"> civic participation.</w:t>
      </w:r>
    </w:p>
    <w:p w14:paraId="4E987714" w14:textId="53F58D3F" w:rsidR="00D251A2" w:rsidRPr="00BB3451" w:rsidRDefault="000318B7" w:rsidP="006319F4">
      <w:pPr>
        <w:pStyle w:val="Heading3"/>
      </w:pPr>
      <w:r w:rsidRPr="00BB3451">
        <w:t>Carried forward?</w:t>
      </w:r>
    </w:p>
    <w:p w14:paraId="1D2CEA43" w14:textId="13653F4C" w:rsidR="007F586E" w:rsidRPr="00BB3451" w:rsidRDefault="00D251A2" w:rsidP="0008527B">
      <w:pPr>
        <w:spacing w:after="120"/>
        <w:rPr>
          <w:rFonts w:ascii="Gill Sans" w:hAnsi="Gill Sans" w:cs="Gill Sans"/>
          <w:noProof/>
          <w:sz w:val="22"/>
          <w:szCs w:val="22"/>
          <w:lang w:val="en-GB"/>
        </w:rPr>
      </w:pPr>
      <w:r w:rsidRPr="00BB3451">
        <w:rPr>
          <w:rFonts w:ascii="Gill Sans" w:hAnsi="Gill Sans" w:cs="Gill Sans"/>
          <w:sz w:val="22"/>
          <w:szCs w:val="22"/>
        </w:rPr>
        <w:t xml:space="preserve">The </w:t>
      </w:r>
      <w:r w:rsidR="00285D2F">
        <w:rPr>
          <w:rFonts w:ascii="Gill Sans" w:hAnsi="Gill Sans" w:cs="Gill Sans"/>
          <w:sz w:val="22"/>
          <w:szCs w:val="22"/>
        </w:rPr>
        <w:t xml:space="preserve">first </w:t>
      </w:r>
      <w:r w:rsidRPr="00BB3451">
        <w:rPr>
          <w:rFonts w:ascii="Gill Sans" w:hAnsi="Gill Sans" w:cs="Gill Sans"/>
          <w:sz w:val="22"/>
          <w:szCs w:val="22"/>
        </w:rPr>
        <w:t xml:space="preserve">commitment </w:t>
      </w:r>
      <w:r w:rsidR="00285D2F">
        <w:rPr>
          <w:rFonts w:ascii="Gill Sans" w:hAnsi="Gill Sans" w:cs="Gill Sans"/>
          <w:sz w:val="22"/>
          <w:szCs w:val="22"/>
        </w:rPr>
        <w:t xml:space="preserve">on improving government rules </w:t>
      </w:r>
      <w:r w:rsidR="00C613E7">
        <w:rPr>
          <w:rFonts w:ascii="Gill Sans" w:hAnsi="Gill Sans" w:cs="Gill Sans"/>
          <w:sz w:val="22"/>
          <w:szCs w:val="22"/>
        </w:rPr>
        <w:t xml:space="preserve">vis-a-vis </w:t>
      </w:r>
      <w:r w:rsidR="00285D2F">
        <w:rPr>
          <w:rFonts w:ascii="Gill Sans" w:hAnsi="Gill Sans" w:cs="Gill Sans"/>
          <w:sz w:val="22"/>
          <w:szCs w:val="22"/>
        </w:rPr>
        <w:t xml:space="preserve">CSO involvement </w:t>
      </w:r>
      <w:r w:rsidRPr="00BB3451">
        <w:rPr>
          <w:rFonts w:ascii="Gill Sans" w:hAnsi="Gill Sans" w:cs="Gill Sans"/>
          <w:sz w:val="22"/>
          <w:szCs w:val="22"/>
        </w:rPr>
        <w:t>was not carried over to the new action plan.</w:t>
      </w:r>
      <w:r w:rsidR="00C613E7">
        <w:rPr>
          <w:rFonts w:ascii="Gill Sans" w:hAnsi="Gill Sans" w:cs="Gill Sans"/>
          <w:sz w:val="22"/>
          <w:szCs w:val="22"/>
        </w:rPr>
        <w:t xml:space="preserve"> </w:t>
      </w:r>
      <w:r w:rsidR="00285D2F">
        <w:rPr>
          <w:rFonts w:ascii="Gill Sans" w:hAnsi="Gill Sans" w:cs="Gill Sans"/>
          <w:sz w:val="22"/>
          <w:szCs w:val="22"/>
        </w:rPr>
        <w:t>The fourth commitment on</w:t>
      </w:r>
      <w:r w:rsidR="005D0F4B">
        <w:rPr>
          <w:rFonts w:ascii="Gill Sans" w:hAnsi="Gill Sans" w:cs="Gill Sans"/>
          <w:sz w:val="22"/>
          <w:szCs w:val="22"/>
        </w:rPr>
        <w:t xml:space="preserve"> the</w:t>
      </w:r>
      <w:r w:rsidR="00285D2F">
        <w:rPr>
          <w:rFonts w:ascii="Gill Sans" w:hAnsi="Gill Sans" w:cs="Gill Sans"/>
          <w:sz w:val="22"/>
          <w:szCs w:val="22"/>
        </w:rPr>
        <w:t xml:space="preserve"> Public Participation Law </w:t>
      </w:r>
      <w:r w:rsidR="004D6ACC" w:rsidRPr="00BB3451">
        <w:rPr>
          <w:rFonts w:ascii="Gill Sans" w:hAnsi="Gill Sans" w:cs="Gill Sans"/>
          <w:noProof/>
          <w:sz w:val="22"/>
          <w:szCs w:val="22"/>
          <w:lang w:val="en-GB"/>
        </w:rPr>
        <w:t xml:space="preserve">was </w:t>
      </w:r>
      <w:r w:rsidR="00510D0F" w:rsidRPr="00BB3451">
        <w:rPr>
          <w:rFonts w:ascii="Gill Sans" w:hAnsi="Gill Sans" w:cs="Gill Sans"/>
          <w:noProof/>
          <w:sz w:val="22"/>
          <w:szCs w:val="22"/>
          <w:lang w:val="en-GB"/>
        </w:rPr>
        <w:t>included in the new plan</w:t>
      </w:r>
      <w:r w:rsidR="00285D2F">
        <w:rPr>
          <w:rFonts w:ascii="Gill Sans" w:hAnsi="Gill Sans" w:cs="Gill Sans"/>
          <w:noProof/>
          <w:sz w:val="22"/>
          <w:szCs w:val="22"/>
          <w:lang w:val="en-GB"/>
        </w:rPr>
        <w:t>. T</w:t>
      </w:r>
      <w:r w:rsidR="00510D0F" w:rsidRPr="00BB3451">
        <w:rPr>
          <w:rFonts w:ascii="Gill Sans" w:hAnsi="Gill Sans" w:cs="Gill Sans"/>
          <w:noProof/>
          <w:sz w:val="22"/>
          <w:szCs w:val="22"/>
          <w:lang w:val="en-GB"/>
        </w:rPr>
        <w:t>he Ministry of Justice</w:t>
      </w:r>
      <w:r w:rsidR="005D0F4B">
        <w:rPr>
          <w:rFonts w:ascii="Gill Sans" w:hAnsi="Gill Sans" w:cs="Gill Sans"/>
          <w:noProof/>
          <w:sz w:val="22"/>
          <w:szCs w:val="22"/>
          <w:lang w:val="en-GB"/>
        </w:rPr>
        <w:t xml:space="preserve">, together </w:t>
      </w:r>
      <w:r w:rsidR="00510D0F" w:rsidRPr="00BB3451">
        <w:rPr>
          <w:rFonts w:ascii="Gill Sans" w:hAnsi="Gill Sans" w:cs="Gill Sans"/>
          <w:noProof/>
          <w:sz w:val="22"/>
          <w:szCs w:val="22"/>
          <w:lang w:val="en-GB"/>
        </w:rPr>
        <w:t xml:space="preserve">with non-governmental partners, </w:t>
      </w:r>
      <w:r w:rsidR="00285D2F">
        <w:rPr>
          <w:rFonts w:ascii="Gill Sans" w:hAnsi="Gill Sans" w:cs="Gill Sans"/>
          <w:noProof/>
          <w:sz w:val="22"/>
          <w:szCs w:val="22"/>
          <w:lang w:val="en-GB"/>
        </w:rPr>
        <w:t xml:space="preserve">is to </w:t>
      </w:r>
      <w:r w:rsidR="005D0F4B">
        <w:rPr>
          <w:rFonts w:ascii="Gill Sans" w:hAnsi="Gill Sans" w:cs="Gill Sans"/>
          <w:noProof/>
          <w:sz w:val="22"/>
          <w:szCs w:val="22"/>
          <w:lang w:val="en-GB"/>
        </w:rPr>
        <w:t xml:space="preserve">lead the </w:t>
      </w:r>
      <w:r w:rsidR="00510D0F" w:rsidRPr="00BB3451">
        <w:rPr>
          <w:rFonts w:ascii="Gill Sans" w:hAnsi="Gill Sans" w:cs="Gill Sans"/>
          <w:noProof/>
          <w:sz w:val="22"/>
          <w:szCs w:val="22"/>
          <w:lang w:val="en-GB"/>
        </w:rPr>
        <w:t>develop</w:t>
      </w:r>
      <w:r w:rsidR="005D0F4B">
        <w:rPr>
          <w:rFonts w:ascii="Gill Sans" w:hAnsi="Gill Sans" w:cs="Gill Sans"/>
          <w:noProof/>
          <w:sz w:val="22"/>
          <w:szCs w:val="22"/>
          <w:lang w:val="en-GB"/>
        </w:rPr>
        <w:t>ment of</w:t>
      </w:r>
      <w:r w:rsidR="00510D0F" w:rsidRPr="00BB3451">
        <w:rPr>
          <w:rFonts w:ascii="Gill Sans" w:hAnsi="Gill Sans" w:cs="Gill Sans"/>
          <w:noProof/>
          <w:sz w:val="22"/>
          <w:szCs w:val="22"/>
          <w:lang w:val="en-GB"/>
        </w:rPr>
        <w:t xml:space="preserve"> a draft law on </w:t>
      </w:r>
      <w:r w:rsidR="005D0F4B">
        <w:rPr>
          <w:rFonts w:ascii="Gill Sans" w:hAnsi="Gill Sans" w:cs="Gill Sans"/>
          <w:noProof/>
          <w:sz w:val="22"/>
          <w:szCs w:val="22"/>
          <w:lang w:val="en-GB"/>
        </w:rPr>
        <w:t>p</w:t>
      </w:r>
      <w:r w:rsidR="00510D0F" w:rsidRPr="00BB3451">
        <w:rPr>
          <w:rFonts w:ascii="Gill Sans" w:hAnsi="Gill Sans" w:cs="Gill Sans"/>
          <w:noProof/>
          <w:sz w:val="22"/>
          <w:szCs w:val="22"/>
          <w:lang w:val="en-GB"/>
        </w:rPr>
        <w:t xml:space="preserve">ublic </w:t>
      </w:r>
      <w:r w:rsidR="005D0F4B">
        <w:rPr>
          <w:rFonts w:ascii="Gill Sans" w:hAnsi="Gill Sans" w:cs="Gill Sans"/>
          <w:noProof/>
          <w:sz w:val="22"/>
          <w:szCs w:val="22"/>
          <w:lang w:val="en-GB"/>
        </w:rPr>
        <w:t>c</w:t>
      </w:r>
      <w:r w:rsidR="00510D0F" w:rsidRPr="00BB3451">
        <w:rPr>
          <w:rFonts w:ascii="Gill Sans" w:hAnsi="Gill Sans" w:cs="Gill Sans"/>
          <w:noProof/>
          <w:sz w:val="22"/>
          <w:szCs w:val="22"/>
          <w:lang w:val="en-GB"/>
        </w:rPr>
        <w:t xml:space="preserve">onsultations and submit it to the </w:t>
      </w:r>
      <w:r w:rsidR="00C613E7">
        <w:rPr>
          <w:rFonts w:ascii="Gill Sans" w:hAnsi="Gill Sans" w:cs="Gill Sans"/>
          <w:noProof/>
          <w:sz w:val="22"/>
          <w:szCs w:val="22"/>
          <w:lang w:val="en-GB"/>
        </w:rPr>
        <w:t>g</w:t>
      </w:r>
      <w:r w:rsidR="00C613E7" w:rsidRPr="00BB3451">
        <w:rPr>
          <w:rFonts w:ascii="Gill Sans" w:hAnsi="Gill Sans" w:cs="Gill Sans"/>
          <w:noProof/>
          <w:sz w:val="22"/>
          <w:szCs w:val="22"/>
          <w:lang w:val="en-GB"/>
        </w:rPr>
        <w:t>overnment</w:t>
      </w:r>
      <w:r w:rsidR="00510D0F" w:rsidRPr="00BB3451">
        <w:rPr>
          <w:rFonts w:ascii="Gill Sans" w:hAnsi="Gill Sans" w:cs="Gill Sans"/>
          <w:noProof/>
          <w:sz w:val="22"/>
          <w:szCs w:val="22"/>
          <w:lang w:val="en-GB"/>
        </w:rPr>
        <w:t xml:space="preserve">. The commitment no longer includes the task of submitting the draft law </w:t>
      </w:r>
      <w:r w:rsidR="00C613E7">
        <w:rPr>
          <w:rFonts w:ascii="Gill Sans" w:hAnsi="Gill Sans" w:cs="Gill Sans"/>
          <w:noProof/>
          <w:sz w:val="22"/>
          <w:szCs w:val="22"/>
          <w:lang w:val="en-GB"/>
        </w:rPr>
        <w:t>to</w:t>
      </w:r>
      <w:r w:rsidR="00C613E7" w:rsidRPr="00BB3451">
        <w:rPr>
          <w:rFonts w:ascii="Gill Sans" w:hAnsi="Gill Sans" w:cs="Gill Sans"/>
          <w:noProof/>
          <w:sz w:val="22"/>
          <w:szCs w:val="22"/>
          <w:lang w:val="en-GB"/>
        </w:rPr>
        <w:t xml:space="preserve"> </w:t>
      </w:r>
      <w:r w:rsidR="005D0F4B">
        <w:rPr>
          <w:rFonts w:ascii="Gill Sans" w:hAnsi="Gill Sans" w:cs="Gill Sans"/>
          <w:noProof/>
          <w:sz w:val="22"/>
          <w:szCs w:val="22"/>
          <w:lang w:val="en-GB"/>
        </w:rPr>
        <w:t>P</w:t>
      </w:r>
      <w:r w:rsidR="00510D0F" w:rsidRPr="00BB3451">
        <w:rPr>
          <w:rFonts w:ascii="Gill Sans" w:hAnsi="Gill Sans" w:cs="Gill Sans"/>
          <w:noProof/>
          <w:sz w:val="22"/>
          <w:szCs w:val="22"/>
          <w:lang w:val="en-GB"/>
        </w:rPr>
        <w:t xml:space="preserve">arliament and following it </w:t>
      </w:r>
      <w:r w:rsidR="00C613E7">
        <w:rPr>
          <w:rFonts w:ascii="Gill Sans" w:hAnsi="Gill Sans" w:cs="Gill Sans"/>
          <w:noProof/>
          <w:sz w:val="22"/>
          <w:szCs w:val="22"/>
          <w:lang w:val="en-GB"/>
        </w:rPr>
        <w:t>to</w:t>
      </w:r>
      <w:r w:rsidR="00C613E7" w:rsidRPr="00BB3451">
        <w:rPr>
          <w:rFonts w:ascii="Gill Sans" w:hAnsi="Gill Sans" w:cs="Gill Sans"/>
          <w:noProof/>
          <w:sz w:val="22"/>
          <w:szCs w:val="22"/>
          <w:lang w:val="en-GB"/>
        </w:rPr>
        <w:t xml:space="preserve"> </w:t>
      </w:r>
      <w:r w:rsidR="00510D0F" w:rsidRPr="00BB3451">
        <w:rPr>
          <w:rFonts w:ascii="Gill Sans" w:hAnsi="Gill Sans" w:cs="Gill Sans"/>
          <w:noProof/>
          <w:sz w:val="22"/>
          <w:szCs w:val="22"/>
          <w:lang w:val="en-GB"/>
        </w:rPr>
        <w:t xml:space="preserve">adoption.   </w:t>
      </w:r>
    </w:p>
    <w:p w14:paraId="7DF9583A" w14:textId="77777777" w:rsidR="00D251A2" w:rsidRPr="00D251A2" w:rsidRDefault="00D251A2" w:rsidP="000318B7">
      <w:pPr>
        <w:rPr>
          <w:i/>
          <w:color w:val="4F81BD" w:themeColor="accent1"/>
        </w:rPr>
      </w:pPr>
    </w:p>
    <w:p w14:paraId="40C73BB3" w14:textId="77777777" w:rsidR="000318B7" w:rsidRDefault="000318B7" w:rsidP="00D31881"/>
    <w:p w14:paraId="517BA7B5" w14:textId="77777777" w:rsidR="002646AE" w:rsidRDefault="002646AE">
      <w:pPr>
        <w:rPr>
          <w:b/>
          <w:szCs w:val="22"/>
          <w:lang w:val="en-GB"/>
        </w:rPr>
      </w:pPr>
      <w:bookmarkStart w:id="0" w:name="_Toc437543858"/>
      <w:r>
        <w:rPr>
          <w:b/>
          <w:lang w:val="en-GB"/>
        </w:rPr>
        <w:br w:type="page"/>
      </w:r>
    </w:p>
    <w:p w14:paraId="43735113" w14:textId="77777777" w:rsidR="002646AE" w:rsidRDefault="002646AE" w:rsidP="000E0613">
      <w:pPr>
        <w:pStyle w:val="Normalrglronly"/>
        <w:rPr>
          <w:b/>
          <w:lang w:val="en-GB"/>
        </w:rPr>
        <w:sectPr w:rsidR="002646AE" w:rsidSect="002A2966">
          <w:endnotePr>
            <w:numFmt w:val="decimal"/>
            <w:numRestart w:val="eachSect"/>
          </w:endnotePr>
          <w:pgSz w:w="11907" w:h="16839" w:code="9"/>
          <w:pgMar w:top="1417" w:right="1417" w:bottom="1417" w:left="1417" w:header="0" w:footer="0" w:gutter="0"/>
          <w:cols w:space="708"/>
          <w:docGrid w:linePitch="360"/>
        </w:sectPr>
      </w:pPr>
    </w:p>
    <w:p w14:paraId="4757C8B0" w14:textId="703284B7" w:rsidR="00FC0C25" w:rsidRPr="00BB3451" w:rsidRDefault="00FC0C25" w:rsidP="000E0613">
      <w:pPr>
        <w:pStyle w:val="Normalrglronly"/>
        <w:rPr>
          <w:b/>
          <w:lang w:val="en-GB"/>
        </w:rPr>
      </w:pPr>
      <w:r w:rsidRPr="00066027">
        <w:rPr>
          <w:b/>
          <w:lang w:val="en-GB"/>
        </w:rPr>
        <w:lastRenderedPageBreak/>
        <w:t>2. Financing of charities</w:t>
      </w:r>
      <w:bookmarkEnd w:id="0"/>
    </w:p>
    <w:p w14:paraId="147625E6" w14:textId="72C7B890" w:rsidR="00FC0C25" w:rsidRDefault="00066027" w:rsidP="000E0613">
      <w:pPr>
        <w:spacing w:after="120"/>
        <w:rPr>
          <w:rFonts w:ascii="Gill Sans" w:hAnsi="Gill Sans" w:cs="Gill Sans"/>
          <w:i/>
          <w:noProof/>
          <w:sz w:val="22"/>
          <w:szCs w:val="22"/>
          <w:lang w:val="en-GB"/>
        </w:rPr>
      </w:pPr>
      <w:r w:rsidRPr="00163080">
        <w:rPr>
          <w:rFonts w:ascii="Gill Sans" w:hAnsi="Gill Sans" w:cs="Gill Sans"/>
          <w:b/>
          <w:sz w:val="22"/>
          <w:szCs w:val="22"/>
          <w:lang w:val="en-GB"/>
        </w:rPr>
        <w:t>Commitment Text:</w:t>
      </w:r>
      <w:r>
        <w:rPr>
          <w:rFonts w:ascii="Gill Sans" w:hAnsi="Gill Sans" w:cs="Gill Sans"/>
          <w:i/>
          <w:noProof/>
          <w:sz w:val="22"/>
          <w:szCs w:val="22"/>
          <w:lang w:val="en-GB"/>
        </w:rPr>
        <w:t xml:space="preserve"> 2</w:t>
      </w:r>
      <w:r w:rsidR="00FC0C25" w:rsidRPr="00BB3451">
        <w:rPr>
          <w:rFonts w:ascii="Gill Sans" w:hAnsi="Gill Sans" w:cs="Gill Sans"/>
          <w:i/>
          <w:noProof/>
          <w:sz w:val="22"/>
          <w:szCs w:val="22"/>
          <w:lang w:val="en-GB"/>
        </w:rPr>
        <w:t>. Developing and submitting to the Cabinet of Ministers of Ukraine in due course of the draft laws on amending the Law of Ukraine on Charitable Activities and Charities and the Budget Code of Ukraine in order to allow charitable organisations to receive financial support for performing state policy tasks and providing social services</w:t>
      </w:r>
      <w:r>
        <w:rPr>
          <w:rFonts w:ascii="Gill Sans" w:hAnsi="Gill Sans" w:cs="Gill Sans"/>
          <w:i/>
          <w:noProof/>
          <w:sz w:val="22"/>
          <w:szCs w:val="22"/>
          <w:lang w:val="en-GB"/>
        </w:rPr>
        <w:t>.</w:t>
      </w:r>
    </w:p>
    <w:p w14:paraId="3B2D4369" w14:textId="77777777" w:rsidR="00131C34" w:rsidRDefault="00131C34" w:rsidP="00131C34">
      <w:pPr>
        <w:spacing w:after="120"/>
        <w:rPr>
          <w:rFonts w:ascii="Gill Sans" w:hAnsi="Gill Sans" w:cs="Gill Sans"/>
          <w:i/>
          <w:sz w:val="22"/>
          <w:szCs w:val="22"/>
          <w:lang w:val="en-GB"/>
        </w:rPr>
      </w:pPr>
      <w:r w:rsidRPr="00BB3451">
        <w:rPr>
          <w:rFonts w:ascii="Gill Sans" w:hAnsi="Gill Sans" w:cs="Gill Sans"/>
          <w:i/>
          <w:noProof/>
          <w:sz w:val="22"/>
          <w:szCs w:val="22"/>
          <w:lang w:val="en-GB"/>
        </w:rPr>
        <w:t xml:space="preserve">Expected result: </w:t>
      </w:r>
      <w:r w:rsidRPr="00BB3451">
        <w:rPr>
          <w:rFonts w:ascii="Gill Sans" w:hAnsi="Gill Sans" w:cs="Gill Sans"/>
          <w:i/>
          <w:sz w:val="22"/>
          <w:szCs w:val="22"/>
          <w:lang w:val="en-GB"/>
        </w:rPr>
        <w:t xml:space="preserve">relevant draft law endorsed by the Cabinet of Ministers of Ukraine, submitted to the </w:t>
      </w:r>
      <w:proofErr w:type="spellStart"/>
      <w:r w:rsidRPr="00BB3451">
        <w:rPr>
          <w:rFonts w:ascii="Gill Sans" w:hAnsi="Gill Sans" w:cs="Gill Sans"/>
          <w:i/>
          <w:sz w:val="22"/>
          <w:szCs w:val="22"/>
          <w:lang w:val="en-GB"/>
        </w:rPr>
        <w:t>Verkhovna</w:t>
      </w:r>
      <w:proofErr w:type="spellEnd"/>
      <w:r w:rsidRPr="00BB3451">
        <w:rPr>
          <w:rFonts w:ascii="Gill Sans" w:hAnsi="Gill Sans" w:cs="Gill Sans"/>
          <w:i/>
          <w:sz w:val="22"/>
          <w:szCs w:val="22"/>
          <w:lang w:val="en-GB"/>
        </w:rPr>
        <w:t xml:space="preserve"> Rada of Ukraine, and followed up until adoption</w:t>
      </w:r>
      <w:r>
        <w:rPr>
          <w:rFonts w:ascii="Gill Sans" w:hAnsi="Gill Sans" w:cs="Gill Sans"/>
          <w:i/>
          <w:sz w:val="22"/>
          <w:szCs w:val="22"/>
          <w:lang w:val="en-GB"/>
        </w:rPr>
        <w:t>.</w:t>
      </w:r>
    </w:p>
    <w:p w14:paraId="328517F1" w14:textId="0D4F3847" w:rsidR="00131C34" w:rsidRDefault="00131C34" w:rsidP="006023C3">
      <w:pPr>
        <w:pStyle w:val="Normalrglronly"/>
        <w:rPr>
          <w:lang w:val="en-GB"/>
        </w:rPr>
      </w:pPr>
      <w:r w:rsidRPr="00BB3451">
        <w:rPr>
          <w:lang w:val="en-GB"/>
        </w:rPr>
        <w:t xml:space="preserve">Start </w:t>
      </w:r>
      <w:r>
        <w:rPr>
          <w:lang w:val="en-GB"/>
        </w:rPr>
        <w:t>D</w:t>
      </w:r>
      <w:r w:rsidRPr="00BB3451">
        <w:rPr>
          <w:lang w:val="en-GB"/>
        </w:rPr>
        <w:t xml:space="preserve">ate: Not specified              </w:t>
      </w:r>
      <w:r>
        <w:rPr>
          <w:lang w:val="en-GB"/>
        </w:rPr>
        <w:tab/>
      </w:r>
      <w:r>
        <w:rPr>
          <w:lang w:val="en-GB"/>
        </w:rPr>
        <w:tab/>
      </w:r>
      <w:r>
        <w:rPr>
          <w:lang w:val="en-GB"/>
        </w:rPr>
        <w:tab/>
      </w:r>
      <w:r>
        <w:rPr>
          <w:lang w:val="en-GB"/>
        </w:rPr>
        <w:tab/>
      </w:r>
      <w:r>
        <w:rPr>
          <w:lang w:val="en-GB"/>
        </w:rPr>
        <w:tab/>
      </w:r>
      <w:r w:rsidRPr="00BB3451">
        <w:rPr>
          <w:lang w:val="en-GB"/>
        </w:rPr>
        <w:t xml:space="preserve">End </w:t>
      </w:r>
      <w:r>
        <w:rPr>
          <w:lang w:val="en-GB"/>
        </w:rPr>
        <w:t>D</w:t>
      </w:r>
      <w:r w:rsidRPr="00BB3451">
        <w:rPr>
          <w:lang w:val="en-GB"/>
        </w:rPr>
        <w:t xml:space="preserve">ate: </w:t>
      </w:r>
      <w:r>
        <w:rPr>
          <w:lang w:val="en-GB"/>
        </w:rPr>
        <w:t>31 March</w:t>
      </w:r>
      <w:r w:rsidRPr="00BB3451">
        <w:rPr>
          <w:lang w:val="en-GB"/>
        </w:rPr>
        <w:t xml:space="preserve"> 2015</w:t>
      </w:r>
    </w:p>
    <w:p w14:paraId="4FC56CF3" w14:textId="77777777" w:rsidR="00131C34" w:rsidRPr="00BB3451" w:rsidRDefault="00131C34" w:rsidP="00131C34">
      <w:pPr>
        <w:pStyle w:val="Normalrglronly"/>
        <w:rPr>
          <w:noProof/>
          <w:lang w:val="en-GB"/>
        </w:rPr>
      </w:pPr>
      <w:r w:rsidRPr="00BB3451">
        <w:rPr>
          <w:b/>
          <w:lang w:val="en-GB"/>
        </w:rPr>
        <w:t>3. Obtaining not-for-profit status for CSOs</w:t>
      </w:r>
    </w:p>
    <w:p w14:paraId="63F18044" w14:textId="77777777" w:rsidR="00131C34" w:rsidRPr="00BB3451" w:rsidRDefault="00131C34" w:rsidP="00131C34">
      <w:pPr>
        <w:spacing w:after="120"/>
        <w:rPr>
          <w:rFonts w:ascii="Gill Sans" w:hAnsi="Gill Sans" w:cs="Gill Sans"/>
          <w:i/>
          <w:sz w:val="22"/>
          <w:szCs w:val="22"/>
          <w:lang w:val="en-GB"/>
        </w:rPr>
      </w:pPr>
      <w:r w:rsidRPr="007C4AA5">
        <w:rPr>
          <w:rFonts w:ascii="Gill Sans" w:hAnsi="Gill Sans" w:cs="Gill Sans"/>
          <w:b/>
          <w:sz w:val="22"/>
          <w:szCs w:val="22"/>
          <w:lang w:val="en-GB"/>
        </w:rPr>
        <w:t>Commitment Text:</w:t>
      </w:r>
      <w:r>
        <w:rPr>
          <w:rFonts w:ascii="Gill Sans" w:hAnsi="Gill Sans" w:cs="Gill Sans"/>
          <w:i/>
          <w:noProof/>
          <w:sz w:val="22"/>
          <w:szCs w:val="22"/>
          <w:lang w:val="en-GB"/>
        </w:rPr>
        <w:t xml:space="preserve"> </w:t>
      </w:r>
      <w:r w:rsidRPr="00BB3451">
        <w:rPr>
          <w:rFonts w:ascii="Gill Sans" w:hAnsi="Gill Sans" w:cs="Gill Sans"/>
          <w:i/>
          <w:noProof/>
          <w:sz w:val="22"/>
          <w:szCs w:val="22"/>
          <w:lang w:val="en-GB"/>
        </w:rPr>
        <w:t xml:space="preserve">3. Regulating the issue of granting civic associations the non-profit organisation status by means of entering a civic association in the Register of Non-profit Institutions and Organisations on the “one-stop shop” basis, with regulating document processing deadlines, defining grounds for denial of such a status, and envisaging free on-line access to the Register, in particular through the development and submission to the Cabinet of Ministers of Ukraine in due course of a draft Law of Ukraine on Amending the Law of Ukraine on Civic Associations and the Law on State Registration of Legal Entities and Individual Entrepreneurs, and other legislative acts as required. </w:t>
      </w:r>
    </w:p>
    <w:p w14:paraId="42D29050" w14:textId="77777777" w:rsidR="00131C34" w:rsidRDefault="00131C34" w:rsidP="00131C34">
      <w:pPr>
        <w:spacing w:after="120"/>
        <w:rPr>
          <w:rFonts w:ascii="Gill Sans" w:hAnsi="Gill Sans" w:cs="Gill Sans"/>
          <w:i/>
          <w:sz w:val="22"/>
          <w:szCs w:val="22"/>
          <w:lang w:val="en-GB"/>
        </w:rPr>
      </w:pPr>
      <w:r w:rsidRPr="00BB3451">
        <w:rPr>
          <w:rFonts w:ascii="Gill Sans" w:hAnsi="Gill Sans" w:cs="Gill Sans"/>
          <w:i/>
          <w:noProof/>
          <w:sz w:val="22"/>
          <w:szCs w:val="22"/>
          <w:lang w:val="en-GB"/>
        </w:rPr>
        <w:t xml:space="preserve">Expected result: </w:t>
      </w:r>
      <w:r w:rsidRPr="00BB3451">
        <w:rPr>
          <w:rFonts w:ascii="Gill Sans" w:hAnsi="Gill Sans" w:cs="Gill Sans"/>
          <w:i/>
          <w:sz w:val="22"/>
          <w:szCs w:val="22"/>
          <w:lang w:val="en-GB"/>
        </w:rPr>
        <w:t xml:space="preserve">relevant draft laws endorsed by the Cabinet of Ministers of Ukraine, submitted to the </w:t>
      </w:r>
      <w:proofErr w:type="spellStart"/>
      <w:r w:rsidRPr="00BB3451">
        <w:rPr>
          <w:rFonts w:ascii="Gill Sans" w:hAnsi="Gill Sans" w:cs="Gill Sans"/>
          <w:i/>
          <w:sz w:val="22"/>
          <w:szCs w:val="22"/>
          <w:lang w:val="en-GB"/>
        </w:rPr>
        <w:t>Verkhovna</w:t>
      </w:r>
      <w:proofErr w:type="spellEnd"/>
      <w:r w:rsidRPr="00BB3451">
        <w:rPr>
          <w:rFonts w:ascii="Gill Sans" w:hAnsi="Gill Sans" w:cs="Gill Sans"/>
          <w:i/>
          <w:sz w:val="22"/>
          <w:szCs w:val="22"/>
          <w:lang w:val="en-GB"/>
        </w:rPr>
        <w:t xml:space="preserve"> Rada of Ukraine, and followed up until adoption</w:t>
      </w:r>
      <w:r>
        <w:rPr>
          <w:rFonts w:ascii="Gill Sans" w:hAnsi="Gill Sans" w:cs="Gill Sans"/>
          <w:i/>
          <w:sz w:val="22"/>
          <w:szCs w:val="22"/>
          <w:lang w:val="en-GB"/>
        </w:rPr>
        <w:t>.</w:t>
      </w:r>
    </w:p>
    <w:p w14:paraId="7D4ECC97" w14:textId="77777777" w:rsidR="00131C34" w:rsidRPr="00BB3451" w:rsidRDefault="00131C34" w:rsidP="00131C34">
      <w:pPr>
        <w:spacing w:after="120"/>
        <w:rPr>
          <w:rFonts w:ascii="Gill Sans" w:hAnsi="Gill Sans" w:cs="Gill Sans"/>
          <w:sz w:val="22"/>
          <w:szCs w:val="22"/>
          <w:lang w:val="en-GB"/>
        </w:rPr>
      </w:pPr>
      <w:r w:rsidRPr="00BB3451">
        <w:rPr>
          <w:rFonts w:ascii="Gill Sans" w:hAnsi="Gill Sans" w:cs="Gill Sans"/>
          <w:b/>
          <w:sz w:val="22"/>
          <w:szCs w:val="22"/>
          <w:lang w:val="en-GB"/>
        </w:rPr>
        <w:t>Editorial Note:</w:t>
      </w:r>
      <w:r w:rsidRPr="00BB3451">
        <w:rPr>
          <w:rFonts w:ascii="Gill Sans" w:hAnsi="Gill Sans" w:cs="Gill Sans"/>
          <w:sz w:val="22"/>
          <w:szCs w:val="22"/>
          <w:lang w:val="en-GB"/>
        </w:rPr>
        <w:t xml:space="preserve"> The IRM researcher grouped these two commitments together </w:t>
      </w:r>
      <w:r>
        <w:rPr>
          <w:rFonts w:ascii="Gill Sans" w:hAnsi="Gill Sans" w:cs="Gill Sans"/>
          <w:sz w:val="22"/>
          <w:szCs w:val="22"/>
          <w:lang w:val="en-GB"/>
        </w:rPr>
        <w:t>since they are</w:t>
      </w:r>
      <w:r w:rsidRPr="00BB3451">
        <w:rPr>
          <w:rFonts w:ascii="Gill Sans" w:hAnsi="Gill Sans" w:cs="Gill Sans"/>
          <w:sz w:val="22"/>
          <w:szCs w:val="22"/>
          <w:lang w:val="en-GB"/>
        </w:rPr>
        <w:t xml:space="preserve"> both </w:t>
      </w:r>
      <w:r>
        <w:rPr>
          <w:rFonts w:ascii="Gill Sans" w:hAnsi="Gill Sans" w:cs="Gill Sans"/>
          <w:sz w:val="22"/>
          <w:szCs w:val="22"/>
          <w:lang w:val="en-GB"/>
        </w:rPr>
        <w:t>concerned with</w:t>
      </w:r>
      <w:r w:rsidRPr="00BB3451">
        <w:rPr>
          <w:rFonts w:ascii="Gill Sans" w:hAnsi="Gill Sans" w:cs="Gill Sans"/>
          <w:sz w:val="22"/>
          <w:szCs w:val="22"/>
          <w:lang w:val="en-GB"/>
        </w:rPr>
        <w:t xml:space="preserve"> creating an enabling environment for civil society organisations.</w:t>
      </w:r>
    </w:p>
    <w:p w14:paraId="530BA7ED" w14:textId="77777777" w:rsidR="00131C34" w:rsidRPr="00BB3451" w:rsidRDefault="00131C34" w:rsidP="00131C34">
      <w:pPr>
        <w:spacing w:after="120"/>
        <w:rPr>
          <w:rFonts w:ascii="Gill Sans" w:hAnsi="Gill Sans" w:cs="Gill Sans"/>
          <w:sz w:val="22"/>
          <w:szCs w:val="22"/>
          <w:lang w:val="en-GB"/>
        </w:rPr>
      </w:pPr>
      <w:r w:rsidRPr="00BB3451">
        <w:rPr>
          <w:rFonts w:ascii="Gill Sans" w:hAnsi="Gill Sans" w:cs="Gill Sans"/>
          <w:sz w:val="22"/>
          <w:szCs w:val="22"/>
          <w:lang w:val="en-GB"/>
        </w:rPr>
        <w:t>Responsible institution</w:t>
      </w:r>
      <w:r>
        <w:rPr>
          <w:rFonts w:ascii="Gill Sans" w:hAnsi="Gill Sans" w:cs="Gill Sans"/>
          <w:sz w:val="22"/>
          <w:szCs w:val="22"/>
          <w:lang w:val="en-GB"/>
        </w:rPr>
        <w:t>(s)</w:t>
      </w:r>
      <w:r w:rsidRPr="00BB3451">
        <w:rPr>
          <w:rFonts w:ascii="Gill Sans" w:hAnsi="Gill Sans" w:cs="Gill Sans"/>
          <w:noProof/>
          <w:sz w:val="22"/>
          <w:szCs w:val="22"/>
          <w:lang w:val="en-GB"/>
        </w:rPr>
        <w:t>: Ministry of Finance (commitment 2), State Registration Service (commitment 3)</w:t>
      </w:r>
    </w:p>
    <w:p w14:paraId="01361EAC" w14:textId="77777777" w:rsidR="00131C34" w:rsidRDefault="00131C34" w:rsidP="00131C34">
      <w:pPr>
        <w:spacing w:after="120"/>
        <w:rPr>
          <w:rFonts w:ascii="Gill Sans" w:hAnsi="Gill Sans" w:cs="Gill Sans"/>
          <w:noProof/>
          <w:sz w:val="22"/>
          <w:szCs w:val="22"/>
          <w:lang w:val="en-GB"/>
        </w:rPr>
      </w:pPr>
      <w:r w:rsidRPr="00BB3451">
        <w:rPr>
          <w:rFonts w:ascii="Gill Sans" w:hAnsi="Gill Sans" w:cs="Gill Sans"/>
          <w:sz w:val="22"/>
          <w:szCs w:val="22"/>
          <w:lang w:val="en-GB"/>
        </w:rPr>
        <w:t>Supporting institution</w:t>
      </w:r>
      <w:r>
        <w:rPr>
          <w:rFonts w:ascii="Gill Sans" w:hAnsi="Gill Sans" w:cs="Gill Sans"/>
          <w:sz w:val="22"/>
          <w:szCs w:val="22"/>
          <w:lang w:val="en-GB"/>
        </w:rPr>
        <w:t>(</w:t>
      </w:r>
      <w:r w:rsidRPr="00BB3451">
        <w:rPr>
          <w:rFonts w:ascii="Gill Sans" w:hAnsi="Gill Sans" w:cs="Gill Sans"/>
          <w:sz w:val="22"/>
          <w:szCs w:val="22"/>
          <w:lang w:val="en-GB"/>
        </w:rPr>
        <w:t>s</w:t>
      </w:r>
      <w:r>
        <w:rPr>
          <w:rFonts w:ascii="Gill Sans" w:hAnsi="Gill Sans" w:cs="Gill Sans"/>
          <w:sz w:val="22"/>
          <w:szCs w:val="22"/>
          <w:lang w:val="en-GB"/>
        </w:rPr>
        <w:t>)</w:t>
      </w:r>
      <w:r w:rsidRPr="00BB3451">
        <w:rPr>
          <w:rFonts w:ascii="Gill Sans" w:hAnsi="Gill Sans" w:cs="Gill Sans"/>
          <w:sz w:val="22"/>
          <w:szCs w:val="22"/>
          <w:lang w:val="en-GB"/>
        </w:rPr>
        <w:t xml:space="preserve">: </w:t>
      </w:r>
      <w:r w:rsidRPr="00BB3451">
        <w:rPr>
          <w:rFonts w:ascii="Gill Sans" w:hAnsi="Gill Sans" w:cs="Gill Sans"/>
          <w:noProof/>
          <w:sz w:val="22"/>
          <w:szCs w:val="22"/>
          <w:lang w:val="en-GB"/>
        </w:rPr>
        <w:t xml:space="preserve">Ministry of Social Policy, Ministry of Culture, Ministry of Justice, NGO Ukrainian Independent Centre for Political Research, unspecified NGOs and international organisations (commitment 2); Ministry of Justice, Ministry of Finance, State Fiscal Service, NGO </w:t>
      </w:r>
    </w:p>
    <w:p w14:paraId="14434B5C" w14:textId="77777777" w:rsidR="00131C34" w:rsidRDefault="00131C34" w:rsidP="00131C34">
      <w:pPr>
        <w:spacing w:after="120"/>
        <w:rPr>
          <w:rFonts w:ascii="Gill Sans" w:hAnsi="Gill Sans" w:cs="Gill Sans"/>
          <w:noProof/>
          <w:sz w:val="22"/>
          <w:szCs w:val="22"/>
          <w:lang w:val="en-GB"/>
        </w:rPr>
      </w:pPr>
      <w:r w:rsidRPr="00BB3451">
        <w:rPr>
          <w:rFonts w:ascii="Gill Sans" w:hAnsi="Gill Sans" w:cs="Gill Sans"/>
          <w:noProof/>
          <w:sz w:val="22"/>
          <w:szCs w:val="22"/>
          <w:lang w:val="en-GB"/>
        </w:rPr>
        <w:t>"Ukrainian Independent Centre for Political Research", United Nations Development Programme (UNDP), non-specified NGOs and international organisations (commitment 3)</w:t>
      </w:r>
      <w:r>
        <w:rPr>
          <w:rFonts w:ascii="Gill Sans" w:hAnsi="Gill Sans" w:cs="Gill Sans"/>
          <w:noProof/>
          <w:sz w:val="22"/>
          <w:szCs w:val="22"/>
          <w:lang w:val="en-GB"/>
        </w:rPr>
        <w:t>.</w:t>
      </w:r>
    </w:p>
    <w:p w14:paraId="67B42152" w14:textId="4E5B3AC1" w:rsidR="00131C34" w:rsidRDefault="00211269" w:rsidP="006023C3">
      <w:pPr>
        <w:pStyle w:val="Normalrglronly"/>
        <w:rPr>
          <w:lang w:val="en-GB"/>
        </w:rPr>
      </w:pPr>
      <w:r w:rsidRPr="00BB3451">
        <w:rPr>
          <w:lang w:val="en-GB"/>
        </w:rPr>
        <w:t xml:space="preserve">Start </w:t>
      </w:r>
      <w:r>
        <w:rPr>
          <w:lang w:val="en-GB"/>
        </w:rPr>
        <w:t>D</w:t>
      </w:r>
      <w:r w:rsidRPr="00BB3451">
        <w:rPr>
          <w:lang w:val="en-GB"/>
        </w:rPr>
        <w:t xml:space="preserve">ate: Not specified              </w:t>
      </w:r>
      <w:r>
        <w:rPr>
          <w:lang w:val="en-GB"/>
        </w:rPr>
        <w:tab/>
      </w:r>
      <w:r>
        <w:rPr>
          <w:lang w:val="en-GB"/>
        </w:rPr>
        <w:tab/>
      </w:r>
      <w:r>
        <w:rPr>
          <w:lang w:val="en-GB"/>
        </w:rPr>
        <w:tab/>
      </w:r>
      <w:r>
        <w:rPr>
          <w:lang w:val="en-GB"/>
        </w:rPr>
        <w:tab/>
      </w:r>
      <w:r>
        <w:rPr>
          <w:lang w:val="en-GB"/>
        </w:rPr>
        <w:tab/>
        <w:t>End</w:t>
      </w:r>
      <w:r w:rsidRPr="00BB3451">
        <w:rPr>
          <w:lang w:val="en-GB"/>
        </w:rPr>
        <w:t xml:space="preserve"> </w:t>
      </w:r>
      <w:r>
        <w:rPr>
          <w:lang w:val="en-GB"/>
        </w:rPr>
        <w:t>D</w:t>
      </w:r>
      <w:r w:rsidRPr="00BB3451">
        <w:rPr>
          <w:lang w:val="en-GB"/>
        </w:rPr>
        <w:t xml:space="preserve">ate: </w:t>
      </w:r>
      <w:r>
        <w:rPr>
          <w:lang w:val="en-GB"/>
        </w:rPr>
        <w:t>30 April</w:t>
      </w:r>
      <w:r w:rsidRPr="00BB3451">
        <w:rPr>
          <w:lang w:val="en-GB"/>
        </w:rPr>
        <w:t xml:space="preserve"> 2015</w:t>
      </w:r>
    </w:p>
    <w:p w14:paraId="0D94AEEE" w14:textId="77777777" w:rsidR="00211269" w:rsidRDefault="00211269" w:rsidP="006023C3">
      <w:pPr>
        <w:pStyle w:val="Normalrglronly"/>
        <w:rPr>
          <w:lang w:val="en-GB"/>
        </w:rPr>
      </w:pPr>
    </w:p>
    <w:p w14:paraId="1C0791EB" w14:textId="77777777" w:rsidR="00211269" w:rsidRDefault="00211269" w:rsidP="006023C3">
      <w:pPr>
        <w:pStyle w:val="Normalrglronly"/>
        <w:rPr>
          <w:lang w:val="en-GB"/>
        </w:rPr>
      </w:pPr>
    </w:p>
    <w:p w14:paraId="69759359" w14:textId="77777777" w:rsidR="00211269" w:rsidRDefault="00211269" w:rsidP="006023C3">
      <w:pPr>
        <w:pStyle w:val="Normalrglronly"/>
        <w:rPr>
          <w:lang w:val="en-GB"/>
        </w:rPr>
      </w:pPr>
    </w:p>
    <w:p w14:paraId="5EA2B943" w14:textId="77777777" w:rsidR="00211269" w:rsidRDefault="00211269" w:rsidP="006023C3">
      <w:pPr>
        <w:pStyle w:val="Normalrglronly"/>
        <w:rPr>
          <w:lang w:val="en-GB"/>
        </w:rPr>
      </w:pPr>
    </w:p>
    <w:p w14:paraId="23AA29D1" w14:textId="77777777" w:rsidR="00211269" w:rsidRDefault="00211269" w:rsidP="006023C3">
      <w:pPr>
        <w:pStyle w:val="Normalrglronly"/>
        <w:rPr>
          <w:lang w:val="en-GB"/>
        </w:rPr>
      </w:pPr>
    </w:p>
    <w:p w14:paraId="5212EEAC" w14:textId="77777777" w:rsidR="00211269" w:rsidRDefault="00211269" w:rsidP="006023C3">
      <w:pPr>
        <w:pStyle w:val="Normalrglronly"/>
        <w:rPr>
          <w:lang w:val="en-GB"/>
        </w:rPr>
      </w:pPr>
    </w:p>
    <w:p w14:paraId="3B5B1BB8" w14:textId="77777777" w:rsidR="00211269" w:rsidRDefault="00211269" w:rsidP="006023C3">
      <w:pPr>
        <w:pStyle w:val="Normalrglronly"/>
        <w:rPr>
          <w:lang w:val="en-GB"/>
        </w:rPr>
      </w:pPr>
    </w:p>
    <w:p w14:paraId="31433684" w14:textId="77777777" w:rsidR="00211269" w:rsidRDefault="00211269" w:rsidP="006023C3">
      <w:pPr>
        <w:pStyle w:val="Normalrglronly"/>
        <w:rPr>
          <w:lang w:val="en-GB"/>
        </w:rPr>
      </w:pPr>
    </w:p>
    <w:p w14:paraId="7A8F232B" w14:textId="77777777" w:rsidR="00211269" w:rsidRDefault="00211269" w:rsidP="006023C3">
      <w:pPr>
        <w:pStyle w:val="Normalrglronly"/>
        <w:rPr>
          <w:lang w:val="en-GB"/>
        </w:rPr>
      </w:pPr>
    </w:p>
    <w:p w14:paraId="604511D2" w14:textId="77777777" w:rsidR="00211269" w:rsidRDefault="00211269" w:rsidP="006023C3">
      <w:pPr>
        <w:pStyle w:val="Normalrglronly"/>
        <w:rPr>
          <w:lang w:val="en-GB"/>
        </w:rPr>
      </w:pPr>
    </w:p>
    <w:p w14:paraId="54C98007" w14:textId="77777777" w:rsidR="00211269" w:rsidRDefault="00211269" w:rsidP="006023C3">
      <w:pPr>
        <w:pStyle w:val="Normalrglronly"/>
        <w:rPr>
          <w:lang w:val="en-GB"/>
        </w:rPr>
      </w:pPr>
    </w:p>
    <w:p w14:paraId="5141651C" w14:textId="77777777" w:rsidR="00211269" w:rsidRDefault="00211269" w:rsidP="006023C3">
      <w:pPr>
        <w:pStyle w:val="Normalrglronly"/>
        <w:rPr>
          <w:lang w:val="en-GB"/>
        </w:rPr>
      </w:pPr>
    </w:p>
    <w:p w14:paraId="54D0B179" w14:textId="77777777" w:rsidR="00211269" w:rsidRDefault="00211269" w:rsidP="006023C3">
      <w:pPr>
        <w:pStyle w:val="Normalrglronly"/>
        <w:rPr>
          <w:lang w:val="en-GB"/>
        </w:rPr>
      </w:pPr>
    </w:p>
    <w:p w14:paraId="6A6F6D6A" w14:textId="77777777" w:rsidR="00131C34" w:rsidRPr="00211269" w:rsidRDefault="00131C34" w:rsidP="006023C3">
      <w:pPr>
        <w:pStyle w:val="Normalrglronly"/>
        <w:rPr>
          <w:lang w:val="en-GB"/>
        </w:rPr>
      </w:pPr>
    </w:p>
    <w:tbl>
      <w:tblPr>
        <w:tblW w:w="10368"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97"/>
        <w:gridCol w:w="435"/>
        <w:gridCol w:w="352"/>
        <w:gridCol w:w="353"/>
        <w:gridCol w:w="377"/>
        <w:gridCol w:w="377"/>
        <w:gridCol w:w="377"/>
        <w:gridCol w:w="781"/>
        <w:gridCol w:w="355"/>
        <w:gridCol w:w="351"/>
        <w:gridCol w:w="351"/>
        <w:gridCol w:w="434"/>
        <w:gridCol w:w="434"/>
        <w:gridCol w:w="600"/>
        <w:gridCol w:w="434"/>
        <w:gridCol w:w="517"/>
        <w:gridCol w:w="351"/>
        <w:gridCol w:w="351"/>
        <w:gridCol w:w="434"/>
        <w:gridCol w:w="351"/>
        <w:gridCol w:w="434"/>
      </w:tblGrid>
      <w:tr w:rsidR="00066027" w:rsidRPr="009651AC" w14:paraId="080E19A3" w14:textId="77777777" w:rsidTr="00B017F8">
        <w:trPr>
          <w:trHeight w:val="405"/>
        </w:trPr>
        <w:tc>
          <w:tcPr>
            <w:tcW w:w="1520" w:type="dxa"/>
            <w:vMerge w:val="restart"/>
            <w:tcBorders>
              <w:top w:val="single" w:sz="18" w:space="0" w:color="FFFFFF"/>
              <w:left w:val="single" w:sz="4" w:space="0" w:color="FFFFFF"/>
              <w:right w:val="single" w:sz="18" w:space="0" w:color="FFFFFF"/>
            </w:tcBorders>
            <w:shd w:val="clear" w:color="auto" w:fill="000000"/>
          </w:tcPr>
          <w:p w14:paraId="60625964" w14:textId="77777777" w:rsidR="00BB3451" w:rsidRPr="009651AC" w:rsidRDefault="00BB3451" w:rsidP="00131C34">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lastRenderedPageBreak/>
              <w:t>Commitment Overview</w:t>
            </w:r>
          </w:p>
        </w:tc>
        <w:tc>
          <w:tcPr>
            <w:tcW w:w="1694" w:type="dxa"/>
            <w:gridSpan w:val="4"/>
            <w:vMerge w:val="restart"/>
            <w:tcBorders>
              <w:top w:val="single" w:sz="18" w:space="0" w:color="FFFFFF"/>
              <w:left w:val="single" w:sz="18" w:space="0" w:color="FFFFFF"/>
              <w:right w:val="single" w:sz="18" w:space="0" w:color="FFFFFF"/>
            </w:tcBorders>
            <w:shd w:val="clear" w:color="auto" w:fill="D6E3BC"/>
          </w:tcPr>
          <w:p w14:paraId="380C435F"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Specificity</w:t>
            </w:r>
          </w:p>
        </w:tc>
        <w:tc>
          <w:tcPr>
            <w:tcW w:w="1992" w:type="dxa"/>
            <w:gridSpan w:val="4"/>
            <w:vMerge w:val="restart"/>
            <w:tcBorders>
              <w:top w:val="single" w:sz="18" w:space="0" w:color="FFFFFF"/>
              <w:left w:val="single" w:sz="18" w:space="0" w:color="FFFFFF"/>
              <w:right w:val="single" w:sz="18" w:space="0" w:color="FFFFFF"/>
            </w:tcBorders>
            <w:shd w:val="clear" w:color="auto" w:fill="FBD4B4"/>
          </w:tcPr>
          <w:p w14:paraId="49815885" w14:textId="00C614F8"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 xml:space="preserve">OGP </w:t>
            </w:r>
            <w:r w:rsidR="00066027">
              <w:rPr>
                <w:rFonts w:ascii="Gill Sans" w:hAnsi="Gill Sans" w:cs="Gill Sans"/>
                <w:sz w:val="22"/>
                <w:szCs w:val="22"/>
                <w:lang w:val="en-GB"/>
              </w:rPr>
              <w:t>V</w:t>
            </w:r>
            <w:r w:rsidRPr="009651AC">
              <w:rPr>
                <w:rFonts w:ascii="Gill Sans" w:hAnsi="Gill Sans" w:cs="Gill Sans"/>
                <w:sz w:val="22"/>
                <w:szCs w:val="22"/>
                <w:lang w:val="en-GB"/>
              </w:rPr>
              <w:t xml:space="preserve">alue </w:t>
            </w:r>
            <w:r w:rsidR="00066027">
              <w:rPr>
                <w:rFonts w:ascii="Gill Sans" w:hAnsi="Gill Sans" w:cs="Gill Sans"/>
                <w:sz w:val="22"/>
                <w:szCs w:val="22"/>
                <w:lang w:val="en-GB"/>
              </w:rPr>
              <w:t>R</w:t>
            </w:r>
            <w:r w:rsidRPr="009651AC">
              <w:rPr>
                <w:rFonts w:ascii="Gill Sans" w:hAnsi="Gill Sans" w:cs="Gill Sans"/>
                <w:sz w:val="22"/>
                <w:szCs w:val="22"/>
                <w:lang w:val="en-GB"/>
              </w:rPr>
              <w:t>elevance</w:t>
            </w:r>
            <w:r w:rsidR="00066027">
              <w:rPr>
                <w:rFonts w:ascii="Gill Sans" w:hAnsi="Gill Sans" w:cs="Gill Sans"/>
                <w:sz w:val="22"/>
                <w:szCs w:val="22"/>
                <w:lang w:val="en-GB"/>
              </w:rPr>
              <w:t xml:space="preserve"> (as written)</w:t>
            </w:r>
          </w:p>
        </w:tc>
        <w:tc>
          <w:tcPr>
            <w:tcW w:w="1535" w:type="dxa"/>
            <w:gridSpan w:val="4"/>
            <w:vMerge w:val="restart"/>
            <w:tcBorders>
              <w:top w:val="single" w:sz="18" w:space="0" w:color="FFFFFF"/>
              <w:left w:val="single" w:sz="18" w:space="0" w:color="FFFFFF"/>
              <w:right w:val="single" w:sz="18" w:space="0" w:color="FFFFFF"/>
            </w:tcBorders>
            <w:shd w:val="clear" w:color="auto" w:fill="CCC0D9"/>
          </w:tcPr>
          <w:p w14:paraId="022DCB53"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80" w:type="dxa"/>
            <w:gridSpan w:val="2"/>
            <w:vMerge w:val="restart"/>
            <w:tcBorders>
              <w:top w:val="single" w:sz="18" w:space="0" w:color="FFFFFF"/>
              <w:left w:val="single" w:sz="18" w:space="0" w:color="FFFFFF"/>
              <w:right w:val="single" w:sz="2" w:space="0" w:color="FFFFFF"/>
            </w:tcBorders>
            <w:shd w:val="clear" w:color="auto" w:fill="B8CCE4"/>
          </w:tcPr>
          <w:p w14:paraId="31DDDCEF" w14:textId="5A45A511" w:rsidR="00BB3451" w:rsidRPr="009651AC" w:rsidRDefault="00BB3451" w:rsidP="00131C34">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sidR="00066027">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90"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277195FE"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Midterm</w:t>
            </w:r>
          </w:p>
        </w:tc>
        <w:tc>
          <w:tcPr>
            <w:tcW w:w="1980" w:type="dxa"/>
            <w:gridSpan w:val="5"/>
            <w:vMerge w:val="restart"/>
            <w:tcBorders>
              <w:top w:val="single" w:sz="18" w:space="0" w:color="FFFFFF"/>
              <w:left w:val="single" w:sz="18" w:space="0" w:color="FFFFFF"/>
              <w:right w:val="single" w:sz="18" w:space="0" w:color="FFFFFF"/>
            </w:tcBorders>
            <w:shd w:val="clear" w:color="auto" w:fill="D99594"/>
          </w:tcPr>
          <w:p w14:paraId="4B940199" w14:textId="299975B8"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 xml:space="preserve">Did it </w:t>
            </w:r>
            <w:r w:rsidR="00066027">
              <w:rPr>
                <w:rFonts w:ascii="Gill Sans" w:hAnsi="Gill Sans" w:cs="Gill Sans"/>
                <w:sz w:val="22"/>
                <w:szCs w:val="22"/>
                <w:lang w:val="en-GB"/>
              </w:rPr>
              <w:t>O</w:t>
            </w:r>
            <w:r w:rsidRPr="009651AC">
              <w:rPr>
                <w:rFonts w:ascii="Gill Sans" w:hAnsi="Gill Sans" w:cs="Gill Sans"/>
                <w:sz w:val="22"/>
                <w:szCs w:val="22"/>
                <w:lang w:val="en-GB"/>
              </w:rPr>
              <w:t xml:space="preserve">pen </w:t>
            </w:r>
            <w:r w:rsidR="00066027">
              <w:rPr>
                <w:rFonts w:ascii="Gill Sans" w:hAnsi="Gill Sans" w:cs="Gill Sans"/>
                <w:sz w:val="22"/>
                <w:szCs w:val="22"/>
                <w:lang w:val="en-GB"/>
              </w:rPr>
              <w:t>G</w:t>
            </w:r>
            <w:r w:rsidRPr="009651AC">
              <w:rPr>
                <w:rFonts w:ascii="Gill Sans" w:hAnsi="Gill Sans" w:cs="Gill Sans"/>
                <w:sz w:val="22"/>
                <w:szCs w:val="22"/>
                <w:lang w:val="en-GB"/>
              </w:rPr>
              <w:t>overnment?</w:t>
            </w:r>
          </w:p>
        </w:tc>
      </w:tr>
      <w:tr w:rsidR="00066027" w:rsidRPr="009651AC" w14:paraId="76F58975" w14:textId="77777777" w:rsidTr="00B017F8">
        <w:trPr>
          <w:trHeight w:val="373"/>
        </w:trPr>
        <w:tc>
          <w:tcPr>
            <w:tcW w:w="1520" w:type="dxa"/>
            <w:vMerge/>
            <w:tcBorders>
              <w:left w:val="single" w:sz="4" w:space="0" w:color="FFFFFF"/>
              <w:right w:val="single" w:sz="18" w:space="0" w:color="FFFFFF"/>
            </w:tcBorders>
            <w:shd w:val="clear" w:color="auto" w:fill="000000"/>
          </w:tcPr>
          <w:p w14:paraId="1FFA2788" w14:textId="77777777" w:rsidR="00BB3451" w:rsidRPr="009651AC" w:rsidRDefault="00BB3451" w:rsidP="00131C34">
            <w:pPr>
              <w:rPr>
                <w:rFonts w:ascii="Gill Sans" w:hAnsi="Gill Sans" w:cs="Gill Sans"/>
                <w:color w:val="FFFFFF" w:themeColor="background1"/>
                <w:sz w:val="22"/>
                <w:szCs w:val="22"/>
                <w:lang w:val="en-GB"/>
              </w:rPr>
            </w:pPr>
          </w:p>
        </w:tc>
        <w:tc>
          <w:tcPr>
            <w:tcW w:w="1694" w:type="dxa"/>
            <w:gridSpan w:val="4"/>
            <w:vMerge/>
            <w:tcBorders>
              <w:left w:val="single" w:sz="18" w:space="0" w:color="FFFFFF"/>
              <w:bottom w:val="single" w:sz="18" w:space="0" w:color="FFFFFF"/>
              <w:right w:val="single" w:sz="18" w:space="0" w:color="FFFFFF"/>
            </w:tcBorders>
            <w:shd w:val="clear" w:color="auto" w:fill="D6E3BC"/>
          </w:tcPr>
          <w:p w14:paraId="5ACB516A" w14:textId="77777777" w:rsidR="00BB3451" w:rsidRPr="009651AC" w:rsidRDefault="00BB3451" w:rsidP="00131C34">
            <w:pPr>
              <w:rPr>
                <w:rFonts w:ascii="Gill Sans" w:hAnsi="Gill Sans" w:cs="Gill Sans"/>
                <w:sz w:val="22"/>
                <w:szCs w:val="22"/>
                <w:lang w:val="en-GB"/>
              </w:rPr>
            </w:pPr>
          </w:p>
        </w:tc>
        <w:tc>
          <w:tcPr>
            <w:tcW w:w="1992" w:type="dxa"/>
            <w:gridSpan w:val="4"/>
            <w:vMerge/>
            <w:tcBorders>
              <w:left w:val="single" w:sz="18" w:space="0" w:color="FFFFFF"/>
              <w:bottom w:val="single" w:sz="18" w:space="0" w:color="FFFFFF"/>
              <w:right w:val="single" w:sz="18" w:space="0" w:color="FFFFFF"/>
            </w:tcBorders>
            <w:shd w:val="clear" w:color="auto" w:fill="FBD4B4"/>
          </w:tcPr>
          <w:p w14:paraId="44FF3483" w14:textId="77777777" w:rsidR="00BB3451" w:rsidRPr="009651AC" w:rsidRDefault="00BB3451" w:rsidP="00131C34">
            <w:pPr>
              <w:rPr>
                <w:rFonts w:ascii="Gill Sans" w:hAnsi="Gill Sans" w:cs="Gill Sans"/>
                <w:sz w:val="22"/>
                <w:szCs w:val="22"/>
                <w:lang w:val="en-GB"/>
              </w:rPr>
            </w:pPr>
          </w:p>
        </w:tc>
        <w:tc>
          <w:tcPr>
            <w:tcW w:w="1535" w:type="dxa"/>
            <w:gridSpan w:val="4"/>
            <w:vMerge/>
            <w:tcBorders>
              <w:left w:val="single" w:sz="18" w:space="0" w:color="FFFFFF"/>
              <w:bottom w:val="single" w:sz="18" w:space="0" w:color="FFFFFF"/>
              <w:right w:val="single" w:sz="18" w:space="0" w:color="FFFFFF"/>
            </w:tcBorders>
            <w:shd w:val="clear" w:color="auto" w:fill="CCC0D9"/>
          </w:tcPr>
          <w:p w14:paraId="0D8E59BD" w14:textId="77777777" w:rsidR="00BB3451" w:rsidRPr="009651AC" w:rsidRDefault="00BB3451" w:rsidP="00131C34">
            <w:pPr>
              <w:rPr>
                <w:rFonts w:ascii="Gill Sans" w:hAnsi="Gill Sans" w:cs="Gill Sans"/>
                <w:sz w:val="22"/>
                <w:szCs w:val="22"/>
                <w:lang w:val="en-GB"/>
              </w:rPr>
            </w:pPr>
          </w:p>
        </w:tc>
        <w:tc>
          <w:tcPr>
            <w:tcW w:w="1080" w:type="dxa"/>
            <w:gridSpan w:val="2"/>
            <w:vMerge/>
            <w:tcBorders>
              <w:left w:val="single" w:sz="18" w:space="0" w:color="FFFFFF"/>
              <w:bottom w:val="single" w:sz="18" w:space="0" w:color="FFFFFF"/>
              <w:right w:val="single" w:sz="2" w:space="0" w:color="FFFFFF"/>
            </w:tcBorders>
            <w:shd w:val="clear" w:color="auto" w:fill="B8CCE4"/>
          </w:tcPr>
          <w:p w14:paraId="29155A77" w14:textId="77777777" w:rsidR="00BB3451" w:rsidRPr="009651AC" w:rsidRDefault="00BB3451" w:rsidP="00131C34">
            <w:pPr>
              <w:rPr>
                <w:rFonts w:ascii="Gill Sans" w:hAnsi="Gill Sans" w:cs="Gill Sans"/>
                <w:sz w:val="22"/>
                <w:szCs w:val="22"/>
                <w:lang w:val="en-GB"/>
              </w:rPr>
            </w:pPr>
          </w:p>
        </w:tc>
        <w:tc>
          <w:tcPr>
            <w:tcW w:w="990"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333C408D" w14:textId="7F45E1FE"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 xml:space="preserve">End of </w:t>
            </w:r>
            <w:r w:rsidR="00066027">
              <w:rPr>
                <w:rFonts w:ascii="Gill Sans" w:hAnsi="Gill Sans" w:cs="Gill Sans"/>
                <w:sz w:val="22"/>
                <w:szCs w:val="22"/>
                <w:lang w:val="en-GB"/>
              </w:rPr>
              <w:t>T</w:t>
            </w:r>
            <w:r w:rsidRPr="009651AC">
              <w:rPr>
                <w:rFonts w:ascii="Gill Sans" w:hAnsi="Gill Sans" w:cs="Gill Sans"/>
                <w:sz w:val="22"/>
                <w:szCs w:val="22"/>
                <w:lang w:val="en-GB"/>
              </w:rPr>
              <w:t>erm</w:t>
            </w:r>
          </w:p>
        </w:tc>
        <w:tc>
          <w:tcPr>
            <w:tcW w:w="1980" w:type="dxa"/>
            <w:gridSpan w:val="5"/>
            <w:vMerge/>
            <w:tcBorders>
              <w:left w:val="single" w:sz="18" w:space="0" w:color="FFFFFF"/>
              <w:bottom w:val="single" w:sz="18" w:space="0" w:color="FFFFFF"/>
              <w:right w:val="single" w:sz="18" w:space="0" w:color="FFFFFF"/>
            </w:tcBorders>
            <w:shd w:val="clear" w:color="auto" w:fill="D99594"/>
          </w:tcPr>
          <w:p w14:paraId="29853957" w14:textId="77777777" w:rsidR="00BB3451" w:rsidRPr="009651AC" w:rsidRDefault="00BB3451" w:rsidP="00131C34">
            <w:pPr>
              <w:rPr>
                <w:rFonts w:ascii="Gill Sans" w:hAnsi="Gill Sans" w:cs="Gill Sans"/>
                <w:sz w:val="22"/>
                <w:szCs w:val="22"/>
                <w:lang w:val="en-GB"/>
              </w:rPr>
            </w:pPr>
          </w:p>
        </w:tc>
      </w:tr>
      <w:tr w:rsidR="009B0529" w:rsidRPr="009651AC" w14:paraId="20BCF824" w14:textId="77777777" w:rsidTr="00B017F8">
        <w:trPr>
          <w:cantSplit/>
          <w:trHeight w:val="2336"/>
        </w:trPr>
        <w:tc>
          <w:tcPr>
            <w:tcW w:w="1520" w:type="dxa"/>
            <w:vMerge/>
            <w:tcBorders>
              <w:left w:val="single" w:sz="4" w:space="0" w:color="FFFFFF"/>
              <w:bottom w:val="single" w:sz="18" w:space="0" w:color="FFFFFF"/>
              <w:right w:val="single" w:sz="18" w:space="0" w:color="FFFFFF"/>
            </w:tcBorders>
            <w:shd w:val="clear" w:color="auto" w:fill="000000"/>
          </w:tcPr>
          <w:p w14:paraId="44A738F3" w14:textId="77777777" w:rsidR="00BB3451" w:rsidRPr="009651AC" w:rsidRDefault="00BB3451" w:rsidP="00131C34">
            <w:pPr>
              <w:rPr>
                <w:rFonts w:ascii="Gill Sans" w:hAnsi="Gill Sans" w:cs="Gill Sans"/>
                <w:color w:val="FFFFFF" w:themeColor="background1"/>
                <w:sz w:val="22"/>
                <w:szCs w:val="22"/>
                <w:lang w:val="en-GB"/>
              </w:rPr>
            </w:pPr>
          </w:p>
        </w:tc>
        <w:tc>
          <w:tcPr>
            <w:tcW w:w="518"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5E40AE66"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726F5D03"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355033C0"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60DE29BC"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45F3FB18"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3BF4B3D7"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35A41D11"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826"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73FBE678"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65"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21C58CDF"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32BA037B"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Minor</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25244F91"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Moderate</w:t>
            </w:r>
          </w:p>
        </w:tc>
        <w:tc>
          <w:tcPr>
            <w:tcW w:w="450"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7D0D24E5"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450"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7C4D605F"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Not started</w:t>
            </w:r>
          </w:p>
        </w:tc>
        <w:tc>
          <w:tcPr>
            <w:tcW w:w="63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3F770E07"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Limited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55620393"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Substantial</w:t>
            </w:r>
          </w:p>
        </w:tc>
        <w:tc>
          <w:tcPr>
            <w:tcW w:w="540"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2C3000DC"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489DC553" w14:textId="196F193F"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7A7CCFA"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Did not change</w:t>
            </w:r>
          </w:p>
        </w:tc>
        <w:tc>
          <w:tcPr>
            <w:tcW w:w="4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B6F8C21"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Marginal</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15FAABF"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50"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7E265CA4" w14:textId="77777777" w:rsidR="00BB3451" w:rsidRPr="009651AC" w:rsidRDefault="00BB3451" w:rsidP="00131C34">
            <w:pPr>
              <w:rPr>
                <w:rFonts w:ascii="Gill Sans" w:hAnsi="Gill Sans" w:cs="Gill Sans"/>
                <w:sz w:val="22"/>
                <w:szCs w:val="22"/>
                <w:lang w:val="en-GB"/>
              </w:rPr>
            </w:pPr>
            <w:r w:rsidRPr="009651AC">
              <w:rPr>
                <w:rFonts w:ascii="Gill Sans" w:hAnsi="Gill Sans" w:cs="Gill Sans"/>
                <w:sz w:val="22"/>
                <w:szCs w:val="22"/>
                <w:lang w:val="en-GB"/>
              </w:rPr>
              <w:t>Outstanding</w:t>
            </w:r>
          </w:p>
        </w:tc>
      </w:tr>
      <w:tr w:rsidR="009B0529" w:rsidRPr="009651AC" w14:paraId="57ACBDE6" w14:textId="77777777" w:rsidTr="00B017F8">
        <w:trPr>
          <w:trHeight w:val="340"/>
        </w:trPr>
        <w:tc>
          <w:tcPr>
            <w:tcW w:w="1520" w:type="dxa"/>
            <w:vMerge w:val="restart"/>
            <w:tcBorders>
              <w:top w:val="single" w:sz="18" w:space="0" w:color="FFFFFF"/>
              <w:left w:val="single" w:sz="4" w:space="0" w:color="FFFFFF"/>
            </w:tcBorders>
            <w:shd w:val="clear" w:color="auto" w:fill="000000"/>
          </w:tcPr>
          <w:p w14:paraId="0C883A99" w14:textId="77777777" w:rsidR="00BB3451" w:rsidRPr="009651AC" w:rsidRDefault="00BB3451" w:rsidP="00131C34">
            <w:pPr>
              <w:rPr>
                <w:rFonts w:ascii="Gill Sans" w:hAnsi="Gill Sans" w:cs="Gill Sans"/>
                <w:noProof/>
                <w:color w:val="FFFFFF" w:themeColor="background1"/>
                <w:sz w:val="22"/>
                <w:szCs w:val="22"/>
                <w:lang w:val="en-GB"/>
              </w:rPr>
            </w:pPr>
            <w:r w:rsidRPr="009651AC">
              <w:rPr>
                <w:rFonts w:ascii="Gill Sans" w:hAnsi="Gill Sans" w:cs="Gill Sans"/>
                <w:noProof/>
                <w:color w:val="FFFFFF" w:themeColor="background1"/>
                <w:sz w:val="22"/>
                <w:szCs w:val="22"/>
                <w:lang w:val="en-GB"/>
              </w:rPr>
              <w:t>2.  Financing of charities</w:t>
            </w:r>
          </w:p>
        </w:tc>
        <w:tc>
          <w:tcPr>
            <w:tcW w:w="518" w:type="dxa"/>
            <w:vMerge w:val="restart"/>
            <w:tcBorders>
              <w:top w:val="single" w:sz="18" w:space="0" w:color="FFFFFF"/>
              <w:right w:val="single" w:sz="2" w:space="0" w:color="FFFFFF"/>
            </w:tcBorders>
            <w:shd w:val="clear" w:color="auto" w:fill="D6E3BC"/>
          </w:tcPr>
          <w:p w14:paraId="613CB7ED" w14:textId="77777777" w:rsidR="00BB3451" w:rsidRPr="00DF1741" w:rsidRDefault="00BB3451" w:rsidP="00131C34">
            <w:pPr>
              <w:rPr>
                <w:rFonts w:ascii="Zapf Dingbats" w:hAnsi="Zapf Dingbats" w:cs="Gill Sans"/>
                <w:sz w:val="22"/>
                <w:szCs w:val="22"/>
                <w:lang w:val="en-GB"/>
              </w:rPr>
            </w:pPr>
          </w:p>
        </w:tc>
        <w:tc>
          <w:tcPr>
            <w:tcW w:w="451" w:type="dxa"/>
            <w:vMerge w:val="restart"/>
            <w:tcBorders>
              <w:top w:val="single" w:sz="18" w:space="0" w:color="FFFFFF"/>
              <w:left w:val="single" w:sz="2" w:space="0" w:color="FFFFFF"/>
              <w:right w:val="single" w:sz="2" w:space="0" w:color="FFFFFF"/>
            </w:tcBorders>
            <w:shd w:val="clear" w:color="auto" w:fill="D6E3BC"/>
          </w:tcPr>
          <w:p w14:paraId="7168EFB6" w14:textId="77777777" w:rsidR="00BB3451" w:rsidRPr="00DF1741" w:rsidRDefault="00BB3451" w:rsidP="00131C34">
            <w:pPr>
              <w:rPr>
                <w:rFonts w:ascii="Zapf Dingbats" w:hAnsi="Zapf Dingbats" w:cs="Gill Sans"/>
                <w:sz w:val="22"/>
                <w:szCs w:val="22"/>
                <w:lang w:val="en-GB"/>
              </w:rPr>
            </w:pPr>
          </w:p>
        </w:tc>
        <w:tc>
          <w:tcPr>
            <w:tcW w:w="362" w:type="dxa"/>
            <w:vMerge w:val="restart"/>
            <w:tcBorders>
              <w:top w:val="single" w:sz="18" w:space="0" w:color="FFFFFF"/>
              <w:left w:val="single" w:sz="2" w:space="0" w:color="FFFFFF"/>
              <w:right w:val="single" w:sz="2" w:space="0" w:color="FFFFFF"/>
            </w:tcBorders>
            <w:shd w:val="clear" w:color="auto" w:fill="D6E3BC"/>
          </w:tcPr>
          <w:p w14:paraId="61C1198B" w14:textId="77777777" w:rsidR="00BB3451" w:rsidRPr="00DF1741" w:rsidRDefault="00BB3451" w:rsidP="00131C34">
            <w:pPr>
              <w:rPr>
                <w:rFonts w:ascii="Zapf Dingbats" w:hAnsi="Zapf Dingbats" w:cs="Gill Sans"/>
                <w:sz w:val="22"/>
                <w:szCs w:val="22"/>
                <w:lang w:val="en-GB"/>
              </w:rPr>
            </w:pPr>
          </w:p>
        </w:tc>
        <w:tc>
          <w:tcPr>
            <w:tcW w:w="363" w:type="dxa"/>
            <w:vMerge w:val="restart"/>
            <w:tcBorders>
              <w:top w:val="single" w:sz="18" w:space="0" w:color="FFFFFF"/>
              <w:left w:val="single" w:sz="2" w:space="0" w:color="FFFFFF"/>
              <w:right w:val="single" w:sz="18" w:space="0" w:color="FFFFFF"/>
            </w:tcBorders>
            <w:shd w:val="clear" w:color="auto" w:fill="D6E3BC"/>
          </w:tcPr>
          <w:p w14:paraId="47FDD039" w14:textId="77777777" w:rsidR="00BB3451" w:rsidRPr="00DF1741" w:rsidRDefault="00BB3451" w:rsidP="00131C34">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6F29F5AB" w14:textId="77777777" w:rsidR="00BB3451" w:rsidRPr="00DF1741" w:rsidRDefault="00BB3451" w:rsidP="00131C34">
            <w:pPr>
              <w:rPr>
                <w:rFonts w:ascii="Zapf Dingbats" w:hAnsi="Zapf Dingbats" w:cs="Gill Sans"/>
                <w:sz w:val="22"/>
                <w:szCs w:val="22"/>
                <w:lang w:val="en-GB"/>
              </w:rPr>
            </w:pPr>
          </w:p>
        </w:tc>
        <w:tc>
          <w:tcPr>
            <w:tcW w:w="388" w:type="dxa"/>
            <w:vMerge w:val="restart"/>
            <w:tcBorders>
              <w:top w:val="single" w:sz="18" w:space="0" w:color="FFFFFF"/>
              <w:left w:val="single" w:sz="2" w:space="0" w:color="FFFFFF"/>
              <w:right w:val="single" w:sz="2" w:space="0" w:color="FFFFFF"/>
            </w:tcBorders>
            <w:shd w:val="clear" w:color="auto" w:fill="FBD4B4"/>
          </w:tcPr>
          <w:p w14:paraId="37C28E98" w14:textId="77777777" w:rsidR="00BB3451" w:rsidRPr="00DF1741" w:rsidRDefault="00BB3451" w:rsidP="00131C34">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3DE51F3B" w14:textId="77777777" w:rsidR="00BB3451" w:rsidRPr="00DF1741" w:rsidRDefault="00BB3451" w:rsidP="00131C34">
            <w:pPr>
              <w:rPr>
                <w:rFonts w:ascii="Zapf Dingbats" w:hAnsi="Zapf Dingbats" w:cs="Gill Sans"/>
                <w:noProof/>
                <w:sz w:val="22"/>
                <w:szCs w:val="22"/>
                <w:lang w:val="en-GB"/>
              </w:rPr>
            </w:pPr>
          </w:p>
        </w:tc>
        <w:tc>
          <w:tcPr>
            <w:tcW w:w="826" w:type="dxa"/>
            <w:vMerge w:val="restart"/>
            <w:tcBorders>
              <w:top w:val="single" w:sz="18" w:space="0" w:color="FFFFFF"/>
              <w:left w:val="single" w:sz="2" w:space="0" w:color="FFFFFF"/>
              <w:right w:val="single" w:sz="18" w:space="0" w:color="FFFFFF"/>
            </w:tcBorders>
            <w:shd w:val="clear" w:color="auto" w:fill="FBD4B4"/>
          </w:tcPr>
          <w:p w14:paraId="19EBF540" w14:textId="77777777" w:rsidR="00BB3451" w:rsidRPr="00DF1741" w:rsidRDefault="00BB3451" w:rsidP="00131C34">
            <w:pPr>
              <w:rPr>
                <w:rFonts w:ascii="Zapf Dingbats" w:hAnsi="Zapf Dingbats" w:cs="Gill Sans"/>
                <w:sz w:val="22"/>
                <w:szCs w:val="22"/>
                <w:lang w:val="en-GB"/>
              </w:rPr>
            </w:pPr>
          </w:p>
        </w:tc>
        <w:tc>
          <w:tcPr>
            <w:tcW w:w="365" w:type="dxa"/>
            <w:vMerge w:val="restart"/>
            <w:tcBorders>
              <w:top w:val="single" w:sz="18" w:space="0" w:color="FFFFFF"/>
              <w:left w:val="single" w:sz="18" w:space="0" w:color="FFFFFF"/>
              <w:right w:val="single" w:sz="2" w:space="0" w:color="FFFFFF"/>
            </w:tcBorders>
            <w:shd w:val="clear" w:color="auto" w:fill="CCC0D9"/>
          </w:tcPr>
          <w:p w14:paraId="0C2C516C" w14:textId="77777777" w:rsidR="00BB3451" w:rsidRPr="00DF1741" w:rsidRDefault="00BB3451" w:rsidP="00131C34">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1B3C666A" w14:textId="77777777" w:rsidR="00BB3451" w:rsidRPr="00DF1741" w:rsidRDefault="00BB3451" w:rsidP="00131C34">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7731C39A" w14:textId="77777777" w:rsidR="00BB3451" w:rsidRPr="00DF1741" w:rsidRDefault="00BB3451" w:rsidP="00131C34">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18" w:space="0" w:color="FFFFFF"/>
            </w:tcBorders>
            <w:shd w:val="clear" w:color="auto" w:fill="CCC0D9"/>
          </w:tcPr>
          <w:p w14:paraId="4B29D5A5" w14:textId="77777777" w:rsidR="00BB3451" w:rsidRPr="00DF1741" w:rsidRDefault="00BB3451" w:rsidP="00131C34">
            <w:pPr>
              <w:rPr>
                <w:rFonts w:ascii="Zapf Dingbats" w:hAnsi="Zapf Dingbats" w:cs="Gill Sans"/>
                <w:sz w:val="22"/>
                <w:szCs w:val="22"/>
                <w:lang w:val="en-GB"/>
              </w:rPr>
            </w:pPr>
          </w:p>
        </w:tc>
        <w:tc>
          <w:tcPr>
            <w:tcW w:w="450"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EF5E798" w14:textId="77777777" w:rsidR="00BB3451" w:rsidRPr="00DF1741" w:rsidRDefault="00BB3451"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63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5AC28517" w14:textId="77777777" w:rsidR="00BB3451" w:rsidRPr="00DF1741" w:rsidRDefault="00BB3451" w:rsidP="00131C34">
            <w:pPr>
              <w:rPr>
                <w:rFonts w:ascii="Zapf Dingbats" w:hAnsi="Zapf Dingbats" w:cs="Gill Sans"/>
                <w:sz w:val="22"/>
                <w:szCs w:val="22"/>
                <w:lang w:val="en-GB"/>
              </w:rPr>
            </w:pPr>
          </w:p>
        </w:tc>
        <w:tc>
          <w:tcPr>
            <w:tcW w:w="45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3789925" w14:textId="77777777" w:rsidR="00BB3451" w:rsidRPr="00DF1741" w:rsidRDefault="00BB3451" w:rsidP="00131C34">
            <w:pPr>
              <w:rPr>
                <w:rFonts w:ascii="Zapf Dingbats" w:hAnsi="Zapf Dingbats" w:cs="Gill Sans"/>
                <w:sz w:val="22"/>
                <w:szCs w:val="22"/>
                <w:lang w:val="en-GB"/>
              </w:rPr>
            </w:pPr>
          </w:p>
        </w:tc>
        <w:tc>
          <w:tcPr>
            <w:tcW w:w="540"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74981FD1" w14:textId="77777777" w:rsidR="00BB3451" w:rsidRPr="00DF1741" w:rsidRDefault="00BB3451" w:rsidP="00131C34">
            <w:pPr>
              <w:rPr>
                <w:rFonts w:ascii="Zapf Dingbats" w:hAnsi="Zapf Dingbats" w:cs="Gill Sans"/>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99594"/>
          </w:tcPr>
          <w:p w14:paraId="0B098D0A" w14:textId="77777777" w:rsidR="00BB3451" w:rsidRPr="00DF1741" w:rsidRDefault="00BB3451" w:rsidP="00131C34">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99594"/>
          </w:tcPr>
          <w:p w14:paraId="087472B5" w14:textId="77777777" w:rsidR="00BB3451" w:rsidRPr="00DF1741" w:rsidRDefault="00BB3451"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D99594"/>
          </w:tcPr>
          <w:p w14:paraId="76613476" w14:textId="77777777" w:rsidR="00BB3451" w:rsidRPr="00DF1741" w:rsidRDefault="00BB3451" w:rsidP="00131C34">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99594"/>
          </w:tcPr>
          <w:p w14:paraId="0A26813D" w14:textId="77777777" w:rsidR="00BB3451" w:rsidRPr="009651AC" w:rsidRDefault="00BB3451" w:rsidP="00131C34">
            <w:pPr>
              <w:rPr>
                <w:rFonts w:ascii="Gill Sans" w:hAnsi="Gill Sans" w:cs="Gill Sans"/>
                <w:noProof/>
                <w:sz w:val="22"/>
                <w:szCs w:val="22"/>
                <w:lang w:val="en-GB"/>
              </w:rPr>
            </w:pPr>
          </w:p>
        </w:tc>
        <w:tc>
          <w:tcPr>
            <w:tcW w:w="450" w:type="dxa"/>
            <w:vMerge w:val="restart"/>
            <w:tcBorders>
              <w:top w:val="single" w:sz="18" w:space="0" w:color="FFFFFF"/>
              <w:left w:val="single" w:sz="2" w:space="0" w:color="FFFFFF"/>
              <w:right w:val="single" w:sz="18" w:space="0" w:color="FFFFFF"/>
            </w:tcBorders>
            <w:shd w:val="clear" w:color="auto" w:fill="D99594"/>
          </w:tcPr>
          <w:p w14:paraId="0238CA12" w14:textId="77777777" w:rsidR="00BB3451" w:rsidRPr="009651AC" w:rsidRDefault="00BB3451" w:rsidP="00131C34">
            <w:pPr>
              <w:rPr>
                <w:rFonts w:ascii="Gill Sans" w:hAnsi="Gill Sans" w:cs="Gill Sans"/>
                <w:sz w:val="22"/>
                <w:szCs w:val="22"/>
                <w:lang w:val="en-GB"/>
              </w:rPr>
            </w:pPr>
          </w:p>
        </w:tc>
      </w:tr>
      <w:tr w:rsidR="009B0529" w:rsidRPr="009651AC" w14:paraId="3F5CBEA2" w14:textId="77777777" w:rsidTr="00B017F8">
        <w:trPr>
          <w:trHeight w:val="340"/>
        </w:trPr>
        <w:tc>
          <w:tcPr>
            <w:tcW w:w="1520" w:type="dxa"/>
            <w:vMerge/>
            <w:tcBorders>
              <w:left w:val="single" w:sz="4" w:space="0" w:color="FFFFFF"/>
            </w:tcBorders>
            <w:shd w:val="clear" w:color="auto" w:fill="000000"/>
          </w:tcPr>
          <w:p w14:paraId="18FE0497" w14:textId="77777777" w:rsidR="00BB3451" w:rsidRPr="009651AC" w:rsidRDefault="00BB3451" w:rsidP="00131C34">
            <w:pPr>
              <w:rPr>
                <w:rFonts w:ascii="Gill Sans" w:hAnsi="Gill Sans" w:cs="Gill Sans"/>
                <w:color w:val="FFFFFF" w:themeColor="background1"/>
                <w:sz w:val="22"/>
                <w:szCs w:val="22"/>
                <w:lang w:val="en-GB"/>
              </w:rPr>
            </w:pPr>
          </w:p>
        </w:tc>
        <w:tc>
          <w:tcPr>
            <w:tcW w:w="518" w:type="dxa"/>
            <w:vMerge/>
            <w:tcBorders>
              <w:right w:val="single" w:sz="2" w:space="0" w:color="FFFFFF"/>
            </w:tcBorders>
            <w:shd w:val="clear" w:color="auto" w:fill="D6E3BC"/>
          </w:tcPr>
          <w:p w14:paraId="6402CBC7" w14:textId="77777777" w:rsidR="00BB3451" w:rsidRPr="00DF1741" w:rsidRDefault="00BB3451" w:rsidP="00131C34">
            <w:pPr>
              <w:rPr>
                <w:rFonts w:ascii="Zapf Dingbats" w:hAnsi="Zapf Dingbats" w:cs="Gill Sans"/>
                <w:sz w:val="22"/>
                <w:szCs w:val="22"/>
                <w:lang w:val="en-GB"/>
              </w:rPr>
            </w:pPr>
          </w:p>
        </w:tc>
        <w:tc>
          <w:tcPr>
            <w:tcW w:w="451" w:type="dxa"/>
            <w:vMerge/>
            <w:tcBorders>
              <w:left w:val="single" w:sz="2" w:space="0" w:color="FFFFFF"/>
              <w:right w:val="single" w:sz="2" w:space="0" w:color="FFFFFF"/>
            </w:tcBorders>
            <w:shd w:val="clear" w:color="auto" w:fill="D6E3BC"/>
          </w:tcPr>
          <w:p w14:paraId="5A50709A" w14:textId="77777777" w:rsidR="00BB3451" w:rsidRPr="00DF1741" w:rsidRDefault="00BB3451" w:rsidP="00131C34">
            <w:pPr>
              <w:rPr>
                <w:rFonts w:ascii="Zapf Dingbats" w:hAnsi="Zapf Dingbats" w:cs="Gill Sans"/>
                <w:sz w:val="22"/>
                <w:szCs w:val="22"/>
                <w:lang w:val="en-GB"/>
              </w:rPr>
            </w:pPr>
          </w:p>
        </w:tc>
        <w:tc>
          <w:tcPr>
            <w:tcW w:w="362" w:type="dxa"/>
            <w:vMerge/>
            <w:tcBorders>
              <w:left w:val="single" w:sz="2" w:space="0" w:color="FFFFFF"/>
              <w:right w:val="single" w:sz="2" w:space="0" w:color="FFFFFF"/>
            </w:tcBorders>
            <w:shd w:val="clear" w:color="auto" w:fill="D6E3BC"/>
          </w:tcPr>
          <w:p w14:paraId="5AFC9F95" w14:textId="77777777" w:rsidR="00BB3451" w:rsidRPr="00DF1741" w:rsidRDefault="00BB3451" w:rsidP="00131C34">
            <w:pPr>
              <w:rPr>
                <w:rFonts w:ascii="Zapf Dingbats" w:hAnsi="Zapf Dingbats" w:cs="Gill Sans"/>
                <w:sz w:val="22"/>
                <w:szCs w:val="22"/>
                <w:lang w:val="en-GB"/>
              </w:rPr>
            </w:pPr>
          </w:p>
        </w:tc>
        <w:tc>
          <w:tcPr>
            <w:tcW w:w="363" w:type="dxa"/>
            <w:vMerge/>
            <w:tcBorders>
              <w:left w:val="single" w:sz="2" w:space="0" w:color="FFFFFF"/>
              <w:right w:val="single" w:sz="18" w:space="0" w:color="FFFFFF"/>
            </w:tcBorders>
            <w:shd w:val="clear" w:color="auto" w:fill="D6E3BC"/>
          </w:tcPr>
          <w:p w14:paraId="2882F697" w14:textId="77777777" w:rsidR="00BB3451" w:rsidRPr="00DF1741" w:rsidRDefault="00BB3451" w:rsidP="00131C34">
            <w:pPr>
              <w:rPr>
                <w:rFonts w:ascii="Zapf Dingbats" w:hAnsi="Zapf Dingbat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433AC211" w14:textId="77777777" w:rsidR="00BB3451" w:rsidRPr="00DF1741" w:rsidRDefault="00BB3451" w:rsidP="00131C34">
            <w:pPr>
              <w:rPr>
                <w:rFonts w:ascii="Zapf Dingbats" w:hAnsi="Zapf Dingbats" w:cs="Gill Sans"/>
                <w:sz w:val="22"/>
                <w:szCs w:val="22"/>
                <w:lang w:val="en-GB"/>
              </w:rPr>
            </w:pPr>
          </w:p>
        </w:tc>
        <w:tc>
          <w:tcPr>
            <w:tcW w:w="388" w:type="dxa"/>
            <w:vMerge/>
            <w:tcBorders>
              <w:left w:val="single" w:sz="2" w:space="0" w:color="FFFFFF"/>
              <w:right w:val="single" w:sz="2" w:space="0" w:color="FFFFFF"/>
            </w:tcBorders>
            <w:shd w:val="clear" w:color="auto" w:fill="FBD4B4"/>
          </w:tcPr>
          <w:p w14:paraId="4033DD65" w14:textId="77777777" w:rsidR="00BB3451" w:rsidRPr="00DF1741" w:rsidRDefault="00BB3451" w:rsidP="00131C34">
            <w:pPr>
              <w:rPr>
                <w:rFonts w:ascii="Zapf Dingbats" w:hAnsi="Zapf Dingbat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20C12FA7" w14:textId="77777777" w:rsidR="00BB3451" w:rsidRPr="00DF1741" w:rsidRDefault="00BB3451" w:rsidP="00131C34">
            <w:pPr>
              <w:rPr>
                <w:rFonts w:ascii="Zapf Dingbats" w:hAnsi="Zapf Dingbats" w:cs="Gill Sans"/>
                <w:noProof/>
                <w:sz w:val="22"/>
                <w:szCs w:val="22"/>
                <w:lang w:val="en-GB"/>
              </w:rPr>
            </w:pPr>
          </w:p>
        </w:tc>
        <w:tc>
          <w:tcPr>
            <w:tcW w:w="826" w:type="dxa"/>
            <w:vMerge/>
            <w:tcBorders>
              <w:left w:val="single" w:sz="2" w:space="0" w:color="FFFFFF"/>
              <w:right w:val="single" w:sz="18" w:space="0" w:color="FFFFFF"/>
            </w:tcBorders>
            <w:shd w:val="clear" w:color="auto" w:fill="FBD4B4"/>
          </w:tcPr>
          <w:p w14:paraId="2E4DE9D8" w14:textId="77777777" w:rsidR="00BB3451" w:rsidRPr="00DF1741" w:rsidRDefault="00BB3451" w:rsidP="00131C34">
            <w:pPr>
              <w:rPr>
                <w:rFonts w:ascii="Zapf Dingbats" w:hAnsi="Zapf Dingbats" w:cs="Gill Sans"/>
                <w:sz w:val="22"/>
                <w:szCs w:val="22"/>
                <w:lang w:val="en-GB"/>
              </w:rPr>
            </w:pPr>
          </w:p>
        </w:tc>
        <w:tc>
          <w:tcPr>
            <w:tcW w:w="365" w:type="dxa"/>
            <w:vMerge/>
            <w:tcBorders>
              <w:left w:val="single" w:sz="18" w:space="0" w:color="FFFFFF"/>
              <w:right w:val="single" w:sz="2" w:space="0" w:color="FFFFFF"/>
            </w:tcBorders>
            <w:shd w:val="clear" w:color="auto" w:fill="CCC0D9"/>
          </w:tcPr>
          <w:p w14:paraId="7E10C494" w14:textId="77777777" w:rsidR="00BB3451" w:rsidRPr="00DF1741" w:rsidRDefault="00BB3451" w:rsidP="00131C34">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CCC0D9"/>
          </w:tcPr>
          <w:p w14:paraId="64525C0C" w14:textId="77777777" w:rsidR="00BB3451" w:rsidRPr="00DF1741" w:rsidRDefault="00BB3451" w:rsidP="00131C34">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CCC0D9"/>
          </w:tcPr>
          <w:p w14:paraId="46A222FB" w14:textId="77777777" w:rsidR="00BB3451" w:rsidRPr="00DF1741" w:rsidRDefault="00BB3451" w:rsidP="00131C34">
            <w:pPr>
              <w:rPr>
                <w:rFonts w:ascii="Zapf Dingbats" w:hAnsi="Zapf Dingbats" w:cs="Gill Sans"/>
                <w:noProof/>
                <w:sz w:val="22"/>
                <w:szCs w:val="22"/>
                <w:lang w:val="en-GB"/>
              </w:rPr>
            </w:pPr>
          </w:p>
        </w:tc>
        <w:tc>
          <w:tcPr>
            <w:tcW w:w="450" w:type="dxa"/>
            <w:vMerge/>
            <w:tcBorders>
              <w:left w:val="single" w:sz="2" w:space="0" w:color="FFFFFF"/>
              <w:right w:val="single" w:sz="18" w:space="0" w:color="FFFFFF"/>
            </w:tcBorders>
            <w:shd w:val="clear" w:color="auto" w:fill="CCC0D9"/>
          </w:tcPr>
          <w:p w14:paraId="5524E33B" w14:textId="77777777" w:rsidR="00BB3451" w:rsidRPr="00DF1741" w:rsidRDefault="00BB3451" w:rsidP="00131C34">
            <w:pPr>
              <w:rPr>
                <w:rFonts w:ascii="Zapf Dingbats" w:hAnsi="Zapf Dingbats" w:cs="Gill Sans"/>
                <w:sz w:val="22"/>
                <w:szCs w:val="22"/>
                <w:lang w:val="en-GB"/>
              </w:rPr>
            </w:pPr>
          </w:p>
        </w:tc>
        <w:tc>
          <w:tcPr>
            <w:tcW w:w="450"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032E256E" w14:textId="77777777" w:rsidR="00BB3451" w:rsidRPr="00DF1741" w:rsidRDefault="00BB3451"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630"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1C5E9C05" w14:textId="77777777" w:rsidR="00BB3451" w:rsidRPr="00DF1741" w:rsidRDefault="00BB3451" w:rsidP="00131C34">
            <w:pPr>
              <w:rPr>
                <w:rFonts w:ascii="Zapf Dingbats" w:hAnsi="Zapf Dingbats" w:cs="Gill Sans"/>
                <w:sz w:val="22"/>
                <w:szCs w:val="22"/>
                <w:lang w:val="en-GB"/>
              </w:rPr>
            </w:pPr>
          </w:p>
        </w:tc>
        <w:tc>
          <w:tcPr>
            <w:tcW w:w="450"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749421FD" w14:textId="77777777" w:rsidR="00BB3451" w:rsidRPr="00DF1741" w:rsidRDefault="00BB3451" w:rsidP="00131C34">
            <w:pPr>
              <w:rPr>
                <w:rFonts w:ascii="Zapf Dingbats" w:hAnsi="Zapf Dingbats" w:cs="Gill Sans"/>
                <w:sz w:val="22"/>
                <w:szCs w:val="22"/>
                <w:lang w:val="en-GB"/>
              </w:rPr>
            </w:pPr>
          </w:p>
        </w:tc>
        <w:tc>
          <w:tcPr>
            <w:tcW w:w="540" w:type="dxa"/>
            <w:tcBorders>
              <w:top w:val="single" w:sz="8" w:space="0" w:color="FFFFFF" w:themeColor="background1"/>
              <w:left w:val="single" w:sz="4" w:space="0" w:color="FFFFFF" w:themeColor="background1"/>
              <w:bottom w:val="single" w:sz="18" w:space="0" w:color="FFFFFF"/>
              <w:right w:val="single" w:sz="18" w:space="0" w:color="FFFFFF"/>
            </w:tcBorders>
            <w:shd w:val="clear" w:color="auto" w:fill="B8CCE4"/>
          </w:tcPr>
          <w:p w14:paraId="71E8E443" w14:textId="77777777" w:rsidR="00BB3451" w:rsidRPr="00DF1741" w:rsidRDefault="00BB3451" w:rsidP="00131C34">
            <w:pPr>
              <w:rPr>
                <w:rFonts w:ascii="Zapf Dingbats" w:hAnsi="Zapf Dingbats" w:cs="Gill Sans"/>
                <w:sz w:val="22"/>
                <w:szCs w:val="22"/>
                <w:lang w:val="en-GB"/>
              </w:rPr>
            </w:pPr>
          </w:p>
        </w:tc>
        <w:tc>
          <w:tcPr>
            <w:tcW w:w="360" w:type="dxa"/>
            <w:vMerge/>
            <w:tcBorders>
              <w:left w:val="single" w:sz="18" w:space="0" w:color="FFFFFF"/>
              <w:right w:val="single" w:sz="2" w:space="0" w:color="FFFFFF"/>
            </w:tcBorders>
            <w:shd w:val="clear" w:color="auto" w:fill="D99594"/>
          </w:tcPr>
          <w:p w14:paraId="0E89DA33" w14:textId="77777777" w:rsidR="00BB3451" w:rsidRPr="00DF1741" w:rsidRDefault="00BB3451" w:rsidP="00131C34">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D99594"/>
          </w:tcPr>
          <w:p w14:paraId="598493BE" w14:textId="77777777" w:rsidR="00BB3451" w:rsidRPr="00DF1741" w:rsidRDefault="00BB3451" w:rsidP="00131C34">
            <w:pPr>
              <w:rPr>
                <w:rFonts w:ascii="Zapf Dingbats" w:hAnsi="Zapf Dingbats" w:cs="Gill Sans"/>
                <w:sz w:val="22"/>
                <w:szCs w:val="22"/>
                <w:lang w:val="en-GB"/>
              </w:rPr>
            </w:pPr>
          </w:p>
        </w:tc>
        <w:tc>
          <w:tcPr>
            <w:tcW w:w="450" w:type="dxa"/>
            <w:vMerge/>
            <w:tcBorders>
              <w:left w:val="single" w:sz="2" w:space="0" w:color="FFFFFF"/>
              <w:right w:val="single" w:sz="2" w:space="0" w:color="FFFFFF"/>
            </w:tcBorders>
            <w:shd w:val="clear" w:color="auto" w:fill="D99594"/>
          </w:tcPr>
          <w:p w14:paraId="4E24C939" w14:textId="77777777" w:rsidR="00BB3451" w:rsidRPr="00DF1741" w:rsidRDefault="00BB3451" w:rsidP="00131C34">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D99594"/>
          </w:tcPr>
          <w:p w14:paraId="74486A71" w14:textId="77777777" w:rsidR="00BB3451" w:rsidRPr="009651AC" w:rsidRDefault="00BB3451" w:rsidP="00131C34">
            <w:pPr>
              <w:rPr>
                <w:rFonts w:ascii="Gill Sans" w:hAnsi="Gill Sans" w:cs="Gill Sans"/>
                <w:noProof/>
                <w:sz w:val="22"/>
                <w:szCs w:val="22"/>
                <w:lang w:val="en-GB"/>
              </w:rPr>
            </w:pPr>
          </w:p>
        </w:tc>
        <w:tc>
          <w:tcPr>
            <w:tcW w:w="450" w:type="dxa"/>
            <w:vMerge/>
            <w:tcBorders>
              <w:left w:val="single" w:sz="2" w:space="0" w:color="FFFFFF"/>
              <w:right w:val="single" w:sz="18" w:space="0" w:color="FFFFFF"/>
            </w:tcBorders>
            <w:shd w:val="clear" w:color="auto" w:fill="D99594"/>
          </w:tcPr>
          <w:p w14:paraId="19286FFB" w14:textId="77777777" w:rsidR="00BB3451" w:rsidRPr="009651AC" w:rsidRDefault="00BB3451" w:rsidP="00131C34">
            <w:pPr>
              <w:rPr>
                <w:rFonts w:ascii="Gill Sans" w:hAnsi="Gill Sans" w:cs="Gill Sans"/>
                <w:sz w:val="22"/>
                <w:szCs w:val="22"/>
                <w:lang w:val="en-GB"/>
              </w:rPr>
            </w:pPr>
          </w:p>
        </w:tc>
      </w:tr>
      <w:tr w:rsidR="009B0529" w:rsidRPr="009651AC" w14:paraId="78C18AF7" w14:textId="77777777" w:rsidTr="00B017F8">
        <w:trPr>
          <w:trHeight w:val="340"/>
        </w:trPr>
        <w:tc>
          <w:tcPr>
            <w:tcW w:w="1520" w:type="dxa"/>
            <w:vMerge w:val="restart"/>
            <w:tcBorders>
              <w:top w:val="single" w:sz="18" w:space="0" w:color="FFFFFF"/>
              <w:left w:val="single" w:sz="4" w:space="0" w:color="FFFFFF"/>
            </w:tcBorders>
            <w:shd w:val="clear" w:color="auto" w:fill="000000"/>
          </w:tcPr>
          <w:p w14:paraId="640A2D82" w14:textId="77777777" w:rsidR="00BB3451" w:rsidRPr="009651AC" w:rsidRDefault="00BB3451" w:rsidP="00131C34">
            <w:pPr>
              <w:rPr>
                <w:rFonts w:ascii="Gill Sans" w:hAnsi="Gill Sans" w:cs="Gill Sans"/>
                <w:noProof/>
                <w:color w:val="FFFFFF" w:themeColor="background1"/>
                <w:sz w:val="22"/>
                <w:szCs w:val="22"/>
                <w:lang w:val="en-GB"/>
              </w:rPr>
            </w:pPr>
            <w:r w:rsidRPr="009651AC">
              <w:rPr>
                <w:rFonts w:ascii="Gill Sans" w:hAnsi="Gill Sans" w:cs="Gill Sans"/>
                <w:noProof/>
                <w:color w:val="FFFFFF" w:themeColor="background1"/>
                <w:sz w:val="22"/>
                <w:szCs w:val="22"/>
                <w:lang w:val="en-GB"/>
              </w:rPr>
              <w:t>3. Obtaining not-for-profit status for CSOs</w:t>
            </w:r>
          </w:p>
        </w:tc>
        <w:tc>
          <w:tcPr>
            <w:tcW w:w="518" w:type="dxa"/>
            <w:vMerge w:val="restart"/>
            <w:tcBorders>
              <w:top w:val="single" w:sz="18" w:space="0" w:color="FFFFFF"/>
              <w:right w:val="single" w:sz="2" w:space="0" w:color="FFFFFF"/>
            </w:tcBorders>
            <w:shd w:val="clear" w:color="auto" w:fill="D6E3BC"/>
          </w:tcPr>
          <w:p w14:paraId="7580BA33" w14:textId="77777777" w:rsidR="00BB3451" w:rsidRPr="00DF1741" w:rsidRDefault="00BB3451" w:rsidP="00131C34">
            <w:pPr>
              <w:rPr>
                <w:rFonts w:ascii="Zapf Dingbats" w:hAnsi="Zapf Dingbats" w:cs="Gill Sans"/>
                <w:sz w:val="22"/>
                <w:szCs w:val="22"/>
                <w:lang w:val="en-GB"/>
              </w:rPr>
            </w:pPr>
          </w:p>
        </w:tc>
        <w:tc>
          <w:tcPr>
            <w:tcW w:w="451" w:type="dxa"/>
            <w:vMerge w:val="restart"/>
            <w:tcBorders>
              <w:top w:val="single" w:sz="18" w:space="0" w:color="FFFFFF"/>
              <w:left w:val="single" w:sz="2" w:space="0" w:color="FFFFFF"/>
              <w:right w:val="single" w:sz="2" w:space="0" w:color="FFFFFF"/>
            </w:tcBorders>
            <w:shd w:val="clear" w:color="auto" w:fill="D6E3BC"/>
          </w:tcPr>
          <w:p w14:paraId="66743EE5" w14:textId="77777777" w:rsidR="00BB3451" w:rsidRPr="00DF1741" w:rsidRDefault="00BB3451" w:rsidP="00131C34">
            <w:pPr>
              <w:rPr>
                <w:rFonts w:ascii="Zapf Dingbats" w:hAnsi="Zapf Dingbats" w:cs="Gill Sans"/>
                <w:sz w:val="22"/>
                <w:szCs w:val="22"/>
                <w:lang w:val="en-GB"/>
              </w:rPr>
            </w:pPr>
          </w:p>
        </w:tc>
        <w:tc>
          <w:tcPr>
            <w:tcW w:w="362" w:type="dxa"/>
            <w:vMerge w:val="restart"/>
            <w:tcBorders>
              <w:top w:val="single" w:sz="18" w:space="0" w:color="FFFFFF"/>
              <w:left w:val="single" w:sz="2" w:space="0" w:color="FFFFFF"/>
              <w:right w:val="single" w:sz="2" w:space="0" w:color="FFFFFF"/>
            </w:tcBorders>
            <w:shd w:val="clear" w:color="auto" w:fill="D6E3BC"/>
          </w:tcPr>
          <w:p w14:paraId="149DC783" w14:textId="77777777" w:rsidR="00BB3451" w:rsidRPr="00DF1741" w:rsidRDefault="00BB3451"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63" w:type="dxa"/>
            <w:vMerge w:val="restart"/>
            <w:tcBorders>
              <w:top w:val="single" w:sz="18" w:space="0" w:color="FFFFFF"/>
              <w:left w:val="single" w:sz="2" w:space="0" w:color="FFFFFF"/>
              <w:right w:val="single" w:sz="18" w:space="0" w:color="FFFFFF"/>
            </w:tcBorders>
            <w:shd w:val="clear" w:color="auto" w:fill="D6E3BC"/>
          </w:tcPr>
          <w:p w14:paraId="03FBAAC9" w14:textId="77777777" w:rsidR="00BB3451" w:rsidRPr="00DF1741" w:rsidRDefault="00BB3451" w:rsidP="00131C34">
            <w:pPr>
              <w:rPr>
                <w:rFonts w:ascii="Zapf Dingbats" w:hAnsi="Zapf Dingbats" w:cs="Gill Sans"/>
                <w:sz w:val="22"/>
                <w:szCs w:val="22"/>
                <w:lang w:val="en-GB"/>
              </w:rPr>
            </w:pPr>
          </w:p>
        </w:tc>
        <w:tc>
          <w:tcPr>
            <w:tcW w:w="389" w:type="dxa"/>
            <w:vMerge w:val="restart"/>
            <w:tcBorders>
              <w:top w:val="single" w:sz="18" w:space="0" w:color="FFFFFF"/>
              <w:left w:val="single" w:sz="2" w:space="0" w:color="FFFFFF"/>
              <w:right w:val="single" w:sz="2" w:space="0" w:color="FFFFFF"/>
            </w:tcBorders>
            <w:shd w:val="clear" w:color="auto" w:fill="FBD4B4"/>
          </w:tcPr>
          <w:p w14:paraId="68D38B5A" w14:textId="77777777" w:rsidR="00BB3451" w:rsidRPr="00DF1741" w:rsidRDefault="00BB3451"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88" w:type="dxa"/>
            <w:vMerge w:val="restart"/>
            <w:tcBorders>
              <w:top w:val="single" w:sz="18" w:space="0" w:color="FFFFFF"/>
              <w:left w:val="single" w:sz="2" w:space="0" w:color="FFFFFF"/>
              <w:right w:val="single" w:sz="2" w:space="0" w:color="FFFFFF"/>
            </w:tcBorders>
            <w:shd w:val="clear" w:color="auto" w:fill="FBD4B4"/>
          </w:tcPr>
          <w:p w14:paraId="1695ED97" w14:textId="77777777" w:rsidR="00BB3451" w:rsidRPr="00DF1741" w:rsidRDefault="00BB3451"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10C870EE" w14:textId="77777777" w:rsidR="00BB3451" w:rsidRPr="00DF1741" w:rsidRDefault="00BB3451" w:rsidP="00131C34">
            <w:pPr>
              <w:rPr>
                <w:rFonts w:ascii="Zapf Dingbats" w:hAnsi="Zapf Dingbats" w:cs="Gill Sans"/>
                <w:sz w:val="22"/>
                <w:szCs w:val="22"/>
                <w:lang w:val="en-GB"/>
              </w:rPr>
            </w:pPr>
          </w:p>
        </w:tc>
        <w:tc>
          <w:tcPr>
            <w:tcW w:w="826" w:type="dxa"/>
            <w:vMerge w:val="restart"/>
            <w:tcBorders>
              <w:top w:val="single" w:sz="18" w:space="0" w:color="FFFFFF"/>
              <w:left w:val="single" w:sz="2" w:space="0" w:color="FFFFFF"/>
              <w:right w:val="single" w:sz="18" w:space="0" w:color="FFFFFF"/>
            </w:tcBorders>
            <w:shd w:val="clear" w:color="auto" w:fill="FBD4B4"/>
          </w:tcPr>
          <w:p w14:paraId="74A12157" w14:textId="77777777" w:rsidR="00BB3451" w:rsidRPr="00DF1741" w:rsidRDefault="00BB3451" w:rsidP="00131C34">
            <w:pPr>
              <w:rPr>
                <w:rFonts w:ascii="Zapf Dingbats" w:hAnsi="Zapf Dingbats" w:cs="Gill Sans"/>
                <w:sz w:val="22"/>
                <w:szCs w:val="22"/>
                <w:lang w:val="en-GB"/>
              </w:rPr>
            </w:pPr>
          </w:p>
        </w:tc>
        <w:tc>
          <w:tcPr>
            <w:tcW w:w="365" w:type="dxa"/>
            <w:vMerge w:val="restart"/>
            <w:tcBorders>
              <w:top w:val="single" w:sz="18" w:space="0" w:color="FFFFFF"/>
              <w:left w:val="single" w:sz="18" w:space="0" w:color="FFFFFF"/>
              <w:right w:val="single" w:sz="2" w:space="0" w:color="FFFFFF"/>
            </w:tcBorders>
            <w:shd w:val="clear" w:color="auto" w:fill="CCC0D9"/>
          </w:tcPr>
          <w:p w14:paraId="6489005D" w14:textId="77777777" w:rsidR="00BB3451" w:rsidRPr="00DF1741" w:rsidRDefault="00BB3451" w:rsidP="00131C34">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76DFD011" w14:textId="77777777" w:rsidR="00BB3451" w:rsidRPr="00DF1741" w:rsidRDefault="00BB3451" w:rsidP="00131C34">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033E05AE" w14:textId="77777777" w:rsidR="00BB3451" w:rsidRPr="00DF1741" w:rsidRDefault="00BB3451"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18" w:space="0" w:color="FFFFFF"/>
            </w:tcBorders>
            <w:shd w:val="clear" w:color="auto" w:fill="CCC0D9"/>
          </w:tcPr>
          <w:p w14:paraId="7D6C8E18" w14:textId="77777777" w:rsidR="00BB3451" w:rsidRPr="00DF1741" w:rsidRDefault="00BB3451" w:rsidP="00131C34">
            <w:pPr>
              <w:rPr>
                <w:rFonts w:ascii="Zapf Dingbats" w:hAnsi="Zapf Dingbats" w:cs="Gill Sans"/>
                <w:sz w:val="22"/>
                <w:szCs w:val="22"/>
                <w:lang w:val="en-GB"/>
              </w:rPr>
            </w:pPr>
          </w:p>
        </w:tc>
        <w:tc>
          <w:tcPr>
            <w:tcW w:w="450" w:type="dxa"/>
            <w:tcBorders>
              <w:top w:val="single" w:sz="18" w:space="0" w:color="FFFFFF"/>
              <w:left w:val="single" w:sz="18" w:space="0" w:color="FFFFFF"/>
              <w:bottom w:val="single" w:sz="8" w:space="0" w:color="FFFFFF" w:themeColor="background1"/>
              <w:right w:val="single" w:sz="8" w:space="0" w:color="FFFFFF" w:themeColor="background1"/>
            </w:tcBorders>
            <w:shd w:val="clear" w:color="auto" w:fill="B8CCE4"/>
          </w:tcPr>
          <w:p w14:paraId="48941D2A" w14:textId="77777777" w:rsidR="00BB3451" w:rsidRPr="00DF1741" w:rsidRDefault="00BB3451"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630" w:type="dxa"/>
            <w:tcBorders>
              <w:top w:val="single" w:sz="18" w:space="0" w:color="FFFFFF"/>
              <w:left w:val="single" w:sz="8" w:space="0" w:color="FFFFFF" w:themeColor="background1"/>
              <w:bottom w:val="single" w:sz="8" w:space="0" w:color="FFFFFF" w:themeColor="background1"/>
              <w:right w:val="single" w:sz="8" w:space="0" w:color="FFFFFF" w:themeColor="background1"/>
            </w:tcBorders>
            <w:shd w:val="clear" w:color="auto" w:fill="B8CCE4"/>
          </w:tcPr>
          <w:p w14:paraId="752FBB22" w14:textId="77777777" w:rsidR="00BB3451" w:rsidRPr="00DF1741" w:rsidRDefault="00BB3451" w:rsidP="00131C34">
            <w:pPr>
              <w:rPr>
                <w:rFonts w:ascii="Zapf Dingbats" w:hAnsi="Zapf Dingbats" w:cs="Gill Sans"/>
                <w:sz w:val="22"/>
                <w:szCs w:val="22"/>
                <w:lang w:val="en-GB"/>
              </w:rPr>
            </w:pPr>
          </w:p>
        </w:tc>
        <w:tc>
          <w:tcPr>
            <w:tcW w:w="450" w:type="dxa"/>
            <w:tcBorders>
              <w:top w:val="single" w:sz="18" w:space="0" w:color="FFFFFF"/>
              <w:left w:val="single" w:sz="8" w:space="0" w:color="FFFFFF" w:themeColor="background1"/>
              <w:bottom w:val="single" w:sz="8" w:space="0" w:color="FFFFFF" w:themeColor="background1"/>
              <w:right w:val="single" w:sz="8" w:space="0" w:color="FFFFFF" w:themeColor="background1"/>
            </w:tcBorders>
            <w:shd w:val="clear" w:color="auto" w:fill="B8CCE4"/>
          </w:tcPr>
          <w:p w14:paraId="432AF040" w14:textId="77777777" w:rsidR="00BB3451" w:rsidRPr="00DF1741" w:rsidRDefault="00BB3451" w:rsidP="00131C34">
            <w:pPr>
              <w:rPr>
                <w:rFonts w:ascii="Zapf Dingbats" w:hAnsi="Zapf Dingbats" w:cs="Gill Sans"/>
                <w:sz w:val="22"/>
                <w:szCs w:val="22"/>
                <w:lang w:val="en-GB"/>
              </w:rPr>
            </w:pPr>
          </w:p>
        </w:tc>
        <w:tc>
          <w:tcPr>
            <w:tcW w:w="540" w:type="dxa"/>
            <w:tcBorders>
              <w:top w:val="single" w:sz="18" w:space="0" w:color="FFFFFF"/>
              <w:left w:val="single" w:sz="8" w:space="0" w:color="FFFFFF" w:themeColor="background1"/>
              <w:bottom w:val="single" w:sz="8" w:space="0" w:color="FFFFFF" w:themeColor="background1"/>
              <w:right w:val="single" w:sz="18" w:space="0" w:color="FFFFFF"/>
            </w:tcBorders>
            <w:shd w:val="clear" w:color="auto" w:fill="B8CCE4"/>
          </w:tcPr>
          <w:p w14:paraId="614FAC7A" w14:textId="77777777" w:rsidR="00BB3451" w:rsidRPr="00DF1741" w:rsidRDefault="00BB3451" w:rsidP="00131C34">
            <w:pPr>
              <w:rPr>
                <w:rFonts w:ascii="Zapf Dingbats" w:hAnsi="Zapf Dingbats" w:cs="Gill Sans"/>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99594"/>
          </w:tcPr>
          <w:p w14:paraId="4898AD5F" w14:textId="77777777" w:rsidR="00BB3451" w:rsidRPr="00DF1741" w:rsidRDefault="00BB3451" w:rsidP="00131C34">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99594"/>
          </w:tcPr>
          <w:p w14:paraId="243FE251" w14:textId="77777777" w:rsidR="00BB3451" w:rsidRPr="00DF1741" w:rsidRDefault="00BB3451" w:rsidP="00131C34">
            <w:pPr>
              <w:rPr>
                <w:rFonts w:ascii="Zapf Dingbats" w:hAnsi="Zapf Dingbats" w:cs="Gill Sans"/>
                <w:sz w:val="22"/>
                <w:szCs w:val="22"/>
                <w:lang w:val="en-GB"/>
              </w:rPr>
            </w:pPr>
          </w:p>
        </w:tc>
        <w:tc>
          <w:tcPr>
            <w:tcW w:w="450" w:type="dxa"/>
            <w:vMerge w:val="restart"/>
            <w:tcBorders>
              <w:top w:val="single" w:sz="18" w:space="0" w:color="FFFFFF"/>
              <w:left w:val="single" w:sz="2" w:space="0" w:color="FFFFFF"/>
              <w:right w:val="single" w:sz="2" w:space="0" w:color="FFFFFF"/>
            </w:tcBorders>
            <w:shd w:val="clear" w:color="auto" w:fill="D99594"/>
          </w:tcPr>
          <w:p w14:paraId="41D9F7DF" w14:textId="77777777" w:rsidR="00BB3451" w:rsidRPr="00DF1741" w:rsidRDefault="00BB3451"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2" w:space="0" w:color="FFFFFF"/>
            </w:tcBorders>
            <w:shd w:val="clear" w:color="auto" w:fill="D99594"/>
          </w:tcPr>
          <w:p w14:paraId="6206F390" w14:textId="77777777" w:rsidR="00BB3451" w:rsidRPr="009651AC" w:rsidRDefault="00BB3451" w:rsidP="00131C34">
            <w:pPr>
              <w:rPr>
                <w:rFonts w:ascii="Gill Sans" w:hAnsi="Gill Sans" w:cs="Gill Sans"/>
                <w:sz w:val="22"/>
                <w:szCs w:val="22"/>
                <w:lang w:val="en-GB"/>
              </w:rPr>
            </w:pPr>
          </w:p>
        </w:tc>
        <w:tc>
          <w:tcPr>
            <w:tcW w:w="450" w:type="dxa"/>
            <w:vMerge w:val="restart"/>
            <w:tcBorders>
              <w:top w:val="single" w:sz="18" w:space="0" w:color="FFFFFF"/>
              <w:left w:val="single" w:sz="2" w:space="0" w:color="FFFFFF"/>
              <w:right w:val="single" w:sz="18" w:space="0" w:color="FFFFFF"/>
            </w:tcBorders>
            <w:shd w:val="clear" w:color="auto" w:fill="D99594"/>
          </w:tcPr>
          <w:p w14:paraId="3FBAB514" w14:textId="77777777" w:rsidR="00BB3451" w:rsidRPr="009651AC" w:rsidRDefault="00BB3451" w:rsidP="00131C34">
            <w:pPr>
              <w:rPr>
                <w:rFonts w:ascii="Gill Sans" w:hAnsi="Gill Sans" w:cs="Gill Sans"/>
                <w:sz w:val="22"/>
                <w:szCs w:val="22"/>
                <w:lang w:val="en-GB"/>
              </w:rPr>
            </w:pPr>
          </w:p>
        </w:tc>
      </w:tr>
      <w:tr w:rsidR="009B0529" w:rsidRPr="009651AC" w14:paraId="1CCE7D1F" w14:textId="77777777" w:rsidTr="00B017F8">
        <w:trPr>
          <w:trHeight w:val="340"/>
        </w:trPr>
        <w:tc>
          <w:tcPr>
            <w:tcW w:w="1520" w:type="dxa"/>
            <w:vMerge/>
            <w:tcBorders>
              <w:left w:val="single" w:sz="4" w:space="0" w:color="FFFFFF"/>
            </w:tcBorders>
            <w:shd w:val="clear" w:color="auto" w:fill="000000"/>
          </w:tcPr>
          <w:p w14:paraId="33FD299B" w14:textId="77777777" w:rsidR="00BB3451" w:rsidRPr="009651AC" w:rsidRDefault="00BB3451" w:rsidP="00131C34">
            <w:pPr>
              <w:rPr>
                <w:rFonts w:ascii="Gill Sans" w:hAnsi="Gill Sans" w:cs="Gill Sans"/>
                <w:noProof/>
                <w:color w:val="FFFFFF" w:themeColor="background1"/>
                <w:sz w:val="22"/>
                <w:szCs w:val="22"/>
                <w:lang w:val="en-GB"/>
              </w:rPr>
            </w:pPr>
          </w:p>
        </w:tc>
        <w:tc>
          <w:tcPr>
            <w:tcW w:w="518" w:type="dxa"/>
            <w:vMerge/>
            <w:tcBorders>
              <w:right w:val="single" w:sz="2" w:space="0" w:color="FFFFFF"/>
            </w:tcBorders>
            <w:shd w:val="clear" w:color="auto" w:fill="D6E3BC"/>
          </w:tcPr>
          <w:p w14:paraId="1231ED2A" w14:textId="77777777" w:rsidR="00BB3451" w:rsidRPr="009651AC" w:rsidRDefault="00BB3451" w:rsidP="00131C34">
            <w:pPr>
              <w:rPr>
                <w:rFonts w:ascii="Gill Sans" w:hAnsi="Gill Sans" w:cs="Gill Sans"/>
                <w:sz w:val="22"/>
                <w:szCs w:val="22"/>
                <w:lang w:val="en-GB"/>
              </w:rPr>
            </w:pPr>
          </w:p>
        </w:tc>
        <w:tc>
          <w:tcPr>
            <w:tcW w:w="451" w:type="dxa"/>
            <w:vMerge/>
            <w:tcBorders>
              <w:left w:val="single" w:sz="2" w:space="0" w:color="FFFFFF"/>
              <w:right w:val="single" w:sz="2" w:space="0" w:color="FFFFFF"/>
            </w:tcBorders>
            <w:shd w:val="clear" w:color="auto" w:fill="D6E3BC"/>
          </w:tcPr>
          <w:p w14:paraId="20640D2C" w14:textId="77777777" w:rsidR="00BB3451" w:rsidRPr="009651AC" w:rsidRDefault="00BB3451" w:rsidP="00131C34">
            <w:pPr>
              <w:rPr>
                <w:rFonts w:ascii="Gill Sans" w:hAnsi="Gill Sans" w:cs="Gill Sans"/>
                <w:sz w:val="22"/>
                <w:szCs w:val="22"/>
                <w:lang w:val="en-GB"/>
              </w:rPr>
            </w:pPr>
          </w:p>
        </w:tc>
        <w:tc>
          <w:tcPr>
            <w:tcW w:w="362" w:type="dxa"/>
            <w:vMerge/>
            <w:tcBorders>
              <w:left w:val="single" w:sz="2" w:space="0" w:color="FFFFFF"/>
              <w:right w:val="single" w:sz="2" w:space="0" w:color="FFFFFF"/>
            </w:tcBorders>
            <w:shd w:val="clear" w:color="auto" w:fill="D6E3BC"/>
          </w:tcPr>
          <w:p w14:paraId="395A0B34" w14:textId="77777777" w:rsidR="00BB3451" w:rsidRPr="009651AC" w:rsidRDefault="00BB3451" w:rsidP="00131C34">
            <w:pPr>
              <w:rPr>
                <w:rFonts w:ascii="Gill Sans" w:hAnsi="Gill Sans" w:cs="Gill Sans"/>
                <w:noProof/>
                <w:sz w:val="22"/>
                <w:szCs w:val="22"/>
                <w:lang w:val="en-GB"/>
              </w:rPr>
            </w:pPr>
          </w:p>
        </w:tc>
        <w:tc>
          <w:tcPr>
            <w:tcW w:w="363" w:type="dxa"/>
            <w:vMerge/>
            <w:tcBorders>
              <w:left w:val="single" w:sz="2" w:space="0" w:color="FFFFFF"/>
              <w:right w:val="single" w:sz="18" w:space="0" w:color="FFFFFF"/>
            </w:tcBorders>
            <w:shd w:val="clear" w:color="auto" w:fill="D6E3BC"/>
          </w:tcPr>
          <w:p w14:paraId="4E6CA8E6" w14:textId="77777777" w:rsidR="00BB3451" w:rsidRPr="009651AC" w:rsidRDefault="00BB3451" w:rsidP="00131C34">
            <w:pPr>
              <w:rPr>
                <w:rFonts w:ascii="Gill Sans" w:hAnsi="Gill Sans" w:cs="Gill Sans"/>
                <w:sz w:val="22"/>
                <w:szCs w:val="22"/>
                <w:lang w:val="en-GB"/>
              </w:rPr>
            </w:pPr>
          </w:p>
        </w:tc>
        <w:tc>
          <w:tcPr>
            <w:tcW w:w="389" w:type="dxa"/>
            <w:vMerge/>
            <w:tcBorders>
              <w:left w:val="single" w:sz="2" w:space="0" w:color="FFFFFF"/>
              <w:right w:val="single" w:sz="2" w:space="0" w:color="FFFFFF"/>
            </w:tcBorders>
            <w:shd w:val="clear" w:color="auto" w:fill="FBD4B4"/>
          </w:tcPr>
          <w:p w14:paraId="399865AF" w14:textId="77777777" w:rsidR="00BB3451" w:rsidRPr="009651AC" w:rsidRDefault="00BB3451" w:rsidP="00131C34">
            <w:pPr>
              <w:rPr>
                <w:rFonts w:ascii="Gill Sans" w:hAnsi="Gill Sans" w:cs="Gill Sans"/>
                <w:noProof/>
                <w:sz w:val="22"/>
                <w:szCs w:val="22"/>
                <w:lang w:val="en-GB"/>
              </w:rPr>
            </w:pPr>
          </w:p>
        </w:tc>
        <w:tc>
          <w:tcPr>
            <w:tcW w:w="388" w:type="dxa"/>
            <w:vMerge/>
            <w:tcBorders>
              <w:left w:val="single" w:sz="2" w:space="0" w:color="FFFFFF"/>
              <w:right w:val="single" w:sz="2" w:space="0" w:color="FFFFFF"/>
            </w:tcBorders>
            <w:shd w:val="clear" w:color="auto" w:fill="FBD4B4"/>
          </w:tcPr>
          <w:p w14:paraId="2681B428" w14:textId="77777777" w:rsidR="00BB3451" w:rsidRPr="009651AC" w:rsidRDefault="00BB3451" w:rsidP="00131C34">
            <w:pPr>
              <w:rPr>
                <w:rFonts w:ascii="Gill Sans" w:hAnsi="Gill San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58E9243E" w14:textId="77777777" w:rsidR="00BB3451" w:rsidRPr="009651AC" w:rsidRDefault="00BB3451" w:rsidP="00131C34">
            <w:pPr>
              <w:rPr>
                <w:rFonts w:ascii="Gill Sans" w:hAnsi="Gill Sans" w:cs="Gill Sans"/>
                <w:sz w:val="22"/>
                <w:szCs w:val="22"/>
                <w:lang w:val="en-GB"/>
              </w:rPr>
            </w:pPr>
          </w:p>
        </w:tc>
        <w:tc>
          <w:tcPr>
            <w:tcW w:w="826" w:type="dxa"/>
            <w:vMerge/>
            <w:tcBorders>
              <w:left w:val="single" w:sz="2" w:space="0" w:color="FFFFFF"/>
              <w:right w:val="single" w:sz="18" w:space="0" w:color="FFFFFF"/>
            </w:tcBorders>
            <w:shd w:val="clear" w:color="auto" w:fill="FBD4B4"/>
          </w:tcPr>
          <w:p w14:paraId="032043D5" w14:textId="77777777" w:rsidR="00BB3451" w:rsidRPr="009651AC" w:rsidRDefault="00BB3451" w:rsidP="00131C34">
            <w:pPr>
              <w:rPr>
                <w:rFonts w:ascii="Gill Sans" w:hAnsi="Gill Sans" w:cs="Gill Sans"/>
                <w:sz w:val="22"/>
                <w:szCs w:val="22"/>
                <w:lang w:val="en-GB"/>
              </w:rPr>
            </w:pPr>
          </w:p>
        </w:tc>
        <w:tc>
          <w:tcPr>
            <w:tcW w:w="365" w:type="dxa"/>
            <w:vMerge/>
            <w:tcBorders>
              <w:left w:val="single" w:sz="18" w:space="0" w:color="FFFFFF"/>
              <w:right w:val="single" w:sz="2" w:space="0" w:color="FFFFFF"/>
            </w:tcBorders>
            <w:shd w:val="clear" w:color="auto" w:fill="CCC0D9"/>
          </w:tcPr>
          <w:p w14:paraId="07D6E5AD" w14:textId="77777777" w:rsidR="00BB3451" w:rsidRPr="009651AC" w:rsidRDefault="00BB3451" w:rsidP="00131C34">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CCC0D9"/>
          </w:tcPr>
          <w:p w14:paraId="5A35C02A" w14:textId="77777777" w:rsidR="00BB3451" w:rsidRPr="009651AC" w:rsidRDefault="00BB3451" w:rsidP="00131C34">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CCC0D9"/>
          </w:tcPr>
          <w:p w14:paraId="5B1A036F" w14:textId="77777777" w:rsidR="00BB3451" w:rsidRPr="009651AC" w:rsidRDefault="00BB3451" w:rsidP="00131C34">
            <w:pPr>
              <w:rPr>
                <w:rFonts w:ascii="Gill Sans" w:hAnsi="Gill Sans" w:cs="Gill Sans"/>
                <w:noProof/>
                <w:sz w:val="22"/>
                <w:szCs w:val="22"/>
                <w:lang w:val="en-GB"/>
              </w:rPr>
            </w:pPr>
          </w:p>
        </w:tc>
        <w:tc>
          <w:tcPr>
            <w:tcW w:w="450" w:type="dxa"/>
            <w:vMerge/>
            <w:tcBorders>
              <w:left w:val="single" w:sz="2" w:space="0" w:color="FFFFFF"/>
              <w:right w:val="single" w:sz="18" w:space="0" w:color="FFFFFF"/>
            </w:tcBorders>
            <w:shd w:val="clear" w:color="auto" w:fill="CCC0D9"/>
          </w:tcPr>
          <w:p w14:paraId="1002915E" w14:textId="77777777" w:rsidR="00BB3451" w:rsidRPr="009651AC" w:rsidRDefault="00BB3451" w:rsidP="00131C34">
            <w:pPr>
              <w:rPr>
                <w:rFonts w:ascii="Gill Sans" w:hAnsi="Gill Sans" w:cs="Gill Sans"/>
                <w:sz w:val="22"/>
                <w:szCs w:val="22"/>
                <w:lang w:val="en-GB"/>
              </w:rPr>
            </w:pPr>
          </w:p>
        </w:tc>
        <w:tc>
          <w:tcPr>
            <w:tcW w:w="450" w:type="dxa"/>
            <w:tcBorders>
              <w:top w:val="single" w:sz="8" w:space="0" w:color="FFFFFF" w:themeColor="background1"/>
              <w:left w:val="single" w:sz="18" w:space="0" w:color="FFFFFF"/>
              <w:right w:val="single" w:sz="8" w:space="0" w:color="FFFFFF" w:themeColor="background1"/>
            </w:tcBorders>
            <w:shd w:val="clear" w:color="auto" w:fill="B8CCE4"/>
          </w:tcPr>
          <w:p w14:paraId="4D8F8708" w14:textId="77777777" w:rsidR="00BB3451" w:rsidRPr="009651AC" w:rsidRDefault="00BB3451" w:rsidP="00131C34">
            <w:pPr>
              <w:rPr>
                <w:rFonts w:ascii="Gill Sans" w:hAnsi="Gill Sans" w:cs="Gill Sans"/>
                <w:noProof/>
                <w:sz w:val="22"/>
                <w:szCs w:val="22"/>
                <w:lang w:val="en-GB"/>
              </w:rPr>
            </w:pPr>
          </w:p>
        </w:tc>
        <w:tc>
          <w:tcPr>
            <w:tcW w:w="630" w:type="dxa"/>
            <w:tcBorders>
              <w:top w:val="single" w:sz="8" w:space="0" w:color="FFFFFF" w:themeColor="background1"/>
              <w:left w:val="single" w:sz="8" w:space="0" w:color="FFFFFF" w:themeColor="background1"/>
              <w:right w:val="single" w:sz="8" w:space="0" w:color="FFFFFF" w:themeColor="background1"/>
            </w:tcBorders>
            <w:shd w:val="clear" w:color="auto" w:fill="B8CCE4"/>
          </w:tcPr>
          <w:p w14:paraId="163C2D7A" w14:textId="77777777" w:rsidR="00BB3451" w:rsidRPr="009651AC" w:rsidRDefault="00BB3451" w:rsidP="00131C34">
            <w:pPr>
              <w:rPr>
                <w:rFonts w:ascii="Gill Sans" w:hAnsi="Gill Sans" w:cs="Gill Sans"/>
                <w:noProof/>
                <w:sz w:val="22"/>
                <w:szCs w:val="22"/>
                <w:lang w:val="en-GB"/>
              </w:rPr>
            </w:pPr>
          </w:p>
        </w:tc>
        <w:tc>
          <w:tcPr>
            <w:tcW w:w="450" w:type="dxa"/>
            <w:tcBorders>
              <w:top w:val="single" w:sz="8" w:space="0" w:color="FFFFFF" w:themeColor="background1"/>
              <w:left w:val="single" w:sz="8" w:space="0" w:color="FFFFFF" w:themeColor="background1"/>
              <w:right w:val="single" w:sz="8" w:space="0" w:color="FFFFFF" w:themeColor="background1"/>
            </w:tcBorders>
            <w:shd w:val="clear" w:color="auto" w:fill="B8CCE4"/>
          </w:tcPr>
          <w:p w14:paraId="1DA9668E" w14:textId="68BA0522" w:rsidR="00BB3451" w:rsidRPr="00DF1741" w:rsidRDefault="00BB3451" w:rsidP="00131C34">
            <w:pPr>
              <w:rPr>
                <w:rFonts w:ascii="Zapf Dingbats" w:hAnsi="Zapf Dingbats" w:cs="Gill Sans"/>
                <w:noProof/>
                <w:sz w:val="22"/>
                <w:szCs w:val="22"/>
                <w:lang w:val="en-GB"/>
              </w:rPr>
            </w:pPr>
          </w:p>
        </w:tc>
        <w:tc>
          <w:tcPr>
            <w:tcW w:w="540" w:type="dxa"/>
            <w:tcBorders>
              <w:top w:val="single" w:sz="8" w:space="0" w:color="FFFFFF" w:themeColor="background1"/>
              <w:left w:val="single" w:sz="8" w:space="0" w:color="FFFFFF" w:themeColor="background1"/>
              <w:right w:val="single" w:sz="18" w:space="0" w:color="FFFFFF"/>
            </w:tcBorders>
            <w:shd w:val="clear" w:color="auto" w:fill="B8CCE4"/>
          </w:tcPr>
          <w:p w14:paraId="06D02923" w14:textId="4363E702" w:rsidR="00BB3451" w:rsidRPr="009651AC" w:rsidRDefault="00581D4D" w:rsidP="00131C34">
            <w:pPr>
              <w:rPr>
                <w:rFonts w:ascii="Gill Sans" w:hAnsi="Gill Sans" w:cs="Gill Sans"/>
                <w:noProof/>
                <w:sz w:val="22"/>
                <w:szCs w:val="22"/>
              </w:rPr>
            </w:pPr>
            <w:r w:rsidRPr="00DF1741">
              <w:rPr>
                <w:rFonts w:ascii="Zapf Dingbats" w:eastAsia="MS Mincho" w:hAnsi="Zapf Dingbats" w:cs="MS Mincho"/>
                <w:noProof/>
                <w:sz w:val="22"/>
                <w:szCs w:val="22"/>
                <w:lang w:val="en-GB"/>
              </w:rPr>
              <w:t>✔</w:t>
            </w:r>
          </w:p>
        </w:tc>
        <w:tc>
          <w:tcPr>
            <w:tcW w:w="360" w:type="dxa"/>
            <w:vMerge/>
            <w:tcBorders>
              <w:left w:val="single" w:sz="18" w:space="0" w:color="FFFFFF"/>
              <w:right w:val="single" w:sz="2" w:space="0" w:color="FFFFFF"/>
            </w:tcBorders>
            <w:shd w:val="clear" w:color="auto" w:fill="D99594"/>
          </w:tcPr>
          <w:p w14:paraId="7AC6C521" w14:textId="77777777" w:rsidR="00BB3451" w:rsidRPr="009651AC" w:rsidRDefault="00BB3451" w:rsidP="00131C34">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368583A4" w14:textId="77777777" w:rsidR="00BB3451" w:rsidRPr="009651AC" w:rsidRDefault="00BB3451" w:rsidP="00131C34">
            <w:pPr>
              <w:rPr>
                <w:rFonts w:ascii="Gill Sans" w:hAnsi="Gill Sans" w:cs="Gill Sans"/>
                <w:sz w:val="22"/>
                <w:szCs w:val="22"/>
                <w:lang w:val="en-GB"/>
              </w:rPr>
            </w:pPr>
          </w:p>
        </w:tc>
        <w:tc>
          <w:tcPr>
            <w:tcW w:w="450" w:type="dxa"/>
            <w:vMerge/>
            <w:tcBorders>
              <w:left w:val="single" w:sz="2" w:space="0" w:color="FFFFFF"/>
              <w:right w:val="single" w:sz="2" w:space="0" w:color="FFFFFF"/>
            </w:tcBorders>
            <w:shd w:val="clear" w:color="auto" w:fill="D99594"/>
          </w:tcPr>
          <w:p w14:paraId="3B17FFC6" w14:textId="77777777" w:rsidR="00BB3451" w:rsidRPr="009651AC" w:rsidRDefault="00BB3451" w:rsidP="00131C34">
            <w:pPr>
              <w:rPr>
                <w:rFonts w:ascii="Gill Sans" w:hAnsi="Gill Sans" w:cs="Gill Sans"/>
                <w:noProof/>
                <w:sz w:val="22"/>
                <w:szCs w:val="22"/>
                <w:lang w:val="en-GB"/>
              </w:rPr>
            </w:pPr>
          </w:p>
        </w:tc>
        <w:tc>
          <w:tcPr>
            <w:tcW w:w="360" w:type="dxa"/>
            <w:vMerge/>
            <w:tcBorders>
              <w:left w:val="single" w:sz="2" w:space="0" w:color="FFFFFF"/>
              <w:right w:val="single" w:sz="2" w:space="0" w:color="FFFFFF"/>
            </w:tcBorders>
            <w:shd w:val="clear" w:color="auto" w:fill="D99594"/>
          </w:tcPr>
          <w:p w14:paraId="22BC1690" w14:textId="77777777" w:rsidR="00BB3451" w:rsidRPr="009651AC" w:rsidRDefault="00BB3451" w:rsidP="00131C34">
            <w:pPr>
              <w:rPr>
                <w:rFonts w:ascii="Gill Sans" w:hAnsi="Gill Sans" w:cs="Gill Sans"/>
                <w:sz w:val="22"/>
                <w:szCs w:val="22"/>
                <w:lang w:val="en-GB"/>
              </w:rPr>
            </w:pPr>
          </w:p>
        </w:tc>
        <w:tc>
          <w:tcPr>
            <w:tcW w:w="450" w:type="dxa"/>
            <w:vMerge/>
            <w:tcBorders>
              <w:left w:val="single" w:sz="2" w:space="0" w:color="FFFFFF"/>
              <w:right w:val="single" w:sz="18" w:space="0" w:color="FFFFFF"/>
            </w:tcBorders>
            <w:shd w:val="clear" w:color="auto" w:fill="D99594"/>
          </w:tcPr>
          <w:p w14:paraId="24BA5EAB" w14:textId="77777777" w:rsidR="00BB3451" w:rsidRPr="009651AC" w:rsidRDefault="00BB3451" w:rsidP="00131C34">
            <w:pPr>
              <w:rPr>
                <w:rFonts w:ascii="Gill Sans" w:hAnsi="Gill Sans" w:cs="Gill Sans"/>
                <w:sz w:val="22"/>
                <w:szCs w:val="22"/>
                <w:lang w:val="en-GB"/>
              </w:rPr>
            </w:pPr>
          </w:p>
        </w:tc>
      </w:tr>
    </w:tbl>
    <w:p w14:paraId="5A9E7053" w14:textId="77777777" w:rsidR="005B031B" w:rsidRDefault="005B031B">
      <w:pPr>
        <w:rPr>
          <w:highlight w:val="yellow"/>
        </w:rPr>
      </w:pPr>
    </w:p>
    <w:p w14:paraId="0B480250" w14:textId="53C6C1B8" w:rsidR="005B031B" w:rsidRPr="00BB3451" w:rsidRDefault="005B031B" w:rsidP="006319F4">
      <w:pPr>
        <w:pStyle w:val="Heading3"/>
      </w:pPr>
      <w:r w:rsidRPr="00BB3451">
        <w:t xml:space="preserve">Commitment </w:t>
      </w:r>
      <w:r w:rsidR="005D0F4B">
        <w:t>a</w:t>
      </w:r>
      <w:r w:rsidRPr="00BB3451">
        <w:t>im</w:t>
      </w:r>
    </w:p>
    <w:p w14:paraId="648D6897" w14:textId="5ED8AD71" w:rsidR="005B031B" w:rsidRPr="00BB3451" w:rsidRDefault="005B031B" w:rsidP="00163080">
      <w:pPr>
        <w:spacing w:after="120"/>
        <w:rPr>
          <w:rFonts w:ascii="Gill Sans" w:hAnsi="Gill Sans" w:cs="Gill Sans"/>
          <w:sz w:val="22"/>
          <w:szCs w:val="22"/>
          <w:lang w:val="en-GB"/>
        </w:rPr>
      </w:pPr>
      <w:r w:rsidRPr="00BB3451">
        <w:rPr>
          <w:rFonts w:ascii="Gill Sans" w:hAnsi="Gill Sans" w:cs="Gill Sans"/>
          <w:sz w:val="22"/>
          <w:szCs w:val="22"/>
          <w:lang w:val="en-GB"/>
        </w:rPr>
        <w:t xml:space="preserve">Both commitments </w:t>
      </w:r>
      <w:r w:rsidR="00A0032F">
        <w:rPr>
          <w:rFonts w:ascii="Gill Sans" w:hAnsi="Gill Sans" w:cs="Gill Sans"/>
          <w:sz w:val="22"/>
          <w:szCs w:val="22"/>
          <w:lang w:val="en-GB"/>
        </w:rPr>
        <w:t>were designed</w:t>
      </w:r>
      <w:r w:rsidR="00A0032F" w:rsidRPr="00BB3451">
        <w:rPr>
          <w:rFonts w:ascii="Gill Sans" w:hAnsi="Gill Sans" w:cs="Gill Sans"/>
          <w:sz w:val="22"/>
          <w:szCs w:val="22"/>
          <w:lang w:val="en-GB"/>
        </w:rPr>
        <w:t xml:space="preserve"> </w:t>
      </w:r>
      <w:r w:rsidRPr="00BB3451">
        <w:rPr>
          <w:rFonts w:ascii="Gill Sans" w:hAnsi="Gill Sans" w:cs="Gill Sans"/>
          <w:sz w:val="22"/>
          <w:szCs w:val="22"/>
          <w:lang w:val="en-GB"/>
        </w:rPr>
        <w:t xml:space="preserve">to </w:t>
      </w:r>
      <w:r w:rsidR="00B91BB2" w:rsidRPr="00BB3451">
        <w:rPr>
          <w:rFonts w:ascii="Gill Sans" w:hAnsi="Gill Sans" w:cs="Gill Sans"/>
          <w:sz w:val="22"/>
          <w:szCs w:val="22"/>
          <w:lang w:val="en-GB"/>
        </w:rPr>
        <w:t>create</w:t>
      </w:r>
      <w:r w:rsidR="004B799A" w:rsidRPr="00BB3451">
        <w:rPr>
          <w:rFonts w:ascii="Gill Sans" w:hAnsi="Gill Sans" w:cs="Gill Sans"/>
          <w:sz w:val="22"/>
          <w:szCs w:val="22"/>
          <w:lang w:val="en-GB"/>
        </w:rPr>
        <w:t xml:space="preserve"> </w:t>
      </w:r>
      <w:r w:rsidR="008B47D0">
        <w:rPr>
          <w:rFonts w:ascii="Gill Sans" w:hAnsi="Gill Sans" w:cs="Gill Sans"/>
          <w:sz w:val="22"/>
          <w:szCs w:val="22"/>
          <w:lang w:val="en-GB"/>
        </w:rPr>
        <w:t>an</w:t>
      </w:r>
      <w:r w:rsidR="00B91BB2" w:rsidRPr="00BB3451">
        <w:rPr>
          <w:rFonts w:ascii="Gill Sans" w:hAnsi="Gill Sans" w:cs="Gill Sans"/>
          <w:sz w:val="22"/>
          <w:szCs w:val="22"/>
          <w:lang w:val="en-GB"/>
        </w:rPr>
        <w:t xml:space="preserve"> enabling environment for civil society organisations</w:t>
      </w:r>
      <w:r w:rsidRPr="00BB3451">
        <w:rPr>
          <w:rFonts w:ascii="Gill Sans" w:hAnsi="Gill Sans" w:cs="Gill Sans"/>
          <w:sz w:val="22"/>
          <w:szCs w:val="22"/>
          <w:lang w:val="en-GB"/>
        </w:rPr>
        <w:t xml:space="preserve">. Commitment </w:t>
      </w:r>
      <w:r w:rsidR="00A0032F">
        <w:rPr>
          <w:rFonts w:ascii="Gill Sans" w:hAnsi="Gill Sans" w:cs="Gill Sans"/>
          <w:sz w:val="22"/>
          <w:szCs w:val="22"/>
          <w:lang w:val="en-GB"/>
        </w:rPr>
        <w:t>2</w:t>
      </w:r>
      <w:r w:rsidR="00A0032F" w:rsidRPr="00BB3451">
        <w:rPr>
          <w:rFonts w:ascii="Gill Sans" w:hAnsi="Gill Sans" w:cs="Gill Sans"/>
          <w:sz w:val="22"/>
          <w:szCs w:val="22"/>
          <w:lang w:val="en-GB"/>
        </w:rPr>
        <w:t xml:space="preserve"> </w:t>
      </w:r>
      <w:r w:rsidR="006A0EE8">
        <w:rPr>
          <w:rFonts w:ascii="Gill Sans" w:hAnsi="Gill Sans" w:cs="Gill Sans"/>
          <w:sz w:val="22"/>
          <w:szCs w:val="22"/>
          <w:lang w:val="en-GB"/>
        </w:rPr>
        <w:t>focused</w:t>
      </w:r>
      <w:r w:rsidRPr="00BB3451">
        <w:rPr>
          <w:rFonts w:ascii="Gill Sans" w:hAnsi="Gill Sans" w:cs="Gill Sans"/>
          <w:sz w:val="22"/>
          <w:szCs w:val="22"/>
          <w:lang w:val="en-GB"/>
        </w:rPr>
        <w:t xml:space="preserve"> on improving </w:t>
      </w:r>
      <w:r w:rsidR="00711ADE" w:rsidRPr="00BB3451">
        <w:rPr>
          <w:rFonts w:ascii="Gill Sans" w:hAnsi="Gill Sans" w:cs="Gill Sans"/>
          <w:sz w:val="22"/>
          <w:szCs w:val="22"/>
          <w:lang w:val="en-GB"/>
        </w:rPr>
        <w:t xml:space="preserve">legislation </w:t>
      </w:r>
      <w:r w:rsidRPr="00BB3451">
        <w:rPr>
          <w:rFonts w:ascii="Gill Sans" w:hAnsi="Gill Sans" w:cs="Gill Sans"/>
          <w:sz w:val="22"/>
          <w:szCs w:val="22"/>
          <w:lang w:val="en-GB"/>
        </w:rPr>
        <w:t xml:space="preserve">to </w:t>
      </w:r>
      <w:r w:rsidR="00711ADE" w:rsidRPr="00BB3451">
        <w:rPr>
          <w:rFonts w:ascii="Gill Sans" w:hAnsi="Gill Sans" w:cs="Gill Sans"/>
          <w:sz w:val="22"/>
          <w:szCs w:val="22"/>
          <w:lang w:val="en-GB"/>
        </w:rPr>
        <w:t>provide additional financial support to charities in Ukraine</w:t>
      </w:r>
      <w:r w:rsidRPr="00BB3451">
        <w:rPr>
          <w:rFonts w:ascii="Gill Sans" w:hAnsi="Gill Sans" w:cs="Gill Sans"/>
          <w:noProof/>
          <w:sz w:val="22"/>
          <w:szCs w:val="22"/>
          <w:lang w:val="en-GB"/>
        </w:rPr>
        <w:t>.</w:t>
      </w:r>
      <w:r w:rsidRPr="00BB3451">
        <w:rPr>
          <w:rFonts w:ascii="Gill Sans" w:hAnsi="Gill Sans" w:cs="Gill Sans"/>
          <w:i/>
          <w:noProof/>
          <w:sz w:val="22"/>
          <w:szCs w:val="22"/>
          <w:lang w:val="en-GB"/>
        </w:rPr>
        <w:t xml:space="preserve"> </w:t>
      </w:r>
      <w:r w:rsidRPr="00BB3451">
        <w:rPr>
          <w:rFonts w:ascii="Gill Sans" w:hAnsi="Gill Sans" w:cs="Gill Sans"/>
          <w:noProof/>
          <w:sz w:val="22"/>
          <w:szCs w:val="22"/>
          <w:lang w:val="en-GB"/>
        </w:rPr>
        <w:t xml:space="preserve">Commitment </w:t>
      </w:r>
      <w:r w:rsidR="00A0032F">
        <w:rPr>
          <w:rFonts w:ascii="Gill Sans" w:hAnsi="Gill Sans" w:cs="Gill Sans"/>
          <w:noProof/>
          <w:sz w:val="22"/>
          <w:szCs w:val="22"/>
          <w:lang w:val="en-GB"/>
        </w:rPr>
        <w:t>3</w:t>
      </w:r>
      <w:r w:rsidR="00A0032F" w:rsidRPr="00BB3451">
        <w:rPr>
          <w:rFonts w:ascii="Gill Sans" w:hAnsi="Gill Sans" w:cs="Gill Sans"/>
          <w:noProof/>
          <w:sz w:val="22"/>
          <w:szCs w:val="22"/>
          <w:lang w:val="en-GB"/>
        </w:rPr>
        <w:t xml:space="preserve"> </w:t>
      </w:r>
      <w:r w:rsidR="006A0EE8">
        <w:rPr>
          <w:rFonts w:ascii="Gill Sans" w:hAnsi="Gill Sans" w:cs="Gill Sans"/>
          <w:noProof/>
          <w:sz w:val="22"/>
          <w:szCs w:val="22"/>
          <w:lang w:val="en-GB"/>
        </w:rPr>
        <w:t>aimed</w:t>
      </w:r>
      <w:r w:rsidRPr="00BB3451">
        <w:rPr>
          <w:rFonts w:ascii="Gill Sans" w:hAnsi="Gill Sans" w:cs="Gill Sans"/>
          <w:noProof/>
          <w:sz w:val="22"/>
          <w:szCs w:val="22"/>
          <w:lang w:val="en-GB"/>
        </w:rPr>
        <w:t xml:space="preserve"> to </w:t>
      </w:r>
      <w:r w:rsidR="00711ADE" w:rsidRPr="00BB3451">
        <w:rPr>
          <w:rFonts w:ascii="Gill Sans" w:hAnsi="Gill Sans" w:cs="Gill Sans"/>
          <w:noProof/>
          <w:sz w:val="22"/>
          <w:szCs w:val="22"/>
          <w:lang w:val="en-GB"/>
        </w:rPr>
        <w:t xml:space="preserve">simplify </w:t>
      </w:r>
      <w:r w:rsidR="00531827">
        <w:rPr>
          <w:rFonts w:ascii="Gill Sans" w:hAnsi="Gill Sans" w:cs="Gill Sans"/>
          <w:noProof/>
          <w:sz w:val="22"/>
          <w:szCs w:val="22"/>
          <w:lang w:val="en-GB"/>
        </w:rPr>
        <w:t xml:space="preserve">the </w:t>
      </w:r>
      <w:r w:rsidR="00711ADE" w:rsidRPr="00BB3451">
        <w:rPr>
          <w:rFonts w:ascii="Gill Sans" w:hAnsi="Gill Sans" w:cs="Gill Sans"/>
          <w:noProof/>
          <w:sz w:val="22"/>
          <w:szCs w:val="22"/>
          <w:lang w:val="en-GB"/>
        </w:rPr>
        <w:t>procedure for granting CSOs non-profit status</w:t>
      </w:r>
      <w:r w:rsidRPr="00BB3451">
        <w:rPr>
          <w:rFonts w:ascii="Gill Sans" w:hAnsi="Gill Sans" w:cs="Gill Sans"/>
          <w:sz w:val="22"/>
          <w:szCs w:val="22"/>
          <w:lang w:val="en-GB"/>
        </w:rPr>
        <w:t xml:space="preserve">. If implemented, this would be a step forward in improving </w:t>
      </w:r>
      <w:r w:rsidR="00711ADE" w:rsidRPr="00BB3451">
        <w:rPr>
          <w:rFonts w:ascii="Gill Sans" w:hAnsi="Gill Sans" w:cs="Gill Sans"/>
          <w:sz w:val="22"/>
          <w:szCs w:val="22"/>
          <w:lang w:val="en-GB"/>
        </w:rPr>
        <w:t xml:space="preserve">conditions for </w:t>
      </w:r>
      <w:r w:rsidR="00A0032F">
        <w:rPr>
          <w:rFonts w:ascii="Gill Sans" w:hAnsi="Gill Sans" w:cs="Gill Sans"/>
          <w:sz w:val="22"/>
          <w:szCs w:val="22"/>
          <w:lang w:val="en-GB"/>
        </w:rPr>
        <w:t xml:space="preserve">the </w:t>
      </w:r>
      <w:r w:rsidR="00711ADE" w:rsidRPr="00BB3451">
        <w:rPr>
          <w:rFonts w:ascii="Gill Sans" w:hAnsi="Gill Sans" w:cs="Gill Sans"/>
          <w:sz w:val="22"/>
          <w:szCs w:val="22"/>
          <w:lang w:val="en-GB"/>
        </w:rPr>
        <w:t xml:space="preserve">operation of charities and other </w:t>
      </w:r>
      <w:r w:rsidR="00A0032F">
        <w:rPr>
          <w:rFonts w:ascii="Gill Sans" w:hAnsi="Gill Sans" w:cs="Gill Sans"/>
          <w:sz w:val="22"/>
          <w:szCs w:val="22"/>
          <w:lang w:val="en-GB"/>
        </w:rPr>
        <w:t>non</w:t>
      </w:r>
      <w:r w:rsidR="00711ADE" w:rsidRPr="00BB3451">
        <w:rPr>
          <w:rFonts w:ascii="Gill Sans" w:hAnsi="Gill Sans" w:cs="Gill Sans"/>
          <w:sz w:val="22"/>
          <w:szCs w:val="22"/>
          <w:lang w:val="en-GB"/>
        </w:rPr>
        <w:t>-profit organisations in Ukraine</w:t>
      </w:r>
      <w:r w:rsidR="00A0032F">
        <w:rPr>
          <w:rFonts w:ascii="Gill Sans" w:hAnsi="Gill Sans" w:cs="Gill Sans"/>
          <w:sz w:val="22"/>
          <w:szCs w:val="22"/>
          <w:lang w:val="en-GB"/>
        </w:rPr>
        <w:t>, as they would</w:t>
      </w:r>
      <w:r w:rsidR="00711ADE" w:rsidRPr="00BB3451">
        <w:rPr>
          <w:rFonts w:ascii="Gill Sans" w:hAnsi="Gill Sans" w:cs="Gill Sans"/>
          <w:sz w:val="22"/>
          <w:szCs w:val="22"/>
          <w:lang w:val="en-GB"/>
        </w:rPr>
        <w:t xml:space="preserve"> alleviat</w:t>
      </w:r>
      <w:r w:rsidR="00A0032F">
        <w:rPr>
          <w:rFonts w:ascii="Gill Sans" w:hAnsi="Gill Sans" w:cs="Gill Sans"/>
          <w:sz w:val="22"/>
          <w:szCs w:val="22"/>
          <w:lang w:val="en-GB"/>
        </w:rPr>
        <w:t>e</w:t>
      </w:r>
      <w:r w:rsidR="00711ADE" w:rsidRPr="00BB3451">
        <w:rPr>
          <w:rFonts w:ascii="Gill Sans" w:hAnsi="Gill Sans" w:cs="Gill Sans"/>
          <w:sz w:val="22"/>
          <w:szCs w:val="22"/>
          <w:lang w:val="en-GB"/>
        </w:rPr>
        <w:t xml:space="preserve"> some </w:t>
      </w:r>
      <w:r w:rsidR="00A0032F">
        <w:rPr>
          <w:rFonts w:ascii="Gill Sans" w:hAnsi="Gill Sans" w:cs="Gill Sans"/>
          <w:sz w:val="22"/>
          <w:szCs w:val="22"/>
          <w:lang w:val="en-GB"/>
        </w:rPr>
        <w:t xml:space="preserve">of the </w:t>
      </w:r>
      <w:r w:rsidR="00711ADE" w:rsidRPr="00BB3451">
        <w:rPr>
          <w:rFonts w:ascii="Gill Sans" w:hAnsi="Gill Sans" w:cs="Gill Sans"/>
          <w:sz w:val="22"/>
          <w:szCs w:val="22"/>
          <w:lang w:val="en-GB"/>
        </w:rPr>
        <w:t>administrative barriers</w:t>
      </w:r>
      <w:r w:rsidR="006A0EE8">
        <w:rPr>
          <w:rFonts w:ascii="Gill Sans" w:hAnsi="Gill Sans" w:cs="Gill Sans"/>
          <w:sz w:val="22"/>
          <w:szCs w:val="22"/>
          <w:lang w:val="en-GB"/>
        </w:rPr>
        <w:t xml:space="preserve"> face</w:t>
      </w:r>
      <w:r w:rsidR="00A0032F">
        <w:rPr>
          <w:rFonts w:ascii="Gill Sans" w:hAnsi="Gill Sans" w:cs="Gill Sans"/>
          <w:sz w:val="22"/>
          <w:szCs w:val="22"/>
          <w:lang w:val="en-GB"/>
        </w:rPr>
        <w:t>d by CSOs</w:t>
      </w:r>
      <w:r w:rsidRPr="00BB3451">
        <w:rPr>
          <w:rFonts w:ascii="Gill Sans" w:hAnsi="Gill Sans" w:cs="Gill Sans"/>
          <w:sz w:val="22"/>
          <w:szCs w:val="22"/>
          <w:lang w:val="en-GB"/>
        </w:rPr>
        <w:t>.</w:t>
      </w:r>
    </w:p>
    <w:p w14:paraId="2C545412" w14:textId="3982BBE4" w:rsidR="005B031B" w:rsidRPr="00BB3451" w:rsidRDefault="005B031B" w:rsidP="006319F4">
      <w:pPr>
        <w:pStyle w:val="Heading3"/>
      </w:pPr>
      <w:r w:rsidRPr="00BB3451">
        <w:t>Status</w:t>
      </w:r>
    </w:p>
    <w:p w14:paraId="3A29FB06" w14:textId="568F2658" w:rsidR="005B031B" w:rsidRPr="00BB3451" w:rsidRDefault="00311D1A" w:rsidP="005B031B">
      <w:pPr>
        <w:spacing w:after="120"/>
        <w:rPr>
          <w:rFonts w:ascii="Gill Sans" w:hAnsi="Gill Sans" w:cs="Gill Sans"/>
          <w:b/>
          <w:noProof/>
          <w:sz w:val="22"/>
          <w:szCs w:val="22"/>
          <w:lang w:val="en-GB"/>
        </w:rPr>
      </w:pPr>
      <w:r>
        <w:rPr>
          <w:rFonts w:ascii="Gill Sans" w:hAnsi="Gill Sans" w:cs="Gill Sans"/>
          <w:b/>
          <w:noProof/>
          <w:sz w:val="22"/>
          <w:szCs w:val="22"/>
          <w:lang w:val="en-GB"/>
        </w:rPr>
        <w:t>2</w:t>
      </w:r>
      <w:r w:rsidR="005B031B" w:rsidRPr="00BB3451">
        <w:rPr>
          <w:rFonts w:ascii="Gill Sans" w:hAnsi="Gill Sans" w:cs="Gill Sans"/>
          <w:b/>
          <w:noProof/>
          <w:sz w:val="22"/>
          <w:szCs w:val="22"/>
          <w:lang w:val="en-GB"/>
        </w:rPr>
        <w:t xml:space="preserve">. </w:t>
      </w:r>
      <w:r w:rsidR="002E0362" w:rsidRPr="00BB3451">
        <w:rPr>
          <w:rFonts w:ascii="Gill Sans" w:hAnsi="Gill Sans" w:cs="Gill Sans"/>
          <w:b/>
          <w:sz w:val="22"/>
          <w:szCs w:val="22"/>
          <w:lang w:val="en-GB"/>
        </w:rPr>
        <w:t>Financing of charities</w:t>
      </w:r>
    </w:p>
    <w:p w14:paraId="778FEFC4" w14:textId="676EEC9F" w:rsidR="005B031B" w:rsidRPr="00BB3451" w:rsidRDefault="005B031B" w:rsidP="005B031B">
      <w:pPr>
        <w:pStyle w:val="Normalrglronly"/>
        <w:rPr>
          <w:b/>
          <w:lang w:val="en-GB"/>
        </w:rPr>
      </w:pPr>
      <w:r w:rsidRPr="00BB3451">
        <w:rPr>
          <w:b/>
          <w:lang w:val="en-GB"/>
        </w:rPr>
        <w:t xml:space="preserve">Midterm: </w:t>
      </w:r>
      <w:r w:rsidR="002E0362" w:rsidRPr="00BB3451">
        <w:rPr>
          <w:b/>
          <w:lang w:val="en-GB"/>
        </w:rPr>
        <w:t>Not started</w:t>
      </w:r>
    </w:p>
    <w:p w14:paraId="618217A8" w14:textId="3BFA70A9" w:rsidR="0070554B" w:rsidRPr="00BB3451" w:rsidRDefault="0070554B" w:rsidP="0008527B">
      <w:pPr>
        <w:spacing w:after="120"/>
        <w:rPr>
          <w:rFonts w:ascii="Gill Sans" w:hAnsi="Gill Sans" w:cs="Gill Sans"/>
          <w:noProof/>
          <w:sz w:val="22"/>
          <w:szCs w:val="22"/>
          <w:lang w:val="en-GB"/>
        </w:rPr>
      </w:pPr>
      <w:r w:rsidRPr="00BB3451">
        <w:rPr>
          <w:rFonts w:ascii="Gill Sans" w:hAnsi="Gill Sans" w:cs="Gill Sans"/>
          <w:noProof/>
          <w:sz w:val="22"/>
          <w:szCs w:val="22"/>
          <w:lang w:val="en-GB"/>
        </w:rPr>
        <w:t xml:space="preserve">After adoption of the OGP action plan, the Ministry of Finance objected to this measure and refused to implement it. The ministry was concerned that the measure, if implemented, would require additional budgetary allocations. In June 2015, the vice prime minister who chairs the </w:t>
      </w:r>
      <w:r w:rsidR="00644744">
        <w:rPr>
          <w:rFonts w:ascii="Gill Sans" w:hAnsi="Gill Sans" w:cs="Gill Sans"/>
          <w:noProof/>
          <w:sz w:val="22"/>
          <w:szCs w:val="22"/>
          <w:lang w:val="en-GB"/>
        </w:rPr>
        <w:t xml:space="preserve">OGP </w:t>
      </w:r>
      <w:r w:rsidRPr="00BB3451">
        <w:rPr>
          <w:rFonts w:ascii="Gill Sans" w:hAnsi="Gill Sans" w:cs="Gill Sans"/>
          <w:noProof/>
          <w:sz w:val="22"/>
          <w:szCs w:val="22"/>
          <w:lang w:val="en-GB"/>
        </w:rPr>
        <w:t xml:space="preserve">Coordination Council issued a formal instruction to the ministry to hold negotiations with civil society representatives, but the ministry </w:t>
      </w:r>
      <w:r w:rsidR="00A4390F">
        <w:rPr>
          <w:rFonts w:ascii="Gill Sans" w:hAnsi="Gill Sans" w:cs="Gill Sans"/>
          <w:noProof/>
          <w:sz w:val="22"/>
          <w:szCs w:val="22"/>
          <w:lang w:val="en-GB"/>
        </w:rPr>
        <w:t>did not</w:t>
      </w:r>
      <w:r w:rsidR="00A4390F" w:rsidRPr="00BB3451">
        <w:rPr>
          <w:rFonts w:ascii="Gill Sans" w:hAnsi="Gill Sans" w:cs="Gill Sans"/>
          <w:noProof/>
          <w:sz w:val="22"/>
          <w:szCs w:val="22"/>
          <w:lang w:val="en-GB"/>
        </w:rPr>
        <w:t xml:space="preserve"> </w:t>
      </w:r>
      <w:r w:rsidRPr="00BB3451">
        <w:rPr>
          <w:rFonts w:ascii="Gill Sans" w:hAnsi="Gill Sans" w:cs="Gill Sans"/>
          <w:noProof/>
          <w:sz w:val="22"/>
          <w:szCs w:val="22"/>
          <w:lang w:val="en-GB"/>
        </w:rPr>
        <w:t>do so. The issue remain</w:t>
      </w:r>
      <w:r w:rsidRPr="00BB3451">
        <w:rPr>
          <w:rFonts w:ascii="Gill Sans" w:hAnsi="Gill Sans" w:cs="Gill Sans"/>
          <w:noProof/>
          <w:sz w:val="22"/>
          <w:szCs w:val="22"/>
        </w:rPr>
        <w:t>ed</w:t>
      </w:r>
      <w:r w:rsidRPr="00BB3451">
        <w:rPr>
          <w:rFonts w:ascii="Gill Sans" w:hAnsi="Gill Sans" w:cs="Gill Sans"/>
          <w:noProof/>
          <w:sz w:val="22"/>
          <w:szCs w:val="22"/>
          <w:lang w:val="en-GB"/>
        </w:rPr>
        <w:t xml:space="preserve"> unresolved</w:t>
      </w:r>
      <w:r w:rsidR="00A0032F">
        <w:rPr>
          <w:rFonts w:ascii="Gill Sans" w:hAnsi="Gill Sans" w:cs="Gill Sans"/>
          <w:noProof/>
          <w:sz w:val="22"/>
          <w:szCs w:val="22"/>
          <w:lang w:val="en-GB"/>
        </w:rPr>
        <w:t>, hence,</w:t>
      </w:r>
      <w:r w:rsidRPr="00BB3451">
        <w:rPr>
          <w:rFonts w:ascii="Gill Sans" w:hAnsi="Gill Sans" w:cs="Gill Sans"/>
          <w:noProof/>
          <w:sz w:val="22"/>
          <w:szCs w:val="22"/>
          <w:lang w:val="en-GB"/>
        </w:rPr>
        <w:t xml:space="preserve"> </w:t>
      </w:r>
      <w:r w:rsidR="00A0032F">
        <w:rPr>
          <w:rFonts w:ascii="Gill Sans" w:hAnsi="Gill Sans" w:cs="Gill Sans"/>
          <w:noProof/>
          <w:sz w:val="22"/>
          <w:szCs w:val="22"/>
          <w:lang w:val="en-GB"/>
        </w:rPr>
        <w:t>the measure’s</w:t>
      </w:r>
      <w:r w:rsidR="00A0032F" w:rsidRPr="00BB3451">
        <w:rPr>
          <w:rFonts w:ascii="Gill Sans" w:hAnsi="Gill Sans" w:cs="Gill Sans"/>
          <w:noProof/>
          <w:sz w:val="22"/>
          <w:szCs w:val="22"/>
          <w:lang w:val="en-GB"/>
        </w:rPr>
        <w:t xml:space="preserve"> </w:t>
      </w:r>
      <w:r w:rsidRPr="00BB3451">
        <w:rPr>
          <w:rFonts w:ascii="Gill Sans" w:hAnsi="Gill Sans" w:cs="Gill Sans"/>
          <w:noProof/>
          <w:sz w:val="22"/>
          <w:szCs w:val="22"/>
          <w:lang w:val="en-GB"/>
        </w:rPr>
        <w:t xml:space="preserve">implementation had not </w:t>
      </w:r>
      <w:r w:rsidR="00A0032F">
        <w:rPr>
          <w:rFonts w:ascii="Gill Sans" w:hAnsi="Gill Sans" w:cs="Gill Sans"/>
          <w:noProof/>
          <w:sz w:val="22"/>
          <w:szCs w:val="22"/>
          <w:lang w:val="en-GB"/>
        </w:rPr>
        <w:t xml:space="preserve">yet </w:t>
      </w:r>
      <w:r w:rsidRPr="00BB3451">
        <w:rPr>
          <w:rFonts w:ascii="Gill Sans" w:hAnsi="Gill Sans" w:cs="Gill Sans"/>
          <w:noProof/>
          <w:sz w:val="22"/>
          <w:szCs w:val="22"/>
          <w:lang w:val="en-GB"/>
        </w:rPr>
        <w:t>started.</w:t>
      </w:r>
      <w:r w:rsidR="001B4152" w:rsidRPr="00BB3451">
        <w:rPr>
          <w:rStyle w:val="EndnoteReference"/>
          <w:rFonts w:ascii="Gill Sans" w:hAnsi="Gill Sans" w:cs="Gill Sans"/>
          <w:noProof/>
          <w:sz w:val="22"/>
          <w:szCs w:val="22"/>
          <w:lang w:val="en-GB"/>
        </w:rPr>
        <w:endnoteReference w:id="8"/>
      </w:r>
    </w:p>
    <w:p w14:paraId="31A220EB" w14:textId="02ADAC12" w:rsidR="002E0362" w:rsidRPr="00BB3451" w:rsidRDefault="002E0362" w:rsidP="002E0362">
      <w:pPr>
        <w:pStyle w:val="Normalrglronly"/>
        <w:rPr>
          <w:b/>
          <w:lang w:val="en-GB"/>
        </w:rPr>
      </w:pPr>
      <w:r w:rsidRPr="00BB3451">
        <w:rPr>
          <w:b/>
          <w:lang w:val="en-GB"/>
        </w:rPr>
        <w:t xml:space="preserve">End of term: </w:t>
      </w:r>
      <w:r w:rsidR="006E083E" w:rsidRPr="00BB3451">
        <w:rPr>
          <w:b/>
          <w:lang w:val="en-GB"/>
        </w:rPr>
        <w:t>Not started</w:t>
      </w:r>
    </w:p>
    <w:p w14:paraId="4369DE78" w14:textId="5924C54C" w:rsidR="005B031B" w:rsidRPr="00BB3451" w:rsidRDefault="00A4390F" w:rsidP="0008527B">
      <w:pPr>
        <w:spacing w:after="120"/>
        <w:rPr>
          <w:rFonts w:ascii="Gill Sans" w:hAnsi="Gill Sans" w:cs="Gill Sans"/>
          <w:b/>
          <w:noProof/>
          <w:sz w:val="22"/>
          <w:szCs w:val="22"/>
        </w:rPr>
      </w:pPr>
      <w:r>
        <w:rPr>
          <w:rFonts w:ascii="Gill Sans" w:hAnsi="Gill Sans" w:cs="Gill Sans"/>
          <w:noProof/>
          <w:sz w:val="22"/>
          <w:szCs w:val="22"/>
          <w:lang w:val="en-GB"/>
        </w:rPr>
        <w:t xml:space="preserve">Since the midterm report, </w:t>
      </w:r>
      <w:r w:rsidR="00A0032F" w:rsidRPr="00BB3451">
        <w:rPr>
          <w:rFonts w:ascii="Gill Sans" w:hAnsi="Gill Sans" w:cs="Gill Sans"/>
          <w:noProof/>
          <w:sz w:val="22"/>
          <w:szCs w:val="22"/>
          <w:lang w:val="en-GB"/>
        </w:rPr>
        <w:t xml:space="preserve">implementation </w:t>
      </w:r>
      <w:r w:rsidR="00A0032F">
        <w:rPr>
          <w:rFonts w:ascii="Gill Sans" w:hAnsi="Gill Sans" w:cs="Gill Sans"/>
          <w:noProof/>
          <w:sz w:val="22"/>
          <w:szCs w:val="22"/>
          <w:lang w:val="en-GB"/>
        </w:rPr>
        <w:t>of the c</w:t>
      </w:r>
      <w:r w:rsidR="001D0DE3" w:rsidRPr="00BB3451">
        <w:rPr>
          <w:rFonts w:ascii="Gill Sans" w:hAnsi="Gill Sans" w:cs="Gill Sans"/>
          <w:noProof/>
          <w:sz w:val="22"/>
          <w:szCs w:val="22"/>
          <w:lang w:val="en-GB"/>
        </w:rPr>
        <w:t xml:space="preserve">ommitment has </w:t>
      </w:r>
      <w:r>
        <w:rPr>
          <w:rFonts w:ascii="Gill Sans" w:hAnsi="Gill Sans" w:cs="Gill Sans"/>
          <w:noProof/>
          <w:sz w:val="22"/>
          <w:szCs w:val="22"/>
          <w:lang w:val="en-GB"/>
        </w:rPr>
        <w:t xml:space="preserve">still </w:t>
      </w:r>
      <w:r w:rsidR="001D0DE3" w:rsidRPr="00BB3451">
        <w:rPr>
          <w:rFonts w:ascii="Gill Sans" w:hAnsi="Gill Sans" w:cs="Gill Sans"/>
          <w:noProof/>
          <w:sz w:val="22"/>
          <w:szCs w:val="22"/>
          <w:lang w:val="en-GB"/>
        </w:rPr>
        <w:t xml:space="preserve">not </w:t>
      </w:r>
      <w:r>
        <w:rPr>
          <w:rFonts w:ascii="Gill Sans" w:hAnsi="Gill Sans" w:cs="Gill Sans"/>
          <w:noProof/>
          <w:sz w:val="22"/>
          <w:szCs w:val="22"/>
          <w:lang w:val="en-GB"/>
        </w:rPr>
        <w:t>begun</w:t>
      </w:r>
      <w:r w:rsidR="001D0DE3" w:rsidRPr="00BB3451">
        <w:rPr>
          <w:rFonts w:ascii="Gill Sans" w:hAnsi="Gill Sans" w:cs="Gill Sans"/>
          <w:noProof/>
          <w:sz w:val="22"/>
          <w:szCs w:val="22"/>
          <w:lang w:val="en-GB"/>
        </w:rPr>
        <w:t xml:space="preserve">. The Ministry of Finance continued to </w:t>
      </w:r>
      <w:r w:rsidR="00644744">
        <w:rPr>
          <w:rFonts w:ascii="Gill Sans" w:hAnsi="Gill Sans" w:cs="Gill Sans"/>
          <w:noProof/>
          <w:sz w:val="22"/>
          <w:szCs w:val="22"/>
          <w:lang w:val="en-GB"/>
        </w:rPr>
        <w:t xml:space="preserve">object </w:t>
      </w:r>
      <w:r w:rsidR="006C7BC7">
        <w:rPr>
          <w:rFonts w:ascii="Gill Sans" w:hAnsi="Gill Sans" w:cs="Gill Sans"/>
          <w:noProof/>
          <w:sz w:val="22"/>
          <w:szCs w:val="22"/>
          <w:lang w:val="en-GB"/>
        </w:rPr>
        <w:t xml:space="preserve">to </w:t>
      </w:r>
      <w:r w:rsidR="001D0DE3" w:rsidRPr="00BB3451">
        <w:rPr>
          <w:rFonts w:ascii="Gill Sans" w:hAnsi="Gill Sans" w:cs="Gill Sans"/>
          <w:noProof/>
          <w:sz w:val="22"/>
          <w:szCs w:val="22"/>
          <w:lang w:val="en-GB"/>
        </w:rPr>
        <w:t xml:space="preserve">the commitment. </w:t>
      </w:r>
      <w:r w:rsidR="00F26BD5" w:rsidRPr="00BB3451">
        <w:rPr>
          <w:rFonts w:ascii="Gill Sans" w:hAnsi="Gill Sans" w:cs="Gill Sans"/>
          <w:noProof/>
          <w:sz w:val="22"/>
          <w:szCs w:val="22"/>
          <w:lang w:val="en-GB"/>
        </w:rPr>
        <w:t>According to the Government</w:t>
      </w:r>
      <w:r w:rsidR="00644744">
        <w:rPr>
          <w:rFonts w:ascii="Gill Sans" w:hAnsi="Gill Sans" w:cs="Gill Sans"/>
          <w:noProof/>
          <w:sz w:val="22"/>
          <w:szCs w:val="22"/>
          <w:lang w:val="en-GB"/>
        </w:rPr>
        <w:t>’s</w:t>
      </w:r>
      <w:r w:rsidR="00F26BD5" w:rsidRPr="00BB3451">
        <w:rPr>
          <w:rFonts w:ascii="Gill Sans" w:hAnsi="Gill Sans" w:cs="Gill Sans"/>
          <w:noProof/>
          <w:sz w:val="22"/>
          <w:szCs w:val="22"/>
          <w:lang w:val="en-GB"/>
        </w:rPr>
        <w:t xml:space="preserve"> final </w:t>
      </w:r>
      <w:r w:rsidR="001D701A" w:rsidRPr="00BB3451">
        <w:rPr>
          <w:rFonts w:ascii="Gill Sans" w:hAnsi="Gill Sans" w:cs="Gill Sans"/>
          <w:noProof/>
          <w:sz w:val="22"/>
          <w:szCs w:val="22"/>
          <w:lang w:val="en-GB"/>
        </w:rPr>
        <w:t xml:space="preserve">self-assessment </w:t>
      </w:r>
      <w:r w:rsidR="00F26BD5" w:rsidRPr="00BB3451">
        <w:rPr>
          <w:rFonts w:ascii="Gill Sans" w:hAnsi="Gill Sans" w:cs="Gill Sans"/>
          <w:noProof/>
          <w:sz w:val="22"/>
          <w:szCs w:val="22"/>
          <w:lang w:val="en-GB"/>
        </w:rPr>
        <w:t xml:space="preserve">report, the </w:t>
      </w:r>
      <w:r w:rsidR="00A0032F">
        <w:rPr>
          <w:rFonts w:ascii="Gill Sans" w:hAnsi="Gill Sans" w:cs="Gill Sans"/>
          <w:noProof/>
          <w:sz w:val="22"/>
          <w:szCs w:val="22"/>
          <w:lang w:val="en-GB"/>
        </w:rPr>
        <w:t>m</w:t>
      </w:r>
      <w:r w:rsidR="00F26BD5" w:rsidRPr="00BB3451">
        <w:rPr>
          <w:rFonts w:ascii="Gill Sans" w:hAnsi="Gill Sans" w:cs="Gill Sans"/>
          <w:noProof/>
          <w:sz w:val="22"/>
          <w:szCs w:val="22"/>
          <w:lang w:val="en-GB"/>
        </w:rPr>
        <w:t xml:space="preserve">inistry stated that </w:t>
      </w:r>
      <w:r w:rsidR="00531827">
        <w:rPr>
          <w:rFonts w:ascii="Gill Sans" w:hAnsi="Gill Sans" w:cs="Gill Sans"/>
          <w:noProof/>
          <w:sz w:val="22"/>
          <w:szCs w:val="22"/>
          <w:lang w:val="en-GB"/>
        </w:rPr>
        <w:t xml:space="preserve">Ukrainian law </w:t>
      </w:r>
      <w:r w:rsidR="00F26BD5" w:rsidRPr="00BB3451">
        <w:rPr>
          <w:rFonts w:ascii="Gill Sans" w:hAnsi="Gill Sans" w:cs="Gill Sans"/>
          <w:noProof/>
          <w:sz w:val="22"/>
          <w:szCs w:val="22"/>
          <w:lang w:val="en-GB"/>
        </w:rPr>
        <w:t xml:space="preserve">already </w:t>
      </w:r>
      <w:r w:rsidR="00A0032F">
        <w:rPr>
          <w:rFonts w:ascii="Gill Sans" w:hAnsi="Gill Sans" w:cs="Gill Sans"/>
          <w:noProof/>
          <w:sz w:val="22"/>
          <w:szCs w:val="22"/>
          <w:lang w:val="en-GB"/>
        </w:rPr>
        <w:t>extends</w:t>
      </w:r>
      <w:r w:rsidR="00F26BD5" w:rsidRPr="00BB3451">
        <w:rPr>
          <w:rFonts w:ascii="Gill Sans" w:hAnsi="Gill Sans" w:cs="Gill Sans"/>
          <w:noProof/>
          <w:sz w:val="22"/>
          <w:szCs w:val="22"/>
          <w:lang w:val="en-GB"/>
        </w:rPr>
        <w:t xml:space="preserve"> </w:t>
      </w:r>
      <w:r w:rsidR="00A0032F" w:rsidRPr="00BB3451">
        <w:rPr>
          <w:rFonts w:ascii="Gill Sans" w:hAnsi="Gill Sans" w:cs="Gill Sans"/>
          <w:noProof/>
          <w:sz w:val="22"/>
          <w:szCs w:val="22"/>
          <w:lang w:val="en-GB"/>
        </w:rPr>
        <w:t>sufficient support</w:t>
      </w:r>
      <w:r w:rsidR="00A0032F">
        <w:rPr>
          <w:rFonts w:ascii="Gill Sans" w:hAnsi="Gill Sans" w:cs="Gill Sans"/>
          <w:noProof/>
          <w:sz w:val="22"/>
          <w:szCs w:val="22"/>
          <w:lang w:val="en-GB"/>
        </w:rPr>
        <w:t xml:space="preserve"> </w:t>
      </w:r>
      <w:r w:rsidR="00531827">
        <w:rPr>
          <w:rFonts w:ascii="Gill Sans" w:hAnsi="Gill Sans" w:cs="Gill Sans"/>
          <w:noProof/>
          <w:sz w:val="22"/>
          <w:szCs w:val="22"/>
          <w:lang w:val="en-GB"/>
        </w:rPr>
        <w:t xml:space="preserve">to </w:t>
      </w:r>
      <w:r w:rsidR="00531827" w:rsidRPr="00BB3451">
        <w:rPr>
          <w:rFonts w:ascii="Gill Sans" w:hAnsi="Gill Sans" w:cs="Gill Sans"/>
          <w:noProof/>
          <w:sz w:val="22"/>
          <w:szCs w:val="22"/>
          <w:lang w:val="en-GB"/>
        </w:rPr>
        <w:t>charities in Ukraine</w:t>
      </w:r>
      <w:r w:rsidR="00A0032F">
        <w:rPr>
          <w:rFonts w:ascii="Gill Sans" w:hAnsi="Gill Sans" w:cs="Gill Sans"/>
          <w:noProof/>
          <w:sz w:val="22"/>
          <w:szCs w:val="22"/>
          <w:lang w:val="en-GB"/>
        </w:rPr>
        <w:t>. I</w:t>
      </w:r>
      <w:r w:rsidR="00F26BD5" w:rsidRPr="00BB3451">
        <w:rPr>
          <w:rFonts w:ascii="Gill Sans" w:hAnsi="Gill Sans" w:cs="Gill Sans"/>
          <w:noProof/>
          <w:sz w:val="22"/>
          <w:szCs w:val="22"/>
          <w:lang w:val="en-GB"/>
        </w:rPr>
        <w:t>n particular</w:t>
      </w:r>
      <w:r w:rsidR="00A0032F">
        <w:rPr>
          <w:rFonts w:ascii="Gill Sans" w:hAnsi="Gill Sans" w:cs="Gill Sans"/>
          <w:noProof/>
          <w:sz w:val="22"/>
          <w:szCs w:val="22"/>
          <w:lang w:val="en-GB"/>
        </w:rPr>
        <w:t>,</w:t>
      </w:r>
      <w:r w:rsidR="001D701A" w:rsidRPr="00BB3451">
        <w:rPr>
          <w:rFonts w:ascii="Gill Sans" w:hAnsi="Gill Sans" w:cs="Gill Sans"/>
          <w:noProof/>
          <w:sz w:val="22"/>
          <w:szCs w:val="22"/>
          <w:lang w:val="en-GB"/>
        </w:rPr>
        <w:t xml:space="preserve"> they can compete </w:t>
      </w:r>
      <w:r w:rsidR="00A0032F">
        <w:rPr>
          <w:rFonts w:ascii="Gill Sans" w:hAnsi="Gill Sans" w:cs="Gill Sans"/>
          <w:noProof/>
          <w:sz w:val="22"/>
          <w:szCs w:val="22"/>
          <w:lang w:val="en-GB"/>
        </w:rPr>
        <w:t>to</w:t>
      </w:r>
      <w:r w:rsidR="00A0032F" w:rsidRPr="00BB3451">
        <w:rPr>
          <w:rFonts w:ascii="Gill Sans" w:hAnsi="Gill Sans" w:cs="Gill Sans"/>
          <w:noProof/>
          <w:sz w:val="22"/>
          <w:szCs w:val="22"/>
          <w:lang w:val="en-GB"/>
        </w:rPr>
        <w:t xml:space="preserve"> </w:t>
      </w:r>
      <w:r w:rsidR="001D701A" w:rsidRPr="00BB3451">
        <w:rPr>
          <w:rFonts w:ascii="Gill Sans" w:hAnsi="Gill Sans" w:cs="Gill Sans"/>
          <w:noProof/>
          <w:sz w:val="22"/>
          <w:szCs w:val="22"/>
          <w:lang w:val="en-GB"/>
        </w:rPr>
        <w:t xml:space="preserve">obtain social services provision </w:t>
      </w:r>
      <w:r w:rsidR="00171735">
        <w:rPr>
          <w:rFonts w:ascii="Gill Sans" w:hAnsi="Gill Sans" w:cs="Gill Sans"/>
          <w:noProof/>
          <w:sz w:val="22"/>
          <w:szCs w:val="22"/>
          <w:lang w:val="en-GB"/>
        </w:rPr>
        <w:t>and</w:t>
      </w:r>
      <w:r w:rsidR="001D701A" w:rsidRPr="00BB3451">
        <w:rPr>
          <w:rFonts w:ascii="Gill Sans" w:hAnsi="Gill Sans" w:cs="Gill Sans"/>
          <w:noProof/>
          <w:sz w:val="22"/>
          <w:szCs w:val="22"/>
          <w:lang w:val="en-GB"/>
        </w:rPr>
        <w:t xml:space="preserve"> public procurement contracts</w:t>
      </w:r>
      <w:r w:rsidR="00A0032F">
        <w:rPr>
          <w:rFonts w:ascii="Gill Sans" w:hAnsi="Gill Sans" w:cs="Gill Sans"/>
          <w:noProof/>
          <w:sz w:val="22"/>
          <w:szCs w:val="22"/>
          <w:lang w:val="en-GB"/>
        </w:rPr>
        <w:t>,</w:t>
      </w:r>
      <w:r w:rsidR="001D701A" w:rsidRPr="00BB3451">
        <w:rPr>
          <w:rFonts w:ascii="Gill Sans" w:hAnsi="Gill Sans" w:cs="Gill Sans"/>
          <w:noProof/>
          <w:sz w:val="22"/>
          <w:szCs w:val="22"/>
          <w:lang w:val="en-GB"/>
        </w:rPr>
        <w:t xml:space="preserve"> </w:t>
      </w:r>
      <w:r w:rsidR="00171735">
        <w:rPr>
          <w:rFonts w:ascii="Gill Sans" w:hAnsi="Gill Sans" w:cs="Gill Sans"/>
          <w:noProof/>
          <w:sz w:val="22"/>
          <w:szCs w:val="22"/>
          <w:lang w:val="en-GB"/>
        </w:rPr>
        <w:t xml:space="preserve">and </w:t>
      </w:r>
      <w:r w:rsidR="001D701A" w:rsidRPr="00BB3451">
        <w:rPr>
          <w:rFonts w:ascii="Gill Sans" w:hAnsi="Gill Sans" w:cs="Gill Sans"/>
          <w:noProof/>
          <w:sz w:val="22"/>
          <w:szCs w:val="22"/>
          <w:lang w:val="en-GB"/>
        </w:rPr>
        <w:t>they enjoy certain tax exemptions (charity assistance and property transferred as international aid are exempt from the VAT; charities do not pay income tax).</w:t>
      </w:r>
    </w:p>
    <w:p w14:paraId="4F8885C6" w14:textId="4CBED197" w:rsidR="005B031B" w:rsidRPr="00BB3451" w:rsidRDefault="00311D1A" w:rsidP="005B031B">
      <w:pPr>
        <w:spacing w:after="120"/>
        <w:rPr>
          <w:rFonts w:ascii="Gill Sans" w:hAnsi="Gill Sans" w:cs="Gill Sans"/>
          <w:b/>
          <w:noProof/>
          <w:sz w:val="22"/>
          <w:szCs w:val="22"/>
          <w:lang w:val="en-GB"/>
        </w:rPr>
      </w:pPr>
      <w:r>
        <w:rPr>
          <w:rFonts w:ascii="Gill Sans" w:hAnsi="Gill Sans" w:cs="Gill Sans"/>
          <w:b/>
          <w:noProof/>
          <w:sz w:val="22"/>
          <w:szCs w:val="22"/>
          <w:lang w:val="en-GB"/>
        </w:rPr>
        <w:t>3</w:t>
      </w:r>
      <w:r w:rsidR="005B031B" w:rsidRPr="00BB3451">
        <w:rPr>
          <w:rFonts w:ascii="Gill Sans" w:hAnsi="Gill Sans" w:cs="Gill Sans"/>
          <w:b/>
          <w:noProof/>
          <w:sz w:val="22"/>
          <w:szCs w:val="22"/>
          <w:lang w:val="en-GB"/>
        </w:rPr>
        <w:t xml:space="preserve">. </w:t>
      </w:r>
      <w:r w:rsidR="00507F2E" w:rsidRPr="00BB3451">
        <w:rPr>
          <w:rFonts w:ascii="Gill Sans" w:hAnsi="Gill Sans" w:cs="Gill Sans"/>
          <w:b/>
          <w:sz w:val="22"/>
          <w:szCs w:val="22"/>
          <w:lang w:val="en-GB"/>
        </w:rPr>
        <w:t>Obtaining not-for-profit status for CSOs</w:t>
      </w:r>
    </w:p>
    <w:p w14:paraId="4380D126" w14:textId="72B1DF28" w:rsidR="005B031B" w:rsidRPr="00BB3451" w:rsidRDefault="005B031B" w:rsidP="005B031B">
      <w:pPr>
        <w:pStyle w:val="Normalrglronly"/>
        <w:rPr>
          <w:b/>
          <w:lang w:val="en-GB"/>
        </w:rPr>
      </w:pPr>
      <w:r w:rsidRPr="00BB3451">
        <w:rPr>
          <w:b/>
          <w:lang w:val="en-GB"/>
        </w:rPr>
        <w:t xml:space="preserve">Midterm: </w:t>
      </w:r>
      <w:r w:rsidR="00507F2E" w:rsidRPr="00BB3451">
        <w:rPr>
          <w:b/>
          <w:lang w:val="en-GB"/>
        </w:rPr>
        <w:t>Not started</w:t>
      </w:r>
    </w:p>
    <w:p w14:paraId="3766FE5D" w14:textId="10CC2E27" w:rsidR="003602E2" w:rsidRPr="00BB3451" w:rsidRDefault="00C40A6B" w:rsidP="0008527B">
      <w:pPr>
        <w:spacing w:after="120"/>
        <w:rPr>
          <w:rFonts w:ascii="Gill Sans" w:hAnsi="Gill Sans" w:cs="Gill Sans"/>
          <w:noProof/>
          <w:sz w:val="22"/>
          <w:szCs w:val="22"/>
          <w:lang w:val="en-GB"/>
        </w:rPr>
      </w:pPr>
      <w:r w:rsidRPr="00BB3451">
        <w:rPr>
          <w:rFonts w:ascii="Gill Sans" w:hAnsi="Gill Sans" w:cs="Gill Sans"/>
          <w:noProof/>
          <w:sz w:val="22"/>
          <w:szCs w:val="22"/>
          <w:lang w:val="en-GB"/>
        </w:rPr>
        <w:t>The procedure for obtaining non-profit tax status by NGOs and other civic assoc</w:t>
      </w:r>
      <w:r w:rsidR="00517E72">
        <w:rPr>
          <w:rFonts w:ascii="Gill Sans" w:hAnsi="Gill Sans" w:cs="Gill Sans"/>
          <w:noProof/>
          <w:sz w:val="22"/>
          <w:szCs w:val="22"/>
          <w:lang w:val="en-GB"/>
        </w:rPr>
        <w:t>iations was cumbersome and time-</w:t>
      </w:r>
      <w:r w:rsidRPr="00BB3451">
        <w:rPr>
          <w:rFonts w:ascii="Gill Sans" w:hAnsi="Gill Sans" w:cs="Gill Sans"/>
          <w:noProof/>
          <w:sz w:val="22"/>
          <w:szCs w:val="22"/>
          <w:lang w:val="en-GB"/>
        </w:rPr>
        <w:t xml:space="preserve">consuming. An NGO </w:t>
      </w:r>
      <w:r w:rsidR="00A0032F">
        <w:rPr>
          <w:rFonts w:ascii="Gill Sans" w:hAnsi="Gill Sans" w:cs="Gill Sans"/>
          <w:noProof/>
          <w:sz w:val="22"/>
          <w:szCs w:val="22"/>
          <w:lang w:val="en-GB"/>
        </w:rPr>
        <w:t xml:space="preserve">first </w:t>
      </w:r>
      <w:r w:rsidRPr="00BB3451">
        <w:rPr>
          <w:rFonts w:ascii="Gill Sans" w:hAnsi="Gill Sans" w:cs="Gill Sans"/>
          <w:noProof/>
          <w:sz w:val="22"/>
          <w:szCs w:val="22"/>
          <w:lang w:val="en-GB"/>
        </w:rPr>
        <w:t>had to register as a legal entity with the Ministry of Justice</w:t>
      </w:r>
      <w:r w:rsidR="00A0032F">
        <w:rPr>
          <w:rFonts w:ascii="Gill Sans" w:hAnsi="Gill Sans" w:cs="Gill Sans"/>
          <w:noProof/>
          <w:sz w:val="22"/>
          <w:szCs w:val="22"/>
          <w:lang w:val="en-GB"/>
        </w:rPr>
        <w:t>,</w:t>
      </w:r>
      <w:r w:rsidRPr="00BB3451">
        <w:rPr>
          <w:rFonts w:ascii="Gill Sans" w:hAnsi="Gill Sans" w:cs="Gill Sans"/>
          <w:noProof/>
          <w:sz w:val="22"/>
          <w:szCs w:val="22"/>
          <w:lang w:val="en-GB"/>
        </w:rPr>
        <w:t xml:space="preserve"> then apply to the Fiscal Service for non-profit status. The Fiscal Service often rejected such applications due to problems with </w:t>
      </w:r>
      <w:r w:rsidR="00A0032F">
        <w:rPr>
          <w:rFonts w:ascii="Gill Sans" w:hAnsi="Gill Sans" w:cs="Gill Sans"/>
          <w:noProof/>
          <w:sz w:val="22"/>
          <w:szCs w:val="22"/>
          <w:lang w:val="en-GB"/>
        </w:rPr>
        <w:t>NGO</w:t>
      </w:r>
      <w:r w:rsidR="00A0032F" w:rsidRPr="00BB3451">
        <w:rPr>
          <w:rFonts w:ascii="Gill Sans" w:hAnsi="Gill Sans" w:cs="Gill Sans"/>
          <w:noProof/>
          <w:sz w:val="22"/>
          <w:szCs w:val="22"/>
          <w:lang w:val="en-GB"/>
        </w:rPr>
        <w:t xml:space="preserve"> </w:t>
      </w:r>
      <w:r w:rsidRPr="00BB3451">
        <w:rPr>
          <w:rFonts w:ascii="Gill Sans" w:hAnsi="Gill Sans" w:cs="Gill Sans"/>
          <w:noProof/>
          <w:sz w:val="22"/>
          <w:szCs w:val="22"/>
          <w:lang w:val="en-GB"/>
        </w:rPr>
        <w:t>statutory documents</w:t>
      </w:r>
      <w:r w:rsidR="00A0032F">
        <w:rPr>
          <w:rFonts w:ascii="Gill Sans" w:hAnsi="Gill Sans" w:cs="Gill Sans"/>
          <w:noProof/>
          <w:sz w:val="22"/>
          <w:szCs w:val="22"/>
          <w:lang w:val="en-GB"/>
        </w:rPr>
        <w:t xml:space="preserve">. These </w:t>
      </w:r>
      <w:r w:rsidRPr="00BB3451">
        <w:rPr>
          <w:rFonts w:ascii="Gill Sans" w:hAnsi="Gill Sans" w:cs="Gill Sans"/>
          <w:noProof/>
          <w:sz w:val="22"/>
          <w:szCs w:val="22"/>
          <w:lang w:val="en-GB"/>
        </w:rPr>
        <w:t>had to</w:t>
      </w:r>
      <w:r w:rsidR="00A0032F">
        <w:rPr>
          <w:rFonts w:ascii="Gill Sans" w:hAnsi="Gill Sans" w:cs="Gill Sans"/>
          <w:noProof/>
          <w:sz w:val="22"/>
          <w:szCs w:val="22"/>
          <w:lang w:val="en-GB"/>
        </w:rPr>
        <w:t xml:space="preserve"> go </w:t>
      </w:r>
      <w:r w:rsidRPr="00BB3451">
        <w:rPr>
          <w:rFonts w:ascii="Gill Sans" w:hAnsi="Gill Sans" w:cs="Gill Sans"/>
          <w:noProof/>
          <w:sz w:val="22"/>
          <w:szCs w:val="22"/>
          <w:lang w:val="en-GB"/>
        </w:rPr>
        <w:t xml:space="preserve">back to the Ministry </w:t>
      </w:r>
      <w:r w:rsidRPr="00BB3451">
        <w:rPr>
          <w:rFonts w:ascii="Gill Sans" w:hAnsi="Gill Sans" w:cs="Gill Sans"/>
          <w:noProof/>
          <w:sz w:val="22"/>
          <w:szCs w:val="22"/>
          <w:lang w:val="en-GB"/>
        </w:rPr>
        <w:lastRenderedPageBreak/>
        <w:t xml:space="preserve">of Justice for amendment. The commitment aimed to streamline procedures and introduce </w:t>
      </w:r>
      <w:r w:rsidR="00644744">
        <w:rPr>
          <w:rFonts w:ascii="Gill Sans" w:hAnsi="Gill Sans" w:cs="Gill Sans"/>
          <w:noProof/>
          <w:sz w:val="22"/>
          <w:szCs w:val="22"/>
          <w:lang w:val="en-GB"/>
        </w:rPr>
        <w:t>a</w:t>
      </w:r>
      <w:r w:rsidRPr="00BB3451">
        <w:rPr>
          <w:rFonts w:ascii="Gill Sans" w:hAnsi="Gill Sans" w:cs="Gill Sans"/>
          <w:noProof/>
          <w:sz w:val="22"/>
          <w:szCs w:val="22"/>
          <w:lang w:val="en-GB"/>
        </w:rPr>
        <w:t xml:space="preserve"> one-stop</w:t>
      </w:r>
      <w:r w:rsidR="00A0032F">
        <w:rPr>
          <w:rFonts w:ascii="Gill Sans" w:hAnsi="Gill Sans" w:cs="Gill Sans"/>
          <w:noProof/>
          <w:sz w:val="22"/>
          <w:szCs w:val="22"/>
          <w:lang w:val="en-GB"/>
        </w:rPr>
        <w:t xml:space="preserve"> </w:t>
      </w:r>
      <w:r w:rsidRPr="00BB3451">
        <w:rPr>
          <w:rFonts w:ascii="Gill Sans" w:hAnsi="Gill Sans" w:cs="Gill Sans"/>
          <w:noProof/>
          <w:sz w:val="22"/>
          <w:szCs w:val="22"/>
          <w:lang w:val="en-GB"/>
        </w:rPr>
        <w:t>shop principle for obtaining the relevant status</w:t>
      </w:r>
      <w:r w:rsidR="00A0032F">
        <w:rPr>
          <w:rFonts w:ascii="Gill Sans" w:hAnsi="Gill Sans" w:cs="Gill Sans"/>
          <w:noProof/>
          <w:sz w:val="22"/>
          <w:szCs w:val="22"/>
          <w:lang w:val="en-GB"/>
        </w:rPr>
        <w:t xml:space="preserve">. That is, </w:t>
      </w:r>
      <w:r w:rsidRPr="00BB3451">
        <w:rPr>
          <w:rFonts w:ascii="Gill Sans" w:hAnsi="Gill Sans" w:cs="Gill Sans"/>
          <w:noProof/>
          <w:sz w:val="22"/>
          <w:szCs w:val="22"/>
          <w:lang w:val="en-GB"/>
        </w:rPr>
        <w:t>applicant NGO</w:t>
      </w:r>
      <w:r w:rsidR="00A4390F">
        <w:rPr>
          <w:rFonts w:ascii="Gill Sans" w:hAnsi="Gill Sans" w:cs="Gill Sans"/>
          <w:noProof/>
          <w:sz w:val="22"/>
          <w:szCs w:val="22"/>
          <w:lang w:val="en-GB"/>
        </w:rPr>
        <w:t>s</w:t>
      </w:r>
      <w:r w:rsidRPr="00BB3451">
        <w:rPr>
          <w:rFonts w:ascii="Gill Sans" w:hAnsi="Gill Sans" w:cs="Gill Sans"/>
          <w:noProof/>
          <w:sz w:val="22"/>
          <w:szCs w:val="22"/>
          <w:lang w:val="en-GB"/>
        </w:rPr>
        <w:t xml:space="preserve"> would apply to the Ministry of Justice</w:t>
      </w:r>
      <w:r w:rsidR="00A4390F">
        <w:rPr>
          <w:rFonts w:ascii="Gill Sans" w:hAnsi="Gill Sans" w:cs="Gill Sans"/>
          <w:noProof/>
          <w:sz w:val="22"/>
          <w:szCs w:val="22"/>
          <w:lang w:val="en-GB"/>
        </w:rPr>
        <w:t>,</w:t>
      </w:r>
      <w:r w:rsidRPr="00BB3451">
        <w:rPr>
          <w:rFonts w:ascii="Gill Sans" w:hAnsi="Gill Sans" w:cs="Gill Sans"/>
          <w:noProof/>
          <w:sz w:val="22"/>
          <w:szCs w:val="22"/>
          <w:lang w:val="en-GB"/>
        </w:rPr>
        <w:t xml:space="preserve"> which would then arrange registration with the tax authorities. </w:t>
      </w:r>
      <w:r w:rsidR="003602E2" w:rsidRPr="00BB3451">
        <w:rPr>
          <w:rFonts w:ascii="Gill Sans" w:hAnsi="Gill Sans" w:cs="Gill Sans"/>
          <w:noProof/>
          <w:sz w:val="22"/>
          <w:szCs w:val="22"/>
          <w:lang w:val="en-GB"/>
        </w:rPr>
        <w:t>In its midterm self-assessment report</w:t>
      </w:r>
      <w:r w:rsidR="00517E72">
        <w:rPr>
          <w:rFonts w:ascii="Gill Sans" w:hAnsi="Gill Sans" w:cs="Gill Sans"/>
          <w:noProof/>
          <w:sz w:val="22"/>
          <w:szCs w:val="22"/>
          <w:lang w:val="en-GB"/>
        </w:rPr>
        <w:t>,</w:t>
      </w:r>
      <w:r w:rsidR="003602E2" w:rsidRPr="00BB3451">
        <w:rPr>
          <w:rFonts w:ascii="Gill Sans" w:hAnsi="Gill Sans" w:cs="Gill Sans"/>
          <w:noProof/>
          <w:sz w:val="22"/>
          <w:szCs w:val="22"/>
          <w:lang w:val="en-GB"/>
        </w:rPr>
        <w:t xml:space="preserve"> the </w:t>
      </w:r>
      <w:r w:rsidR="00A0032F">
        <w:rPr>
          <w:rFonts w:ascii="Gill Sans" w:hAnsi="Gill Sans" w:cs="Gill Sans"/>
          <w:noProof/>
          <w:sz w:val="22"/>
          <w:szCs w:val="22"/>
          <w:lang w:val="en-GB"/>
        </w:rPr>
        <w:t>g</w:t>
      </w:r>
      <w:r w:rsidR="003602E2" w:rsidRPr="00BB3451">
        <w:rPr>
          <w:rFonts w:ascii="Gill Sans" w:hAnsi="Gill Sans" w:cs="Gill Sans"/>
          <w:noProof/>
          <w:sz w:val="22"/>
          <w:szCs w:val="22"/>
          <w:lang w:val="en-GB"/>
        </w:rPr>
        <w:t>overnment informed about a draft</w:t>
      </w:r>
      <w:r w:rsidR="00644744">
        <w:rPr>
          <w:rFonts w:ascii="Gill Sans" w:hAnsi="Gill Sans" w:cs="Gill Sans"/>
          <w:noProof/>
          <w:sz w:val="22"/>
          <w:szCs w:val="22"/>
          <w:lang w:val="en-GB"/>
        </w:rPr>
        <w:t xml:space="preserve"> law</w:t>
      </w:r>
      <w:r w:rsidR="003602E2" w:rsidRPr="00BB3451">
        <w:rPr>
          <w:rFonts w:ascii="Gill Sans" w:hAnsi="Gill Sans" w:cs="Gill Sans"/>
          <w:noProof/>
          <w:sz w:val="22"/>
          <w:szCs w:val="22"/>
          <w:lang w:val="en-GB"/>
        </w:rPr>
        <w:t xml:space="preserve"> adopted in the first reading in July 2015, but failed to address the issue that the OGP measure ta</w:t>
      </w:r>
      <w:r w:rsidR="00644744">
        <w:rPr>
          <w:rFonts w:ascii="Gill Sans" w:hAnsi="Gill Sans" w:cs="Gill Sans"/>
          <w:noProof/>
          <w:sz w:val="22"/>
          <w:szCs w:val="22"/>
          <w:lang w:val="en-GB"/>
        </w:rPr>
        <w:t>rgeted. It did not provide for the</w:t>
      </w:r>
      <w:r w:rsidR="003602E2" w:rsidRPr="00BB3451">
        <w:rPr>
          <w:rFonts w:ascii="Gill Sans" w:hAnsi="Gill Sans" w:cs="Gill Sans"/>
          <w:noProof/>
          <w:sz w:val="22"/>
          <w:szCs w:val="22"/>
          <w:lang w:val="en-GB"/>
        </w:rPr>
        <w:t xml:space="preserve"> one-stop procedure for civic organisations to obtain their registration as legal </w:t>
      </w:r>
      <w:r w:rsidR="00A4390F">
        <w:rPr>
          <w:rFonts w:ascii="Gill Sans" w:hAnsi="Gill Sans" w:cs="Gill Sans"/>
          <w:noProof/>
          <w:sz w:val="22"/>
          <w:szCs w:val="22"/>
          <w:lang w:val="en-GB"/>
        </w:rPr>
        <w:t>entities</w:t>
      </w:r>
      <w:r w:rsidR="00A4390F" w:rsidRPr="00BB3451">
        <w:rPr>
          <w:rFonts w:ascii="Gill Sans" w:hAnsi="Gill Sans" w:cs="Gill Sans"/>
          <w:noProof/>
          <w:sz w:val="22"/>
          <w:szCs w:val="22"/>
          <w:lang w:val="en-GB"/>
        </w:rPr>
        <w:t xml:space="preserve"> </w:t>
      </w:r>
      <w:r w:rsidR="00A4390F">
        <w:rPr>
          <w:rFonts w:ascii="Gill Sans" w:hAnsi="Gill Sans" w:cs="Gill Sans"/>
          <w:noProof/>
          <w:sz w:val="22"/>
          <w:szCs w:val="22"/>
          <w:lang w:val="en-GB"/>
        </w:rPr>
        <w:t xml:space="preserve">or </w:t>
      </w:r>
      <w:r w:rsidR="003602E2" w:rsidRPr="00BB3451">
        <w:rPr>
          <w:rFonts w:ascii="Gill Sans" w:hAnsi="Gill Sans" w:cs="Gill Sans"/>
          <w:noProof/>
          <w:sz w:val="22"/>
          <w:szCs w:val="22"/>
          <w:lang w:val="en-GB"/>
        </w:rPr>
        <w:t>eligib</w:t>
      </w:r>
      <w:r w:rsidR="00BC41B0">
        <w:rPr>
          <w:rFonts w:ascii="Gill Sans" w:hAnsi="Gill Sans" w:cs="Gill Sans"/>
          <w:noProof/>
          <w:sz w:val="22"/>
          <w:szCs w:val="22"/>
          <w:lang w:val="en-GB"/>
        </w:rPr>
        <w:t>i</w:t>
      </w:r>
      <w:r w:rsidR="003602E2" w:rsidRPr="00BB3451">
        <w:rPr>
          <w:rFonts w:ascii="Gill Sans" w:hAnsi="Gill Sans" w:cs="Gill Sans"/>
          <w:noProof/>
          <w:sz w:val="22"/>
          <w:szCs w:val="22"/>
          <w:lang w:val="en-GB"/>
        </w:rPr>
        <w:t>l</w:t>
      </w:r>
      <w:r w:rsidR="00BC41B0">
        <w:rPr>
          <w:rFonts w:ascii="Gill Sans" w:hAnsi="Gill Sans" w:cs="Gill Sans"/>
          <w:noProof/>
          <w:sz w:val="22"/>
          <w:szCs w:val="22"/>
          <w:lang w:val="en-GB"/>
        </w:rPr>
        <w:t>ity</w:t>
      </w:r>
      <w:r w:rsidR="003602E2" w:rsidRPr="00BB3451">
        <w:rPr>
          <w:rFonts w:ascii="Gill Sans" w:hAnsi="Gill Sans" w:cs="Gill Sans"/>
          <w:noProof/>
          <w:sz w:val="22"/>
          <w:szCs w:val="22"/>
          <w:lang w:val="en-GB"/>
        </w:rPr>
        <w:t xml:space="preserve"> for non-profit tax status.</w:t>
      </w:r>
      <w:r w:rsidR="00886546" w:rsidRPr="00BB3451">
        <w:rPr>
          <w:rStyle w:val="EndnoteReference"/>
          <w:rFonts w:ascii="Gill Sans" w:hAnsi="Gill Sans" w:cs="Gill Sans"/>
          <w:noProof/>
          <w:sz w:val="22"/>
          <w:szCs w:val="22"/>
          <w:lang w:val="en-GB"/>
        </w:rPr>
        <w:endnoteReference w:id="9"/>
      </w:r>
    </w:p>
    <w:p w14:paraId="3BE698C0" w14:textId="47C8ECA1" w:rsidR="005B031B" w:rsidRPr="00BB3451" w:rsidRDefault="005B031B" w:rsidP="002F0BB5">
      <w:pPr>
        <w:pStyle w:val="Normalrglronly"/>
        <w:rPr>
          <w:b/>
          <w:lang w:val="en-GB"/>
        </w:rPr>
      </w:pPr>
      <w:r w:rsidRPr="00BB3451">
        <w:rPr>
          <w:b/>
          <w:lang w:val="en-GB"/>
        </w:rPr>
        <w:t xml:space="preserve">End of term: </w:t>
      </w:r>
      <w:r w:rsidR="002F0BB5">
        <w:rPr>
          <w:b/>
          <w:lang w:val="en-GB"/>
        </w:rPr>
        <w:t>Complete</w:t>
      </w:r>
    </w:p>
    <w:p w14:paraId="17578B93" w14:textId="5D92AC7C" w:rsidR="00EE2481" w:rsidRPr="00BB3451" w:rsidRDefault="00EE2481" w:rsidP="0008527B">
      <w:pPr>
        <w:spacing w:after="120"/>
        <w:rPr>
          <w:rFonts w:ascii="Gill Sans" w:hAnsi="Gill Sans" w:cs="Gill Sans"/>
          <w:b/>
          <w:sz w:val="22"/>
          <w:szCs w:val="22"/>
        </w:rPr>
      </w:pPr>
      <w:r w:rsidRPr="00BB3451">
        <w:rPr>
          <w:rFonts w:ascii="Gill Sans" w:hAnsi="Gill Sans" w:cs="Gill Sans"/>
          <w:noProof/>
          <w:sz w:val="22"/>
          <w:szCs w:val="22"/>
          <w:lang w:val="en-GB"/>
        </w:rPr>
        <w:t>The final wording of the new law on state registration of legal entities, private entrepreneurs</w:t>
      </w:r>
      <w:r w:rsidR="00301EB0">
        <w:rPr>
          <w:rFonts w:ascii="Gill Sans" w:hAnsi="Gill Sans" w:cs="Gill Sans"/>
          <w:noProof/>
          <w:sz w:val="22"/>
          <w:szCs w:val="22"/>
          <w:lang w:val="en-GB"/>
        </w:rPr>
        <w:t>,</w:t>
      </w:r>
      <w:r w:rsidRPr="00BB3451">
        <w:rPr>
          <w:rFonts w:ascii="Gill Sans" w:hAnsi="Gill Sans" w:cs="Gill Sans"/>
          <w:noProof/>
          <w:sz w:val="22"/>
          <w:szCs w:val="22"/>
          <w:lang w:val="en-GB"/>
        </w:rPr>
        <w:t xml:space="preserve"> and civic formations, as adopted in November 2015</w:t>
      </w:r>
      <w:r w:rsidR="00DE78B7" w:rsidRPr="00BB3451">
        <w:rPr>
          <w:rFonts w:ascii="Gill Sans" w:hAnsi="Gill Sans" w:cs="Gill Sans"/>
          <w:noProof/>
          <w:sz w:val="22"/>
          <w:szCs w:val="22"/>
          <w:lang w:val="en-GB"/>
        </w:rPr>
        <w:t xml:space="preserve"> (</w:t>
      </w:r>
      <w:r w:rsidR="00B379E6" w:rsidRPr="00BB3451">
        <w:rPr>
          <w:rFonts w:ascii="Gill Sans" w:hAnsi="Gill Sans" w:cs="Gill Sans"/>
          <w:noProof/>
          <w:sz w:val="22"/>
          <w:szCs w:val="22"/>
          <w:lang w:val="en-GB"/>
        </w:rPr>
        <w:t>enacted in December 2015</w:t>
      </w:r>
      <w:r w:rsidR="00DE78B7" w:rsidRPr="00BB3451">
        <w:rPr>
          <w:rFonts w:ascii="Gill Sans" w:hAnsi="Gill Sans" w:cs="Gill Sans"/>
          <w:noProof/>
          <w:sz w:val="22"/>
          <w:szCs w:val="22"/>
          <w:lang w:val="en-GB"/>
        </w:rPr>
        <w:t>),</w:t>
      </w:r>
      <w:r w:rsidRPr="00BB3451">
        <w:rPr>
          <w:rFonts w:ascii="Gill Sans" w:hAnsi="Gill Sans" w:cs="Gill Sans"/>
          <w:noProof/>
          <w:sz w:val="22"/>
          <w:szCs w:val="22"/>
          <w:lang w:val="en-GB"/>
        </w:rPr>
        <w:t xml:space="preserve"> included provisions on </w:t>
      </w:r>
      <w:r w:rsidR="00644744">
        <w:rPr>
          <w:rFonts w:ascii="Gill Sans" w:hAnsi="Gill Sans" w:cs="Gill Sans"/>
          <w:noProof/>
          <w:sz w:val="22"/>
          <w:szCs w:val="22"/>
          <w:lang w:val="en-GB"/>
        </w:rPr>
        <w:t xml:space="preserve">the </w:t>
      </w:r>
      <w:r w:rsidRPr="00BB3451">
        <w:rPr>
          <w:rFonts w:ascii="Gill Sans" w:hAnsi="Gill Sans" w:cs="Gill Sans"/>
          <w:noProof/>
          <w:sz w:val="22"/>
          <w:szCs w:val="22"/>
          <w:lang w:val="en-GB"/>
        </w:rPr>
        <w:t xml:space="preserve">one-stop procedure for obtaining </w:t>
      </w:r>
      <w:r w:rsidR="00301EB0">
        <w:rPr>
          <w:rFonts w:ascii="Gill Sans" w:hAnsi="Gill Sans" w:cs="Gill Sans"/>
          <w:noProof/>
          <w:sz w:val="22"/>
          <w:szCs w:val="22"/>
          <w:lang w:val="en-GB"/>
        </w:rPr>
        <w:t>non</w:t>
      </w:r>
      <w:r w:rsidRPr="00BB3451">
        <w:rPr>
          <w:rFonts w:ascii="Gill Sans" w:hAnsi="Gill Sans" w:cs="Gill Sans"/>
          <w:noProof/>
          <w:sz w:val="22"/>
          <w:szCs w:val="22"/>
          <w:lang w:val="en-GB"/>
        </w:rPr>
        <w:t>-profit status by CSOs. An applicant entity was allowed to submit</w:t>
      </w:r>
      <w:r w:rsidR="00A4390F">
        <w:rPr>
          <w:rFonts w:ascii="Gill Sans" w:hAnsi="Gill Sans" w:cs="Gill Sans"/>
          <w:noProof/>
          <w:sz w:val="22"/>
          <w:szCs w:val="22"/>
          <w:lang w:val="en-GB"/>
        </w:rPr>
        <w:t>,</w:t>
      </w:r>
      <w:r w:rsidRPr="00BB3451">
        <w:rPr>
          <w:rFonts w:ascii="Gill Sans" w:hAnsi="Gill Sans" w:cs="Gill Sans"/>
          <w:noProof/>
          <w:sz w:val="22"/>
          <w:szCs w:val="22"/>
          <w:lang w:val="en-GB"/>
        </w:rPr>
        <w:t xml:space="preserve"> at </w:t>
      </w:r>
      <w:r w:rsidR="00644744">
        <w:rPr>
          <w:rFonts w:ascii="Gill Sans" w:hAnsi="Gill Sans" w:cs="Gill Sans"/>
          <w:noProof/>
          <w:sz w:val="22"/>
          <w:szCs w:val="22"/>
          <w:lang w:val="en-GB"/>
        </w:rPr>
        <w:t>the same time</w:t>
      </w:r>
      <w:r w:rsidR="00A4390F">
        <w:rPr>
          <w:rFonts w:ascii="Gill Sans" w:hAnsi="Gill Sans" w:cs="Gill Sans"/>
          <w:noProof/>
          <w:sz w:val="22"/>
          <w:szCs w:val="22"/>
          <w:lang w:val="en-GB"/>
        </w:rPr>
        <w:t>,</w:t>
      </w:r>
      <w:r w:rsidR="00644744">
        <w:rPr>
          <w:rFonts w:ascii="Gill Sans" w:hAnsi="Gill Sans" w:cs="Gill Sans"/>
          <w:noProof/>
          <w:sz w:val="22"/>
          <w:szCs w:val="22"/>
          <w:lang w:val="en-GB"/>
        </w:rPr>
        <w:t xml:space="preserve"> a </w:t>
      </w:r>
      <w:r w:rsidRPr="00BB3451">
        <w:rPr>
          <w:rFonts w:ascii="Gill Sans" w:hAnsi="Gill Sans" w:cs="Gill Sans"/>
          <w:noProof/>
          <w:sz w:val="22"/>
          <w:szCs w:val="22"/>
          <w:lang w:val="en-GB"/>
        </w:rPr>
        <w:t xml:space="preserve">request for registration as a legal entity and </w:t>
      </w:r>
      <w:r w:rsidR="004312F1" w:rsidRPr="00BB3451">
        <w:rPr>
          <w:rFonts w:ascii="Gill Sans" w:hAnsi="Gill Sans" w:cs="Gill Sans"/>
          <w:noProof/>
          <w:sz w:val="22"/>
          <w:szCs w:val="22"/>
          <w:lang w:val="en-GB"/>
        </w:rPr>
        <w:t xml:space="preserve">non-profit organisation. </w:t>
      </w:r>
      <w:r w:rsidR="001B5CE7" w:rsidRPr="00BB3451">
        <w:rPr>
          <w:rFonts w:ascii="Gill Sans" w:hAnsi="Gill Sans" w:cs="Gill Sans"/>
          <w:noProof/>
          <w:sz w:val="22"/>
          <w:szCs w:val="22"/>
          <w:lang w:val="en-GB"/>
        </w:rPr>
        <w:t xml:space="preserve">Later, in July 2016, the </w:t>
      </w:r>
      <w:r w:rsidR="00301EB0">
        <w:rPr>
          <w:rFonts w:ascii="Gill Sans" w:hAnsi="Gill Sans" w:cs="Gill Sans"/>
          <w:noProof/>
          <w:sz w:val="22"/>
          <w:szCs w:val="22"/>
          <w:lang w:val="en-GB"/>
        </w:rPr>
        <w:t>g</w:t>
      </w:r>
      <w:r w:rsidR="00B379E6" w:rsidRPr="00BB3451">
        <w:rPr>
          <w:rFonts w:ascii="Gill Sans" w:hAnsi="Gill Sans" w:cs="Gill Sans"/>
          <w:noProof/>
          <w:sz w:val="22"/>
          <w:szCs w:val="22"/>
          <w:lang w:val="en-GB"/>
        </w:rPr>
        <w:t xml:space="preserve">overnment </w:t>
      </w:r>
      <w:r w:rsidR="001B5CE7" w:rsidRPr="00BB3451">
        <w:rPr>
          <w:rFonts w:ascii="Gill Sans" w:hAnsi="Gill Sans" w:cs="Gill Sans"/>
          <w:noProof/>
          <w:sz w:val="22"/>
          <w:szCs w:val="22"/>
          <w:lang w:val="en-GB"/>
        </w:rPr>
        <w:t xml:space="preserve">approved </w:t>
      </w:r>
      <w:r w:rsidR="00B379E6" w:rsidRPr="00BB3451">
        <w:rPr>
          <w:rFonts w:ascii="Gill Sans" w:hAnsi="Gill Sans" w:cs="Gill Sans"/>
          <w:noProof/>
          <w:sz w:val="22"/>
          <w:szCs w:val="22"/>
          <w:lang w:val="en-GB"/>
        </w:rPr>
        <w:t xml:space="preserve">regulations </w:t>
      </w:r>
      <w:r w:rsidR="003855EF" w:rsidRPr="00BB3451">
        <w:rPr>
          <w:rFonts w:ascii="Gill Sans" w:hAnsi="Gill Sans" w:cs="Gill Sans"/>
          <w:noProof/>
          <w:sz w:val="22"/>
          <w:szCs w:val="22"/>
          <w:lang w:val="en-GB"/>
        </w:rPr>
        <w:t xml:space="preserve">on the Procedure for maintaining </w:t>
      </w:r>
      <w:r w:rsidR="001B5CE7" w:rsidRPr="00BB3451">
        <w:rPr>
          <w:rFonts w:ascii="Gill Sans" w:hAnsi="Gill Sans" w:cs="Gill Sans"/>
          <w:noProof/>
          <w:sz w:val="22"/>
          <w:szCs w:val="22"/>
          <w:lang w:val="en-GB"/>
        </w:rPr>
        <w:t xml:space="preserve">a </w:t>
      </w:r>
      <w:r w:rsidR="003855EF" w:rsidRPr="00BB3451">
        <w:rPr>
          <w:rFonts w:ascii="Gill Sans" w:hAnsi="Gill Sans" w:cs="Gill Sans"/>
          <w:noProof/>
          <w:sz w:val="22"/>
          <w:szCs w:val="22"/>
          <w:lang w:val="en-GB"/>
        </w:rPr>
        <w:t xml:space="preserve">Register of Non-Profit Organisations </w:t>
      </w:r>
      <w:r w:rsidR="001B5CE7" w:rsidRPr="00BB3451">
        <w:rPr>
          <w:rFonts w:ascii="Gill Sans" w:hAnsi="Gill Sans" w:cs="Gill Sans"/>
          <w:noProof/>
          <w:sz w:val="22"/>
          <w:szCs w:val="22"/>
          <w:lang w:val="en-GB"/>
        </w:rPr>
        <w:t>to ref</w:t>
      </w:r>
      <w:r w:rsidR="00644744">
        <w:rPr>
          <w:rFonts w:ascii="Gill Sans" w:hAnsi="Gill Sans" w:cs="Gill Sans"/>
          <w:noProof/>
          <w:sz w:val="22"/>
          <w:szCs w:val="22"/>
          <w:lang w:val="en-GB"/>
        </w:rPr>
        <w:t>lec</w:t>
      </w:r>
      <w:r w:rsidR="001B5CE7" w:rsidRPr="00BB3451">
        <w:rPr>
          <w:rFonts w:ascii="Gill Sans" w:hAnsi="Gill Sans" w:cs="Gill Sans"/>
          <w:noProof/>
          <w:sz w:val="22"/>
          <w:szCs w:val="22"/>
          <w:lang w:val="en-GB"/>
        </w:rPr>
        <w:t xml:space="preserve">t the new </w:t>
      </w:r>
      <w:r w:rsidR="00644744">
        <w:rPr>
          <w:rFonts w:ascii="Gill Sans" w:hAnsi="Gill Sans" w:cs="Gill Sans"/>
          <w:noProof/>
          <w:sz w:val="22"/>
          <w:szCs w:val="22"/>
          <w:lang w:val="en-GB"/>
        </w:rPr>
        <w:t>changes in the law</w:t>
      </w:r>
      <w:r w:rsidR="003855EF" w:rsidRPr="00BB3451">
        <w:rPr>
          <w:rFonts w:ascii="Gill Sans" w:hAnsi="Gill Sans" w:cs="Gill Sans"/>
          <w:noProof/>
          <w:sz w:val="22"/>
          <w:szCs w:val="22"/>
          <w:lang w:val="en-GB"/>
        </w:rPr>
        <w:t xml:space="preserve">. </w:t>
      </w:r>
      <w:r w:rsidR="001B5CE7" w:rsidRPr="00BB3451">
        <w:rPr>
          <w:rFonts w:ascii="Gill Sans" w:hAnsi="Gill Sans" w:cs="Gill Sans"/>
          <w:noProof/>
          <w:sz w:val="22"/>
          <w:szCs w:val="22"/>
          <w:lang w:val="en-GB"/>
        </w:rPr>
        <w:t xml:space="preserve">According to the </w:t>
      </w:r>
      <w:r w:rsidR="00301EB0">
        <w:rPr>
          <w:rFonts w:ascii="Gill Sans" w:hAnsi="Gill Sans" w:cs="Gill Sans"/>
          <w:noProof/>
          <w:sz w:val="22"/>
          <w:szCs w:val="22"/>
          <w:lang w:val="en-GB"/>
        </w:rPr>
        <w:t>g</w:t>
      </w:r>
      <w:r w:rsidR="001B5CE7" w:rsidRPr="00BB3451">
        <w:rPr>
          <w:rFonts w:ascii="Gill Sans" w:hAnsi="Gill Sans" w:cs="Gill Sans"/>
          <w:noProof/>
          <w:sz w:val="22"/>
          <w:szCs w:val="22"/>
          <w:lang w:val="en-GB"/>
        </w:rPr>
        <w:t>overnment</w:t>
      </w:r>
      <w:r w:rsidR="00644744">
        <w:rPr>
          <w:rFonts w:ascii="Gill Sans" w:hAnsi="Gill Sans" w:cs="Gill Sans"/>
          <w:noProof/>
          <w:sz w:val="22"/>
          <w:szCs w:val="22"/>
          <w:lang w:val="en-GB"/>
        </w:rPr>
        <w:t>’s</w:t>
      </w:r>
      <w:r w:rsidR="001B5CE7" w:rsidRPr="00BB3451">
        <w:rPr>
          <w:rFonts w:ascii="Gill Sans" w:hAnsi="Gill Sans" w:cs="Gill Sans"/>
          <w:noProof/>
          <w:sz w:val="22"/>
          <w:szCs w:val="22"/>
          <w:lang w:val="en-GB"/>
        </w:rPr>
        <w:t xml:space="preserve"> self-assessment report, </w:t>
      </w:r>
      <w:r w:rsidR="003855EF" w:rsidRPr="00BB3451">
        <w:rPr>
          <w:rFonts w:ascii="Gill Sans" w:hAnsi="Gill Sans" w:cs="Gill Sans"/>
          <w:noProof/>
          <w:sz w:val="22"/>
          <w:szCs w:val="22"/>
          <w:lang w:val="en-GB"/>
        </w:rPr>
        <w:t xml:space="preserve">NGOs took part in the development of the final version of the law and </w:t>
      </w:r>
      <w:r w:rsidR="00301EB0">
        <w:rPr>
          <w:rFonts w:ascii="Gill Sans" w:hAnsi="Gill Sans" w:cs="Gill Sans"/>
          <w:noProof/>
          <w:sz w:val="22"/>
          <w:szCs w:val="22"/>
          <w:lang w:val="en-GB"/>
        </w:rPr>
        <w:t>g</w:t>
      </w:r>
      <w:r w:rsidR="003855EF" w:rsidRPr="00BB3451">
        <w:rPr>
          <w:rFonts w:ascii="Gill Sans" w:hAnsi="Gill Sans" w:cs="Gill Sans"/>
          <w:noProof/>
          <w:sz w:val="22"/>
          <w:szCs w:val="22"/>
          <w:lang w:val="en-GB"/>
        </w:rPr>
        <w:t>overnment regulations.</w:t>
      </w:r>
      <w:r w:rsidR="001B5CE7" w:rsidRPr="00BB3451">
        <w:rPr>
          <w:rFonts w:ascii="Gill Sans" w:hAnsi="Gill Sans" w:cs="Gill Sans"/>
          <w:noProof/>
          <w:sz w:val="22"/>
          <w:szCs w:val="22"/>
          <w:lang w:val="en-GB"/>
        </w:rPr>
        <w:t xml:space="preserve"> However, </w:t>
      </w:r>
      <w:r w:rsidR="00171735">
        <w:rPr>
          <w:rFonts w:ascii="Gill Sans" w:hAnsi="Gill Sans" w:cs="Gill Sans"/>
          <w:noProof/>
          <w:sz w:val="22"/>
          <w:szCs w:val="22"/>
          <w:lang w:val="en-GB"/>
        </w:rPr>
        <w:t xml:space="preserve">a </w:t>
      </w:r>
      <w:r w:rsidR="001B5CE7" w:rsidRPr="00BB3451">
        <w:rPr>
          <w:rFonts w:ascii="Gill Sans" w:hAnsi="Gill Sans" w:cs="Gill Sans"/>
          <w:noProof/>
          <w:sz w:val="22"/>
          <w:szCs w:val="22"/>
          <w:lang w:val="en-GB"/>
        </w:rPr>
        <w:t xml:space="preserve">CSO representative noted that </w:t>
      </w:r>
      <w:r w:rsidR="00517E72">
        <w:rPr>
          <w:rFonts w:ascii="Gill Sans" w:hAnsi="Gill Sans" w:cs="Gill Sans"/>
          <w:noProof/>
          <w:sz w:val="22"/>
          <w:szCs w:val="22"/>
          <w:lang w:val="en-GB"/>
        </w:rPr>
        <w:t>the new provisions had</w:t>
      </w:r>
      <w:r w:rsidR="007B32BA" w:rsidRPr="00BB3451">
        <w:rPr>
          <w:rFonts w:ascii="Gill Sans" w:hAnsi="Gill Sans" w:cs="Gill Sans"/>
          <w:noProof/>
          <w:sz w:val="22"/>
          <w:szCs w:val="22"/>
          <w:lang w:val="en-GB"/>
        </w:rPr>
        <w:t xml:space="preserve"> not been implemented</w:t>
      </w:r>
      <w:r w:rsidR="00A4390F">
        <w:rPr>
          <w:rFonts w:ascii="Gill Sans" w:hAnsi="Gill Sans" w:cs="Gill Sans"/>
          <w:noProof/>
          <w:sz w:val="22"/>
          <w:szCs w:val="22"/>
          <w:lang w:val="en-GB"/>
        </w:rPr>
        <w:t>.</w:t>
      </w:r>
      <w:r w:rsidR="00A4390F">
        <w:rPr>
          <w:rFonts w:ascii="Gill Sans" w:hAnsi="Gill Sans" w:cs="Gill Sans"/>
          <w:noProof/>
          <w:sz w:val="22"/>
          <w:szCs w:val="22"/>
        </w:rPr>
        <w:t xml:space="preserve"> S</w:t>
      </w:r>
      <w:r w:rsidR="00480BD7" w:rsidRPr="00BB3451">
        <w:rPr>
          <w:rFonts w:ascii="Gill Sans" w:hAnsi="Gill Sans" w:cs="Gill Sans"/>
          <w:noProof/>
          <w:sz w:val="22"/>
          <w:szCs w:val="22"/>
        </w:rPr>
        <w:t xml:space="preserve">tate registrars </w:t>
      </w:r>
      <w:r w:rsidR="00517E72">
        <w:rPr>
          <w:rFonts w:ascii="Gill Sans" w:hAnsi="Gill Sans" w:cs="Gill Sans"/>
          <w:noProof/>
          <w:sz w:val="22"/>
          <w:szCs w:val="22"/>
        </w:rPr>
        <w:t>refuse</w:t>
      </w:r>
      <w:r w:rsidR="00301EB0">
        <w:rPr>
          <w:rFonts w:ascii="Gill Sans" w:hAnsi="Gill Sans" w:cs="Gill Sans"/>
          <w:noProof/>
          <w:sz w:val="22"/>
          <w:szCs w:val="22"/>
        </w:rPr>
        <w:t>d</w:t>
      </w:r>
      <w:r w:rsidR="00517E72">
        <w:rPr>
          <w:rFonts w:ascii="Gill Sans" w:hAnsi="Gill Sans" w:cs="Gill Sans"/>
          <w:noProof/>
          <w:sz w:val="22"/>
          <w:szCs w:val="22"/>
        </w:rPr>
        <w:t xml:space="preserve"> to tra</w:t>
      </w:r>
      <w:r w:rsidR="009D3CAB" w:rsidRPr="00BB3451">
        <w:rPr>
          <w:rFonts w:ascii="Gill Sans" w:hAnsi="Gill Sans" w:cs="Gill Sans"/>
          <w:noProof/>
          <w:sz w:val="22"/>
          <w:szCs w:val="22"/>
        </w:rPr>
        <w:t>n</w:t>
      </w:r>
      <w:r w:rsidR="00517E72">
        <w:rPr>
          <w:rFonts w:ascii="Gill Sans" w:hAnsi="Gill Sans" w:cs="Gill Sans"/>
          <w:noProof/>
          <w:sz w:val="22"/>
          <w:szCs w:val="22"/>
        </w:rPr>
        <w:t>s</w:t>
      </w:r>
      <w:r w:rsidR="009D3CAB" w:rsidRPr="00BB3451">
        <w:rPr>
          <w:rFonts w:ascii="Gill Sans" w:hAnsi="Gill Sans" w:cs="Gill Sans"/>
          <w:noProof/>
          <w:sz w:val="22"/>
          <w:szCs w:val="22"/>
        </w:rPr>
        <w:t>fer applications to tax authorities</w:t>
      </w:r>
      <w:r w:rsidR="00301EB0">
        <w:rPr>
          <w:rFonts w:ascii="Gill Sans" w:hAnsi="Gill Sans" w:cs="Gill Sans"/>
          <w:noProof/>
          <w:sz w:val="22"/>
          <w:szCs w:val="22"/>
        </w:rPr>
        <w:t>,</w:t>
      </w:r>
      <w:r w:rsidR="009D3CAB" w:rsidRPr="00BB3451">
        <w:rPr>
          <w:rFonts w:ascii="Gill Sans" w:hAnsi="Gill Sans" w:cs="Gill Sans"/>
          <w:noProof/>
          <w:sz w:val="22"/>
          <w:szCs w:val="22"/>
        </w:rPr>
        <w:t xml:space="preserve"> referring to </w:t>
      </w:r>
      <w:r w:rsidR="00517E72">
        <w:rPr>
          <w:rFonts w:ascii="Gill Sans" w:hAnsi="Gill Sans" w:cs="Gill Sans"/>
          <w:noProof/>
          <w:sz w:val="22"/>
          <w:szCs w:val="22"/>
        </w:rPr>
        <w:t xml:space="preserve">the </w:t>
      </w:r>
      <w:r w:rsidR="009D3CAB" w:rsidRPr="00BB3451">
        <w:rPr>
          <w:rFonts w:ascii="Gill Sans" w:hAnsi="Gill Sans" w:cs="Gill Sans"/>
          <w:noProof/>
          <w:sz w:val="22"/>
          <w:szCs w:val="22"/>
        </w:rPr>
        <w:t>lack of electronic data exchange.</w:t>
      </w:r>
      <w:r w:rsidR="002666A0" w:rsidRPr="00BB3451">
        <w:rPr>
          <w:rStyle w:val="EndnoteReference"/>
          <w:rFonts w:ascii="Gill Sans" w:hAnsi="Gill Sans" w:cs="Gill Sans"/>
          <w:noProof/>
          <w:sz w:val="22"/>
          <w:szCs w:val="22"/>
        </w:rPr>
        <w:endnoteReference w:id="10"/>
      </w:r>
      <w:r w:rsidR="009D3CAB" w:rsidRPr="00BB3451">
        <w:rPr>
          <w:rFonts w:ascii="Gill Sans" w:hAnsi="Gill Sans" w:cs="Gill Sans"/>
          <w:noProof/>
          <w:sz w:val="22"/>
          <w:szCs w:val="22"/>
        </w:rPr>
        <w:t xml:space="preserve"> This </w:t>
      </w:r>
      <w:r w:rsidR="00155367">
        <w:rPr>
          <w:rFonts w:ascii="Gill Sans" w:hAnsi="Gill Sans" w:cs="Gill Sans"/>
          <w:noProof/>
          <w:sz w:val="22"/>
          <w:szCs w:val="22"/>
        </w:rPr>
        <w:t>indicates</w:t>
      </w:r>
      <w:r w:rsidR="00155367" w:rsidRPr="00BB3451">
        <w:rPr>
          <w:rFonts w:ascii="Gill Sans" w:hAnsi="Gill Sans" w:cs="Gill Sans"/>
          <w:noProof/>
          <w:sz w:val="22"/>
          <w:szCs w:val="22"/>
        </w:rPr>
        <w:t xml:space="preserve"> </w:t>
      </w:r>
      <w:r w:rsidR="009D3CAB" w:rsidRPr="00BB3451">
        <w:rPr>
          <w:rFonts w:ascii="Gill Sans" w:hAnsi="Gill Sans" w:cs="Gill Sans"/>
          <w:noProof/>
          <w:sz w:val="22"/>
          <w:szCs w:val="22"/>
        </w:rPr>
        <w:t xml:space="preserve">that </w:t>
      </w:r>
      <w:r w:rsidR="00872869" w:rsidRPr="00BB3451">
        <w:rPr>
          <w:rFonts w:ascii="Gill Sans" w:hAnsi="Gill Sans" w:cs="Gill Sans"/>
          <w:noProof/>
          <w:sz w:val="22"/>
          <w:szCs w:val="22"/>
        </w:rPr>
        <w:t xml:space="preserve">the </w:t>
      </w:r>
      <w:r w:rsidR="009D3CAB" w:rsidRPr="00BB3451">
        <w:rPr>
          <w:rFonts w:ascii="Gill Sans" w:hAnsi="Gill Sans" w:cs="Gill Sans"/>
          <w:noProof/>
          <w:sz w:val="22"/>
          <w:szCs w:val="22"/>
        </w:rPr>
        <w:t>one-stop procedure is not</w:t>
      </w:r>
      <w:r w:rsidR="00155367">
        <w:rPr>
          <w:rFonts w:ascii="Gill Sans" w:hAnsi="Gill Sans" w:cs="Gill Sans"/>
          <w:noProof/>
          <w:sz w:val="22"/>
          <w:szCs w:val="22"/>
        </w:rPr>
        <w:t xml:space="preserve"> yet fully</w:t>
      </w:r>
      <w:r w:rsidR="009D3CAB" w:rsidRPr="00BB3451">
        <w:rPr>
          <w:rFonts w:ascii="Gill Sans" w:hAnsi="Gill Sans" w:cs="Gill Sans"/>
          <w:noProof/>
          <w:sz w:val="22"/>
          <w:szCs w:val="22"/>
        </w:rPr>
        <w:t xml:space="preserve"> functioning.</w:t>
      </w:r>
      <w:r w:rsidR="002D7E98" w:rsidRPr="00BB3451">
        <w:rPr>
          <w:rFonts w:ascii="Gill Sans" w:hAnsi="Gill Sans" w:cs="Gill Sans"/>
          <w:noProof/>
          <w:sz w:val="22"/>
          <w:szCs w:val="22"/>
        </w:rPr>
        <w:t xml:space="preserve"> </w:t>
      </w:r>
      <w:r w:rsidR="00581D4D">
        <w:rPr>
          <w:rFonts w:ascii="Gill Sans" w:hAnsi="Gill Sans" w:cs="Gill Sans"/>
          <w:noProof/>
          <w:sz w:val="22"/>
          <w:szCs w:val="22"/>
        </w:rPr>
        <w:t xml:space="preserve">However, as the commitment </w:t>
      </w:r>
      <w:r w:rsidR="00301EB0">
        <w:rPr>
          <w:rFonts w:ascii="Gill Sans" w:hAnsi="Gill Sans" w:cs="Gill Sans"/>
          <w:noProof/>
          <w:sz w:val="22"/>
          <w:szCs w:val="22"/>
        </w:rPr>
        <w:t xml:space="preserve">sought </w:t>
      </w:r>
      <w:r w:rsidR="00581D4D">
        <w:rPr>
          <w:rFonts w:ascii="Gill Sans" w:hAnsi="Gill Sans" w:cs="Gill Sans"/>
          <w:noProof/>
          <w:sz w:val="22"/>
          <w:szCs w:val="22"/>
        </w:rPr>
        <w:t xml:space="preserve">only to adopt new changes in the law, </w:t>
      </w:r>
      <w:r w:rsidR="00A4390F">
        <w:rPr>
          <w:rFonts w:ascii="Gill Sans" w:hAnsi="Gill Sans" w:cs="Gill Sans"/>
          <w:noProof/>
          <w:sz w:val="22"/>
          <w:szCs w:val="22"/>
        </w:rPr>
        <w:t>which</w:t>
      </w:r>
      <w:r w:rsidR="00581D4D">
        <w:rPr>
          <w:rFonts w:ascii="Gill Sans" w:hAnsi="Gill Sans" w:cs="Gill Sans"/>
          <w:noProof/>
          <w:sz w:val="22"/>
          <w:szCs w:val="22"/>
        </w:rPr>
        <w:t xml:space="preserve"> has been done</w:t>
      </w:r>
      <w:r w:rsidR="00301EB0">
        <w:rPr>
          <w:rFonts w:ascii="Gill Sans" w:hAnsi="Gill Sans" w:cs="Gill Sans"/>
          <w:noProof/>
          <w:sz w:val="22"/>
          <w:szCs w:val="22"/>
        </w:rPr>
        <w:t>,</w:t>
      </w:r>
      <w:r w:rsidR="00581D4D">
        <w:rPr>
          <w:rFonts w:ascii="Gill Sans" w:hAnsi="Gill Sans" w:cs="Gill Sans"/>
          <w:noProof/>
          <w:sz w:val="22"/>
          <w:szCs w:val="22"/>
        </w:rPr>
        <w:t xml:space="preserve"> the commitment is considered complete. In addition</w:t>
      </w:r>
      <w:r w:rsidR="00301EB0">
        <w:rPr>
          <w:rFonts w:ascii="Gill Sans" w:hAnsi="Gill Sans" w:cs="Gill Sans"/>
          <w:noProof/>
          <w:sz w:val="22"/>
          <w:szCs w:val="22"/>
        </w:rPr>
        <w:t>,</w:t>
      </w:r>
      <w:r w:rsidR="00581D4D">
        <w:rPr>
          <w:rFonts w:ascii="Gill Sans" w:hAnsi="Gill Sans" w:cs="Gill Sans"/>
          <w:noProof/>
          <w:sz w:val="22"/>
          <w:szCs w:val="22"/>
        </w:rPr>
        <w:t xml:space="preserve"> other parts of the commitment carried out include </w:t>
      </w:r>
      <w:r w:rsidR="002D7E98" w:rsidRPr="00581D4D">
        <w:rPr>
          <w:rFonts w:ascii="Gill Sans" w:hAnsi="Gill Sans" w:cs="Gill Sans"/>
          <w:noProof/>
          <w:sz w:val="22"/>
          <w:szCs w:val="22"/>
          <w:lang w:val="en-GB"/>
        </w:rPr>
        <w:t>regulating deadlines for processing appl</w:t>
      </w:r>
      <w:r w:rsidR="00872869" w:rsidRPr="00581D4D">
        <w:rPr>
          <w:rFonts w:ascii="Gill Sans" w:hAnsi="Gill Sans" w:cs="Gill Sans"/>
          <w:noProof/>
          <w:sz w:val="22"/>
          <w:szCs w:val="22"/>
          <w:lang w:val="en-GB"/>
        </w:rPr>
        <w:t>ications for obtaining non-profi</w:t>
      </w:r>
      <w:r w:rsidR="002D7E98" w:rsidRPr="00581D4D">
        <w:rPr>
          <w:rFonts w:ascii="Gill Sans" w:hAnsi="Gill Sans" w:cs="Gill Sans"/>
          <w:noProof/>
          <w:sz w:val="22"/>
          <w:szCs w:val="22"/>
          <w:lang w:val="en-GB"/>
        </w:rPr>
        <w:t>t status, defining grounds for denial of such status,</w:t>
      </w:r>
      <w:r w:rsidR="00301EB0">
        <w:rPr>
          <w:rFonts w:ascii="Gill Sans" w:hAnsi="Gill Sans" w:cs="Gill Sans"/>
          <w:noProof/>
          <w:sz w:val="22"/>
          <w:szCs w:val="22"/>
          <w:lang w:val="en-GB"/>
        </w:rPr>
        <w:t xml:space="preserve"> </w:t>
      </w:r>
      <w:r w:rsidR="00581D4D">
        <w:rPr>
          <w:rFonts w:ascii="Gill Sans" w:hAnsi="Gill Sans" w:cs="Gill Sans"/>
          <w:noProof/>
          <w:sz w:val="22"/>
          <w:szCs w:val="22"/>
          <w:lang w:val="en-GB"/>
        </w:rPr>
        <w:t xml:space="preserve">and </w:t>
      </w:r>
      <w:r w:rsidR="002D7E98" w:rsidRPr="00581D4D">
        <w:rPr>
          <w:rFonts w:ascii="Gill Sans" w:hAnsi="Gill Sans" w:cs="Gill Sans"/>
          <w:noProof/>
          <w:sz w:val="22"/>
          <w:szCs w:val="22"/>
          <w:lang w:val="en-GB"/>
        </w:rPr>
        <w:t>envisaging free online access to the Register</w:t>
      </w:r>
      <w:r w:rsidR="002D7E98" w:rsidRPr="00BB3451">
        <w:rPr>
          <w:rFonts w:ascii="Gill Sans" w:hAnsi="Gill Sans" w:cs="Gill Sans"/>
          <w:noProof/>
          <w:sz w:val="22"/>
          <w:szCs w:val="22"/>
        </w:rPr>
        <w:t>.</w:t>
      </w:r>
      <w:r w:rsidR="00872869" w:rsidRPr="00BB3451">
        <w:rPr>
          <w:rStyle w:val="EndnoteReference"/>
          <w:rFonts w:ascii="Gill Sans" w:hAnsi="Gill Sans" w:cs="Gill Sans"/>
          <w:noProof/>
          <w:sz w:val="22"/>
          <w:szCs w:val="22"/>
        </w:rPr>
        <w:endnoteReference w:id="11"/>
      </w:r>
    </w:p>
    <w:p w14:paraId="424BDB67" w14:textId="77777777" w:rsidR="005B031B" w:rsidRPr="00BB3451" w:rsidRDefault="005B031B" w:rsidP="006319F4">
      <w:pPr>
        <w:pStyle w:val="Heading3"/>
      </w:pPr>
      <w:r w:rsidRPr="00BB3451">
        <w:t>Did it open government?</w:t>
      </w:r>
    </w:p>
    <w:p w14:paraId="732CC5E6" w14:textId="403AC1C3" w:rsidR="005B031B" w:rsidRPr="00BB3451" w:rsidRDefault="00360740" w:rsidP="00163080">
      <w:pPr>
        <w:rPr>
          <w:rFonts w:ascii="Gill Sans" w:hAnsi="Gill Sans" w:cs="Gill Sans"/>
          <w:b/>
          <w:noProof/>
          <w:sz w:val="22"/>
          <w:szCs w:val="22"/>
          <w:lang w:val="en-GB"/>
        </w:rPr>
      </w:pPr>
      <w:r w:rsidRPr="00BB3451">
        <w:rPr>
          <w:rFonts w:ascii="Gill Sans" w:hAnsi="Gill Sans" w:cs="Gill Sans"/>
          <w:b/>
          <w:noProof/>
          <w:sz w:val="22"/>
          <w:szCs w:val="22"/>
          <w:lang w:val="en-GB"/>
        </w:rPr>
        <w:t>2</w:t>
      </w:r>
      <w:r w:rsidR="005B031B" w:rsidRPr="00BB3451">
        <w:rPr>
          <w:rFonts w:ascii="Gill Sans" w:hAnsi="Gill Sans" w:cs="Gill Sans"/>
          <w:b/>
          <w:noProof/>
          <w:sz w:val="22"/>
          <w:szCs w:val="22"/>
          <w:lang w:val="en-GB"/>
        </w:rPr>
        <w:t xml:space="preserve">. </w:t>
      </w:r>
      <w:r w:rsidR="00EE2481" w:rsidRPr="00BB3451">
        <w:rPr>
          <w:rFonts w:ascii="Gill Sans" w:hAnsi="Gill Sans" w:cs="Gill Sans"/>
          <w:b/>
          <w:sz w:val="22"/>
          <w:szCs w:val="22"/>
          <w:lang w:val="en-GB"/>
        </w:rPr>
        <w:t>Financing of charities</w:t>
      </w:r>
    </w:p>
    <w:p w14:paraId="17B0ED56" w14:textId="19427983" w:rsidR="005B031B" w:rsidRPr="00BB3451" w:rsidRDefault="005B031B" w:rsidP="00741FBB">
      <w:pPr>
        <w:spacing w:after="120"/>
        <w:rPr>
          <w:rFonts w:ascii="Gill Sans" w:hAnsi="Gill Sans" w:cs="Gill Sans"/>
          <w:b/>
          <w:color w:val="000000" w:themeColor="text1"/>
          <w:sz w:val="22"/>
          <w:szCs w:val="22"/>
          <w:lang w:val="en-GB"/>
        </w:rPr>
      </w:pPr>
      <w:r w:rsidRPr="00BB3451">
        <w:rPr>
          <w:rFonts w:ascii="Gill Sans" w:hAnsi="Gill Sans" w:cs="Gill Sans"/>
          <w:b/>
          <w:color w:val="000000" w:themeColor="text1"/>
          <w:sz w:val="22"/>
          <w:szCs w:val="22"/>
          <w:lang w:val="en-GB"/>
        </w:rPr>
        <w:t xml:space="preserve">Civic participation: </w:t>
      </w:r>
      <w:r w:rsidR="005931AD" w:rsidRPr="00BB3451">
        <w:rPr>
          <w:rFonts w:ascii="Gill Sans" w:hAnsi="Gill Sans" w:cs="Gill Sans"/>
          <w:b/>
          <w:color w:val="000000" w:themeColor="text1"/>
          <w:sz w:val="22"/>
          <w:szCs w:val="22"/>
          <w:lang w:val="en-GB"/>
        </w:rPr>
        <w:t>Did not change</w:t>
      </w:r>
    </w:p>
    <w:p w14:paraId="47C5D84B" w14:textId="79A58EA0" w:rsidR="006B092E" w:rsidRPr="00BB3451" w:rsidRDefault="005B031B" w:rsidP="0008527B">
      <w:pPr>
        <w:spacing w:after="120"/>
        <w:rPr>
          <w:rFonts w:ascii="Gill Sans" w:hAnsi="Gill Sans" w:cs="Gill Sans"/>
          <w:sz w:val="22"/>
          <w:szCs w:val="22"/>
          <w:lang w:val="en-GB"/>
        </w:rPr>
      </w:pPr>
      <w:r w:rsidRPr="00BB3451">
        <w:rPr>
          <w:rFonts w:ascii="Gill Sans" w:hAnsi="Gill Sans" w:cs="Gill Sans"/>
          <w:sz w:val="22"/>
          <w:szCs w:val="22"/>
          <w:lang w:val="en-GB"/>
        </w:rPr>
        <w:t xml:space="preserve">The commitment aimed to improve </w:t>
      </w:r>
      <w:r w:rsidR="00126D8E">
        <w:rPr>
          <w:rFonts w:ascii="Gill Sans" w:hAnsi="Gill Sans" w:cs="Gill Sans"/>
          <w:sz w:val="22"/>
          <w:szCs w:val="22"/>
          <w:lang w:val="en-GB"/>
        </w:rPr>
        <w:t xml:space="preserve">the </w:t>
      </w:r>
      <w:r w:rsidR="005931AD" w:rsidRPr="00BB3451">
        <w:rPr>
          <w:rFonts w:ascii="Gill Sans" w:hAnsi="Gill Sans" w:cs="Gill Sans"/>
          <w:sz w:val="22"/>
          <w:szCs w:val="22"/>
          <w:lang w:val="en-GB"/>
        </w:rPr>
        <w:t xml:space="preserve">operational environment for charity organisations </w:t>
      </w:r>
      <w:r w:rsidR="006B092E" w:rsidRPr="00BB3451">
        <w:rPr>
          <w:rFonts w:ascii="Gill Sans" w:hAnsi="Gill Sans" w:cs="Gill Sans"/>
          <w:sz w:val="22"/>
          <w:szCs w:val="22"/>
          <w:lang w:val="en-GB"/>
        </w:rPr>
        <w:t xml:space="preserve">by broadening their funding sources. </w:t>
      </w:r>
      <w:r w:rsidR="006B092E" w:rsidRPr="00254401">
        <w:rPr>
          <w:rFonts w:ascii="Gill Sans" w:hAnsi="Gill Sans" w:cs="Gill Sans"/>
          <w:sz w:val="22"/>
          <w:szCs w:val="22"/>
          <w:lang w:val="en-GB"/>
        </w:rPr>
        <w:t xml:space="preserve">The commitment </w:t>
      </w:r>
      <w:r w:rsidR="00E50F06" w:rsidRPr="00254401">
        <w:rPr>
          <w:rFonts w:ascii="Gill Sans" w:hAnsi="Gill Sans" w:cs="Gill Sans"/>
          <w:sz w:val="22"/>
          <w:szCs w:val="22"/>
          <w:lang w:val="en-GB"/>
        </w:rPr>
        <w:t>did not lead to any changes</w:t>
      </w:r>
      <w:r w:rsidR="00757189">
        <w:rPr>
          <w:rFonts w:ascii="Gill Sans" w:hAnsi="Gill Sans" w:cs="Gill Sans"/>
          <w:sz w:val="22"/>
          <w:szCs w:val="22"/>
          <w:lang w:val="en-GB"/>
        </w:rPr>
        <w:t xml:space="preserve"> since</w:t>
      </w:r>
      <w:r w:rsidR="006B092E" w:rsidRPr="00254401">
        <w:rPr>
          <w:rFonts w:ascii="Gill Sans" w:hAnsi="Gill Sans" w:cs="Gill Sans"/>
          <w:sz w:val="22"/>
          <w:szCs w:val="22"/>
          <w:lang w:val="en-GB"/>
        </w:rPr>
        <w:t xml:space="preserve"> it</w:t>
      </w:r>
      <w:r w:rsidR="008B17C4">
        <w:rPr>
          <w:rFonts w:ascii="Gill Sans" w:hAnsi="Gill Sans" w:cs="Gill Sans"/>
          <w:sz w:val="22"/>
          <w:szCs w:val="22"/>
          <w:lang w:val="en-GB"/>
        </w:rPr>
        <w:t xml:space="preserve"> was not</w:t>
      </w:r>
      <w:r w:rsidR="006B092E" w:rsidRPr="00254401">
        <w:rPr>
          <w:rFonts w:ascii="Gill Sans" w:hAnsi="Gill Sans" w:cs="Gill Sans"/>
          <w:sz w:val="22"/>
          <w:szCs w:val="22"/>
          <w:lang w:val="en-GB"/>
        </w:rPr>
        <w:t xml:space="preserve"> implement</w:t>
      </w:r>
      <w:r w:rsidR="003D7A6B">
        <w:rPr>
          <w:rFonts w:ascii="Gill Sans" w:hAnsi="Gill Sans" w:cs="Gill Sans"/>
          <w:sz w:val="22"/>
          <w:szCs w:val="22"/>
          <w:lang w:val="en-GB"/>
        </w:rPr>
        <w:t>ed</w:t>
      </w:r>
      <w:r w:rsidR="00757189">
        <w:rPr>
          <w:rFonts w:ascii="Gill Sans" w:hAnsi="Gill Sans" w:cs="Gill Sans"/>
          <w:sz w:val="22"/>
          <w:szCs w:val="22"/>
          <w:lang w:val="en-GB"/>
        </w:rPr>
        <w:t>,</w:t>
      </w:r>
      <w:r w:rsidR="006B092E" w:rsidRPr="00254401">
        <w:rPr>
          <w:rFonts w:ascii="Gill Sans" w:hAnsi="Gill Sans" w:cs="Gill Sans"/>
          <w:sz w:val="22"/>
          <w:szCs w:val="22"/>
          <w:lang w:val="en-GB"/>
        </w:rPr>
        <w:t xml:space="preserve"> due to </w:t>
      </w:r>
      <w:r w:rsidR="00517E72" w:rsidRPr="00254401">
        <w:rPr>
          <w:rFonts w:ascii="Gill Sans" w:hAnsi="Gill Sans" w:cs="Gill Sans"/>
          <w:sz w:val="22"/>
          <w:szCs w:val="22"/>
          <w:lang w:val="en-GB"/>
        </w:rPr>
        <w:t xml:space="preserve">the </w:t>
      </w:r>
      <w:r w:rsidR="006B092E" w:rsidRPr="00254401">
        <w:rPr>
          <w:rFonts w:ascii="Gill Sans" w:hAnsi="Gill Sans" w:cs="Gill Sans"/>
          <w:sz w:val="22"/>
          <w:szCs w:val="22"/>
          <w:lang w:val="en-GB"/>
        </w:rPr>
        <w:t>position of the Ministry of Finance.</w:t>
      </w:r>
      <w:r w:rsidR="006B092E" w:rsidRPr="00BB3451">
        <w:rPr>
          <w:rFonts w:ascii="Gill Sans" w:hAnsi="Gill Sans" w:cs="Gill Sans"/>
          <w:sz w:val="22"/>
          <w:szCs w:val="22"/>
          <w:lang w:val="en-GB"/>
        </w:rPr>
        <w:t xml:space="preserve"> It showed that the government did not really “own” and accept this OGP commitment</w:t>
      </w:r>
      <w:r w:rsidR="003D7A6B">
        <w:rPr>
          <w:rFonts w:ascii="Gill Sans" w:hAnsi="Gill Sans" w:cs="Gill Sans"/>
          <w:sz w:val="22"/>
          <w:szCs w:val="22"/>
          <w:lang w:val="en-GB"/>
        </w:rPr>
        <w:t>,</w:t>
      </w:r>
      <w:r w:rsidR="006B092E" w:rsidRPr="00BB3451">
        <w:rPr>
          <w:rFonts w:ascii="Gill Sans" w:hAnsi="Gill Sans" w:cs="Gill Sans"/>
          <w:sz w:val="22"/>
          <w:szCs w:val="22"/>
          <w:lang w:val="en-GB"/>
        </w:rPr>
        <w:t xml:space="preserve"> and was reluctant to implement</w:t>
      </w:r>
      <w:r w:rsidR="003D7A6B">
        <w:rPr>
          <w:rFonts w:ascii="Gill Sans" w:hAnsi="Gill Sans" w:cs="Gill Sans"/>
          <w:sz w:val="22"/>
          <w:szCs w:val="22"/>
          <w:lang w:val="en-GB"/>
        </w:rPr>
        <w:t xml:space="preserve"> it</w:t>
      </w:r>
      <w:r w:rsidR="006B092E" w:rsidRPr="00BB3451">
        <w:rPr>
          <w:rFonts w:ascii="Gill Sans" w:hAnsi="Gill Sans" w:cs="Gill Sans"/>
          <w:sz w:val="22"/>
          <w:szCs w:val="22"/>
          <w:lang w:val="en-GB"/>
        </w:rPr>
        <w:t xml:space="preserve">. </w:t>
      </w:r>
    </w:p>
    <w:p w14:paraId="228BB712" w14:textId="04F680AE" w:rsidR="005B031B" w:rsidRPr="00BB3451" w:rsidRDefault="00360740" w:rsidP="00163080">
      <w:pPr>
        <w:rPr>
          <w:rFonts w:ascii="Gill Sans" w:hAnsi="Gill Sans" w:cs="Gill Sans"/>
          <w:b/>
          <w:noProof/>
          <w:sz w:val="22"/>
          <w:szCs w:val="22"/>
          <w:lang w:val="en-GB"/>
        </w:rPr>
      </w:pPr>
      <w:r w:rsidRPr="00BB3451">
        <w:rPr>
          <w:rFonts w:ascii="Gill Sans" w:hAnsi="Gill Sans" w:cs="Gill Sans"/>
          <w:b/>
          <w:noProof/>
          <w:sz w:val="22"/>
          <w:szCs w:val="22"/>
          <w:lang w:val="en-GB"/>
        </w:rPr>
        <w:t>3</w:t>
      </w:r>
      <w:r w:rsidR="005B031B" w:rsidRPr="00BB3451">
        <w:rPr>
          <w:rFonts w:ascii="Gill Sans" w:hAnsi="Gill Sans" w:cs="Gill Sans"/>
          <w:b/>
          <w:noProof/>
          <w:sz w:val="22"/>
          <w:szCs w:val="22"/>
          <w:lang w:val="en-GB"/>
        </w:rPr>
        <w:t xml:space="preserve">. </w:t>
      </w:r>
      <w:r w:rsidR="00EE2481" w:rsidRPr="00BB3451">
        <w:rPr>
          <w:rFonts w:ascii="Gill Sans" w:hAnsi="Gill Sans" w:cs="Gill Sans"/>
          <w:b/>
          <w:sz w:val="22"/>
          <w:szCs w:val="22"/>
          <w:lang w:val="en-GB"/>
        </w:rPr>
        <w:t>Obtaining not-for-profit status for CSOs</w:t>
      </w:r>
    </w:p>
    <w:p w14:paraId="7A311433" w14:textId="47E0E86E" w:rsidR="00093DAF" w:rsidRDefault="00093DAF" w:rsidP="00163080">
      <w:pPr>
        <w:rPr>
          <w:rFonts w:ascii="Gill Sans" w:hAnsi="Gill Sans" w:cs="Gill Sans"/>
          <w:b/>
          <w:color w:val="000000" w:themeColor="text1"/>
          <w:sz w:val="22"/>
          <w:szCs w:val="22"/>
          <w:lang w:val="en-GB"/>
        </w:rPr>
      </w:pPr>
      <w:r>
        <w:rPr>
          <w:rFonts w:ascii="Gill Sans" w:hAnsi="Gill Sans" w:cs="Gill Sans"/>
          <w:b/>
          <w:color w:val="000000" w:themeColor="text1"/>
          <w:sz w:val="22"/>
          <w:szCs w:val="22"/>
          <w:lang w:val="en-GB"/>
        </w:rPr>
        <w:t>Access to information: Marginal</w:t>
      </w:r>
    </w:p>
    <w:p w14:paraId="64FAEA3B" w14:textId="6F4C2B43" w:rsidR="005B031B" w:rsidRPr="00BB3451" w:rsidRDefault="005B031B" w:rsidP="00741FBB">
      <w:pPr>
        <w:spacing w:after="120"/>
        <w:rPr>
          <w:rFonts w:ascii="Gill Sans" w:hAnsi="Gill Sans" w:cs="Gill Sans"/>
          <w:b/>
          <w:color w:val="000000" w:themeColor="text1"/>
          <w:sz w:val="22"/>
          <w:szCs w:val="22"/>
          <w:lang w:val="en-GB"/>
        </w:rPr>
      </w:pPr>
      <w:r w:rsidRPr="00BB3451">
        <w:rPr>
          <w:rFonts w:ascii="Gill Sans" w:hAnsi="Gill Sans" w:cs="Gill Sans"/>
          <w:b/>
          <w:color w:val="000000" w:themeColor="text1"/>
          <w:sz w:val="22"/>
          <w:szCs w:val="22"/>
          <w:lang w:val="en-GB"/>
        </w:rPr>
        <w:t xml:space="preserve">Civic participation: </w:t>
      </w:r>
      <w:r w:rsidR="00872869" w:rsidRPr="00BB3451">
        <w:rPr>
          <w:rFonts w:ascii="Gill Sans" w:hAnsi="Gill Sans" w:cs="Gill Sans"/>
          <w:b/>
          <w:color w:val="000000" w:themeColor="text1"/>
          <w:sz w:val="22"/>
          <w:szCs w:val="22"/>
          <w:lang w:val="en-GB"/>
        </w:rPr>
        <w:t>Marginal</w:t>
      </w:r>
    </w:p>
    <w:p w14:paraId="48C00D91" w14:textId="77C63041" w:rsidR="005B031B" w:rsidRPr="00BB3451" w:rsidRDefault="005B031B" w:rsidP="003D7A6B">
      <w:pPr>
        <w:spacing w:after="120"/>
        <w:rPr>
          <w:rFonts w:ascii="Gill Sans" w:hAnsi="Gill Sans" w:cs="Gill Sans"/>
          <w:noProof/>
          <w:sz w:val="22"/>
          <w:szCs w:val="22"/>
          <w:lang w:val="uk-UA"/>
        </w:rPr>
      </w:pPr>
      <w:r w:rsidRPr="00BB3451">
        <w:rPr>
          <w:rFonts w:ascii="Gill Sans" w:hAnsi="Gill Sans" w:cs="Gill Sans"/>
          <w:noProof/>
          <w:sz w:val="22"/>
          <w:szCs w:val="22"/>
          <w:lang w:val="en-GB"/>
        </w:rPr>
        <w:t xml:space="preserve">The commitment </w:t>
      </w:r>
      <w:r w:rsidR="003D7A6B">
        <w:rPr>
          <w:rFonts w:ascii="Gill Sans" w:hAnsi="Gill Sans" w:cs="Gill Sans"/>
          <w:noProof/>
          <w:sz w:val="22"/>
          <w:szCs w:val="22"/>
          <w:lang w:val="en-GB"/>
        </w:rPr>
        <w:t>sought</w:t>
      </w:r>
      <w:r w:rsidR="003D7A6B" w:rsidRPr="00BB3451">
        <w:rPr>
          <w:rFonts w:ascii="Gill Sans" w:hAnsi="Gill Sans" w:cs="Gill Sans"/>
          <w:noProof/>
          <w:sz w:val="22"/>
          <w:szCs w:val="22"/>
          <w:lang w:val="en-GB"/>
        </w:rPr>
        <w:t xml:space="preserve"> </w:t>
      </w:r>
      <w:r w:rsidRPr="00BB3451">
        <w:rPr>
          <w:rFonts w:ascii="Gill Sans" w:hAnsi="Gill Sans" w:cs="Gill Sans"/>
          <w:noProof/>
          <w:sz w:val="22"/>
          <w:szCs w:val="22"/>
          <w:lang w:val="en-GB"/>
        </w:rPr>
        <w:t xml:space="preserve">to </w:t>
      </w:r>
      <w:r w:rsidR="001D6BC3" w:rsidRPr="00BB3451">
        <w:rPr>
          <w:rFonts w:ascii="Gill Sans" w:hAnsi="Gill Sans" w:cs="Gill Sans"/>
          <w:noProof/>
          <w:sz w:val="22"/>
          <w:szCs w:val="22"/>
        </w:rPr>
        <w:t xml:space="preserve">streamline </w:t>
      </w:r>
      <w:r w:rsidR="00517E72">
        <w:rPr>
          <w:rFonts w:ascii="Gill Sans" w:hAnsi="Gill Sans" w:cs="Gill Sans"/>
          <w:noProof/>
          <w:sz w:val="22"/>
          <w:szCs w:val="22"/>
        </w:rPr>
        <w:t xml:space="preserve">the </w:t>
      </w:r>
      <w:r w:rsidR="001D6BC3" w:rsidRPr="00BB3451">
        <w:rPr>
          <w:rFonts w:ascii="Gill Sans" w:hAnsi="Gill Sans" w:cs="Gill Sans"/>
          <w:noProof/>
          <w:sz w:val="22"/>
          <w:szCs w:val="22"/>
        </w:rPr>
        <w:t>procedure for obtaining non-profit status by CSOs.</w:t>
      </w:r>
      <w:r w:rsidR="00FB4A54" w:rsidRPr="00BB3451">
        <w:rPr>
          <w:rFonts w:ascii="Gill Sans" w:hAnsi="Gill Sans" w:cs="Gill Sans"/>
          <w:noProof/>
          <w:sz w:val="22"/>
          <w:szCs w:val="22"/>
        </w:rPr>
        <w:t xml:space="preserve"> The new law on state registration of legal entities </w:t>
      </w:r>
      <w:r w:rsidR="00872869" w:rsidRPr="00BB3451">
        <w:rPr>
          <w:rFonts w:ascii="Gill Sans" w:hAnsi="Gill Sans" w:cs="Gill Sans"/>
          <w:noProof/>
          <w:sz w:val="22"/>
          <w:szCs w:val="22"/>
        </w:rPr>
        <w:t>introduced</w:t>
      </w:r>
      <w:r w:rsidR="00FB4A54" w:rsidRPr="00BB3451">
        <w:rPr>
          <w:rFonts w:ascii="Gill Sans" w:hAnsi="Gill Sans" w:cs="Gill Sans"/>
          <w:noProof/>
          <w:sz w:val="22"/>
          <w:szCs w:val="22"/>
        </w:rPr>
        <w:t xml:space="preserve"> </w:t>
      </w:r>
      <w:r w:rsidR="00872869" w:rsidRPr="00BB3451">
        <w:rPr>
          <w:rFonts w:ascii="Gill Sans" w:hAnsi="Gill Sans" w:cs="Gill Sans"/>
          <w:noProof/>
          <w:sz w:val="22"/>
          <w:szCs w:val="22"/>
        </w:rPr>
        <w:t xml:space="preserve">provisions </w:t>
      </w:r>
      <w:r w:rsidR="003D7A6B">
        <w:rPr>
          <w:rFonts w:ascii="Gill Sans" w:hAnsi="Gill Sans" w:cs="Gill Sans"/>
          <w:noProof/>
          <w:sz w:val="22"/>
          <w:szCs w:val="22"/>
        </w:rPr>
        <w:t>for</w:t>
      </w:r>
      <w:r w:rsidR="003D7A6B" w:rsidRPr="00BB3451">
        <w:rPr>
          <w:rFonts w:ascii="Gill Sans" w:hAnsi="Gill Sans" w:cs="Gill Sans"/>
          <w:noProof/>
          <w:sz w:val="22"/>
          <w:szCs w:val="22"/>
        </w:rPr>
        <w:t xml:space="preserve"> </w:t>
      </w:r>
      <w:r w:rsidR="00644744">
        <w:rPr>
          <w:rFonts w:ascii="Gill Sans" w:hAnsi="Gill Sans" w:cs="Gill Sans"/>
          <w:noProof/>
          <w:sz w:val="22"/>
          <w:szCs w:val="22"/>
        </w:rPr>
        <w:t>the</w:t>
      </w:r>
      <w:r w:rsidR="00FB4A54" w:rsidRPr="00BB3451">
        <w:rPr>
          <w:rFonts w:ascii="Gill Sans" w:hAnsi="Gill Sans" w:cs="Gill Sans"/>
          <w:noProof/>
          <w:sz w:val="22"/>
          <w:szCs w:val="22"/>
        </w:rPr>
        <w:t xml:space="preserve"> one-stop method for registering new entities as non-profit</w:t>
      </w:r>
      <w:r w:rsidR="003D7A6B">
        <w:rPr>
          <w:rFonts w:ascii="Gill Sans" w:hAnsi="Gill Sans" w:cs="Gill Sans"/>
          <w:noProof/>
          <w:sz w:val="22"/>
          <w:szCs w:val="22"/>
        </w:rPr>
        <w:t xml:space="preserve"> organisations</w:t>
      </w:r>
      <w:r w:rsidR="00FB4A54" w:rsidRPr="00BB3451">
        <w:rPr>
          <w:rFonts w:ascii="Gill Sans" w:hAnsi="Gill Sans" w:cs="Gill Sans"/>
          <w:noProof/>
          <w:sz w:val="22"/>
          <w:szCs w:val="22"/>
        </w:rPr>
        <w:t xml:space="preserve">. </w:t>
      </w:r>
      <w:r w:rsidR="00644744">
        <w:rPr>
          <w:rFonts w:ascii="Gill Sans" w:hAnsi="Gill Sans" w:cs="Gill Sans"/>
          <w:noProof/>
          <w:sz w:val="22"/>
          <w:szCs w:val="22"/>
        </w:rPr>
        <w:t xml:space="preserve">The </w:t>
      </w:r>
      <w:r w:rsidR="003D7A6B">
        <w:rPr>
          <w:rFonts w:ascii="Gill Sans" w:hAnsi="Gill Sans" w:cs="Gill Sans"/>
          <w:noProof/>
          <w:sz w:val="22"/>
          <w:szCs w:val="22"/>
        </w:rPr>
        <w:t>g</w:t>
      </w:r>
      <w:r w:rsidR="00644744">
        <w:rPr>
          <w:rFonts w:ascii="Gill Sans" w:hAnsi="Gill Sans" w:cs="Gill Sans"/>
          <w:noProof/>
          <w:sz w:val="22"/>
          <w:szCs w:val="22"/>
        </w:rPr>
        <w:t>overn</w:t>
      </w:r>
      <w:r w:rsidR="00872869" w:rsidRPr="00BB3451">
        <w:rPr>
          <w:rFonts w:ascii="Gill Sans" w:hAnsi="Gill Sans" w:cs="Gill Sans"/>
          <w:noProof/>
          <w:sz w:val="22"/>
          <w:szCs w:val="22"/>
        </w:rPr>
        <w:t>m</w:t>
      </w:r>
      <w:r w:rsidR="00644744">
        <w:rPr>
          <w:rFonts w:ascii="Gill Sans" w:hAnsi="Gill Sans" w:cs="Gill Sans"/>
          <w:noProof/>
          <w:sz w:val="22"/>
          <w:szCs w:val="22"/>
        </w:rPr>
        <w:t>e</w:t>
      </w:r>
      <w:r w:rsidR="00872869" w:rsidRPr="00BB3451">
        <w:rPr>
          <w:rFonts w:ascii="Gill Sans" w:hAnsi="Gill Sans" w:cs="Gill Sans"/>
          <w:noProof/>
          <w:sz w:val="22"/>
          <w:szCs w:val="22"/>
        </w:rPr>
        <w:t xml:space="preserve">nt adopted </w:t>
      </w:r>
      <w:r w:rsidR="00757189">
        <w:rPr>
          <w:rFonts w:ascii="Gill Sans" w:hAnsi="Gill Sans" w:cs="Gill Sans"/>
          <w:noProof/>
          <w:sz w:val="22"/>
          <w:szCs w:val="22"/>
        </w:rPr>
        <w:t xml:space="preserve">the </w:t>
      </w:r>
      <w:r w:rsidR="00872869" w:rsidRPr="00BB3451">
        <w:rPr>
          <w:rFonts w:ascii="Gill Sans" w:hAnsi="Gill Sans" w:cs="Gill Sans"/>
          <w:noProof/>
          <w:sz w:val="22"/>
          <w:szCs w:val="22"/>
        </w:rPr>
        <w:t xml:space="preserve">necessary bylaws. However, the new legal provisions have not been </w:t>
      </w:r>
      <w:r w:rsidR="00093DAF">
        <w:rPr>
          <w:rFonts w:ascii="Gill Sans" w:hAnsi="Gill Sans" w:cs="Gill Sans"/>
          <w:noProof/>
          <w:sz w:val="22"/>
          <w:szCs w:val="22"/>
        </w:rPr>
        <w:t xml:space="preserve">fully </w:t>
      </w:r>
      <w:r w:rsidR="00872869" w:rsidRPr="00BB3451">
        <w:rPr>
          <w:rFonts w:ascii="Gill Sans" w:hAnsi="Gill Sans" w:cs="Gill Sans"/>
          <w:noProof/>
          <w:sz w:val="22"/>
          <w:szCs w:val="22"/>
        </w:rPr>
        <w:t>enforced in practice. If implemented, i</w:t>
      </w:r>
      <w:r w:rsidR="00FB4A54" w:rsidRPr="00BB3451">
        <w:rPr>
          <w:rFonts w:ascii="Gill Sans" w:hAnsi="Gill Sans" w:cs="Gill Sans"/>
          <w:noProof/>
          <w:sz w:val="22"/>
          <w:szCs w:val="22"/>
        </w:rPr>
        <w:t xml:space="preserve">t </w:t>
      </w:r>
      <w:r w:rsidR="00872869" w:rsidRPr="00BB3451">
        <w:rPr>
          <w:rFonts w:ascii="Gill Sans" w:hAnsi="Gill Sans" w:cs="Gill Sans"/>
          <w:noProof/>
          <w:sz w:val="22"/>
          <w:szCs w:val="22"/>
        </w:rPr>
        <w:t xml:space="preserve">could have </w:t>
      </w:r>
      <w:r w:rsidR="00FB4A54" w:rsidRPr="00BB3451">
        <w:rPr>
          <w:rFonts w:ascii="Gill Sans" w:hAnsi="Gill Sans" w:cs="Gill Sans"/>
          <w:noProof/>
          <w:sz w:val="22"/>
          <w:szCs w:val="22"/>
        </w:rPr>
        <w:t xml:space="preserve">significantly simplified CSO registration, </w:t>
      </w:r>
      <w:r w:rsidR="003D7A6B">
        <w:rPr>
          <w:rFonts w:ascii="Gill Sans" w:hAnsi="Gill Sans" w:cs="Gill Sans"/>
          <w:noProof/>
          <w:sz w:val="22"/>
          <w:szCs w:val="22"/>
        </w:rPr>
        <w:t xml:space="preserve">and </w:t>
      </w:r>
      <w:r w:rsidR="00FB4A54" w:rsidRPr="00BB3451">
        <w:rPr>
          <w:rFonts w:ascii="Gill Sans" w:hAnsi="Gill Sans" w:cs="Gill Sans"/>
          <w:noProof/>
          <w:sz w:val="22"/>
          <w:szCs w:val="22"/>
        </w:rPr>
        <w:t xml:space="preserve">limited their contacts with </w:t>
      </w:r>
      <w:r w:rsidR="00FB4A54" w:rsidRPr="00BB3451">
        <w:rPr>
          <w:rFonts w:ascii="Gill Sans" w:hAnsi="Gill Sans" w:cs="Gill Sans"/>
          <w:noProof/>
          <w:sz w:val="22"/>
          <w:szCs w:val="22"/>
          <w:lang w:val="en-GB"/>
        </w:rPr>
        <w:t>public authorities (by ex</w:t>
      </w:r>
      <w:r w:rsidR="00517E72">
        <w:rPr>
          <w:rFonts w:ascii="Gill Sans" w:hAnsi="Gill Sans" w:cs="Gill Sans"/>
          <w:noProof/>
          <w:sz w:val="22"/>
          <w:szCs w:val="22"/>
          <w:lang w:val="en-GB"/>
        </w:rPr>
        <w:t>c</w:t>
      </w:r>
      <w:r w:rsidR="00FB4A54" w:rsidRPr="00BB3451">
        <w:rPr>
          <w:rFonts w:ascii="Gill Sans" w:hAnsi="Gill Sans" w:cs="Gill Sans"/>
          <w:noProof/>
          <w:sz w:val="22"/>
          <w:szCs w:val="22"/>
          <w:lang w:val="en-GB"/>
        </w:rPr>
        <w:t>luding direct interaction with tax authorities)</w:t>
      </w:r>
      <w:r w:rsidR="00757189">
        <w:rPr>
          <w:rFonts w:ascii="Gill Sans" w:hAnsi="Gill Sans" w:cs="Gill Sans"/>
          <w:noProof/>
          <w:sz w:val="22"/>
          <w:szCs w:val="22"/>
          <w:lang w:val="en-GB"/>
        </w:rPr>
        <w:t>. This</w:t>
      </w:r>
      <w:r w:rsidR="00FB4A54" w:rsidRPr="00BB3451">
        <w:rPr>
          <w:rFonts w:ascii="Gill Sans" w:hAnsi="Gill Sans" w:cs="Gill Sans"/>
          <w:noProof/>
          <w:sz w:val="22"/>
          <w:szCs w:val="22"/>
          <w:lang w:val="en-GB"/>
        </w:rPr>
        <w:t xml:space="preserve"> </w:t>
      </w:r>
      <w:r w:rsidR="00093DAF">
        <w:rPr>
          <w:rFonts w:ascii="Gill Sans" w:hAnsi="Gill Sans" w:cs="Gill Sans"/>
          <w:noProof/>
          <w:sz w:val="22"/>
          <w:szCs w:val="22"/>
          <w:lang w:val="en-GB"/>
        </w:rPr>
        <w:t xml:space="preserve">would </w:t>
      </w:r>
      <w:r w:rsidR="003D7A6B">
        <w:rPr>
          <w:rFonts w:ascii="Gill Sans" w:hAnsi="Gill Sans" w:cs="Gill Sans"/>
          <w:noProof/>
          <w:sz w:val="22"/>
          <w:szCs w:val="22"/>
          <w:lang w:val="en-GB"/>
        </w:rPr>
        <w:t xml:space="preserve">have </w:t>
      </w:r>
      <w:r w:rsidR="00FB4A54" w:rsidRPr="00BB3451">
        <w:rPr>
          <w:rFonts w:ascii="Gill Sans" w:hAnsi="Gill Sans" w:cs="Gill Sans"/>
          <w:noProof/>
          <w:sz w:val="22"/>
          <w:szCs w:val="22"/>
          <w:lang w:val="en-GB"/>
        </w:rPr>
        <w:t>reduc</w:t>
      </w:r>
      <w:r w:rsidR="00093DAF">
        <w:rPr>
          <w:rFonts w:ascii="Gill Sans" w:hAnsi="Gill Sans" w:cs="Gill Sans"/>
          <w:noProof/>
          <w:sz w:val="22"/>
          <w:szCs w:val="22"/>
          <w:lang w:val="en-GB"/>
        </w:rPr>
        <w:t>e</w:t>
      </w:r>
      <w:r w:rsidR="003D7A6B">
        <w:rPr>
          <w:rFonts w:ascii="Gill Sans" w:hAnsi="Gill Sans" w:cs="Gill Sans"/>
          <w:noProof/>
          <w:sz w:val="22"/>
          <w:szCs w:val="22"/>
          <w:lang w:val="en-GB"/>
        </w:rPr>
        <w:t>d</w:t>
      </w:r>
      <w:r w:rsidR="00FB4A54" w:rsidRPr="00BB3451">
        <w:rPr>
          <w:rFonts w:ascii="Gill Sans" w:hAnsi="Gill Sans" w:cs="Gill Sans"/>
          <w:noProof/>
          <w:sz w:val="22"/>
          <w:szCs w:val="22"/>
          <w:lang w:val="en-GB"/>
        </w:rPr>
        <w:t xml:space="preserve"> </w:t>
      </w:r>
      <w:r w:rsidR="00757189">
        <w:rPr>
          <w:rFonts w:ascii="Gill Sans" w:hAnsi="Gill Sans" w:cs="Gill Sans"/>
          <w:noProof/>
          <w:sz w:val="22"/>
          <w:szCs w:val="22"/>
          <w:lang w:val="en-GB"/>
        </w:rPr>
        <w:t xml:space="preserve">the </w:t>
      </w:r>
      <w:r w:rsidR="00FB4A54" w:rsidRPr="00BB3451">
        <w:rPr>
          <w:rFonts w:ascii="Gill Sans" w:hAnsi="Gill Sans" w:cs="Gill Sans"/>
          <w:noProof/>
          <w:sz w:val="22"/>
          <w:szCs w:val="22"/>
          <w:lang w:val="en-GB"/>
        </w:rPr>
        <w:t xml:space="preserve">possibilities for corruption and red tape. </w:t>
      </w:r>
      <w:r w:rsidR="00872869" w:rsidRPr="00BB3451">
        <w:rPr>
          <w:rFonts w:ascii="Gill Sans" w:hAnsi="Gill Sans" w:cs="Gill Sans"/>
          <w:noProof/>
          <w:sz w:val="22"/>
          <w:szCs w:val="22"/>
          <w:lang w:val="en-GB"/>
        </w:rPr>
        <w:t xml:space="preserve">The parts of the commitment that </w:t>
      </w:r>
      <w:r w:rsidR="003D7A6B">
        <w:rPr>
          <w:rFonts w:ascii="Gill Sans" w:hAnsi="Gill Sans" w:cs="Gill Sans"/>
          <w:noProof/>
          <w:sz w:val="22"/>
          <w:szCs w:val="22"/>
          <w:lang w:val="en-GB"/>
        </w:rPr>
        <w:t>were</w:t>
      </w:r>
      <w:r w:rsidR="00872869" w:rsidRPr="00BB3451">
        <w:rPr>
          <w:rFonts w:ascii="Gill Sans" w:hAnsi="Gill Sans" w:cs="Gill Sans"/>
          <w:noProof/>
          <w:sz w:val="22"/>
          <w:szCs w:val="22"/>
          <w:lang w:val="en-GB"/>
        </w:rPr>
        <w:t xml:space="preserve"> implemented</w:t>
      </w:r>
      <w:r w:rsidR="00FB4A54" w:rsidRPr="00BB3451">
        <w:rPr>
          <w:rFonts w:ascii="Gill Sans" w:hAnsi="Gill Sans" w:cs="Gill Sans"/>
          <w:noProof/>
          <w:sz w:val="22"/>
          <w:szCs w:val="22"/>
          <w:lang w:val="en-GB"/>
        </w:rPr>
        <w:t xml:space="preserve"> </w:t>
      </w:r>
      <w:r w:rsidR="00093DAF">
        <w:rPr>
          <w:rFonts w:ascii="Gill Sans" w:hAnsi="Gill Sans" w:cs="Gill Sans"/>
          <w:noProof/>
          <w:sz w:val="22"/>
          <w:szCs w:val="22"/>
          <w:lang w:val="en-GB"/>
        </w:rPr>
        <w:t>(</w:t>
      </w:r>
      <w:r w:rsidR="00093DAF" w:rsidRPr="00035E36">
        <w:rPr>
          <w:rFonts w:ascii="Gill Sans" w:hAnsi="Gill Sans" w:cs="Gill Sans"/>
          <w:noProof/>
          <w:sz w:val="22"/>
          <w:szCs w:val="22"/>
          <w:lang w:val="en-GB"/>
        </w:rPr>
        <w:t>regulating deadlines for processing applications for obtaining non-profit status, defining grounds for denial of such status, envisaging free online access to the Register</w:t>
      </w:r>
      <w:r w:rsidR="00093DAF">
        <w:rPr>
          <w:rFonts w:ascii="Gill Sans" w:hAnsi="Gill Sans" w:cs="Gill Sans"/>
          <w:noProof/>
          <w:sz w:val="22"/>
          <w:szCs w:val="22"/>
          <w:lang w:val="en-GB"/>
        </w:rPr>
        <w:t xml:space="preserve">) </w:t>
      </w:r>
      <w:r w:rsidR="00517E72">
        <w:rPr>
          <w:rFonts w:ascii="Gill Sans" w:hAnsi="Gill Sans" w:cs="Gill Sans"/>
          <w:noProof/>
          <w:sz w:val="22"/>
          <w:szCs w:val="22"/>
          <w:lang w:val="en-GB"/>
        </w:rPr>
        <w:t>did improve</w:t>
      </w:r>
      <w:r w:rsidR="003D7A6B">
        <w:rPr>
          <w:rFonts w:ascii="Gill Sans" w:hAnsi="Gill Sans" w:cs="Gill Sans"/>
          <w:noProof/>
          <w:sz w:val="22"/>
          <w:szCs w:val="22"/>
          <w:lang w:val="en-GB"/>
        </w:rPr>
        <w:t xml:space="preserve"> the</w:t>
      </w:r>
      <w:r w:rsidR="00FB4A54" w:rsidRPr="00BB3451">
        <w:rPr>
          <w:rFonts w:ascii="Gill Sans" w:hAnsi="Gill Sans" w:cs="Gill Sans"/>
          <w:noProof/>
          <w:sz w:val="22"/>
          <w:szCs w:val="22"/>
          <w:lang w:val="en-GB"/>
        </w:rPr>
        <w:t xml:space="preserve"> operational environment for CSOs</w:t>
      </w:r>
      <w:r w:rsidR="00757189">
        <w:rPr>
          <w:rFonts w:ascii="Gill Sans" w:hAnsi="Gill Sans" w:cs="Gill Sans"/>
          <w:noProof/>
          <w:sz w:val="22"/>
          <w:szCs w:val="22"/>
          <w:lang w:val="en-GB"/>
        </w:rPr>
        <w:t>,</w:t>
      </w:r>
      <w:r w:rsidR="00FB4A54" w:rsidRPr="00BB3451">
        <w:rPr>
          <w:rFonts w:ascii="Gill Sans" w:hAnsi="Gill Sans" w:cs="Gill Sans"/>
          <w:noProof/>
          <w:sz w:val="22"/>
          <w:szCs w:val="22"/>
          <w:lang w:val="en-GB"/>
        </w:rPr>
        <w:t xml:space="preserve"> </w:t>
      </w:r>
      <w:r w:rsidR="003E6215">
        <w:rPr>
          <w:rFonts w:ascii="Gill Sans" w:hAnsi="Gill Sans" w:cs="Gill Sans"/>
          <w:noProof/>
          <w:sz w:val="22"/>
          <w:szCs w:val="22"/>
          <w:lang w:val="en-GB"/>
        </w:rPr>
        <w:t xml:space="preserve">by streamlining relevant procedures </w:t>
      </w:r>
      <w:r w:rsidR="00FB4A54" w:rsidRPr="00BB3451">
        <w:rPr>
          <w:rFonts w:ascii="Gill Sans" w:hAnsi="Gill Sans" w:cs="Gill Sans"/>
          <w:noProof/>
          <w:sz w:val="22"/>
          <w:szCs w:val="22"/>
          <w:lang w:val="en-GB"/>
        </w:rPr>
        <w:t>and enabl</w:t>
      </w:r>
      <w:r w:rsidR="003D7A6B">
        <w:rPr>
          <w:rFonts w:ascii="Gill Sans" w:hAnsi="Gill Sans" w:cs="Gill Sans"/>
          <w:noProof/>
          <w:sz w:val="22"/>
          <w:szCs w:val="22"/>
          <w:lang w:val="en-GB"/>
        </w:rPr>
        <w:t>ing</w:t>
      </w:r>
      <w:r w:rsidR="00FB4A54" w:rsidRPr="00BB3451">
        <w:rPr>
          <w:rFonts w:ascii="Gill Sans" w:hAnsi="Gill Sans" w:cs="Gill Sans"/>
          <w:noProof/>
          <w:sz w:val="22"/>
          <w:szCs w:val="22"/>
          <w:lang w:val="en-GB"/>
        </w:rPr>
        <w:t xml:space="preserve"> better civic participation</w:t>
      </w:r>
      <w:r w:rsidR="00872869" w:rsidRPr="00BB3451">
        <w:rPr>
          <w:rFonts w:ascii="Gill Sans" w:hAnsi="Gill Sans" w:cs="Gill Sans"/>
          <w:noProof/>
          <w:sz w:val="22"/>
          <w:szCs w:val="22"/>
          <w:lang w:val="en-GB"/>
        </w:rPr>
        <w:t>, but only marginally</w:t>
      </w:r>
      <w:r w:rsidR="00FB4A54" w:rsidRPr="00BB3451">
        <w:rPr>
          <w:rFonts w:ascii="Gill Sans" w:hAnsi="Gill Sans" w:cs="Gill Sans"/>
          <w:noProof/>
          <w:sz w:val="22"/>
          <w:szCs w:val="22"/>
          <w:lang w:val="en-GB"/>
        </w:rPr>
        <w:t xml:space="preserve">. </w:t>
      </w:r>
      <w:r w:rsidR="00093DAF">
        <w:rPr>
          <w:rFonts w:ascii="Gill Sans" w:hAnsi="Gill Sans" w:cs="Gill Sans"/>
          <w:noProof/>
          <w:sz w:val="22"/>
          <w:szCs w:val="22"/>
          <w:lang w:val="en-GB"/>
        </w:rPr>
        <w:t>They also improved access to information</w:t>
      </w:r>
      <w:r w:rsidR="00757189">
        <w:rPr>
          <w:rFonts w:ascii="Gill Sans" w:hAnsi="Gill Sans" w:cs="Gill Sans"/>
          <w:noProof/>
          <w:sz w:val="22"/>
          <w:szCs w:val="22"/>
          <w:lang w:val="en-GB"/>
        </w:rPr>
        <w:t>,</w:t>
      </w:r>
      <w:r w:rsidR="00093DAF">
        <w:rPr>
          <w:rFonts w:ascii="Gill Sans" w:hAnsi="Gill Sans" w:cs="Gill Sans"/>
          <w:noProof/>
          <w:sz w:val="22"/>
          <w:szCs w:val="22"/>
          <w:lang w:val="en-GB"/>
        </w:rPr>
        <w:t xml:space="preserve"> as the </w:t>
      </w:r>
      <w:r w:rsidR="00093DAF" w:rsidRPr="00035E36">
        <w:rPr>
          <w:rFonts w:ascii="Gill Sans" w:hAnsi="Gill Sans" w:cs="Gill Sans"/>
          <w:noProof/>
          <w:sz w:val="22"/>
          <w:szCs w:val="22"/>
          <w:lang w:val="en-GB"/>
        </w:rPr>
        <w:t>Register of Non-profit Institutions and Organisations</w:t>
      </w:r>
      <w:r w:rsidR="00093DAF">
        <w:rPr>
          <w:rFonts w:ascii="Gill Sans" w:hAnsi="Gill Sans" w:cs="Gill Sans"/>
          <w:noProof/>
          <w:sz w:val="22"/>
          <w:szCs w:val="22"/>
          <w:lang w:val="en-GB"/>
        </w:rPr>
        <w:t xml:space="preserve"> became available online</w:t>
      </w:r>
      <w:r w:rsidR="00093DAF" w:rsidRPr="00093DAF">
        <w:rPr>
          <w:rFonts w:ascii="Gill Sans" w:hAnsi="Gill Sans" w:cs="Gill Sans"/>
          <w:noProof/>
          <w:sz w:val="22"/>
          <w:szCs w:val="22"/>
          <w:lang w:val="en-GB"/>
        </w:rPr>
        <w:t>.</w:t>
      </w:r>
    </w:p>
    <w:p w14:paraId="0AD5499F" w14:textId="77777777" w:rsidR="005B031B" w:rsidRPr="00BB3451" w:rsidRDefault="005B031B" w:rsidP="006319F4">
      <w:pPr>
        <w:pStyle w:val="Heading3"/>
      </w:pPr>
      <w:r w:rsidRPr="00BB3451">
        <w:t>Carried forward?</w:t>
      </w:r>
    </w:p>
    <w:p w14:paraId="3376195A" w14:textId="20F3567A" w:rsidR="005B031B" w:rsidRPr="00BB3451" w:rsidRDefault="00360740" w:rsidP="00741FBB">
      <w:pPr>
        <w:spacing w:after="120"/>
        <w:rPr>
          <w:rFonts w:ascii="Gill Sans" w:hAnsi="Gill Sans" w:cs="Gill Sans"/>
          <w:b/>
          <w:noProof/>
          <w:sz w:val="22"/>
          <w:szCs w:val="22"/>
          <w:lang w:val="en-GB"/>
        </w:rPr>
      </w:pPr>
      <w:r w:rsidRPr="00BB3451">
        <w:rPr>
          <w:rFonts w:ascii="Gill Sans" w:hAnsi="Gill Sans" w:cs="Gill Sans"/>
          <w:b/>
          <w:noProof/>
          <w:sz w:val="22"/>
          <w:szCs w:val="22"/>
          <w:lang w:val="en-GB"/>
        </w:rPr>
        <w:t>2</w:t>
      </w:r>
      <w:r w:rsidR="005B031B" w:rsidRPr="00BB3451">
        <w:rPr>
          <w:rFonts w:ascii="Gill Sans" w:hAnsi="Gill Sans" w:cs="Gill Sans"/>
          <w:b/>
          <w:noProof/>
          <w:sz w:val="22"/>
          <w:szCs w:val="22"/>
          <w:lang w:val="en-GB"/>
        </w:rPr>
        <w:t xml:space="preserve">. </w:t>
      </w:r>
      <w:r w:rsidRPr="00BB3451">
        <w:rPr>
          <w:rFonts w:ascii="Gill Sans" w:hAnsi="Gill Sans" w:cs="Gill Sans"/>
          <w:b/>
          <w:sz w:val="22"/>
          <w:szCs w:val="22"/>
          <w:lang w:val="en-GB"/>
        </w:rPr>
        <w:t>Financing of charities</w:t>
      </w:r>
    </w:p>
    <w:p w14:paraId="44E09FD2" w14:textId="1623FADC" w:rsidR="00DD3DDE" w:rsidRDefault="005B031B" w:rsidP="0008527B">
      <w:pPr>
        <w:spacing w:after="120"/>
        <w:rPr>
          <w:rFonts w:ascii="Gill Sans" w:hAnsi="Gill Sans" w:cs="Gill Sans"/>
          <w:sz w:val="22"/>
          <w:szCs w:val="22"/>
          <w:lang w:val="en-GB"/>
        </w:rPr>
      </w:pPr>
      <w:r w:rsidRPr="00BB3451">
        <w:rPr>
          <w:rFonts w:ascii="Gill Sans" w:hAnsi="Gill Sans" w:cs="Gill Sans"/>
          <w:sz w:val="22"/>
          <w:szCs w:val="22"/>
        </w:rPr>
        <w:t>The commitment was not carried over to the new action plan.</w:t>
      </w:r>
      <w:r w:rsidR="009935F6" w:rsidRPr="00BB3451">
        <w:rPr>
          <w:rFonts w:ascii="Gill Sans" w:hAnsi="Gill Sans" w:cs="Gill Sans"/>
          <w:sz w:val="22"/>
          <w:szCs w:val="22"/>
        </w:rPr>
        <w:t xml:space="preserve"> It appears that</w:t>
      </w:r>
      <w:r w:rsidR="00757189">
        <w:rPr>
          <w:rFonts w:ascii="Gill Sans" w:hAnsi="Gill Sans" w:cs="Gill Sans"/>
          <w:sz w:val="22"/>
          <w:szCs w:val="22"/>
        </w:rPr>
        <w:t>,</w:t>
      </w:r>
      <w:r w:rsidR="009935F6" w:rsidRPr="00BB3451">
        <w:rPr>
          <w:rFonts w:ascii="Gill Sans" w:hAnsi="Gill Sans" w:cs="Gill Sans"/>
          <w:sz w:val="22"/>
          <w:szCs w:val="22"/>
        </w:rPr>
        <w:t xml:space="preserve"> as worded</w:t>
      </w:r>
      <w:r w:rsidR="00757189">
        <w:rPr>
          <w:rFonts w:ascii="Gill Sans" w:hAnsi="Gill Sans" w:cs="Gill Sans"/>
          <w:sz w:val="22"/>
          <w:szCs w:val="22"/>
        </w:rPr>
        <w:t>,</w:t>
      </w:r>
      <w:r w:rsidR="009935F6" w:rsidRPr="00BB3451">
        <w:rPr>
          <w:rFonts w:ascii="Gill Sans" w:hAnsi="Gill Sans" w:cs="Gill Sans"/>
          <w:sz w:val="22"/>
          <w:szCs w:val="22"/>
        </w:rPr>
        <w:t xml:space="preserve"> </w:t>
      </w:r>
      <w:r w:rsidR="00757189">
        <w:rPr>
          <w:rFonts w:ascii="Gill Sans" w:hAnsi="Gill Sans" w:cs="Gill Sans"/>
          <w:sz w:val="22"/>
          <w:szCs w:val="22"/>
        </w:rPr>
        <w:t xml:space="preserve">it </w:t>
      </w:r>
      <w:r w:rsidR="009935F6" w:rsidRPr="00BB3451">
        <w:rPr>
          <w:rFonts w:ascii="Gill Sans" w:hAnsi="Gill Sans" w:cs="Gill Sans"/>
          <w:sz w:val="22"/>
          <w:szCs w:val="22"/>
        </w:rPr>
        <w:t xml:space="preserve">goes against </w:t>
      </w:r>
      <w:r w:rsidR="00757189">
        <w:rPr>
          <w:rFonts w:ascii="Gill Sans" w:hAnsi="Gill Sans" w:cs="Gill Sans"/>
          <w:sz w:val="22"/>
          <w:szCs w:val="22"/>
        </w:rPr>
        <w:t xml:space="preserve">the </w:t>
      </w:r>
      <w:r w:rsidR="009935F6" w:rsidRPr="00BB3451">
        <w:rPr>
          <w:rFonts w:ascii="Gill Sans" w:hAnsi="Gill Sans" w:cs="Gill Sans"/>
          <w:sz w:val="22"/>
          <w:szCs w:val="22"/>
        </w:rPr>
        <w:t xml:space="preserve">policy priorities of the </w:t>
      </w:r>
      <w:r w:rsidR="00757189">
        <w:rPr>
          <w:rFonts w:ascii="Gill Sans" w:hAnsi="Gill Sans" w:cs="Gill Sans"/>
          <w:sz w:val="22"/>
          <w:szCs w:val="22"/>
        </w:rPr>
        <w:t>g</w:t>
      </w:r>
      <w:r w:rsidR="009935F6" w:rsidRPr="00BB3451">
        <w:rPr>
          <w:rFonts w:ascii="Gill Sans" w:hAnsi="Gill Sans" w:cs="Gill Sans"/>
          <w:sz w:val="22"/>
          <w:szCs w:val="22"/>
        </w:rPr>
        <w:t>overnment</w:t>
      </w:r>
      <w:r w:rsidR="00757189">
        <w:rPr>
          <w:rFonts w:ascii="Gill Sans" w:hAnsi="Gill Sans" w:cs="Gill Sans"/>
          <w:sz w:val="22"/>
          <w:szCs w:val="22"/>
        </w:rPr>
        <w:t>, hence,</w:t>
      </w:r>
      <w:r w:rsidR="009935F6" w:rsidRPr="00BB3451">
        <w:rPr>
          <w:rFonts w:ascii="Gill Sans" w:hAnsi="Gill Sans" w:cs="Gill Sans"/>
          <w:sz w:val="22"/>
          <w:szCs w:val="22"/>
        </w:rPr>
        <w:t xml:space="preserve"> will no longer be pursued.</w:t>
      </w:r>
      <w:r w:rsidR="00DD3DDE" w:rsidRPr="00BB3451">
        <w:rPr>
          <w:rFonts w:ascii="Gill Sans" w:hAnsi="Gill Sans" w:cs="Gill Sans"/>
          <w:sz w:val="22"/>
          <w:szCs w:val="22"/>
        </w:rPr>
        <w:t xml:space="preserve"> The </w:t>
      </w:r>
      <w:r w:rsidR="00757189">
        <w:rPr>
          <w:rFonts w:ascii="Gill Sans" w:hAnsi="Gill Sans" w:cs="Gill Sans"/>
          <w:sz w:val="22"/>
          <w:szCs w:val="22"/>
        </w:rPr>
        <w:t>g</w:t>
      </w:r>
      <w:r w:rsidR="00DD3DDE" w:rsidRPr="00BB3451">
        <w:rPr>
          <w:rFonts w:ascii="Gill Sans" w:hAnsi="Gill Sans" w:cs="Gill Sans"/>
          <w:sz w:val="22"/>
          <w:szCs w:val="22"/>
        </w:rPr>
        <w:t xml:space="preserve">overnment </w:t>
      </w:r>
      <w:r w:rsidR="00757189">
        <w:rPr>
          <w:rFonts w:ascii="Gill Sans" w:hAnsi="Gill Sans" w:cs="Gill Sans"/>
          <w:sz w:val="22"/>
          <w:szCs w:val="22"/>
        </w:rPr>
        <w:t>sh</w:t>
      </w:r>
      <w:r w:rsidR="00DD3DDE" w:rsidRPr="00BB3451">
        <w:rPr>
          <w:rFonts w:ascii="Gill Sans" w:hAnsi="Gill Sans" w:cs="Gill Sans"/>
          <w:sz w:val="22"/>
          <w:szCs w:val="22"/>
        </w:rPr>
        <w:t xml:space="preserve">ould </w:t>
      </w:r>
      <w:r w:rsidR="001E2FFD">
        <w:rPr>
          <w:rFonts w:ascii="Gill Sans" w:hAnsi="Gill Sans" w:cs="Gill Sans"/>
          <w:sz w:val="22"/>
          <w:szCs w:val="22"/>
          <w:lang w:val="en-GB"/>
        </w:rPr>
        <w:t>evaluat</w:t>
      </w:r>
      <w:r w:rsidR="00757189">
        <w:rPr>
          <w:rFonts w:ascii="Gill Sans" w:hAnsi="Gill Sans" w:cs="Gill Sans"/>
          <w:sz w:val="22"/>
          <w:szCs w:val="22"/>
          <w:lang w:val="en-GB"/>
        </w:rPr>
        <w:t>e</w:t>
      </w:r>
      <w:r w:rsidR="00DD3DDE" w:rsidRPr="00BB3451">
        <w:rPr>
          <w:rFonts w:ascii="Gill Sans" w:hAnsi="Gill Sans" w:cs="Gill Sans"/>
          <w:sz w:val="22"/>
          <w:szCs w:val="22"/>
          <w:lang w:val="en-GB"/>
        </w:rPr>
        <w:t xml:space="preserve"> the operational environment for CSOs </w:t>
      </w:r>
      <w:r w:rsidR="00131C34">
        <w:rPr>
          <w:rFonts w:ascii="Gill Sans" w:hAnsi="Gill Sans" w:cs="Gill Sans"/>
          <w:sz w:val="22"/>
          <w:szCs w:val="22"/>
          <w:lang w:val="en-GB"/>
        </w:rPr>
        <w:t>regarding</w:t>
      </w:r>
      <w:r w:rsidR="001E2FFD">
        <w:rPr>
          <w:rFonts w:ascii="Gill Sans" w:hAnsi="Gill Sans" w:cs="Gill Sans"/>
          <w:sz w:val="22"/>
          <w:szCs w:val="22"/>
          <w:lang w:val="en-GB"/>
        </w:rPr>
        <w:t xml:space="preserve"> </w:t>
      </w:r>
      <w:r w:rsidR="00DD3DDE" w:rsidRPr="00BB3451">
        <w:rPr>
          <w:rFonts w:ascii="Gill Sans" w:hAnsi="Gill Sans" w:cs="Gill Sans"/>
          <w:sz w:val="22"/>
          <w:szCs w:val="22"/>
          <w:lang w:val="en-GB"/>
        </w:rPr>
        <w:t xml:space="preserve">taxation and sources of funding in </w:t>
      </w:r>
      <w:r w:rsidR="00023A0B">
        <w:rPr>
          <w:rFonts w:ascii="Gill Sans" w:hAnsi="Gill Sans" w:cs="Gill Sans"/>
          <w:sz w:val="22"/>
          <w:szCs w:val="22"/>
          <w:lang w:val="en-GB"/>
        </w:rPr>
        <w:t>a comprehensive way, and includ</w:t>
      </w:r>
      <w:r w:rsidR="00757189">
        <w:rPr>
          <w:rFonts w:ascii="Gill Sans" w:hAnsi="Gill Sans" w:cs="Gill Sans"/>
          <w:sz w:val="22"/>
          <w:szCs w:val="22"/>
          <w:lang w:val="en-GB"/>
        </w:rPr>
        <w:t>e</w:t>
      </w:r>
      <w:r w:rsidR="00DD3DDE" w:rsidRPr="00BB3451">
        <w:rPr>
          <w:rFonts w:ascii="Gill Sans" w:hAnsi="Gill Sans" w:cs="Gill Sans"/>
          <w:sz w:val="22"/>
          <w:szCs w:val="22"/>
          <w:lang w:val="en-GB"/>
        </w:rPr>
        <w:t xml:space="preserve"> clear commitments on improving the environment in future action plans.</w:t>
      </w:r>
    </w:p>
    <w:p w14:paraId="653541AD" w14:textId="77777777" w:rsidR="00211269" w:rsidRPr="00BB3451" w:rsidRDefault="00211269" w:rsidP="0008527B">
      <w:pPr>
        <w:spacing w:after="120"/>
        <w:rPr>
          <w:rFonts w:ascii="Gill Sans" w:hAnsi="Gill Sans" w:cs="Gill Sans"/>
          <w:sz w:val="22"/>
          <w:szCs w:val="22"/>
          <w:lang w:val="uk-UA"/>
        </w:rPr>
      </w:pPr>
    </w:p>
    <w:p w14:paraId="136005BD" w14:textId="77777777" w:rsidR="00360740" w:rsidRPr="00BB3451" w:rsidRDefault="00360740" w:rsidP="005B031B">
      <w:pPr>
        <w:spacing w:after="120"/>
        <w:rPr>
          <w:rFonts w:ascii="Gill Sans" w:hAnsi="Gill Sans" w:cs="Gill Sans"/>
          <w:noProof/>
          <w:sz w:val="22"/>
          <w:szCs w:val="22"/>
          <w:lang w:val="en-GB"/>
        </w:rPr>
      </w:pPr>
      <w:r w:rsidRPr="00BB3451">
        <w:rPr>
          <w:rFonts w:ascii="Gill Sans" w:hAnsi="Gill Sans" w:cs="Gill Sans"/>
          <w:b/>
          <w:noProof/>
          <w:sz w:val="22"/>
          <w:szCs w:val="22"/>
          <w:lang w:val="en-GB"/>
        </w:rPr>
        <w:t xml:space="preserve">3. </w:t>
      </w:r>
      <w:r w:rsidRPr="00BB3451">
        <w:rPr>
          <w:rFonts w:ascii="Gill Sans" w:hAnsi="Gill Sans" w:cs="Gill Sans"/>
          <w:b/>
          <w:sz w:val="22"/>
          <w:szCs w:val="22"/>
          <w:lang w:val="en-GB"/>
        </w:rPr>
        <w:t>Obtaining not-for-profit status for CSOs</w:t>
      </w:r>
      <w:r w:rsidRPr="00BB3451">
        <w:rPr>
          <w:rFonts w:ascii="Gill Sans" w:hAnsi="Gill Sans" w:cs="Gill Sans"/>
          <w:noProof/>
          <w:sz w:val="22"/>
          <w:szCs w:val="22"/>
          <w:lang w:val="en-GB"/>
        </w:rPr>
        <w:t xml:space="preserve"> </w:t>
      </w:r>
    </w:p>
    <w:p w14:paraId="21873CEE" w14:textId="455411CE" w:rsidR="00317D08" w:rsidRPr="00BB3451" w:rsidRDefault="005B031B" w:rsidP="0008527B">
      <w:pPr>
        <w:spacing w:after="120"/>
        <w:rPr>
          <w:rFonts w:ascii="Gill Sans" w:hAnsi="Gill Sans" w:cs="Gill Sans"/>
          <w:noProof/>
          <w:sz w:val="22"/>
          <w:szCs w:val="22"/>
          <w:lang w:val="en-GB"/>
        </w:rPr>
      </w:pPr>
      <w:r w:rsidRPr="00BB3451">
        <w:rPr>
          <w:rFonts w:ascii="Gill Sans" w:hAnsi="Gill Sans" w:cs="Gill Sans"/>
          <w:noProof/>
          <w:sz w:val="22"/>
          <w:szCs w:val="22"/>
          <w:lang w:val="en-GB"/>
        </w:rPr>
        <w:t xml:space="preserve">The commitment was </w:t>
      </w:r>
      <w:r w:rsidR="00317D08" w:rsidRPr="00BB3451">
        <w:rPr>
          <w:rFonts w:ascii="Gill Sans" w:hAnsi="Gill Sans" w:cs="Gill Sans"/>
          <w:noProof/>
          <w:sz w:val="22"/>
          <w:szCs w:val="22"/>
          <w:lang w:val="en-GB"/>
        </w:rPr>
        <w:t xml:space="preserve">not </w:t>
      </w:r>
      <w:r w:rsidRPr="00BB3451">
        <w:rPr>
          <w:rFonts w:ascii="Gill Sans" w:hAnsi="Gill Sans" w:cs="Gill Sans"/>
          <w:noProof/>
          <w:sz w:val="22"/>
          <w:szCs w:val="22"/>
          <w:lang w:val="en-GB"/>
        </w:rPr>
        <w:t>included in the new action plan.</w:t>
      </w:r>
      <w:r w:rsidR="008345B9" w:rsidRPr="00BB3451">
        <w:rPr>
          <w:rFonts w:ascii="Gill Sans" w:hAnsi="Gill Sans" w:cs="Gill Sans"/>
          <w:noProof/>
          <w:sz w:val="22"/>
          <w:szCs w:val="22"/>
          <w:lang w:val="en-GB"/>
        </w:rPr>
        <w:t xml:space="preserve"> The government has to ensure that the adopted legal framework be enforced by taking all necessary organisational and technical measures.</w:t>
      </w:r>
    </w:p>
    <w:p w14:paraId="3E2375E6" w14:textId="77777777" w:rsidR="00317D08" w:rsidRDefault="00317D08" w:rsidP="005B031B">
      <w:pPr>
        <w:spacing w:after="120"/>
        <w:rPr>
          <w:noProof/>
          <w:lang w:val="en-GB"/>
        </w:rPr>
        <w:sectPr w:rsidR="00317D08" w:rsidSect="002A2966">
          <w:endnotePr>
            <w:numFmt w:val="decimal"/>
            <w:numRestart w:val="eachSect"/>
          </w:endnotePr>
          <w:pgSz w:w="11907" w:h="16839" w:code="9"/>
          <w:pgMar w:top="1417" w:right="1417" w:bottom="1417" w:left="1417" w:header="0" w:footer="0" w:gutter="0"/>
          <w:cols w:space="708"/>
          <w:docGrid w:linePitch="360"/>
        </w:sectPr>
      </w:pPr>
    </w:p>
    <w:p w14:paraId="2892EACD" w14:textId="3581CB40" w:rsidR="005A6C06" w:rsidRDefault="005A6C06" w:rsidP="005A6C06">
      <w:pPr>
        <w:pStyle w:val="Heading2"/>
        <w:spacing w:before="0" w:after="120"/>
        <w:rPr>
          <w:noProof/>
          <w:lang w:val="en-GB"/>
        </w:rPr>
      </w:pPr>
      <w:r w:rsidRPr="009400F9">
        <w:rPr>
          <w:lang w:val="en-GB"/>
        </w:rPr>
        <w:lastRenderedPageBreak/>
        <w:t>Theme</w:t>
      </w:r>
      <w:r w:rsidR="00131C34">
        <w:rPr>
          <w:lang w:val="en-GB"/>
        </w:rPr>
        <w:t xml:space="preserve"> II</w:t>
      </w:r>
      <w:r>
        <w:rPr>
          <w:lang w:val="en-GB"/>
        </w:rPr>
        <w:t xml:space="preserve">: </w:t>
      </w:r>
      <w:r w:rsidRPr="00D307EB">
        <w:rPr>
          <w:noProof/>
          <w:lang w:val="en-GB"/>
        </w:rPr>
        <w:t>Ensure access to public information</w:t>
      </w:r>
    </w:p>
    <w:p w14:paraId="7BB44547" w14:textId="4F5F2C6B" w:rsidR="005A6C06" w:rsidRPr="00BB3451" w:rsidRDefault="005A6C06" w:rsidP="005A6C06">
      <w:pPr>
        <w:pStyle w:val="Normalrglronly"/>
        <w:rPr>
          <w:b/>
          <w:lang w:val="en-GB"/>
        </w:rPr>
      </w:pPr>
      <w:bookmarkStart w:id="1" w:name="_Toc437543861"/>
      <w:r w:rsidRPr="00BB3451">
        <w:rPr>
          <w:b/>
          <w:lang w:val="en-GB"/>
        </w:rPr>
        <w:t>5.1</w:t>
      </w:r>
      <w:r w:rsidR="00131C34">
        <w:rPr>
          <w:b/>
          <w:lang w:val="en-GB"/>
        </w:rPr>
        <w:t>.</w:t>
      </w:r>
      <w:r w:rsidRPr="00BB3451">
        <w:rPr>
          <w:b/>
          <w:lang w:val="en-GB"/>
        </w:rPr>
        <w:t xml:space="preserve"> Establishing rules on processing official information</w:t>
      </w:r>
      <w:bookmarkEnd w:id="1"/>
    </w:p>
    <w:p w14:paraId="23C1D710" w14:textId="09FCE41E" w:rsidR="005A6C06" w:rsidRPr="00BB3451" w:rsidRDefault="003D7A6B" w:rsidP="0062372B">
      <w:pPr>
        <w:spacing w:after="120"/>
        <w:rPr>
          <w:rFonts w:ascii="Gill Sans" w:hAnsi="Gill Sans" w:cs="Gill Sans"/>
          <w:i/>
          <w:noProof/>
          <w:sz w:val="22"/>
          <w:szCs w:val="22"/>
          <w:lang w:val="en-GB"/>
        </w:rPr>
      </w:pPr>
      <w:r w:rsidRPr="0016308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5A6C06" w:rsidRPr="00BB3451">
        <w:rPr>
          <w:rFonts w:ascii="Gill Sans" w:hAnsi="Gill Sans" w:cs="Gill Sans"/>
          <w:i/>
          <w:noProof/>
          <w:sz w:val="22"/>
          <w:szCs w:val="22"/>
          <w:lang w:val="en-GB"/>
        </w:rPr>
        <w:t>5.1. Ensuring citizens’ unhindered access to public information by means of: preparing and submitting to the Cabinet of Ministers of Ukraine in due course a draft resolution on approval of the procedure for recording, storing and using documents and other physical information media containing official information collected during operational and detective, counterintelligence activities, in the field of national defence of the country</w:t>
      </w:r>
      <w:r>
        <w:rPr>
          <w:rFonts w:ascii="Gill Sans" w:hAnsi="Gill Sans" w:cs="Gill Sans"/>
          <w:i/>
          <w:noProof/>
          <w:sz w:val="22"/>
          <w:szCs w:val="22"/>
          <w:lang w:val="en-GB"/>
        </w:rPr>
        <w:t>.</w:t>
      </w:r>
    </w:p>
    <w:p w14:paraId="5E644C0A" w14:textId="45C7FF08" w:rsidR="005A6C06" w:rsidRPr="00BB3451" w:rsidRDefault="005A6C06" w:rsidP="0062372B">
      <w:pPr>
        <w:spacing w:after="120"/>
        <w:rPr>
          <w:rFonts w:ascii="Gill Sans" w:hAnsi="Gill Sans" w:cs="Gill Sans"/>
          <w:i/>
          <w:noProof/>
          <w:sz w:val="22"/>
          <w:szCs w:val="22"/>
          <w:lang w:val="en-GB"/>
        </w:rPr>
      </w:pPr>
      <w:r w:rsidRPr="00BB3451">
        <w:rPr>
          <w:rFonts w:ascii="Gill Sans" w:hAnsi="Gill Sans" w:cs="Gill Sans"/>
          <w:i/>
          <w:noProof/>
          <w:sz w:val="22"/>
          <w:szCs w:val="22"/>
          <w:lang w:val="en-GB"/>
        </w:rPr>
        <w:t xml:space="preserve">Expected result: </w:t>
      </w:r>
      <w:r w:rsidRPr="00BB3451">
        <w:rPr>
          <w:rFonts w:ascii="Gill Sans" w:hAnsi="Gill Sans" w:cs="Gill Sans"/>
          <w:i/>
          <w:sz w:val="22"/>
          <w:szCs w:val="22"/>
          <w:lang w:val="en-GB"/>
        </w:rPr>
        <w:t>a relevant resolution adopted by the Cabinet of Ministers of Ukraine</w:t>
      </w:r>
      <w:r w:rsidR="003D7A6B">
        <w:rPr>
          <w:rFonts w:ascii="Gill Sans" w:hAnsi="Gill Sans" w:cs="Gill Sans"/>
          <w:i/>
          <w:sz w:val="22"/>
          <w:szCs w:val="22"/>
          <w:lang w:val="en-GB"/>
        </w:rPr>
        <w:t>.</w:t>
      </w:r>
    </w:p>
    <w:p w14:paraId="6F835C50" w14:textId="248FAF39" w:rsidR="005A6C06" w:rsidRPr="00BB3451" w:rsidRDefault="0062372B" w:rsidP="0062372B">
      <w:pPr>
        <w:spacing w:after="120"/>
        <w:rPr>
          <w:rFonts w:ascii="Gill Sans" w:hAnsi="Gill Sans" w:cs="Gill Sans"/>
          <w:noProof/>
          <w:sz w:val="22"/>
          <w:szCs w:val="22"/>
          <w:lang w:val="en-GB"/>
        </w:rPr>
      </w:pPr>
      <w:r w:rsidRPr="00BB3451">
        <w:rPr>
          <w:rFonts w:ascii="Gill Sans" w:hAnsi="Gill Sans" w:cs="Gill Sans"/>
          <w:sz w:val="22"/>
          <w:szCs w:val="22"/>
          <w:lang w:val="en-GB"/>
        </w:rPr>
        <w:t xml:space="preserve">Responsible </w:t>
      </w:r>
      <w:r w:rsidR="005A6C06" w:rsidRPr="00BB3451">
        <w:rPr>
          <w:rFonts w:ascii="Gill Sans" w:hAnsi="Gill Sans" w:cs="Gill Sans"/>
          <w:sz w:val="22"/>
          <w:szCs w:val="22"/>
          <w:lang w:val="en-GB"/>
        </w:rPr>
        <w:t>institution</w:t>
      </w:r>
      <w:r w:rsidR="003D7A6B">
        <w:rPr>
          <w:rFonts w:ascii="Gill Sans" w:hAnsi="Gill Sans" w:cs="Gill Sans"/>
          <w:sz w:val="22"/>
          <w:szCs w:val="22"/>
          <w:lang w:val="en-GB"/>
        </w:rPr>
        <w:t>(s)</w:t>
      </w:r>
      <w:r w:rsidR="005A6C06" w:rsidRPr="00BB3451">
        <w:rPr>
          <w:rFonts w:ascii="Gill Sans" w:hAnsi="Gill Sans" w:cs="Gill Sans"/>
          <w:sz w:val="22"/>
          <w:szCs w:val="22"/>
          <w:lang w:val="en-GB"/>
        </w:rPr>
        <w:t xml:space="preserve">: </w:t>
      </w:r>
      <w:r w:rsidR="005A6C06" w:rsidRPr="00BB3451">
        <w:rPr>
          <w:rFonts w:ascii="Gill Sans" w:hAnsi="Gill Sans" w:cs="Gill Sans"/>
          <w:noProof/>
          <w:sz w:val="22"/>
          <w:szCs w:val="22"/>
          <w:lang w:val="en-GB"/>
        </w:rPr>
        <w:t>State Archive Service</w:t>
      </w:r>
    </w:p>
    <w:p w14:paraId="495727FA" w14:textId="74F448F1" w:rsidR="00757189" w:rsidRDefault="005A6C06" w:rsidP="00163080">
      <w:pPr>
        <w:rPr>
          <w:rFonts w:ascii="Gill Sans" w:hAnsi="Gill Sans" w:cs="Gill Sans"/>
          <w:noProof/>
          <w:sz w:val="22"/>
          <w:szCs w:val="22"/>
          <w:lang w:val="en-GB"/>
        </w:rPr>
      </w:pPr>
      <w:r w:rsidRPr="00BB3451">
        <w:rPr>
          <w:rFonts w:ascii="Gill Sans" w:hAnsi="Gill Sans" w:cs="Gill Sans"/>
          <w:sz w:val="22"/>
          <w:szCs w:val="22"/>
          <w:lang w:val="en-GB"/>
        </w:rPr>
        <w:t>Supporting institutions</w:t>
      </w:r>
      <w:r w:rsidR="003D7A6B">
        <w:rPr>
          <w:rFonts w:ascii="Gill Sans" w:hAnsi="Gill Sans" w:cs="Gill Sans"/>
          <w:sz w:val="22"/>
          <w:szCs w:val="22"/>
          <w:lang w:val="en-GB"/>
        </w:rPr>
        <w:t>(s)</w:t>
      </w:r>
      <w:r w:rsidRPr="00BB3451">
        <w:rPr>
          <w:rFonts w:ascii="Gill Sans" w:hAnsi="Gill Sans" w:cs="Gill Sans"/>
          <w:sz w:val="22"/>
          <w:szCs w:val="22"/>
          <w:lang w:val="en-GB"/>
        </w:rPr>
        <w:t xml:space="preserve">: </w:t>
      </w:r>
      <w:r w:rsidRPr="00BB3451">
        <w:rPr>
          <w:rFonts w:ascii="Gill Sans" w:hAnsi="Gill Sans" w:cs="Gill Sans"/>
          <w:noProof/>
          <w:sz w:val="22"/>
          <w:szCs w:val="22"/>
          <w:lang w:val="en-GB"/>
        </w:rPr>
        <w:t>Ministry of Justice, Ministry of Internal Affairs, Ministry of Defence, Security Service, Administration of the State Service for Special Communications and Information Protection, State Committee on TV and Radio Broadcasting, Ministry of Finance, Ministry of Economic Development, Service of Foreign Intelligence, unspecified NGOs and international organisations</w:t>
      </w:r>
      <w:r w:rsidR="003D7A6B">
        <w:rPr>
          <w:rFonts w:ascii="Gill Sans" w:hAnsi="Gill Sans" w:cs="Gill Sans"/>
          <w:noProof/>
          <w:sz w:val="22"/>
          <w:szCs w:val="22"/>
          <w:lang w:val="en-GB"/>
        </w:rPr>
        <w:t>.</w:t>
      </w:r>
    </w:p>
    <w:p w14:paraId="5A9F4CCC" w14:textId="77777777" w:rsidR="00757189" w:rsidRDefault="00757189" w:rsidP="00163080">
      <w:pPr>
        <w:rPr>
          <w:rFonts w:ascii="Gill Sans" w:hAnsi="Gill Sans" w:cs="Gill Sans"/>
          <w:noProof/>
          <w:sz w:val="22"/>
          <w:szCs w:val="22"/>
          <w:lang w:val="en-GB"/>
        </w:rPr>
      </w:pPr>
    </w:p>
    <w:p w14:paraId="532E4F82" w14:textId="3F57D71C" w:rsidR="006B1F1A" w:rsidRPr="00BB3451" w:rsidRDefault="006B1F1A" w:rsidP="00163080">
      <w:pPr>
        <w:pStyle w:val="Normalrglronly"/>
        <w:spacing w:after="0"/>
        <w:rPr>
          <w:lang w:val="en-GB"/>
        </w:rPr>
      </w:pPr>
      <w:r w:rsidRPr="00BB3451">
        <w:rPr>
          <w:lang w:val="en-GB"/>
        </w:rPr>
        <w:t xml:space="preserve">Start date: Not specified              </w:t>
      </w:r>
      <w:r w:rsidR="00131C34">
        <w:rPr>
          <w:lang w:val="en-GB"/>
        </w:rPr>
        <w:tab/>
      </w:r>
      <w:r w:rsidR="00131C34">
        <w:rPr>
          <w:lang w:val="en-GB"/>
        </w:rPr>
        <w:tab/>
      </w:r>
      <w:r w:rsidR="00131C34">
        <w:rPr>
          <w:lang w:val="en-GB"/>
        </w:rPr>
        <w:tab/>
      </w:r>
      <w:r w:rsidR="00131C34">
        <w:rPr>
          <w:lang w:val="en-GB"/>
        </w:rPr>
        <w:tab/>
      </w:r>
      <w:r w:rsidR="00131C34">
        <w:rPr>
          <w:lang w:val="en-GB"/>
        </w:rPr>
        <w:tab/>
      </w:r>
      <w:r w:rsidRPr="00BB3451">
        <w:rPr>
          <w:lang w:val="en-GB"/>
        </w:rPr>
        <w:t xml:space="preserve">End date: </w:t>
      </w:r>
      <w:r>
        <w:rPr>
          <w:lang w:val="en-GB"/>
        </w:rPr>
        <w:t>31 January</w:t>
      </w:r>
      <w:r w:rsidRPr="00BB3451">
        <w:rPr>
          <w:lang w:val="en-GB"/>
        </w:rPr>
        <w:t xml:space="preserve"> 2015</w:t>
      </w:r>
    </w:p>
    <w:tbl>
      <w:tblPr>
        <w:tblW w:w="10368"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494"/>
        <w:gridCol w:w="431"/>
        <w:gridCol w:w="351"/>
        <w:gridCol w:w="351"/>
        <w:gridCol w:w="375"/>
        <w:gridCol w:w="374"/>
        <w:gridCol w:w="375"/>
        <w:gridCol w:w="861"/>
        <w:gridCol w:w="341"/>
        <w:gridCol w:w="349"/>
        <w:gridCol w:w="430"/>
        <w:gridCol w:w="349"/>
        <w:gridCol w:w="486"/>
        <w:gridCol w:w="537"/>
        <w:gridCol w:w="537"/>
        <w:gridCol w:w="418"/>
        <w:gridCol w:w="323"/>
        <w:gridCol w:w="371"/>
        <w:gridCol w:w="430"/>
        <w:gridCol w:w="349"/>
        <w:gridCol w:w="430"/>
      </w:tblGrid>
      <w:tr w:rsidR="00131C34" w:rsidRPr="009651AC" w14:paraId="2CF3BB4A" w14:textId="77777777" w:rsidTr="00B017F8">
        <w:trPr>
          <w:trHeight w:val="405"/>
        </w:trPr>
        <w:tc>
          <w:tcPr>
            <w:tcW w:w="1522" w:type="dxa"/>
            <w:vMerge w:val="restart"/>
            <w:tcBorders>
              <w:top w:val="single" w:sz="18" w:space="0" w:color="FFFFFF"/>
              <w:left w:val="single" w:sz="4" w:space="0" w:color="FFFFFF"/>
              <w:right w:val="single" w:sz="18" w:space="0" w:color="FFFFFF"/>
            </w:tcBorders>
            <w:shd w:val="clear" w:color="auto" w:fill="000000"/>
          </w:tcPr>
          <w:p w14:paraId="2745E935" w14:textId="77777777" w:rsidR="00131C34" w:rsidRPr="009651AC" w:rsidRDefault="00131C34" w:rsidP="00131C34">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19BF1513" w14:textId="593CB6B2" w:rsidR="00131C34" w:rsidRPr="009651AC" w:rsidRDefault="00131C34" w:rsidP="00131C34">
            <w:pPr>
              <w:rPr>
                <w:rFonts w:ascii="Gill Sans" w:hAnsi="Gill Sans" w:cs="Gill Sans"/>
                <w:color w:val="FFFFFF" w:themeColor="background1"/>
                <w:sz w:val="22"/>
                <w:szCs w:val="22"/>
                <w:lang w:val="en-GB"/>
              </w:rPr>
            </w:pPr>
          </w:p>
        </w:tc>
        <w:tc>
          <w:tcPr>
            <w:tcW w:w="1695" w:type="dxa"/>
            <w:gridSpan w:val="4"/>
            <w:vMerge w:val="restart"/>
            <w:tcBorders>
              <w:top w:val="single" w:sz="18" w:space="0" w:color="FFFFFF"/>
              <w:left w:val="single" w:sz="18" w:space="0" w:color="FFFFFF"/>
              <w:right w:val="single" w:sz="18" w:space="0" w:color="FFFFFF"/>
            </w:tcBorders>
            <w:shd w:val="clear" w:color="auto" w:fill="D6E3BC"/>
          </w:tcPr>
          <w:p w14:paraId="529827D5"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Specificity</w:t>
            </w:r>
          </w:p>
        </w:tc>
        <w:tc>
          <w:tcPr>
            <w:tcW w:w="2090" w:type="dxa"/>
            <w:gridSpan w:val="4"/>
            <w:vMerge w:val="restart"/>
            <w:tcBorders>
              <w:top w:val="single" w:sz="18" w:space="0" w:color="FFFFFF"/>
              <w:left w:val="single" w:sz="18" w:space="0" w:color="FFFFFF"/>
              <w:right w:val="single" w:sz="18" w:space="0" w:color="FFFFFF"/>
            </w:tcBorders>
            <w:shd w:val="clear" w:color="auto" w:fill="FBD4B4"/>
          </w:tcPr>
          <w:p w14:paraId="323CFD7B" w14:textId="2368CC3B"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522" w:type="dxa"/>
            <w:gridSpan w:val="4"/>
            <w:vMerge w:val="restart"/>
            <w:tcBorders>
              <w:top w:val="single" w:sz="18" w:space="0" w:color="FFFFFF"/>
              <w:left w:val="single" w:sz="18" w:space="0" w:color="FFFFFF"/>
              <w:right w:val="single" w:sz="18" w:space="0" w:color="FFFFFF"/>
            </w:tcBorders>
            <w:shd w:val="clear" w:color="auto" w:fill="CCC0D9"/>
          </w:tcPr>
          <w:p w14:paraId="68D52F1F"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78" w:type="dxa"/>
            <w:gridSpan w:val="2"/>
            <w:vMerge w:val="restart"/>
            <w:tcBorders>
              <w:top w:val="single" w:sz="18" w:space="0" w:color="FFFFFF"/>
              <w:left w:val="single" w:sz="18" w:space="0" w:color="FFFFFF"/>
              <w:right w:val="single" w:sz="2" w:space="0" w:color="FFFFFF"/>
            </w:tcBorders>
            <w:shd w:val="clear" w:color="auto" w:fill="B8CCE4"/>
          </w:tcPr>
          <w:p w14:paraId="557DB77D" w14:textId="3A2D29B3" w:rsidR="00131C34" w:rsidRPr="009651AC" w:rsidRDefault="00131C34" w:rsidP="00131C34">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1003"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52F52095"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Midterm</w:t>
            </w:r>
          </w:p>
        </w:tc>
        <w:tc>
          <w:tcPr>
            <w:tcW w:w="1977" w:type="dxa"/>
            <w:gridSpan w:val="5"/>
            <w:vMerge w:val="restart"/>
            <w:tcBorders>
              <w:top w:val="single" w:sz="18" w:space="0" w:color="FFFFFF"/>
              <w:left w:val="single" w:sz="18" w:space="0" w:color="FFFFFF"/>
              <w:right w:val="single" w:sz="18" w:space="0" w:color="FFFFFF"/>
            </w:tcBorders>
            <w:shd w:val="clear" w:color="auto" w:fill="D99594"/>
          </w:tcPr>
          <w:p w14:paraId="20EFDCBB" w14:textId="093152F8"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131C34" w:rsidRPr="009651AC" w14:paraId="494D806D" w14:textId="77777777" w:rsidTr="00B017F8">
        <w:trPr>
          <w:trHeight w:val="373"/>
        </w:trPr>
        <w:tc>
          <w:tcPr>
            <w:tcW w:w="1522" w:type="dxa"/>
            <w:vMerge/>
            <w:tcBorders>
              <w:left w:val="single" w:sz="4" w:space="0" w:color="FFFFFF"/>
              <w:right w:val="single" w:sz="18" w:space="0" w:color="FFFFFF"/>
            </w:tcBorders>
            <w:shd w:val="clear" w:color="auto" w:fill="000000"/>
          </w:tcPr>
          <w:p w14:paraId="1D64D90E" w14:textId="05D3BEA8" w:rsidR="00131C34" w:rsidRPr="009651AC" w:rsidRDefault="00131C34" w:rsidP="00131C34">
            <w:pPr>
              <w:rPr>
                <w:rFonts w:ascii="Gill Sans" w:hAnsi="Gill Sans" w:cs="Gill Sans"/>
                <w:color w:val="FFFFFF" w:themeColor="background1"/>
                <w:sz w:val="22"/>
                <w:szCs w:val="22"/>
                <w:lang w:val="en-GB"/>
              </w:rPr>
            </w:pPr>
          </w:p>
        </w:tc>
        <w:tc>
          <w:tcPr>
            <w:tcW w:w="1695" w:type="dxa"/>
            <w:gridSpan w:val="4"/>
            <w:vMerge/>
            <w:tcBorders>
              <w:left w:val="single" w:sz="18" w:space="0" w:color="FFFFFF"/>
              <w:bottom w:val="single" w:sz="18" w:space="0" w:color="FFFFFF"/>
              <w:right w:val="single" w:sz="18" w:space="0" w:color="FFFFFF"/>
            </w:tcBorders>
            <w:shd w:val="clear" w:color="auto" w:fill="D6E3BC"/>
          </w:tcPr>
          <w:p w14:paraId="40E7B964" w14:textId="77777777" w:rsidR="00131C34" w:rsidRPr="009651AC" w:rsidRDefault="00131C34" w:rsidP="00131C34">
            <w:pPr>
              <w:rPr>
                <w:rFonts w:ascii="Gill Sans" w:hAnsi="Gill Sans" w:cs="Gill Sans"/>
                <w:sz w:val="22"/>
                <w:szCs w:val="22"/>
                <w:lang w:val="en-GB"/>
              </w:rPr>
            </w:pPr>
          </w:p>
        </w:tc>
        <w:tc>
          <w:tcPr>
            <w:tcW w:w="2090" w:type="dxa"/>
            <w:gridSpan w:val="4"/>
            <w:vMerge/>
            <w:tcBorders>
              <w:left w:val="single" w:sz="18" w:space="0" w:color="FFFFFF"/>
              <w:bottom w:val="single" w:sz="18" w:space="0" w:color="FFFFFF"/>
              <w:right w:val="single" w:sz="18" w:space="0" w:color="FFFFFF"/>
            </w:tcBorders>
            <w:shd w:val="clear" w:color="auto" w:fill="FBD4B4"/>
          </w:tcPr>
          <w:p w14:paraId="14BFF9DD" w14:textId="77777777" w:rsidR="00131C34" w:rsidRPr="009651AC" w:rsidRDefault="00131C34" w:rsidP="00131C34">
            <w:pPr>
              <w:rPr>
                <w:rFonts w:ascii="Gill Sans" w:hAnsi="Gill Sans" w:cs="Gill Sans"/>
                <w:sz w:val="22"/>
                <w:szCs w:val="22"/>
                <w:lang w:val="en-GB"/>
              </w:rPr>
            </w:pPr>
          </w:p>
        </w:tc>
        <w:tc>
          <w:tcPr>
            <w:tcW w:w="1522" w:type="dxa"/>
            <w:gridSpan w:val="4"/>
            <w:vMerge/>
            <w:tcBorders>
              <w:left w:val="single" w:sz="18" w:space="0" w:color="FFFFFF"/>
              <w:bottom w:val="single" w:sz="18" w:space="0" w:color="FFFFFF"/>
              <w:right w:val="single" w:sz="18" w:space="0" w:color="FFFFFF"/>
            </w:tcBorders>
            <w:shd w:val="clear" w:color="auto" w:fill="CCC0D9"/>
          </w:tcPr>
          <w:p w14:paraId="23E1402B" w14:textId="77777777" w:rsidR="00131C34" w:rsidRPr="009651AC" w:rsidRDefault="00131C34" w:rsidP="00131C34">
            <w:pPr>
              <w:rPr>
                <w:rFonts w:ascii="Gill Sans" w:hAnsi="Gill Sans" w:cs="Gill Sans"/>
                <w:sz w:val="22"/>
                <w:szCs w:val="22"/>
                <w:lang w:val="en-GB"/>
              </w:rPr>
            </w:pPr>
          </w:p>
        </w:tc>
        <w:tc>
          <w:tcPr>
            <w:tcW w:w="1078" w:type="dxa"/>
            <w:gridSpan w:val="2"/>
            <w:vMerge/>
            <w:tcBorders>
              <w:left w:val="single" w:sz="18" w:space="0" w:color="FFFFFF"/>
              <w:bottom w:val="single" w:sz="18" w:space="0" w:color="FFFFFF"/>
              <w:right w:val="single" w:sz="2" w:space="0" w:color="FFFFFF"/>
            </w:tcBorders>
            <w:shd w:val="clear" w:color="auto" w:fill="B8CCE4"/>
          </w:tcPr>
          <w:p w14:paraId="136783E5" w14:textId="77777777" w:rsidR="00131C34" w:rsidRPr="009651AC" w:rsidRDefault="00131C34" w:rsidP="00131C34">
            <w:pPr>
              <w:rPr>
                <w:rFonts w:ascii="Gill Sans" w:hAnsi="Gill Sans" w:cs="Gill Sans"/>
                <w:sz w:val="22"/>
                <w:szCs w:val="22"/>
                <w:lang w:val="en-GB"/>
              </w:rPr>
            </w:pPr>
          </w:p>
        </w:tc>
        <w:tc>
          <w:tcPr>
            <w:tcW w:w="1003"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053BAC9B" w14:textId="4448A805"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1977" w:type="dxa"/>
            <w:gridSpan w:val="5"/>
            <w:vMerge/>
            <w:tcBorders>
              <w:left w:val="single" w:sz="18" w:space="0" w:color="FFFFFF"/>
              <w:bottom w:val="single" w:sz="18" w:space="0" w:color="FFFFFF"/>
              <w:right w:val="single" w:sz="18" w:space="0" w:color="FFFFFF"/>
            </w:tcBorders>
            <w:shd w:val="clear" w:color="auto" w:fill="D99594"/>
          </w:tcPr>
          <w:p w14:paraId="5D596390" w14:textId="77777777" w:rsidR="00131C34" w:rsidRPr="009651AC" w:rsidRDefault="00131C34" w:rsidP="00131C34">
            <w:pPr>
              <w:rPr>
                <w:rFonts w:ascii="Gill Sans" w:hAnsi="Gill Sans" w:cs="Gill Sans"/>
                <w:sz w:val="22"/>
                <w:szCs w:val="22"/>
                <w:lang w:val="en-GB"/>
              </w:rPr>
            </w:pPr>
          </w:p>
        </w:tc>
      </w:tr>
      <w:tr w:rsidR="00131C34" w:rsidRPr="009651AC" w14:paraId="01F87E67" w14:textId="77777777" w:rsidTr="00B017F8">
        <w:trPr>
          <w:cantSplit/>
          <w:trHeight w:val="2336"/>
        </w:trPr>
        <w:tc>
          <w:tcPr>
            <w:tcW w:w="1522" w:type="dxa"/>
            <w:vMerge/>
            <w:tcBorders>
              <w:left w:val="single" w:sz="4" w:space="0" w:color="FFFFFF"/>
              <w:right w:val="single" w:sz="18" w:space="0" w:color="FFFFFF"/>
            </w:tcBorders>
            <w:shd w:val="clear" w:color="auto" w:fill="000000"/>
          </w:tcPr>
          <w:p w14:paraId="3D44ABC4" w14:textId="2E9C9040" w:rsidR="00131C34" w:rsidRPr="009651AC" w:rsidRDefault="00131C34" w:rsidP="00131C34">
            <w:pPr>
              <w:rPr>
                <w:rFonts w:ascii="Gill Sans" w:hAnsi="Gill Sans" w:cs="Gill Sans"/>
                <w:color w:val="FFFFFF" w:themeColor="background1"/>
                <w:sz w:val="22"/>
                <w:szCs w:val="22"/>
                <w:lang w:val="en-GB"/>
              </w:rPr>
            </w:pPr>
          </w:p>
        </w:tc>
        <w:tc>
          <w:tcPr>
            <w:tcW w:w="519"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0E7E53B3"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1F5DB72C"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6948CEDA"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2934600E"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5955D146"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4C4A629D"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5CB6085C"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924"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4E6B9DC5"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52"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11905B12"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6A028679"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7DEDADFD"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2238C18B"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511"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7665A412" w14:textId="32629CF0"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567"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345437AF"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Limited</w:t>
            </w:r>
          </w:p>
        </w:tc>
        <w:tc>
          <w:tcPr>
            <w:tcW w:w="567"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1DE8F2D8"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Substantial</w:t>
            </w:r>
          </w:p>
        </w:tc>
        <w:tc>
          <w:tcPr>
            <w:tcW w:w="436"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0CB8F9C6"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Completed</w:t>
            </w:r>
          </w:p>
        </w:tc>
        <w:tc>
          <w:tcPr>
            <w:tcW w:w="332"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2F52E856" w14:textId="552F7A2E"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385"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AA8090E" w14:textId="77A272AA"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4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B702172"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Marginal</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7BFF791"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50"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7A8957C1" w14:textId="77777777" w:rsidR="00131C34" w:rsidRPr="009651AC" w:rsidRDefault="00131C34" w:rsidP="00131C34">
            <w:pPr>
              <w:rPr>
                <w:rFonts w:ascii="Gill Sans" w:hAnsi="Gill Sans" w:cs="Gill Sans"/>
                <w:sz w:val="22"/>
                <w:szCs w:val="22"/>
                <w:lang w:val="en-GB"/>
              </w:rPr>
            </w:pPr>
            <w:r w:rsidRPr="009651AC">
              <w:rPr>
                <w:rFonts w:ascii="Gill Sans" w:hAnsi="Gill Sans" w:cs="Gill Sans"/>
                <w:sz w:val="22"/>
                <w:szCs w:val="22"/>
                <w:lang w:val="en-GB"/>
              </w:rPr>
              <w:t>Outstanding</w:t>
            </w:r>
          </w:p>
        </w:tc>
      </w:tr>
      <w:tr w:rsidR="00131C34" w:rsidRPr="009651AC" w14:paraId="53F952AD" w14:textId="77777777" w:rsidTr="00B017F8">
        <w:trPr>
          <w:trHeight w:val="340"/>
        </w:trPr>
        <w:tc>
          <w:tcPr>
            <w:tcW w:w="1522" w:type="dxa"/>
            <w:vMerge/>
            <w:tcBorders>
              <w:left w:val="single" w:sz="4" w:space="0" w:color="FFFFFF"/>
              <w:right w:val="single" w:sz="18" w:space="0" w:color="FFFFFF"/>
            </w:tcBorders>
            <w:shd w:val="clear" w:color="auto" w:fill="000000"/>
          </w:tcPr>
          <w:p w14:paraId="3515EF7D" w14:textId="0322595E" w:rsidR="00131C34" w:rsidRPr="009651AC" w:rsidRDefault="00131C34" w:rsidP="00131C34">
            <w:pPr>
              <w:rPr>
                <w:rFonts w:ascii="Gill Sans" w:hAnsi="Gill Sans" w:cs="Gill Sans"/>
                <w:noProof/>
                <w:color w:val="FFFFFF" w:themeColor="background1"/>
                <w:sz w:val="22"/>
                <w:szCs w:val="22"/>
                <w:lang w:val="en-GB"/>
              </w:rPr>
            </w:pPr>
          </w:p>
        </w:tc>
        <w:tc>
          <w:tcPr>
            <w:tcW w:w="519" w:type="dxa"/>
            <w:vMerge w:val="restart"/>
            <w:tcBorders>
              <w:top w:val="single" w:sz="18" w:space="0" w:color="FFFFFF"/>
              <w:left w:val="single" w:sz="18" w:space="0" w:color="FFFFFF"/>
              <w:right w:val="single" w:sz="2" w:space="0" w:color="FFFFFF"/>
            </w:tcBorders>
            <w:shd w:val="clear" w:color="auto" w:fill="D6E3BC"/>
          </w:tcPr>
          <w:p w14:paraId="25915F7D" w14:textId="77777777" w:rsidR="00131C34" w:rsidRPr="00DF1741" w:rsidRDefault="00131C34" w:rsidP="00131C34">
            <w:pPr>
              <w:rPr>
                <w:rFonts w:ascii="Zapf Dingbats" w:hAnsi="Zapf Dingbats" w:cs="Gill Sans"/>
                <w:sz w:val="22"/>
                <w:szCs w:val="22"/>
                <w:lang w:val="en-GB"/>
              </w:rPr>
            </w:pPr>
          </w:p>
        </w:tc>
        <w:tc>
          <w:tcPr>
            <w:tcW w:w="451" w:type="dxa"/>
            <w:vMerge w:val="restart"/>
            <w:tcBorders>
              <w:top w:val="single" w:sz="18" w:space="0" w:color="FFFFFF"/>
              <w:left w:val="single" w:sz="2" w:space="0" w:color="FFFFFF"/>
              <w:right w:val="single" w:sz="2" w:space="0" w:color="FFFFFF"/>
            </w:tcBorders>
            <w:shd w:val="clear" w:color="auto" w:fill="D6E3BC"/>
          </w:tcPr>
          <w:p w14:paraId="5508F70E" w14:textId="77777777" w:rsidR="00131C34" w:rsidRPr="00DF1741" w:rsidRDefault="00131C34" w:rsidP="00131C34">
            <w:pPr>
              <w:rPr>
                <w:rFonts w:ascii="Zapf Dingbats" w:hAnsi="Zapf Dingbats" w:cs="Gill Sans"/>
                <w:sz w:val="22"/>
                <w:szCs w:val="22"/>
                <w:lang w:val="en-GB"/>
              </w:rPr>
            </w:pPr>
          </w:p>
        </w:tc>
        <w:tc>
          <w:tcPr>
            <w:tcW w:w="362" w:type="dxa"/>
            <w:vMerge w:val="restart"/>
            <w:tcBorders>
              <w:top w:val="single" w:sz="18" w:space="0" w:color="FFFFFF"/>
              <w:left w:val="single" w:sz="2" w:space="0" w:color="FFFFFF"/>
              <w:right w:val="single" w:sz="2" w:space="0" w:color="FFFFFF"/>
            </w:tcBorders>
            <w:shd w:val="clear" w:color="auto" w:fill="D6E3BC"/>
          </w:tcPr>
          <w:p w14:paraId="53FABA36" w14:textId="77777777" w:rsidR="00131C34" w:rsidRPr="00DF1741" w:rsidRDefault="00131C34" w:rsidP="00131C34">
            <w:pPr>
              <w:rPr>
                <w:rFonts w:ascii="Zapf Dingbats" w:hAnsi="Zapf Dingbats" w:cs="Gill Sans"/>
                <w:sz w:val="22"/>
                <w:szCs w:val="22"/>
                <w:lang w:val="en-GB"/>
              </w:rPr>
            </w:pPr>
          </w:p>
        </w:tc>
        <w:tc>
          <w:tcPr>
            <w:tcW w:w="363" w:type="dxa"/>
            <w:vMerge w:val="restart"/>
            <w:tcBorders>
              <w:top w:val="single" w:sz="18" w:space="0" w:color="FFFFFF"/>
              <w:left w:val="single" w:sz="2" w:space="0" w:color="FFFFFF"/>
              <w:right w:val="single" w:sz="18" w:space="0" w:color="FFFFFF"/>
            </w:tcBorders>
            <w:shd w:val="clear" w:color="auto" w:fill="D6E3BC"/>
          </w:tcPr>
          <w:p w14:paraId="54C6998F" w14:textId="77777777" w:rsidR="00131C34" w:rsidRPr="00DF1741" w:rsidRDefault="00131C34" w:rsidP="00131C34">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61FDEB06" w14:textId="77777777" w:rsidR="00131C34" w:rsidRPr="00DF1741" w:rsidRDefault="00131C34"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88" w:type="dxa"/>
            <w:vMerge w:val="restart"/>
            <w:tcBorders>
              <w:top w:val="single" w:sz="18" w:space="0" w:color="FFFFFF"/>
              <w:left w:val="single" w:sz="2" w:space="0" w:color="FFFFFF"/>
              <w:right w:val="single" w:sz="2" w:space="0" w:color="FFFFFF"/>
            </w:tcBorders>
            <w:shd w:val="clear" w:color="auto" w:fill="FBD4B4"/>
          </w:tcPr>
          <w:p w14:paraId="652E2A7B" w14:textId="77777777" w:rsidR="00131C34" w:rsidRPr="00DF1741" w:rsidRDefault="00131C34" w:rsidP="00131C34">
            <w:pPr>
              <w:rPr>
                <w:rFonts w:ascii="Zapf Dingbats" w:hAnsi="Zapf Dingbats" w:cs="Gill Sans"/>
                <w:noProof/>
                <w:sz w:val="22"/>
                <w:szCs w:val="22"/>
                <w:lang w:val="en-GB"/>
              </w:rPr>
            </w:pPr>
          </w:p>
        </w:tc>
        <w:tc>
          <w:tcPr>
            <w:tcW w:w="389" w:type="dxa"/>
            <w:vMerge w:val="restart"/>
            <w:tcBorders>
              <w:top w:val="single" w:sz="18" w:space="0" w:color="FFFFFF"/>
              <w:left w:val="single" w:sz="2" w:space="0" w:color="FFFFFF"/>
              <w:right w:val="single" w:sz="2" w:space="0" w:color="FFFFFF"/>
            </w:tcBorders>
            <w:shd w:val="clear" w:color="auto" w:fill="FBD4B4"/>
          </w:tcPr>
          <w:p w14:paraId="3720A0B4" w14:textId="77777777" w:rsidR="00131C34" w:rsidRPr="00DF1741" w:rsidRDefault="00131C34" w:rsidP="00131C34">
            <w:pPr>
              <w:rPr>
                <w:rFonts w:ascii="Zapf Dingbats" w:hAnsi="Zapf Dingbats" w:cs="Gill Sans"/>
                <w:noProof/>
                <w:sz w:val="22"/>
                <w:szCs w:val="22"/>
                <w:lang w:val="en-GB"/>
              </w:rPr>
            </w:pPr>
          </w:p>
        </w:tc>
        <w:tc>
          <w:tcPr>
            <w:tcW w:w="924" w:type="dxa"/>
            <w:vMerge w:val="restart"/>
            <w:tcBorders>
              <w:top w:val="single" w:sz="18" w:space="0" w:color="FFFFFF"/>
              <w:left w:val="single" w:sz="2" w:space="0" w:color="FFFFFF"/>
              <w:right w:val="single" w:sz="18" w:space="0" w:color="FFFFFF"/>
            </w:tcBorders>
            <w:shd w:val="clear" w:color="auto" w:fill="FBD4B4"/>
          </w:tcPr>
          <w:p w14:paraId="79C1E211" w14:textId="77777777" w:rsidR="00131C34" w:rsidRPr="00DF1741" w:rsidRDefault="00131C34" w:rsidP="00131C34">
            <w:pPr>
              <w:rPr>
                <w:rFonts w:ascii="Zapf Dingbats" w:hAnsi="Zapf Dingbats" w:cs="Gill Sans"/>
                <w:sz w:val="22"/>
                <w:szCs w:val="22"/>
                <w:lang w:val="en-GB"/>
              </w:rPr>
            </w:pPr>
          </w:p>
        </w:tc>
        <w:tc>
          <w:tcPr>
            <w:tcW w:w="352" w:type="dxa"/>
            <w:vMerge w:val="restart"/>
            <w:tcBorders>
              <w:top w:val="single" w:sz="18" w:space="0" w:color="FFFFFF"/>
              <w:left w:val="single" w:sz="18" w:space="0" w:color="FFFFFF"/>
              <w:right w:val="single" w:sz="2" w:space="0" w:color="FFFFFF"/>
            </w:tcBorders>
            <w:shd w:val="clear" w:color="auto" w:fill="CCC0D9"/>
          </w:tcPr>
          <w:p w14:paraId="1E0AADB9" w14:textId="77777777" w:rsidR="00131C34" w:rsidRPr="00DF1741" w:rsidRDefault="00131C34" w:rsidP="00131C34">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1AB75C50" w14:textId="77777777" w:rsidR="00131C34" w:rsidRPr="00DF1741" w:rsidRDefault="00131C34"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CCC0D9"/>
          </w:tcPr>
          <w:p w14:paraId="075D3532" w14:textId="77777777" w:rsidR="00131C34" w:rsidRPr="00DF1741" w:rsidRDefault="00131C34" w:rsidP="00131C34">
            <w:pPr>
              <w:rPr>
                <w:rFonts w:ascii="Zapf Dingbats" w:hAnsi="Zapf Dingbats" w:cs="Gill Sans"/>
                <w:noProof/>
                <w:sz w:val="22"/>
                <w:szCs w:val="22"/>
                <w:lang w:val="en-GB"/>
              </w:rPr>
            </w:pPr>
          </w:p>
        </w:tc>
        <w:tc>
          <w:tcPr>
            <w:tcW w:w="360" w:type="dxa"/>
            <w:vMerge w:val="restart"/>
            <w:tcBorders>
              <w:top w:val="single" w:sz="18" w:space="0" w:color="FFFFFF"/>
              <w:left w:val="single" w:sz="2" w:space="0" w:color="FFFFFF"/>
              <w:right w:val="single" w:sz="18" w:space="0" w:color="FFFFFF"/>
            </w:tcBorders>
            <w:shd w:val="clear" w:color="auto" w:fill="CCC0D9"/>
          </w:tcPr>
          <w:p w14:paraId="1DCE6142" w14:textId="77777777" w:rsidR="00131C34" w:rsidRPr="00DF1741" w:rsidRDefault="00131C34" w:rsidP="00131C34">
            <w:pPr>
              <w:rPr>
                <w:rFonts w:ascii="Zapf Dingbats" w:hAnsi="Zapf Dingbats" w:cs="Gill Sans"/>
                <w:sz w:val="22"/>
                <w:szCs w:val="22"/>
                <w:lang w:val="en-GB"/>
              </w:rPr>
            </w:pPr>
          </w:p>
        </w:tc>
        <w:tc>
          <w:tcPr>
            <w:tcW w:w="511"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175ED42" w14:textId="77777777" w:rsidR="00131C34" w:rsidRPr="00DF1741" w:rsidRDefault="00131C34" w:rsidP="00131C34">
            <w:pPr>
              <w:rPr>
                <w:rFonts w:ascii="Zapf Dingbats" w:hAnsi="Zapf Dingbats" w:cs="Gill Sans"/>
                <w:sz w:val="22"/>
                <w:szCs w:val="22"/>
                <w:lang w:val="en-GB"/>
              </w:rPr>
            </w:pPr>
          </w:p>
        </w:tc>
        <w:tc>
          <w:tcPr>
            <w:tcW w:w="56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41BAD01" w14:textId="77777777" w:rsidR="00131C34" w:rsidRPr="00DF1741" w:rsidRDefault="00131C34" w:rsidP="00131C34">
            <w:pPr>
              <w:rPr>
                <w:rFonts w:ascii="Zapf Dingbats" w:hAnsi="Zapf Dingbats" w:cs="Gill Sans"/>
                <w:sz w:val="22"/>
                <w:szCs w:val="22"/>
                <w:lang w:val="en-GB"/>
              </w:rPr>
            </w:pPr>
          </w:p>
        </w:tc>
        <w:tc>
          <w:tcPr>
            <w:tcW w:w="56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64C8E9C2" w14:textId="77777777" w:rsidR="00131C34" w:rsidRPr="00DF1741" w:rsidRDefault="00131C34" w:rsidP="00131C34">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436"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0ABCB4FC" w14:textId="77777777" w:rsidR="00131C34" w:rsidRPr="00DF1741" w:rsidRDefault="00131C34" w:rsidP="00131C34">
            <w:pPr>
              <w:rPr>
                <w:rFonts w:ascii="Zapf Dingbats" w:hAnsi="Zapf Dingbats" w:cs="Gill Sans"/>
                <w:sz w:val="22"/>
                <w:szCs w:val="22"/>
                <w:lang w:val="en-GB"/>
              </w:rPr>
            </w:pPr>
          </w:p>
        </w:tc>
        <w:tc>
          <w:tcPr>
            <w:tcW w:w="332" w:type="dxa"/>
            <w:vMerge w:val="restart"/>
            <w:tcBorders>
              <w:top w:val="single" w:sz="18" w:space="0" w:color="FFFFFF"/>
              <w:left w:val="single" w:sz="18" w:space="0" w:color="FFFFFF"/>
              <w:right w:val="single" w:sz="2" w:space="0" w:color="FFFFFF"/>
            </w:tcBorders>
            <w:shd w:val="clear" w:color="auto" w:fill="D99594"/>
          </w:tcPr>
          <w:p w14:paraId="0477E48B" w14:textId="77777777" w:rsidR="00131C34" w:rsidRPr="00DF1741" w:rsidRDefault="00131C34" w:rsidP="00131C34">
            <w:pPr>
              <w:rPr>
                <w:rFonts w:ascii="Zapf Dingbats" w:hAnsi="Zapf Dingbats" w:cs="Gill Sans"/>
                <w:sz w:val="22"/>
                <w:szCs w:val="22"/>
                <w:lang w:val="en-GB"/>
              </w:rPr>
            </w:pPr>
          </w:p>
        </w:tc>
        <w:tc>
          <w:tcPr>
            <w:tcW w:w="385" w:type="dxa"/>
            <w:vMerge w:val="restart"/>
            <w:tcBorders>
              <w:top w:val="single" w:sz="18" w:space="0" w:color="FFFFFF"/>
              <w:left w:val="single" w:sz="2" w:space="0" w:color="FFFFFF"/>
              <w:right w:val="single" w:sz="2" w:space="0" w:color="FFFFFF"/>
            </w:tcBorders>
            <w:shd w:val="clear" w:color="auto" w:fill="D99594"/>
          </w:tcPr>
          <w:p w14:paraId="0687566E" w14:textId="77777777" w:rsidR="00131C34" w:rsidRPr="00DF1741" w:rsidRDefault="00131C34" w:rsidP="00131C34">
            <w:pPr>
              <w:rPr>
                <w:rFonts w:ascii="Zapf Dingbats" w:hAnsi="Zapf Dingbats" w:cs="Gill Sans"/>
                <w:sz w:val="22"/>
                <w:szCs w:val="22"/>
                <w:lang w:val="en-GB"/>
              </w:rPr>
            </w:pPr>
          </w:p>
        </w:tc>
        <w:tc>
          <w:tcPr>
            <w:tcW w:w="450" w:type="dxa"/>
            <w:vMerge w:val="restart"/>
            <w:tcBorders>
              <w:top w:val="single" w:sz="18" w:space="0" w:color="FFFFFF"/>
              <w:left w:val="single" w:sz="2" w:space="0" w:color="FFFFFF"/>
              <w:right w:val="single" w:sz="2" w:space="0" w:color="FFFFFF"/>
            </w:tcBorders>
            <w:shd w:val="clear" w:color="auto" w:fill="D99594"/>
          </w:tcPr>
          <w:p w14:paraId="110B7AB4" w14:textId="77777777" w:rsidR="00131C34" w:rsidRPr="00DF1741" w:rsidRDefault="00131C34" w:rsidP="00131C34">
            <w:pPr>
              <w:rPr>
                <w:rFonts w:ascii="Zapf Dingbats" w:hAnsi="Zapf Dingbats" w:cs="Gill Sans"/>
                <w:sz w:val="22"/>
                <w:szCs w:val="22"/>
                <w:lang w:val="uk-UA"/>
              </w:rPr>
            </w:pPr>
          </w:p>
        </w:tc>
        <w:tc>
          <w:tcPr>
            <w:tcW w:w="360" w:type="dxa"/>
            <w:vMerge w:val="restart"/>
            <w:tcBorders>
              <w:top w:val="single" w:sz="18" w:space="0" w:color="FFFFFF"/>
              <w:left w:val="single" w:sz="2" w:space="0" w:color="FFFFFF"/>
              <w:right w:val="single" w:sz="2" w:space="0" w:color="FFFFFF"/>
            </w:tcBorders>
            <w:shd w:val="clear" w:color="auto" w:fill="D99594"/>
          </w:tcPr>
          <w:p w14:paraId="006EFC79" w14:textId="77777777" w:rsidR="00131C34" w:rsidRPr="00DF1741" w:rsidRDefault="00131C34" w:rsidP="00131C34">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18" w:space="0" w:color="FFFFFF"/>
            </w:tcBorders>
            <w:shd w:val="clear" w:color="auto" w:fill="D99594"/>
          </w:tcPr>
          <w:p w14:paraId="3CD86076" w14:textId="77777777" w:rsidR="00131C34" w:rsidRPr="00DF1741" w:rsidRDefault="00131C34" w:rsidP="00131C34">
            <w:pPr>
              <w:rPr>
                <w:rFonts w:ascii="Zapf Dingbats" w:hAnsi="Zapf Dingbats" w:cs="Gill Sans"/>
                <w:sz w:val="22"/>
                <w:szCs w:val="22"/>
                <w:lang w:val="en-GB"/>
              </w:rPr>
            </w:pPr>
          </w:p>
        </w:tc>
      </w:tr>
      <w:tr w:rsidR="00131C34" w:rsidRPr="009651AC" w14:paraId="448A76F5" w14:textId="77777777" w:rsidTr="00B017F8">
        <w:trPr>
          <w:trHeight w:val="340"/>
        </w:trPr>
        <w:tc>
          <w:tcPr>
            <w:tcW w:w="1522" w:type="dxa"/>
            <w:vMerge/>
            <w:tcBorders>
              <w:left w:val="single" w:sz="4" w:space="0" w:color="FFFFFF"/>
              <w:right w:val="single" w:sz="18" w:space="0" w:color="FFFFFF"/>
            </w:tcBorders>
            <w:shd w:val="clear" w:color="auto" w:fill="000000"/>
          </w:tcPr>
          <w:p w14:paraId="1EE5AAEA" w14:textId="77777777" w:rsidR="00131C34" w:rsidRPr="009651AC" w:rsidRDefault="00131C34" w:rsidP="00131C34">
            <w:pPr>
              <w:rPr>
                <w:rFonts w:ascii="Gill Sans" w:hAnsi="Gill Sans" w:cs="Gill Sans"/>
                <w:color w:val="FFFFFF" w:themeColor="background1"/>
                <w:sz w:val="22"/>
                <w:szCs w:val="22"/>
                <w:lang w:val="en-GB"/>
              </w:rPr>
            </w:pPr>
          </w:p>
        </w:tc>
        <w:tc>
          <w:tcPr>
            <w:tcW w:w="519" w:type="dxa"/>
            <w:vMerge/>
            <w:tcBorders>
              <w:left w:val="single" w:sz="18" w:space="0" w:color="FFFFFF"/>
              <w:right w:val="single" w:sz="2" w:space="0" w:color="FFFFFF"/>
            </w:tcBorders>
            <w:shd w:val="clear" w:color="auto" w:fill="D6E3BC"/>
          </w:tcPr>
          <w:p w14:paraId="6BDA9458" w14:textId="77777777" w:rsidR="00131C34" w:rsidRPr="009651AC" w:rsidRDefault="00131C34" w:rsidP="00131C34">
            <w:pPr>
              <w:rPr>
                <w:rFonts w:ascii="Gill Sans" w:hAnsi="Gill Sans" w:cs="Gill Sans"/>
                <w:sz w:val="22"/>
                <w:szCs w:val="22"/>
                <w:lang w:val="en-GB"/>
              </w:rPr>
            </w:pPr>
          </w:p>
        </w:tc>
        <w:tc>
          <w:tcPr>
            <w:tcW w:w="451" w:type="dxa"/>
            <w:vMerge/>
            <w:tcBorders>
              <w:left w:val="single" w:sz="2" w:space="0" w:color="FFFFFF"/>
              <w:right w:val="single" w:sz="2" w:space="0" w:color="FFFFFF"/>
            </w:tcBorders>
            <w:shd w:val="clear" w:color="auto" w:fill="D6E3BC"/>
          </w:tcPr>
          <w:p w14:paraId="3B79DCCB" w14:textId="77777777" w:rsidR="00131C34" w:rsidRPr="009651AC" w:rsidRDefault="00131C34" w:rsidP="00131C34">
            <w:pPr>
              <w:rPr>
                <w:rFonts w:ascii="Gill Sans" w:hAnsi="Gill Sans" w:cs="Gill Sans"/>
                <w:sz w:val="22"/>
                <w:szCs w:val="22"/>
                <w:lang w:val="en-GB"/>
              </w:rPr>
            </w:pPr>
          </w:p>
        </w:tc>
        <w:tc>
          <w:tcPr>
            <w:tcW w:w="362" w:type="dxa"/>
            <w:vMerge/>
            <w:tcBorders>
              <w:left w:val="single" w:sz="2" w:space="0" w:color="FFFFFF"/>
              <w:right w:val="single" w:sz="2" w:space="0" w:color="FFFFFF"/>
            </w:tcBorders>
            <w:shd w:val="clear" w:color="auto" w:fill="D6E3BC"/>
          </w:tcPr>
          <w:p w14:paraId="4D183615" w14:textId="77777777" w:rsidR="00131C34" w:rsidRPr="009651AC" w:rsidRDefault="00131C34" w:rsidP="00131C34">
            <w:pPr>
              <w:rPr>
                <w:rFonts w:ascii="Gill Sans" w:hAnsi="Gill Sans" w:cs="Gill Sans"/>
                <w:sz w:val="22"/>
                <w:szCs w:val="22"/>
                <w:lang w:val="en-GB"/>
              </w:rPr>
            </w:pPr>
          </w:p>
        </w:tc>
        <w:tc>
          <w:tcPr>
            <w:tcW w:w="363" w:type="dxa"/>
            <w:vMerge/>
            <w:tcBorders>
              <w:left w:val="single" w:sz="2" w:space="0" w:color="FFFFFF"/>
              <w:right w:val="single" w:sz="18" w:space="0" w:color="FFFFFF"/>
            </w:tcBorders>
            <w:shd w:val="clear" w:color="auto" w:fill="D6E3BC"/>
          </w:tcPr>
          <w:p w14:paraId="34DF9168" w14:textId="77777777" w:rsidR="00131C34" w:rsidRPr="009651AC" w:rsidRDefault="00131C34" w:rsidP="00131C34">
            <w:pPr>
              <w:rPr>
                <w:rFonts w:ascii="Gill Sans" w:hAnsi="Gill San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7FDA0B15" w14:textId="77777777" w:rsidR="00131C34" w:rsidRPr="009651AC" w:rsidRDefault="00131C34" w:rsidP="00131C34">
            <w:pPr>
              <w:rPr>
                <w:rFonts w:ascii="Gill Sans" w:hAnsi="Gill Sans" w:cs="Gill Sans"/>
                <w:sz w:val="22"/>
                <w:szCs w:val="22"/>
                <w:lang w:val="en-GB"/>
              </w:rPr>
            </w:pPr>
          </w:p>
        </w:tc>
        <w:tc>
          <w:tcPr>
            <w:tcW w:w="388" w:type="dxa"/>
            <w:vMerge/>
            <w:tcBorders>
              <w:left w:val="single" w:sz="2" w:space="0" w:color="FFFFFF"/>
              <w:right w:val="single" w:sz="2" w:space="0" w:color="FFFFFF"/>
            </w:tcBorders>
            <w:shd w:val="clear" w:color="auto" w:fill="FBD4B4"/>
          </w:tcPr>
          <w:p w14:paraId="6AE82FB2" w14:textId="77777777" w:rsidR="00131C34" w:rsidRPr="009651AC" w:rsidRDefault="00131C34" w:rsidP="00131C34">
            <w:pPr>
              <w:rPr>
                <w:rFonts w:ascii="Gill Sans" w:hAnsi="Gill San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687A9E4C" w14:textId="77777777" w:rsidR="00131C34" w:rsidRPr="009651AC" w:rsidRDefault="00131C34" w:rsidP="00131C34">
            <w:pPr>
              <w:rPr>
                <w:rFonts w:ascii="Gill Sans" w:hAnsi="Gill Sans" w:cs="Gill Sans"/>
                <w:noProof/>
                <w:sz w:val="22"/>
                <w:szCs w:val="22"/>
                <w:lang w:val="en-GB"/>
              </w:rPr>
            </w:pPr>
          </w:p>
        </w:tc>
        <w:tc>
          <w:tcPr>
            <w:tcW w:w="924" w:type="dxa"/>
            <w:vMerge/>
            <w:tcBorders>
              <w:left w:val="single" w:sz="2" w:space="0" w:color="FFFFFF"/>
              <w:right w:val="single" w:sz="18" w:space="0" w:color="FFFFFF"/>
            </w:tcBorders>
            <w:shd w:val="clear" w:color="auto" w:fill="FBD4B4"/>
          </w:tcPr>
          <w:p w14:paraId="4317B355" w14:textId="77777777" w:rsidR="00131C34" w:rsidRPr="009651AC" w:rsidRDefault="00131C34" w:rsidP="00131C34">
            <w:pPr>
              <w:rPr>
                <w:rFonts w:ascii="Gill Sans" w:hAnsi="Gill Sans" w:cs="Gill Sans"/>
                <w:sz w:val="22"/>
                <w:szCs w:val="22"/>
                <w:lang w:val="en-GB"/>
              </w:rPr>
            </w:pPr>
          </w:p>
        </w:tc>
        <w:tc>
          <w:tcPr>
            <w:tcW w:w="352" w:type="dxa"/>
            <w:vMerge/>
            <w:tcBorders>
              <w:left w:val="single" w:sz="18" w:space="0" w:color="FFFFFF"/>
              <w:right w:val="single" w:sz="2" w:space="0" w:color="FFFFFF"/>
            </w:tcBorders>
            <w:shd w:val="clear" w:color="auto" w:fill="CCC0D9"/>
          </w:tcPr>
          <w:p w14:paraId="7F47A907" w14:textId="77777777" w:rsidR="00131C34" w:rsidRPr="009651AC" w:rsidRDefault="00131C34" w:rsidP="00131C34">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CCC0D9"/>
          </w:tcPr>
          <w:p w14:paraId="7B2C79FC" w14:textId="77777777" w:rsidR="00131C34" w:rsidRPr="009651AC" w:rsidRDefault="00131C34" w:rsidP="00131C34">
            <w:pPr>
              <w:rPr>
                <w:rFonts w:ascii="Gill Sans" w:hAnsi="Gill Sans" w:cs="Gill Sans"/>
                <w:sz w:val="22"/>
                <w:szCs w:val="22"/>
                <w:lang w:val="en-GB"/>
              </w:rPr>
            </w:pPr>
          </w:p>
        </w:tc>
        <w:tc>
          <w:tcPr>
            <w:tcW w:w="450" w:type="dxa"/>
            <w:vMerge/>
            <w:tcBorders>
              <w:left w:val="single" w:sz="2" w:space="0" w:color="FFFFFF"/>
              <w:right w:val="single" w:sz="2" w:space="0" w:color="FFFFFF"/>
            </w:tcBorders>
            <w:shd w:val="clear" w:color="auto" w:fill="CCC0D9"/>
          </w:tcPr>
          <w:p w14:paraId="7450AFE8" w14:textId="77777777" w:rsidR="00131C34" w:rsidRPr="009651AC" w:rsidRDefault="00131C34" w:rsidP="00131C34">
            <w:pPr>
              <w:rPr>
                <w:rFonts w:ascii="Gill Sans" w:hAnsi="Gill Sans" w:cs="Gill Sans"/>
                <w:noProof/>
                <w:sz w:val="22"/>
                <w:szCs w:val="22"/>
                <w:lang w:val="en-GB"/>
              </w:rPr>
            </w:pPr>
          </w:p>
        </w:tc>
        <w:tc>
          <w:tcPr>
            <w:tcW w:w="360" w:type="dxa"/>
            <w:vMerge/>
            <w:tcBorders>
              <w:left w:val="single" w:sz="2" w:space="0" w:color="FFFFFF"/>
              <w:right w:val="single" w:sz="18" w:space="0" w:color="FFFFFF"/>
            </w:tcBorders>
            <w:shd w:val="clear" w:color="auto" w:fill="CCC0D9"/>
          </w:tcPr>
          <w:p w14:paraId="56793EC2" w14:textId="77777777" w:rsidR="00131C34" w:rsidRPr="009651AC" w:rsidRDefault="00131C34" w:rsidP="00131C34">
            <w:pPr>
              <w:rPr>
                <w:rFonts w:ascii="Gill Sans" w:hAnsi="Gill Sans" w:cs="Gill Sans"/>
                <w:sz w:val="22"/>
                <w:szCs w:val="22"/>
                <w:lang w:val="en-GB"/>
              </w:rPr>
            </w:pPr>
          </w:p>
        </w:tc>
        <w:tc>
          <w:tcPr>
            <w:tcW w:w="511"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04696C7A" w14:textId="77777777" w:rsidR="00131C34" w:rsidRPr="009651AC" w:rsidRDefault="00131C34" w:rsidP="00131C34">
            <w:pPr>
              <w:rPr>
                <w:rFonts w:ascii="Gill Sans" w:hAnsi="Gill Sans" w:cs="Gill Sans"/>
                <w:sz w:val="22"/>
                <w:szCs w:val="22"/>
                <w:lang w:val="en-GB"/>
              </w:rPr>
            </w:pPr>
          </w:p>
        </w:tc>
        <w:tc>
          <w:tcPr>
            <w:tcW w:w="567"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5B73292F" w14:textId="77777777" w:rsidR="00131C34" w:rsidRPr="009651AC" w:rsidRDefault="00131C34" w:rsidP="00131C34">
            <w:pPr>
              <w:rPr>
                <w:rFonts w:ascii="Gill Sans" w:hAnsi="Gill Sans" w:cs="Gill Sans"/>
                <w:sz w:val="22"/>
                <w:szCs w:val="22"/>
                <w:lang w:val="en-GB"/>
              </w:rPr>
            </w:pPr>
          </w:p>
        </w:tc>
        <w:tc>
          <w:tcPr>
            <w:tcW w:w="567"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BFFD7FF" w14:textId="77777777" w:rsidR="00131C34" w:rsidRPr="009651AC" w:rsidRDefault="00131C34" w:rsidP="00131C34">
            <w:pPr>
              <w:rPr>
                <w:rFonts w:ascii="Gill Sans" w:hAnsi="Gill Sans" w:cs="Gill Sans"/>
                <w:sz w:val="22"/>
                <w:szCs w:val="22"/>
                <w:lang w:val="en-GB"/>
              </w:rPr>
            </w:pPr>
          </w:p>
        </w:tc>
        <w:tc>
          <w:tcPr>
            <w:tcW w:w="436"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510E4F5E" w14:textId="77777777" w:rsidR="00131C34" w:rsidRPr="00DF1741" w:rsidRDefault="00131C34" w:rsidP="00131C34">
            <w:pPr>
              <w:jc w:val="cente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32" w:type="dxa"/>
            <w:vMerge/>
            <w:tcBorders>
              <w:left w:val="single" w:sz="18" w:space="0" w:color="FFFFFF"/>
              <w:right w:val="single" w:sz="2" w:space="0" w:color="FFFFFF"/>
            </w:tcBorders>
            <w:shd w:val="clear" w:color="auto" w:fill="D99594"/>
          </w:tcPr>
          <w:p w14:paraId="2D079B32" w14:textId="77777777" w:rsidR="00131C34" w:rsidRPr="009651AC" w:rsidRDefault="00131C34" w:rsidP="00131C34">
            <w:pPr>
              <w:rPr>
                <w:rFonts w:ascii="Gill Sans" w:hAnsi="Gill Sans" w:cs="Gill Sans"/>
                <w:sz w:val="22"/>
                <w:szCs w:val="22"/>
                <w:lang w:val="en-GB"/>
              </w:rPr>
            </w:pPr>
          </w:p>
        </w:tc>
        <w:tc>
          <w:tcPr>
            <w:tcW w:w="385" w:type="dxa"/>
            <w:vMerge/>
            <w:tcBorders>
              <w:left w:val="single" w:sz="2" w:space="0" w:color="FFFFFF"/>
              <w:right w:val="single" w:sz="2" w:space="0" w:color="FFFFFF"/>
            </w:tcBorders>
            <w:shd w:val="clear" w:color="auto" w:fill="D99594"/>
          </w:tcPr>
          <w:p w14:paraId="17D9A309" w14:textId="77777777" w:rsidR="00131C34" w:rsidRPr="009651AC" w:rsidRDefault="00131C34" w:rsidP="00131C34">
            <w:pPr>
              <w:rPr>
                <w:rFonts w:ascii="Gill Sans" w:hAnsi="Gill Sans" w:cs="Gill Sans"/>
                <w:sz w:val="22"/>
                <w:szCs w:val="22"/>
                <w:lang w:val="en-GB"/>
              </w:rPr>
            </w:pPr>
          </w:p>
        </w:tc>
        <w:tc>
          <w:tcPr>
            <w:tcW w:w="450" w:type="dxa"/>
            <w:vMerge/>
            <w:tcBorders>
              <w:left w:val="single" w:sz="2" w:space="0" w:color="FFFFFF"/>
              <w:right w:val="single" w:sz="2" w:space="0" w:color="FFFFFF"/>
            </w:tcBorders>
            <w:shd w:val="clear" w:color="auto" w:fill="D99594"/>
          </w:tcPr>
          <w:p w14:paraId="135049E4" w14:textId="77777777" w:rsidR="00131C34" w:rsidRPr="009651AC" w:rsidRDefault="00131C34" w:rsidP="00131C34">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0A2F7D75" w14:textId="77777777" w:rsidR="00131C34" w:rsidRPr="009651AC" w:rsidRDefault="00131C34" w:rsidP="00131C34">
            <w:pPr>
              <w:rPr>
                <w:rFonts w:ascii="Gill Sans" w:hAnsi="Gill Sans" w:cs="Gill Sans"/>
                <w:noProof/>
                <w:sz w:val="22"/>
                <w:szCs w:val="22"/>
                <w:lang w:val="en-GB"/>
              </w:rPr>
            </w:pPr>
          </w:p>
        </w:tc>
        <w:tc>
          <w:tcPr>
            <w:tcW w:w="450" w:type="dxa"/>
            <w:vMerge/>
            <w:tcBorders>
              <w:left w:val="single" w:sz="2" w:space="0" w:color="FFFFFF"/>
              <w:right w:val="single" w:sz="18" w:space="0" w:color="FFFFFF"/>
            </w:tcBorders>
            <w:shd w:val="clear" w:color="auto" w:fill="D99594"/>
          </w:tcPr>
          <w:p w14:paraId="5AECABDF" w14:textId="77777777" w:rsidR="00131C34" w:rsidRPr="009651AC" w:rsidRDefault="00131C34" w:rsidP="00131C34">
            <w:pPr>
              <w:rPr>
                <w:rFonts w:ascii="Gill Sans" w:hAnsi="Gill Sans" w:cs="Gill Sans"/>
                <w:sz w:val="22"/>
                <w:szCs w:val="22"/>
                <w:lang w:val="en-GB"/>
              </w:rPr>
            </w:pPr>
          </w:p>
        </w:tc>
      </w:tr>
    </w:tbl>
    <w:p w14:paraId="203BBB12" w14:textId="77777777" w:rsidR="00757189" w:rsidRPr="00163080" w:rsidRDefault="00757189" w:rsidP="00163080"/>
    <w:p w14:paraId="3CBCA921" w14:textId="194FE0AF" w:rsidR="00545B73" w:rsidRPr="00BB3451" w:rsidRDefault="00545B73" w:rsidP="00163080">
      <w:pPr>
        <w:pStyle w:val="Heading3"/>
      </w:pPr>
      <w:r w:rsidRPr="00BB3451">
        <w:t xml:space="preserve">Commitment </w:t>
      </w:r>
      <w:r w:rsidR="00757189">
        <w:t>a</w:t>
      </w:r>
      <w:r w:rsidRPr="00BB3451">
        <w:t>im</w:t>
      </w:r>
    </w:p>
    <w:p w14:paraId="2CB12F55" w14:textId="325B0A3C" w:rsidR="00545B73" w:rsidRPr="00BB3451" w:rsidRDefault="002C7E50" w:rsidP="00163080">
      <w:pPr>
        <w:spacing w:after="120"/>
        <w:rPr>
          <w:rFonts w:ascii="Gill Sans" w:hAnsi="Gill Sans" w:cs="Gill Sans"/>
          <w:sz w:val="22"/>
          <w:szCs w:val="22"/>
          <w:lang w:val="en-GB"/>
        </w:rPr>
      </w:pPr>
      <w:r w:rsidRPr="00BB3451">
        <w:rPr>
          <w:rFonts w:ascii="Gill Sans" w:hAnsi="Gill Sans" w:cs="Gill Sans"/>
          <w:sz w:val="22"/>
          <w:szCs w:val="22"/>
          <w:lang w:val="en-GB"/>
        </w:rPr>
        <w:t>Th</w:t>
      </w:r>
      <w:r w:rsidR="003D7A6B">
        <w:rPr>
          <w:rFonts w:ascii="Gill Sans" w:hAnsi="Gill Sans" w:cs="Gill Sans"/>
          <w:sz w:val="22"/>
          <w:szCs w:val="22"/>
          <w:lang w:val="en-GB"/>
        </w:rPr>
        <w:t>is</w:t>
      </w:r>
      <w:r w:rsidRPr="00BB3451">
        <w:rPr>
          <w:rFonts w:ascii="Gill Sans" w:hAnsi="Gill Sans" w:cs="Gill Sans"/>
          <w:sz w:val="22"/>
          <w:szCs w:val="22"/>
          <w:lang w:val="en-GB"/>
        </w:rPr>
        <w:t xml:space="preserve"> commitment </w:t>
      </w:r>
      <w:r w:rsidR="003D7A6B">
        <w:rPr>
          <w:rFonts w:ascii="Gill Sans" w:hAnsi="Gill Sans" w:cs="Gill Sans"/>
          <w:sz w:val="22"/>
          <w:szCs w:val="22"/>
          <w:lang w:val="en-GB"/>
        </w:rPr>
        <w:t xml:space="preserve">attempted </w:t>
      </w:r>
      <w:r w:rsidR="008102C2" w:rsidRPr="00BB3451">
        <w:rPr>
          <w:rFonts w:ascii="Gill Sans" w:hAnsi="Gill Sans" w:cs="Gill Sans"/>
          <w:sz w:val="22"/>
          <w:szCs w:val="22"/>
          <w:lang w:val="en-GB"/>
        </w:rPr>
        <w:t>t</w:t>
      </w:r>
      <w:r w:rsidR="00E50F06">
        <w:rPr>
          <w:rFonts w:ascii="Gill Sans" w:hAnsi="Gill Sans" w:cs="Gill Sans"/>
          <w:sz w:val="22"/>
          <w:szCs w:val="22"/>
          <w:lang w:val="en-GB"/>
        </w:rPr>
        <w:t>o improve</w:t>
      </w:r>
      <w:r w:rsidR="008102C2" w:rsidRPr="00BB3451">
        <w:rPr>
          <w:rFonts w:ascii="Gill Sans" w:hAnsi="Gill Sans" w:cs="Gill Sans"/>
          <w:sz w:val="22"/>
          <w:szCs w:val="22"/>
          <w:lang w:val="en-GB"/>
        </w:rPr>
        <w:t xml:space="preserve"> public access to government-held information, </w:t>
      </w:r>
      <w:r w:rsidR="00AC1BA8">
        <w:rPr>
          <w:rFonts w:ascii="Gill Sans" w:hAnsi="Gill Sans" w:cs="Gill Sans"/>
          <w:sz w:val="22"/>
          <w:szCs w:val="22"/>
          <w:lang w:val="en-GB"/>
        </w:rPr>
        <w:t xml:space="preserve">to </w:t>
      </w:r>
      <w:r w:rsidR="001B7C15">
        <w:rPr>
          <w:rFonts w:ascii="Gill Sans" w:hAnsi="Gill Sans" w:cs="Gill Sans"/>
          <w:sz w:val="22"/>
          <w:szCs w:val="22"/>
          <w:lang w:val="en-GB"/>
        </w:rPr>
        <w:t>estab</w:t>
      </w:r>
      <w:r w:rsidR="005A2415">
        <w:rPr>
          <w:rFonts w:ascii="Gill Sans" w:hAnsi="Gill Sans" w:cs="Gill Sans"/>
          <w:sz w:val="22"/>
          <w:szCs w:val="22"/>
          <w:lang w:val="en-GB"/>
        </w:rPr>
        <w:t>l</w:t>
      </w:r>
      <w:r w:rsidR="001B7C15">
        <w:rPr>
          <w:rFonts w:ascii="Gill Sans" w:hAnsi="Gill Sans" w:cs="Gill Sans"/>
          <w:sz w:val="22"/>
          <w:szCs w:val="22"/>
          <w:lang w:val="en-GB"/>
        </w:rPr>
        <w:t xml:space="preserve">ish </w:t>
      </w:r>
      <w:r w:rsidR="00C15941">
        <w:rPr>
          <w:rFonts w:ascii="Gill Sans" w:hAnsi="Gill Sans" w:cs="Gill Sans"/>
          <w:sz w:val="22"/>
          <w:szCs w:val="22"/>
          <w:lang w:val="en-GB"/>
        </w:rPr>
        <w:t xml:space="preserve">a </w:t>
      </w:r>
      <w:r w:rsidR="008102C2" w:rsidRPr="00BB3451">
        <w:rPr>
          <w:rFonts w:ascii="Gill Sans" w:hAnsi="Gill Sans" w:cs="Gill Sans"/>
          <w:sz w:val="22"/>
          <w:szCs w:val="22"/>
          <w:lang w:val="en-GB"/>
        </w:rPr>
        <w:t xml:space="preserve">more transparent </w:t>
      </w:r>
      <w:r w:rsidR="001B7C15">
        <w:rPr>
          <w:rFonts w:ascii="Gill Sans" w:hAnsi="Gill Sans" w:cs="Gill Sans"/>
          <w:sz w:val="22"/>
          <w:szCs w:val="22"/>
          <w:lang w:val="en-GB"/>
        </w:rPr>
        <w:t xml:space="preserve">process for </w:t>
      </w:r>
      <w:r w:rsidR="008102C2" w:rsidRPr="00BB3451">
        <w:rPr>
          <w:rFonts w:ascii="Gill Sans" w:hAnsi="Gill Sans" w:cs="Gill Sans"/>
          <w:sz w:val="22"/>
          <w:szCs w:val="22"/>
          <w:lang w:val="en-GB"/>
        </w:rPr>
        <w:t>handling of official information</w:t>
      </w:r>
      <w:r w:rsidR="00C15941">
        <w:rPr>
          <w:rFonts w:ascii="Gill Sans" w:hAnsi="Gill Sans" w:cs="Gill Sans"/>
          <w:sz w:val="22"/>
          <w:szCs w:val="22"/>
          <w:lang w:val="en-GB"/>
        </w:rPr>
        <w:t>,</w:t>
      </w:r>
      <w:r w:rsidR="008102C2" w:rsidRPr="00BB3451">
        <w:rPr>
          <w:rFonts w:ascii="Gill Sans" w:hAnsi="Gill Sans" w:cs="Gill Sans"/>
          <w:sz w:val="22"/>
          <w:szCs w:val="22"/>
          <w:lang w:val="en-GB"/>
        </w:rPr>
        <w:t xml:space="preserve"> and</w:t>
      </w:r>
      <w:r w:rsidR="00AC1BA8">
        <w:rPr>
          <w:rFonts w:ascii="Gill Sans" w:hAnsi="Gill Sans" w:cs="Gill Sans"/>
          <w:sz w:val="22"/>
          <w:szCs w:val="22"/>
          <w:lang w:val="en-GB"/>
        </w:rPr>
        <w:t xml:space="preserve"> to</w:t>
      </w:r>
      <w:r w:rsidR="008102C2" w:rsidRPr="00BB3451">
        <w:rPr>
          <w:rFonts w:ascii="Gill Sans" w:hAnsi="Gill Sans" w:cs="Gill Sans"/>
          <w:sz w:val="22"/>
          <w:szCs w:val="22"/>
          <w:lang w:val="en-GB"/>
        </w:rPr>
        <w:t xml:space="preserve"> reduce </w:t>
      </w:r>
      <w:r w:rsidR="00185DD2" w:rsidRPr="00BB3451">
        <w:rPr>
          <w:rFonts w:ascii="Gill Sans" w:hAnsi="Gill Sans" w:cs="Gill Sans"/>
          <w:sz w:val="22"/>
          <w:szCs w:val="22"/>
        </w:rPr>
        <w:t>unjustified denials of information requests</w:t>
      </w:r>
      <w:r w:rsidR="00E50F06">
        <w:rPr>
          <w:rFonts w:ascii="Gill Sans" w:hAnsi="Gill Sans" w:cs="Gill Sans"/>
          <w:sz w:val="22"/>
          <w:szCs w:val="22"/>
        </w:rPr>
        <w:t>. This was to be done</w:t>
      </w:r>
      <w:r w:rsidR="00311D1A">
        <w:rPr>
          <w:rFonts w:ascii="Gill Sans" w:hAnsi="Gill Sans" w:cs="Gill Sans"/>
          <w:sz w:val="22"/>
          <w:szCs w:val="22"/>
        </w:rPr>
        <w:t xml:space="preserve"> by</w:t>
      </w:r>
      <w:r w:rsidR="00602F9D">
        <w:rPr>
          <w:rFonts w:ascii="Gill Sans" w:hAnsi="Gill Sans" w:cs="Gill Sans"/>
          <w:sz w:val="22"/>
          <w:szCs w:val="22"/>
        </w:rPr>
        <w:t xml:space="preserve"> improving </w:t>
      </w:r>
      <w:r w:rsidR="00035E36">
        <w:rPr>
          <w:rFonts w:ascii="Gill Sans" w:hAnsi="Gill Sans" w:cs="Gill Sans"/>
          <w:sz w:val="22"/>
          <w:szCs w:val="22"/>
        </w:rPr>
        <w:t>transparency</w:t>
      </w:r>
      <w:r w:rsidR="00602F9D">
        <w:rPr>
          <w:rFonts w:ascii="Gill Sans" w:hAnsi="Gill Sans" w:cs="Gill Sans"/>
          <w:sz w:val="22"/>
          <w:szCs w:val="22"/>
        </w:rPr>
        <w:t xml:space="preserve"> of the regulations</w:t>
      </w:r>
      <w:r w:rsidR="0008527B">
        <w:rPr>
          <w:rFonts w:ascii="Gill Sans" w:hAnsi="Gill Sans" w:cs="Gill Sans"/>
          <w:sz w:val="22"/>
          <w:szCs w:val="22"/>
        </w:rPr>
        <w:t>,</w:t>
      </w:r>
      <w:r w:rsidR="00602F9D">
        <w:rPr>
          <w:rFonts w:ascii="Gill Sans" w:hAnsi="Gill Sans" w:cs="Gill Sans"/>
          <w:sz w:val="22"/>
          <w:szCs w:val="22"/>
        </w:rPr>
        <w:t xml:space="preserve"> and transposing </w:t>
      </w:r>
      <w:r w:rsidR="0008527B">
        <w:rPr>
          <w:rFonts w:ascii="Gill Sans" w:hAnsi="Gill Sans" w:cs="Gill Sans"/>
          <w:sz w:val="22"/>
          <w:szCs w:val="22"/>
        </w:rPr>
        <w:t xml:space="preserve">the </w:t>
      </w:r>
      <w:r w:rsidR="00602F9D">
        <w:rPr>
          <w:rFonts w:ascii="Gill Sans" w:hAnsi="Gill Sans" w:cs="Gill Sans"/>
          <w:sz w:val="22"/>
          <w:szCs w:val="22"/>
        </w:rPr>
        <w:t xml:space="preserve">progressive provisions of the Access to Public Information Law </w:t>
      </w:r>
      <w:r w:rsidR="0008527B">
        <w:rPr>
          <w:rFonts w:ascii="Gill Sans" w:hAnsi="Gill Sans" w:cs="Gill Sans"/>
          <w:sz w:val="22"/>
          <w:szCs w:val="22"/>
        </w:rPr>
        <w:t xml:space="preserve">to </w:t>
      </w:r>
      <w:r w:rsidR="00602F9D">
        <w:rPr>
          <w:rFonts w:ascii="Gill Sans" w:hAnsi="Gill Sans" w:cs="Gill Sans"/>
          <w:sz w:val="22"/>
          <w:szCs w:val="22"/>
        </w:rPr>
        <w:t>the bylaws.</w:t>
      </w:r>
    </w:p>
    <w:p w14:paraId="32AC2184" w14:textId="69A4792F" w:rsidR="00545B73" w:rsidRPr="00BB3451" w:rsidRDefault="00545B73" w:rsidP="006319F4">
      <w:pPr>
        <w:pStyle w:val="Heading3"/>
      </w:pPr>
      <w:r w:rsidRPr="00BB3451">
        <w:t>Status</w:t>
      </w:r>
    </w:p>
    <w:p w14:paraId="4791A465" w14:textId="65C9F4A9" w:rsidR="00545B73" w:rsidRPr="00BB3451" w:rsidRDefault="00545B73" w:rsidP="00546C25">
      <w:pPr>
        <w:pStyle w:val="Normalrglronly"/>
        <w:rPr>
          <w:b/>
          <w:lang w:val="en-GB"/>
        </w:rPr>
      </w:pPr>
      <w:r w:rsidRPr="00BB3451">
        <w:rPr>
          <w:b/>
          <w:lang w:val="en-GB"/>
        </w:rPr>
        <w:t xml:space="preserve">Midterm: </w:t>
      </w:r>
      <w:r w:rsidR="00F863A5" w:rsidRPr="00BB3451">
        <w:rPr>
          <w:b/>
          <w:lang w:val="en-GB"/>
        </w:rPr>
        <w:t>Substantial</w:t>
      </w:r>
    </w:p>
    <w:p w14:paraId="0BBECF09" w14:textId="5158B378" w:rsidR="00546C25" w:rsidRDefault="003F47A0" w:rsidP="00C15941">
      <w:pPr>
        <w:spacing w:after="120"/>
        <w:rPr>
          <w:rFonts w:ascii="Gill Sans" w:hAnsi="Gill Sans" w:cs="Gill Sans"/>
          <w:noProof/>
          <w:sz w:val="22"/>
          <w:szCs w:val="22"/>
          <w:lang w:val="en-GB"/>
        </w:rPr>
      </w:pPr>
      <w:r w:rsidRPr="00BB3451">
        <w:rPr>
          <w:rFonts w:ascii="Gill Sans" w:hAnsi="Gill Sans" w:cs="Gill Sans"/>
          <w:noProof/>
          <w:sz w:val="22"/>
          <w:szCs w:val="22"/>
          <w:lang w:val="en-GB"/>
        </w:rPr>
        <w:t xml:space="preserve">The 2011 Law of Ukraine on Access to Public Information revised the legal framework concerning access to information held by public authorities. In particular, the law </w:t>
      </w:r>
      <w:r w:rsidR="00A55DCA" w:rsidRPr="00BB3451">
        <w:rPr>
          <w:rFonts w:ascii="Gill Sans" w:hAnsi="Gill Sans" w:cs="Gill Sans"/>
          <w:noProof/>
          <w:sz w:val="22"/>
          <w:szCs w:val="22"/>
          <w:lang w:val="en-GB"/>
        </w:rPr>
        <w:t xml:space="preserve">introduced a new </w:t>
      </w:r>
      <w:r w:rsidRPr="00BB3451">
        <w:rPr>
          <w:rFonts w:ascii="Gill Sans" w:hAnsi="Gill Sans" w:cs="Gill Sans"/>
          <w:noProof/>
          <w:sz w:val="22"/>
          <w:szCs w:val="22"/>
          <w:lang w:val="en-GB"/>
        </w:rPr>
        <w:t>classification of inf</w:t>
      </w:r>
      <w:r w:rsidR="00A55DCA" w:rsidRPr="00BB3451">
        <w:rPr>
          <w:rFonts w:ascii="Gill Sans" w:hAnsi="Gill Sans" w:cs="Gill Sans"/>
          <w:noProof/>
          <w:sz w:val="22"/>
          <w:szCs w:val="22"/>
          <w:lang w:val="en-GB"/>
        </w:rPr>
        <w:t xml:space="preserve">ormation with restricted access, including </w:t>
      </w:r>
      <w:r w:rsidRPr="00BB3451">
        <w:rPr>
          <w:rFonts w:ascii="Gill Sans" w:hAnsi="Gill Sans" w:cs="Gill Sans"/>
          <w:noProof/>
          <w:sz w:val="22"/>
          <w:szCs w:val="22"/>
          <w:lang w:val="en-GB"/>
        </w:rPr>
        <w:t xml:space="preserve">“official information.” In March 2014, </w:t>
      </w:r>
      <w:r w:rsidR="00C15941">
        <w:rPr>
          <w:rFonts w:ascii="Gill Sans" w:hAnsi="Gill Sans" w:cs="Gill Sans"/>
          <w:noProof/>
          <w:sz w:val="22"/>
          <w:szCs w:val="22"/>
          <w:lang w:val="en-GB"/>
        </w:rPr>
        <w:t>P</w:t>
      </w:r>
      <w:r w:rsidRPr="00BB3451">
        <w:rPr>
          <w:rFonts w:ascii="Gill Sans" w:hAnsi="Gill Sans" w:cs="Gill Sans"/>
          <w:noProof/>
          <w:sz w:val="22"/>
          <w:szCs w:val="22"/>
          <w:lang w:val="en-GB"/>
        </w:rPr>
        <w:t xml:space="preserve">arliament instructed the government to adopt regulations referred to in the OGP commitment </w:t>
      </w:r>
      <w:r w:rsidR="00A55DCA" w:rsidRPr="00BB3451">
        <w:rPr>
          <w:rFonts w:ascii="Gill Sans" w:hAnsi="Gill Sans" w:cs="Gill Sans"/>
          <w:noProof/>
          <w:sz w:val="22"/>
          <w:szCs w:val="22"/>
          <w:lang w:val="en-GB"/>
        </w:rPr>
        <w:t>by mid-</w:t>
      </w:r>
      <w:r w:rsidRPr="00BB3451">
        <w:rPr>
          <w:rFonts w:ascii="Gill Sans" w:hAnsi="Gill Sans" w:cs="Gill Sans"/>
          <w:noProof/>
          <w:sz w:val="22"/>
          <w:szCs w:val="22"/>
          <w:lang w:val="en-GB"/>
        </w:rPr>
        <w:t>October 2014.</w:t>
      </w:r>
      <w:r w:rsidRPr="00BB3451">
        <w:rPr>
          <w:rStyle w:val="EndnoteReference"/>
          <w:rFonts w:ascii="Gill Sans" w:hAnsi="Gill Sans" w:cs="Gill Sans"/>
          <w:noProof/>
          <w:sz w:val="22"/>
          <w:szCs w:val="22"/>
          <w:lang w:val="en-GB"/>
        </w:rPr>
        <w:endnoteReference w:id="12"/>
      </w:r>
      <w:r w:rsidRPr="00BB3451">
        <w:rPr>
          <w:rFonts w:ascii="Gill Sans" w:hAnsi="Gill Sans" w:cs="Gill Sans"/>
          <w:noProof/>
          <w:sz w:val="22"/>
          <w:szCs w:val="22"/>
          <w:lang w:val="en-GB"/>
        </w:rPr>
        <w:t xml:space="preserve"> The State Archive Service prepared several versions of the text and published them for public consultations, </w:t>
      </w:r>
      <w:r w:rsidR="00A55DCA" w:rsidRPr="00BB3451">
        <w:rPr>
          <w:rFonts w:ascii="Gill Sans" w:hAnsi="Gill Sans" w:cs="Gill Sans"/>
          <w:noProof/>
          <w:sz w:val="22"/>
          <w:szCs w:val="22"/>
          <w:lang w:val="en-GB"/>
        </w:rPr>
        <w:t xml:space="preserve">as well as </w:t>
      </w:r>
      <w:r w:rsidRPr="00BB3451">
        <w:rPr>
          <w:rFonts w:ascii="Gill Sans" w:hAnsi="Gill Sans" w:cs="Gill Sans"/>
          <w:noProof/>
          <w:sz w:val="22"/>
          <w:szCs w:val="22"/>
          <w:lang w:val="en-GB"/>
        </w:rPr>
        <w:t xml:space="preserve">discussed </w:t>
      </w:r>
      <w:r w:rsidR="00AB43F9">
        <w:rPr>
          <w:rFonts w:ascii="Gill Sans" w:hAnsi="Gill Sans" w:cs="Gill Sans"/>
          <w:noProof/>
          <w:sz w:val="22"/>
          <w:szCs w:val="22"/>
          <w:lang w:val="en-GB"/>
        </w:rPr>
        <w:t>them</w:t>
      </w:r>
      <w:r w:rsidR="00A55DCA" w:rsidRPr="00BB3451">
        <w:rPr>
          <w:rFonts w:ascii="Gill Sans" w:hAnsi="Gill Sans" w:cs="Gill Sans"/>
          <w:noProof/>
          <w:sz w:val="22"/>
          <w:szCs w:val="22"/>
          <w:lang w:val="en-GB"/>
        </w:rPr>
        <w:t xml:space="preserve"> </w:t>
      </w:r>
      <w:r w:rsidRPr="00BB3451">
        <w:rPr>
          <w:rFonts w:ascii="Gill Sans" w:hAnsi="Gill Sans" w:cs="Gill Sans"/>
          <w:noProof/>
          <w:sz w:val="22"/>
          <w:szCs w:val="22"/>
          <w:lang w:val="en-GB"/>
        </w:rPr>
        <w:t>with the ombudsman office. Both civil society and the ombudsman office criticised the draft text</w:t>
      </w:r>
      <w:r w:rsidR="00AB43F9">
        <w:rPr>
          <w:rFonts w:ascii="Gill Sans" w:hAnsi="Gill Sans" w:cs="Gill Sans"/>
          <w:noProof/>
          <w:sz w:val="22"/>
          <w:szCs w:val="22"/>
          <w:lang w:val="en-GB"/>
        </w:rPr>
        <w:t>s</w:t>
      </w:r>
      <w:r w:rsidRPr="00BB3451">
        <w:rPr>
          <w:rFonts w:ascii="Gill Sans" w:hAnsi="Gill Sans" w:cs="Gill Sans"/>
          <w:noProof/>
          <w:sz w:val="22"/>
          <w:szCs w:val="22"/>
          <w:lang w:val="en-GB"/>
        </w:rPr>
        <w:t xml:space="preserve">, as </w:t>
      </w:r>
      <w:r w:rsidR="00AB43F9">
        <w:rPr>
          <w:rFonts w:ascii="Gill Sans" w:hAnsi="Gill Sans" w:cs="Gill Sans"/>
          <w:noProof/>
          <w:sz w:val="22"/>
          <w:szCs w:val="22"/>
          <w:lang w:val="en-GB"/>
        </w:rPr>
        <w:t xml:space="preserve">they </w:t>
      </w:r>
      <w:r w:rsidRPr="00BB3451">
        <w:rPr>
          <w:rFonts w:ascii="Gill Sans" w:hAnsi="Gill Sans" w:cs="Gill Sans"/>
          <w:noProof/>
          <w:sz w:val="22"/>
          <w:szCs w:val="22"/>
          <w:lang w:val="en-GB"/>
        </w:rPr>
        <w:t xml:space="preserve">did not fully align with the Law on Access to Public Information. </w:t>
      </w:r>
      <w:r w:rsidR="00C15941">
        <w:rPr>
          <w:rFonts w:ascii="Gill Sans" w:hAnsi="Gill Sans" w:cs="Gill Sans"/>
          <w:noProof/>
          <w:sz w:val="22"/>
          <w:szCs w:val="22"/>
          <w:lang w:val="en-GB"/>
        </w:rPr>
        <w:t>As a result, t</w:t>
      </w:r>
      <w:r w:rsidR="00546C25" w:rsidRPr="00BB3451">
        <w:rPr>
          <w:rFonts w:ascii="Gill Sans" w:hAnsi="Gill Sans" w:cs="Gill Sans"/>
          <w:noProof/>
          <w:sz w:val="22"/>
          <w:szCs w:val="22"/>
          <w:lang w:val="en-GB"/>
        </w:rPr>
        <w:t xml:space="preserve">he </w:t>
      </w:r>
      <w:r w:rsidR="00C15941">
        <w:rPr>
          <w:rFonts w:ascii="Gill Sans" w:hAnsi="Gill Sans" w:cs="Gill Sans"/>
          <w:noProof/>
          <w:sz w:val="22"/>
          <w:szCs w:val="22"/>
          <w:lang w:val="en-GB"/>
        </w:rPr>
        <w:t>g</w:t>
      </w:r>
      <w:r w:rsidR="00546C25" w:rsidRPr="00BB3451">
        <w:rPr>
          <w:rFonts w:ascii="Gill Sans" w:hAnsi="Gill Sans" w:cs="Gill Sans"/>
          <w:noProof/>
          <w:sz w:val="22"/>
          <w:szCs w:val="22"/>
          <w:lang w:val="en-GB"/>
        </w:rPr>
        <w:t>overnment fail</w:t>
      </w:r>
      <w:r w:rsidR="00C15941">
        <w:rPr>
          <w:rFonts w:ascii="Gill Sans" w:hAnsi="Gill Sans" w:cs="Gill Sans"/>
          <w:noProof/>
          <w:sz w:val="22"/>
          <w:szCs w:val="22"/>
          <w:lang w:val="en-GB"/>
        </w:rPr>
        <w:t>e</w:t>
      </w:r>
      <w:r w:rsidR="00546C25" w:rsidRPr="00BB3451">
        <w:rPr>
          <w:rFonts w:ascii="Gill Sans" w:hAnsi="Gill Sans" w:cs="Gill Sans"/>
          <w:noProof/>
          <w:sz w:val="22"/>
          <w:szCs w:val="22"/>
          <w:lang w:val="en-GB"/>
        </w:rPr>
        <w:t>d to adopt the regulations.</w:t>
      </w:r>
      <w:r w:rsidR="00546C25" w:rsidRPr="00BB3451">
        <w:rPr>
          <w:rStyle w:val="EndnoteReference"/>
          <w:rFonts w:ascii="Gill Sans" w:hAnsi="Gill Sans" w:cs="Gill Sans"/>
          <w:noProof/>
          <w:sz w:val="22"/>
          <w:szCs w:val="22"/>
          <w:lang w:val="en-GB"/>
        </w:rPr>
        <w:endnoteReference w:id="13"/>
      </w:r>
      <w:r w:rsidR="00546C25" w:rsidRPr="00BB3451">
        <w:rPr>
          <w:rFonts w:ascii="Gill Sans" w:hAnsi="Gill Sans" w:cs="Gill Sans"/>
          <w:noProof/>
          <w:sz w:val="22"/>
          <w:szCs w:val="22"/>
          <w:lang w:val="en-GB"/>
        </w:rPr>
        <w:t xml:space="preserve"> </w:t>
      </w:r>
    </w:p>
    <w:p w14:paraId="3B4787B0" w14:textId="77777777" w:rsidR="0020660D" w:rsidRDefault="0020660D" w:rsidP="00C15941">
      <w:pPr>
        <w:spacing w:after="120"/>
        <w:rPr>
          <w:rFonts w:ascii="Gill Sans" w:hAnsi="Gill Sans" w:cs="Gill Sans"/>
          <w:noProof/>
          <w:sz w:val="22"/>
          <w:szCs w:val="22"/>
          <w:lang w:val="en-GB"/>
        </w:rPr>
      </w:pPr>
    </w:p>
    <w:p w14:paraId="422D4BBF" w14:textId="77777777" w:rsidR="0020660D" w:rsidRPr="00BB3451" w:rsidRDefault="0020660D" w:rsidP="00C15941">
      <w:pPr>
        <w:spacing w:after="120"/>
        <w:rPr>
          <w:rFonts w:ascii="Gill Sans" w:hAnsi="Gill Sans" w:cs="Gill Sans"/>
          <w:noProof/>
          <w:sz w:val="22"/>
          <w:szCs w:val="22"/>
          <w:lang w:val="en-GB"/>
        </w:rPr>
      </w:pPr>
    </w:p>
    <w:p w14:paraId="2AA45BA8" w14:textId="77777777" w:rsidR="00546C25" w:rsidRPr="00BB3451" w:rsidRDefault="00546C25" w:rsidP="00546C25">
      <w:pPr>
        <w:pStyle w:val="Normalrglronly"/>
        <w:rPr>
          <w:b/>
          <w:lang w:val="en-US"/>
        </w:rPr>
      </w:pPr>
      <w:r w:rsidRPr="00BB3451">
        <w:rPr>
          <w:b/>
          <w:lang w:val="en-GB"/>
        </w:rPr>
        <w:lastRenderedPageBreak/>
        <w:t>End of term: Complete</w:t>
      </w:r>
    </w:p>
    <w:p w14:paraId="70CC22AC" w14:textId="2325B187" w:rsidR="00A55DCA" w:rsidRPr="00BB3451" w:rsidRDefault="00A55DCA" w:rsidP="00F00809">
      <w:pPr>
        <w:spacing w:after="120"/>
        <w:rPr>
          <w:rFonts w:ascii="Gill Sans" w:hAnsi="Gill Sans" w:cs="Gill Sans"/>
          <w:noProof/>
          <w:sz w:val="22"/>
          <w:szCs w:val="22"/>
          <w:lang w:val="en-GB"/>
        </w:rPr>
      </w:pPr>
      <w:r w:rsidRPr="00BB3451">
        <w:rPr>
          <w:rFonts w:ascii="Gill Sans" w:hAnsi="Gill Sans" w:cs="Gill Sans"/>
          <w:noProof/>
          <w:sz w:val="22"/>
          <w:szCs w:val="22"/>
          <w:lang w:val="en-GB"/>
        </w:rPr>
        <w:t>After rejecting several versions of the draft regulations</w:t>
      </w:r>
      <w:r w:rsidR="00C15941">
        <w:rPr>
          <w:rFonts w:ascii="Gill Sans" w:hAnsi="Gill Sans" w:cs="Gill Sans"/>
          <w:noProof/>
          <w:sz w:val="22"/>
          <w:szCs w:val="22"/>
          <w:lang w:val="en-GB"/>
        </w:rPr>
        <w:t>,</w:t>
      </w:r>
      <w:r w:rsidRPr="00BB3451">
        <w:rPr>
          <w:rFonts w:ascii="Gill Sans" w:hAnsi="Gill Sans" w:cs="Gill Sans"/>
          <w:noProof/>
          <w:sz w:val="22"/>
          <w:szCs w:val="22"/>
          <w:lang w:val="en-GB"/>
        </w:rPr>
        <w:t xml:space="preserve"> the </w:t>
      </w:r>
      <w:r w:rsidR="00C15941">
        <w:rPr>
          <w:rFonts w:ascii="Gill Sans" w:hAnsi="Gill Sans" w:cs="Gill Sans"/>
          <w:noProof/>
          <w:sz w:val="22"/>
          <w:szCs w:val="22"/>
          <w:lang w:val="en-GB"/>
        </w:rPr>
        <w:t>g</w:t>
      </w:r>
      <w:r w:rsidRPr="00BB3451">
        <w:rPr>
          <w:rFonts w:ascii="Gill Sans" w:hAnsi="Gill Sans" w:cs="Gill Sans"/>
          <w:noProof/>
          <w:sz w:val="22"/>
          <w:szCs w:val="22"/>
          <w:lang w:val="en-GB"/>
        </w:rPr>
        <w:t>overnment finally adopted the document on 19 October 2016.</w:t>
      </w:r>
      <w:r w:rsidRPr="00BB3451">
        <w:rPr>
          <w:rStyle w:val="EndnoteReference"/>
          <w:rFonts w:ascii="Gill Sans" w:hAnsi="Gill Sans" w:cs="Gill Sans"/>
          <w:noProof/>
          <w:sz w:val="22"/>
          <w:szCs w:val="22"/>
          <w:lang w:val="en-GB"/>
        </w:rPr>
        <w:endnoteReference w:id="14"/>
      </w:r>
      <w:r w:rsidR="00546C25" w:rsidRPr="00BB3451">
        <w:rPr>
          <w:rFonts w:ascii="Gill Sans" w:hAnsi="Gill Sans" w:cs="Gill Sans"/>
          <w:noProof/>
          <w:sz w:val="22"/>
          <w:szCs w:val="22"/>
          <w:lang w:val="en-GB"/>
        </w:rPr>
        <w:t xml:space="preserve"> </w:t>
      </w:r>
      <w:r w:rsidR="00B127A6" w:rsidRPr="00BB3451">
        <w:rPr>
          <w:rFonts w:ascii="Gill Sans" w:hAnsi="Gill Sans" w:cs="Gill Sans"/>
          <w:noProof/>
          <w:sz w:val="22"/>
          <w:szCs w:val="22"/>
          <w:lang w:val="en-GB"/>
        </w:rPr>
        <w:t>The document was approved in the form of a model procedure for recording, storing</w:t>
      </w:r>
      <w:r w:rsidR="00C15941">
        <w:rPr>
          <w:rFonts w:ascii="Gill Sans" w:hAnsi="Gill Sans" w:cs="Gill Sans"/>
          <w:noProof/>
          <w:sz w:val="22"/>
          <w:szCs w:val="22"/>
          <w:lang w:val="en-GB"/>
        </w:rPr>
        <w:t>,</w:t>
      </w:r>
      <w:r w:rsidR="00B127A6" w:rsidRPr="00BB3451">
        <w:rPr>
          <w:rFonts w:ascii="Gill Sans" w:hAnsi="Gill Sans" w:cs="Gill Sans"/>
          <w:noProof/>
          <w:sz w:val="22"/>
          <w:szCs w:val="22"/>
          <w:lang w:val="en-GB"/>
        </w:rPr>
        <w:t xml:space="preserve"> and using documents and other physical information media containing official information. This makes it recommendatory by nature. Such </w:t>
      </w:r>
      <w:r w:rsidR="00C15941">
        <w:rPr>
          <w:rFonts w:ascii="Gill Sans" w:hAnsi="Gill Sans" w:cs="Gill Sans"/>
          <w:noProof/>
          <w:sz w:val="22"/>
          <w:szCs w:val="22"/>
          <w:lang w:val="en-GB"/>
        </w:rPr>
        <w:t xml:space="preserve">an </w:t>
      </w:r>
      <w:r w:rsidR="00B127A6" w:rsidRPr="00BB3451">
        <w:rPr>
          <w:rFonts w:ascii="Gill Sans" w:hAnsi="Gill Sans" w:cs="Gill Sans"/>
          <w:noProof/>
          <w:sz w:val="22"/>
          <w:szCs w:val="22"/>
          <w:lang w:val="en-GB"/>
        </w:rPr>
        <w:t xml:space="preserve">approach reflects the 2011 Law on Information that removed authorisation for the </w:t>
      </w:r>
      <w:r w:rsidR="00C15941">
        <w:rPr>
          <w:rFonts w:ascii="Gill Sans" w:hAnsi="Gill Sans" w:cs="Gill Sans"/>
          <w:noProof/>
          <w:sz w:val="22"/>
          <w:szCs w:val="22"/>
          <w:lang w:val="en-GB"/>
        </w:rPr>
        <w:t>g</w:t>
      </w:r>
      <w:r w:rsidR="00B127A6" w:rsidRPr="00BB3451">
        <w:rPr>
          <w:rFonts w:ascii="Gill Sans" w:hAnsi="Gill Sans" w:cs="Gill Sans"/>
          <w:noProof/>
          <w:sz w:val="22"/>
          <w:szCs w:val="22"/>
          <w:lang w:val="en-GB"/>
        </w:rPr>
        <w:t>overnment to pass binding regulations in this regard.</w:t>
      </w:r>
      <w:r w:rsidR="00B127A6" w:rsidRPr="00BB3451">
        <w:rPr>
          <w:rStyle w:val="EndnoteReference"/>
          <w:rFonts w:ascii="Gill Sans" w:hAnsi="Gill Sans" w:cs="Gill Sans"/>
          <w:noProof/>
          <w:sz w:val="22"/>
          <w:szCs w:val="22"/>
          <w:lang w:val="en-GB"/>
        </w:rPr>
        <w:endnoteReference w:id="15"/>
      </w:r>
      <w:r w:rsidR="003374AE" w:rsidRPr="00BB3451">
        <w:rPr>
          <w:rFonts w:ascii="Gill Sans" w:hAnsi="Gill Sans" w:cs="Gill Sans"/>
          <w:noProof/>
          <w:sz w:val="22"/>
          <w:szCs w:val="22"/>
          <w:lang w:val="en-GB"/>
        </w:rPr>
        <w:t xml:space="preserve"> The final text of the regulations addressed </w:t>
      </w:r>
      <w:r w:rsidR="0008527B">
        <w:rPr>
          <w:rFonts w:ascii="Gill Sans" w:hAnsi="Gill Sans" w:cs="Gill Sans"/>
          <w:noProof/>
          <w:sz w:val="22"/>
          <w:szCs w:val="22"/>
          <w:lang w:val="en-GB"/>
        </w:rPr>
        <w:t xml:space="preserve">the </w:t>
      </w:r>
      <w:r w:rsidR="003374AE" w:rsidRPr="00BB3451">
        <w:rPr>
          <w:rFonts w:ascii="Gill Sans" w:hAnsi="Gill Sans" w:cs="Gill Sans"/>
          <w:noProof/>
          <w:sz w:val="22"/>
          <w:szCs w:val="22"/>
          <w:lang w:val="en-GB"/>
        </w:rPr>
        <w:t xml:space="preserve">criticism </w:t>
      </w:r>
      <w:r w:rsidR="00FE204A">
        <w:rPr>
          <w:rFonts w:ascii="Gill Sans" w:hAnsi="Gill Sans" w:cs="Gill Sans"/>
          <w:noProof/>
          <w:sz w:val="22"/>
          <w:szCs w:val="22"/>
          <w:lang w:val="en-GB"/>
        </w:rPr>
        <w:t>of</w:t>
      </w:r>
      <w:r w:rsidR="00AB43F9">
        <w:rPr>
          <w:rFonts w:ascii="Gill Sans" w:hAnsi="Gill Sans" w:cs="Gill Sans"/>
          <w:noProof/>
          <w:sz w:val="22"/>
          <w:szCs w:val="22"/>
          <w:lang w:val="en-GB"/>
        </w:rPr>
        <w:t xml:space="preserve"> </w:t>
      </w:r>
      <w:r w:rsidR="003374AE" w:rsidRPr="00BB3451">
        <w:rPr>
          <w:rFonts w:ascii="Gill Sans" w:hAnsi="Gill Sans" w:cs="Gill Sans"/>
          <w:noProof/>
          <w:sz w:val="22"/>
          <w:szCs w:val="22"/>
          <w:lang w:val="en-GB"/>
        </w:rPr>
        <w:t>the previous drafts raised by civil society and the ombudsman</w:t>
      </w:r>
      <w:r w:rsidR="0008527B">
        <w:rPr>
          <w:rFonts w:ascii="Gill Sans" w:hAnsi="Gill Sans" w:cs="Gill Sans"/>
          <w:noProof/>
          <w:sz w:val="22"/>
          <w:szCs w:val="22"/>
          <w:lang w:val="en-GB"/>
        </w:rPr>
        <w:t>,</w:t>
      </w:r>
      <w:r w:rsidR="00FE204A">
        <w:rPr>
          <w:rFonts w:ascii="Gill Sans" w:hAnsi="Gill Sans" w:cs="Gill Sans"/>
          <w:noProof/>
          <w:sz w:val="22"/>
          <w:szCs w:val="22"/>
          <w:lang w:val="en-GB"/>
        </w:rPr>
        <w:t xml:space="preserve"> </w:t>
      </w:r>
      <w:r w:rsidR="003374AE" w:rsidRPr="00BB3451">
        <w:rPr>
          <w:rFonts w:ascii="Gill Sans" w:hAnsi="Gill Sans" w:cs="Gill Sans"/>
          <w:noProof/>
          <w:sz w:val="22"/>
          <w:szCs w:val="22"/>
          <w:lang w:val="en-GB"/>
        </w:rPr>
        <w:t>by incorporating the harm and public interest tests</w:t>
      </w:r>
      <w:r w:rsidR="00401503">
        <w:rPr>
          <w:rStyle w:val="EndnoteReference"/>
          <w:rFonts w:ascii="Gill Sans" w:hAnsi="Gill Sans" w:cs="Gill Sans"/>
          <w:noProof/>
          <w:sz w:val="22"/>
          <w:szCs w:val="22"/>
          <w:lang w:val="en-GB"/>
        </w:rPr>
        <w:endnoteReference w:id="16"/>
      </w:r>
      <w:r w:rsidR="003374AE" w:rsidRPr="00BB3451">
        <w:rPr>
          <w:rFonts w:ascii="Gill Sans" w:hAnsi="Gill Sans" w:cs="Gill Sans"/>
          <w:noProof/>
          <w:sz w:val="22"/>
          <w:szCs w:val="22"/>
          <w:lang w:val="en-GB"/>
        </w:rPr>
        <w:t xml:space="preserve"> </w:t>
      </w:r>
      <w:r w:rsidR="0008527B">
        <w:rPr>
          <w:rFonts w:ascii="Gill Sans" w:hAnsi="Gill Sans" w:cs="Gill Sans"/>
          <w:noProof/>
          <w:sz w:val="22"/>
          <w:szCs w:val="22"/>
          <w:lang w:val="en-GB"/>
        </w:rPr>
        <w:t>for</w:t>
      </w:r>
      <w:r w:rsidR="003374AE" w:rsidRPr="00BB3451">
        <w:rPr>
          <w:rFonts w:ascii="Gill Sans" w:hAnsi="Gill Sans" w:cs="Gill Sans"/>
          <w:noProof/>
          <w:sz w:val="22"/>
          <w:szCs w:val="22"/>
          <w:lang w:val="en-GB"/>
        </w:rPr>
        <w:t xml:space="preserve"> s</w:t>
      </w:r>
      <w:r w:rsidR="00FE204A">
        <w:rPr>
          <w:rFonts w:ascii="Gill Sans" w:hAnsi="Gill Sans" w:cs="Gill Sans"/>
          <w:noProof/>
          <w:sz w:val="22"/>
          <w:szCs w:val="22"/>
          <w:lang w:val="en-GB"/>
        </w:rPr>
        <w:t>i</w:t>
      </w:r>
      <w:r w:rsidR="003374AE" w:rsidRPr="00BB3451">
        <w:rPr>
          <w:rFonts w:ascii="Gill Sans" w:hAnsi="Gill Sans" w:cs="Gill Sans"/>
          <w:noProof/>
          <w:sz w:val="22"/>
          <w:szCs w:val="22"/>
          <w:lang w:val="en-GB"/>
        </w:rPr>
        <w:t>t</w:t>
      </w:r>
      <w:r w:rsidR="00401503">
        <w:rPr>
          <w:rFonts w:ascii="Gill Sans" w:hAnsi="Gill Sans" w:cs="Gill Sans"/>
          <w:noProof/>
          <w:sz w:val="22"/>
          <w:szCs w:val="22"/>
          <w:lang w:val="en-GB"/>
        </w:rPr>
        <w:t>u</w:t>
      </w:r>
      <w:r w:rsidR="003374AE" w:rsidRPr="00BB3451">
        <w:rPr>
          <w:rFonts w:ascii="Gill Sans" w:hAnsi="Gill Sans" w:cs="Gill Sans"/>
          <w:noProof/>
          <w:sz w:val="22"/>
          <w:szCs w:val="22"/>
          <w:lang w:val="en-GB"/>
        </w:rPr>
        <w:t xml:space="preserve">ations </w:t>
      </w:r>
      <w:r w:rsidR="0008527B">
        <w:rPr>
          <w:rFonts w:ascii="Gill Sans" w:hAnsi="Gill Sans" w:cs="Gill Sans"/>
          <w:noProof/>
          <w:sz w:val="22"/>
          <w:szCs w:val="22"/>
          <w:lang w:val="en-GB"/>
        </w:rPr>
        <w:t xml:space="preserve">in which </w:t>
      </w:r>
      <w:r w:rsidR="003374AE" w:rsidRPr="00BB3451">
        <w:rPr>
          <w:rFonts w:ascii="Gill Sans" w:hAnsi="Gill Sans" w:cs="Gill Sans"/>
          <w:noProof/>
          <w:sz w:val="22"/>
          <w:szCs w:val="22"/>
          <w:lang w:val="en-GB"/>
        </w:rPr>
        <w:t>access to information is restricted.</w:t>
      </w:r>
      <w:r w:rsidR="00667E37">
        <w:rPr>
          <w:rFonts w:ascii="Gill Sans" w:hAnsi="Gill Sans" w:cs="Gill Sans"/>
          <w:noProof/>
          <w:sz w:val="22"/>
          <w:szCs w:val="22"/>
          <w:lang w:val="en-GB"/>
        </w:rPr>
        <w:t xml:space="preserve"> </w:t>
      </w:r>
    </w:p>
    <w:p w14:paraId="5A6667C9" w14:textId="77777777" w:rsidR="00545B73" w:rsidRPr="00BB3451" w:rsidRDefault="00545B73" w:rsidP="006319F4">
      <w:pPr>
        <w:pStyle w:val="Heading3"/>
      </w:pPr>
      <w:r w:rsidRPr="00BB3451">
        <w:t>Did it open government?</w:t>
      </w:r>
    </w:p>
    <w:p w14:paraId="4AE2FFE0" w14:textId="4FCF9784" w:rsidR="00545B73" w:rsidRPr="00BB3451" w:rsidRDefault="0011609C" w:rsidP="005059F5">
      <w:pPr>
        <w:spacing w:after="120"/>
        <w:rPr>
          <w:rFonts w:ascii="Gill Sans" w:hAnsi="Gill Sans" w:cs="Gill Sans"/>
          <w:b/>
          <w:color w:val="000000" w:themeColor="text1"/>
          <w:sz w:val="22"/>
          <w:szCs w:val="22"/>
          <w:lang w:val="en-GB"/>
        </w:rPr>
      </w:pPr>
      <w:r w:rsidRPr="00BB3451">
        <w:rPr>
          <w:rFonts w:ascii="Gill Sans" w:hAnsi="Gill Sans" w:cs="Gill Sans"/>
          <w:b/>
          <w:color w:val="000000" w:themeColor="text1"/>
          <w:sz w:val="22"/>
          <w:szCs w:val="22"/>
          <w:lang w:val="en-GB"/>
        </w:rPr>
        <w:t>Access to information</w:t>
      </w:r>
      <w:r w:rsidR="00545B73" w:rsidRPr="00BB3451">
        <w:rPr>
          <w:rFonts w:ascii="Gill Sans" w:hAnsi="Gill Sans" w:cs="Gill Sans"/>
          <w:b/>
          <w:color w:val="000000" w:themeColor="text1"/>
          <w:sz w:val="22"/>
          <w:szCs w:val="22"/>
          <w:lang w:val="en-GB"/>
        </w:rPr>
        <w:t xml:space="preserve">: </w:t>
      </w:r>
      <w:r w:rsidRPr="00BB3451">
        <w:rPr>
          <w:rFonts w:ascii="Gill Sans" w:hAnsi="Gill Sans" w:cs="Gill Sans"/>
          <w:b/>
          <w:color w:val="000000" w:themeColor="text1"/>
          <w:sz w:val="22"/>
          <w:szCs w:val="22"/>
          <w:lang w:val="en-GB"/>
        </w:rPr>
        <w:t>Major</w:t>
      </w:r>
    </w:p>
    <w:p w14:paraId="183E0E53" w14:textId="583106A3" w:rsidR="00A2568C" w:rsidRDefault="00C15941" w:rsidP="00C15941">
      <w:pPr>
        <w:spacing w:after="120"/>
        <w:rPr>
          <w:rFonts w:ascii="Gill Sans" w:hAnsi="Gill Sans" w:cs="Gill Sans"/>
          <w:noProof/>
          <w:sz w:val="22"/>
          <w:szCs w:val="22"/>
          <w:lang w:val="en-GB"/>
        </w:rPr>
      </w:pPr>
      <w:r>
        <w:rPr>
          <w:rFonts w:ascii="Gill Sans" w:hAnsi="Gill Sans" w:cs="Gill Sans"/>
          <w:noProof/>
          <w:sz w:val="22"/>
          <w:szCs w:val="22"/>
          <w:lang w:val="en-GB"/>
        </w:rPr>
        <w:t>G</w:t>
      </w:r>
      <w:r w:rsidR="005059F5" w:rsidRPr="00BB3451">
        <w:rPr>
          <w:rFonts w:ascii="Gill Sans" w:hAnsi="Gill Sans" w:cs="Gill Sans"/>
          <w:noProof/>
          <w:sz w:val="22"/>
          <w:szCs w:val="22"/>
          <w:lang w:val="en-GB"/>
        </w:rPr>
        <w:t>overnment regulation (“Instructions”) on official information is an important, albeit technical, document that regulates</w:t>
      </w:r>
      <w:r>
        <w:rPr>
          <w:rFonts w:ascii="Gill Sans" w:hAnsi="Gill Sans" w:cs="Gill Sans"/>
          <w:noProof/>
          <w:sz w:val="22"/>
          <w:szCs w:val="22"/>
          <w:lang w:val="en-GB"/>
        </w:rPr>
        <w:t>,</w:t>
      </w:r>
      <w:r w:rsidR="005059F5" w:rsidRPr="00BB3451">
        <w:rPr>
          <w:rFonts w:ascii="Gill Sans" w:hAnsi="Gill Sans" w:cs="Gill Sans"/>
          <w:noProof/>
          <w:sz w:val="22"/>
          <w:szCs w:val="22"/>
          <w:lang w:val="en-GB"/>
        </w:rPr>
        <w:t xml:space="preserve"> in detail</w:t>
      </w:r>
      <w:r>
        <w:rPr>
          <w:rFonts w:ascii="Gill Sans" w:hAnsi="Gill Sans" w:cs="Gill Sans"/>
          <w:noProof/>
          <w:sz w:val="22"/>
          <w:szCs w:val="22"/>
          <w:lang w:val="en-GB"/>
        </w:rPr>
        <w:t>,</w:t>
      </w:r>
      <w:r w:rsidR="005059F5" w:rsidRPr="00BB3451">
        <w:rPr>
          <w:rFonts w:ascii="Gill Sans" w:hAnsi="Gill Sans" w:cs="Gill Sans"/>
          <w:noProof/>
          <w:sz w:val="22"/>
          <w:szCs w:val="22"/>
          <w:lang w:val="en-GB"/>
        </w:rPr>
        <w:t xml:space="preserve"> how public agencies deal with </w:t>
      </w:r>
      <w:r w:rsidR="00035E36">
        <w:rPr>
          <w:rFonts w:ascii="Gill Sans" w:hAnsi="Gill Sans" w:cs="Gill Sans"/>
          <w:noProof/>
          <w:sz w:val="22"/>
          <w:szCs w:val="22"/>
          <w:lang w:val="en-GB"/>
        </w:rPr>
        <w:t>“</w:t>
      </w:r>
      <w:r w:rsidR="005059F5" w:rsidRPr="00BB3451">
        <w:rPr>
          <w:rFonts w:ascii="Gill Sans" w:hAnsi="Gill Sans" w:cs="Gill Sans"/>
          <w:noProof/>
          <w:sz w:val="22"/>
          <w:szCs w:val="22"/>
          <w:lang w:val="en-GB"/>
        </w:rPr>
        <w:t>official information</w:t>
      </w:r>
      <w:r w:rsidR="00035E36">
        <w:rPr>
          <w:rFonts w:ascii="Gill Sans" w:hAnsi="Gill Sans" w:cs="Gill Sans"/>
          <w:noProof/>
          <w:sz w:val="22"/>
          <w:szCs w:val="22"/>
          <w:lang w:val="en-GB"/>
        </w:rPr>
        <w:t>”</w:t>
      </w:r>
      <w:r w:rsidR="005059F5" w:rsidRPr="00BB3451">
        <w:rPr>
          <w:rFonts w:ascii="Gill Sans" w:hAnsi="Gill Sans" w:cs="Gill Sans"/>
          <w:noProof/>
          <w:sz w:val="22"/>
          <w:szCs w:val="22"/>
          <w:lang w:val="en-GB"/>
        </w:rPr>
        <w:t xml:space="preserve"> (a type of information with restricted access). In the Ukrainian context, public agencies closely follow such regulations</w:t>
      </w:r>
      <w:r w:rsidR="00035E36">
        <w:rPr>
          <w:rFonts w:ascii="Gill Sans" w:hAnsi="Gill Sans" w:cs="Gill Sans"/>
          <w:noProof/>
          <w:sz w:val="22"/>
          <w:szCs w:val="22"/>
          <w:lang w:val="en-GB"/>
        </w:rPr>
        <w:t xml:space="preserve">, </w:t>
      </w:r>
      <w:r w:rsidR="005059F5" w:rsidRPr="00BB3451">
        <w:rPr>
          <w:rFonts w:ascii="Gill Sans" w:hAnsi="Gill Sans" w:cs="Gill Sans"/>
          <w:noProof/>
          <w:sz w:val="22"/>
          <w:szCs w:val="22"/>
          <w:lang w:val="en-GB"/>
        </w:rPr>
        <w:t>pay</w:t>
      </w:r>
      <w:r w:rsidR="00035E36">
        <w:rPr>
          <w:rFonts w:ascii="Gill Sans" w:hAnsi="Gill Sans" w:cs="Gill Sans"/>
          <w:noProof/>
          <w:sz w:val="22"/>
          <w:szCs w:val="22"/>
          <w:lang w:val="en-GB"/>
        </w:rPr>
        <w:t>ing</w:t>
      </w:r>
      <w:r w:rsidR="005059F5" w:rsidRPr="00BB3451">
        <w:rPr>
          <w:rFonts w:ascii="Gill Sans" w:hAnsi="Gill Sans" w:cs="Gill Sans"/>
          <w:noProof/>
          <w:sz w:val="22"/>
          <w:szCs w:val="22"/>
          <w:lang w:val="en-GB"/>
        </w:rPr>
        <w:t xml:space="preserve"> </w:t>
      </w:r>
      <w:r w:rsidR="00035E36">
        <w:rPr>
          <w:rFonts w:ascii="Gill Sans" w:hAnsi="Gill Sans" w:cs="Gill Sans"/>
          <w:noProof/>
          <w:sz w:val="22"/>
          <w:szCs w:val="22"/>
          <w:lang w:val="en-GB"/>
        </w:rPr>
        <w:t>close</w:t>
      </w:r>
      <w:r w:rsidR="005059F5" w:rsidRPr="00BB3451">
        <w:rPr>
          <w:rFonts w:ascii="Gill Sans" w:hAnsi="Gill Sans" w:cs="Gill Sans"/>
          <w:noProof/>
          <w:sz w:val="22"/>
          <w:szCs w:val="22"/>
          <w:lang w:val="en-GB"/>
        </w:rPr>
        <w:t xml:space="preserve"> attention </w:t>
      </w:r>
      <w:r w:rsidR="00035E36">
        <w:rPr>
          <w:rFonts w:ascii="Gill Sans" w:hAnsi="Gill Sans" w:cs="Gill Sans"/>
          <w:noProof/>
          <w:sz w:val="22"/>
          <w:szCs w:val="22"/>
          <w:lang w:val="en-GB"/>
        </w:rPr>
        <w:t xml:space="preserve">to changes. </w:t>
      </w:r>
      <w:r w:rsidR="005059F5" w:rsidRPr="00BB3451">
        <w:rPr>
          <w:rFonts w:ascii="Gill Sans" w:hAnsi="Gill Sans" w:cs="Gill Sans"/>
          <w:noProof/>
          <w:sz w:val="22"/>
          <w:szCs w:val="22"/>
          <w:lang w:val="en-GB"/>
        </w:rPr>
        <w:t xml:space="preserve">It was </w:t>
      </w:r>
      <w:r w:rsidRPr="00BB3451">
        <w:rPr>
          <w:rFonts w:ascii="Gill Sans" w:hAnsi="Gill Sans" w:cs="Gill Sans"/>
          <w:noProof/>
          <w:sz w:val="22"/>
          <w:szCs w:val="22"/>
          <w:lang w:val="en-GB"/>
        </w:rPr>
        <w:t>essential</w:t>
      </w:r>
      <w:r>
        <w:rPr>
          <w:rFonts w:ascii="Gill Sans" w:hAnsi="Gill Sans" w:cs="Gill Sans"/>
          <w:noProof/>
          <w:sz w:val="22"/>
          <w:szCs w:val="22"/>
          <w:lang w:val="en-GB"/>
        </w:rPr>
        <w:t xml:space="preserve">, </w:t>
      </w:r>
      <w:r w:rsidR="005059F5" w:rsidRPr="00BB3451">
        <w:rPr>
          <w:rFonts w:ascii="Gill Sans" w:hAnsi="Gill Sans" w:cs="Gill Sans"/>
          <w:noProof/>
          <w:sz w:val="22"/>
          <w:szCs w:val="22"/>
          <w:lang w:val="en-GB"/>
        </w:rPr>
        <w:t>therefore</w:t>
      </w:r>
      <w:r>
        <w:rPr>
          <w:rFonts w:ascii="Gill Sans" w:hAnsi="Gill Sans" w:cs="Gill Sans"/>
          <w:noProof/>
          <w:sz w:val="22"/>
          <w:szCs w:val="22"/>
          <w:lang w:val="en-GB"/>
        </w:rPr>
        <w:t>,</w:t>
      </w:r>
      <w:r w:rsidR="005059F5" w:rsidRPr="00BB3451">
        <w:rPr>
          <w:rFonts w:ascii="Gill Sans" w:hAnsi="Gill Sans" w:cs="Gill Sans"/>
          <w:noProof/>
          <w:sz w:val="22"/>
          <w:szCs w:val="22"/>
          <w:lang w:val="en-GB"/>
        </w:rPr>
        <w:t xml:space="preserve"> that the regulations were in line with the law</w:t>
      </w:r>
      <w:r w:rsidR="0008527B">
        <w:rPr>
          <w:rFonts w:ascii="Gill Sans" w:hAnsi="Gill Sans" w:cs="Gill Sans"/>
          <w:noProof/>
          <w:sz w:val="22"/>
          <w:szCs w:val="22"/>
          <w:lang w:val="en-GB"/>
        </w:rPr>
        <w:t>,</w:t>
      </w:r>
      <w:r w:rsidR="005059F5" w:rsidRPr="00BB3451">
        <w:rPr>
          <w:rFonts w:ascii="Gill Sans" w:hAnsi="Gill Sans" w:cs="Gill Sans"/>
          <w:noProof/>
          <w:sz w:val="22"/>
          <w:szCs w:val="22"/>
          <w:lang w:val="en-GB"/>
        </w:rPr>
        <w:t xml:space="preserve"> and reflected </w:t>
      </w:r>
      <w:r w:rsidR="0008527B">
        <w:rPr>
          <w:rFonts w:ascii="Gill Sans" w:hAnsi="Gill Sans" w:cs="Gill Sans"/>
          <w:noProof/>
          <w:sz w:val="22"/>
          <w:szCs w:val="22"/>
          <w:lang w:val="en-GB"/>
        </w:rPr>
        <w:t xml:space="preserve">the </w:t>
      </w:r>
      <w:r w:rsidR="005059F5" w:rsidRPr="00BB3451">
        <w:rPr>
          <w:rFonts w:ascii="Gill Sans" w:hAnsi="Gill Sans" w:cs="Gill Sans"/>
          <w:noProof/>
          <w:sz w:val="22"/>
          <w:szCs w:val="22"/>
          <w:lang w:val="en-GB"/>
        </w:rPr>
        <w:t xml:space="preserve">progressive provisions of the 2011 Law on Access to Public Information. </w:t>
      </w:r>
    </w:p>
    <w:p w14:paraId="277B525E" w14:textId="3E916A6F" w:rsidR="005059F5" w:rsidRPr="00BB3451" w:rsidRDefault="00257C98" w:rsidP="00F00809">
      <w:pPr>
        <w:spacing w:after="120"/>
        <w:rPr>
          <w:rFonts w:ascii="Gill Sans" w:hAnsi="Gill Sans" w:cs="Gill Sans"/>
          <w:noProof/>
          <w:sz w:val="22"/>
          <w:szCs w:val="22"/>
          <w:lang w:val="en-GB"/>
        </w:rPr>
      </w:pPr>
      <w:r>
        <w:rPr>
          <w:rFonts w:ascii="Gill Sans" w:hAnsi="Gill Sans" w:cs="Gill Sans"/>
          <w:noProof/>
          <w:sz w:val="22"/>
          <w:szCs w:val="22"/>
          <w:lang w:val="en-GB"/>
        </w:rPr>
        <w:t>A</w:t>
      </w:r>
      <w:r w:rsidR="00D86648">
        <w:rPr>
          <w:rFonts w:ascii="Gill Sans" w:hAnsi="Gill Sans" w:cs="Gill Sans"/>
          <w:noProof/>
          <w:sz w:val="22"/>
          <w:szCs w:val="22"/>
          <w:lang w:val="en-GB"/>
        </w:rPr>
        <w:t xml:space="preserve">fter several failed attempts, </w:t>
      </w:r>
      <w:r>
        <w:rPr>
          <w:rFonts w:ascii="Gill Sans" w:hAnsi="Gill Sans" w:cs="Gill Sans"/>
          <w:noProof/>
          <w:sz w:val="22"/>
          <w:szCs w:val="22"/>
          <w:lang w:val="en-GB"/>
        </w:rPr>
        <w:t xml:space="preserve">the final regulations </w:t>
      </w:r>
      <w:r w:rsidR="00D86648">
        <w:rPr>
          <w:rFonts w:ascii="Gill Sans" w:hAnsi="Gill Sans" w:cs="Gill Sans"/>
          <w:noProof/>
          <w:sz w:val="22"/>
          <w:szCs w:val="22"/>
          <w:lang w:val="en-GB"/>
        </w:rPr>
        <w:t xml:space="preserve">did incorporate important provisions of the </w:t>
      </w:r>
      <w:r w:rsidR="00401503" w:rsidRPr="00BB3451">
        <w:rPr>
          <w:rFonts w:ascii="Gill Sans" w:hAnsi="Gill Sans" w:cs="Gill Sans"/>
          <w:noProof/>
          <w:sz w:val="22"/>
          <w:szCs w:val="22"/>
          <w:lang w:val="en-GB"/>
        </w:rPr>
        <w:t>2011 Law on Access to Public Information</w:t>
      </w:r>
      <w:r w:rsidR="0008527B">
        <w:rPr>
          <w:rFonts w:ascii="Gill Sans" w:hAnsi="Gill Sans" w:cs="Gill Sans"/>
          <w:noProof/>
          <w:sz w:val="22"/>
          <w:szCs w:val="22"/>
          <w:lang w:val="en-GB"/>
        </w:rPr>
        <w:t>. I</w:t>
      </w:r>
      <w:r w:rsidR="00A2568C">
        <w:rPr>
          <w:rFonts w:ascii="Gill Sans" w:hAnsi="Gill Sans" w:cs="Gill Sans"/>
          <w:noProof/>
          <w:sz w:val="22"/>
          <w:szCs w:val="22"/>
          <w:lang w:val="en-GB"/>
        </w:rPr>
        <w:t>n particular</w:t>
      </w:r>
      <w:r>
        <w:rPr>
          <w:rFonts w:ascii="Gill Sans" w:hAnsi="Gill Sans" w:cs="Gill Sans"/>
          <w:noProof/>
          <w:sz w:val="22"/>
          <w:szCs w:val="22"/>
          <w:lang w:val="en-GB"/>
        </w:rPr>
        <w:t>,</w:t>
      </w:r>
      <w:r w:rsidR="00D86648">
        <w:rPr>
          <w:rFonts w:ascii="Gill Sans" w:hAnsi="Gill Sans" w:cs="Gill Sans"/>
          <w:noProof/>
          <w:sz w:val="22"/>
          <w:szCs w:val="22"/>
          <w:lang w:val="en-GB"/>
        </w:rPr>
        <w:t xml:space="preserve"> </w:t>
      </w:r>
      <w:r w:rsidR="0008527B">
        <w:rPr>
          <w:rFonts w:ascii="Gill Sans" w:hAnsi="Gill Sans" w:cs="Gill Sans"/>
          <w:noProof/>
          <w:sz w:val="22"/>
          <w:szCs w:val="22"/>
          <w:lang w:val="en-GB"/>
        </w:rPr>
        <w:t xml:space="preserve">it included </w:t>
      </w:r>
      <w:r w:rsidR="005059F5" w:rsidRPr="00BB3451">
        <w:rPr>
          <w:rFonts w:ascii="Gill Sans" w:hAnsi="Gill Sans" w:cs="Gill Sans"/>
          <w:noProof/>
          <w:sz w:val="22"/>
          <w:szCs w:val="22"/>
          <w:lang w:val="en-GB"/>
        </w:rPr>
        <w:t>the rules on denying or restricting access to requested information</w:t>
      </w:r>
      <w:r w:rsidR="0008527B">
        <w:rPr>
          <w:rFonts w:ascii="Gill Sans" w:hAnsi="Gill Sans" w:cs="Gill Sans"/>
          <w:noProof/>
          <w:sz w:val="22"/>
          <w:szCs w:val="22"/>
          <w:lang w:val="en-GB"/>
        </w:rPr>
        <w:t>;</w:t>
      </w:r>
      <w:r w:rsidR="005059F5" w:rsidRPr="00BB3451">
        <w:rPr>
          <w:rFonts w:ascii="Gill Sans" w:hAnsi="Gill Sans" w:cs="Gill Sans"/>
          <w:noProof/>
          <w:sz w:val="22"/>
          <w:szCs w:val="22"/>
          <w:lang w:val="en-GB"/>
        </w:rPr>
        <w:t xml:space="preserve"> the law requires public authorities to apply public interest and harm tests. The authority that holds information </w:t>
      </w:r>
      <w:r w:rsidR="002D6D9A">
        <w:rPr>
          <w:rFonts w:ascii="Gill Sans" w:hAnsi="Gill Sans" w:cs="Gill Sans"/>
          <w:noProof/>
          <w:sz w:val="22"/>
          <w:szCs w:val="22"/>
          <w:lang w:val="en-GB"/>
        </w:rPr>
        <w:t>is required</w:t>
      </w:r>
      <w:r w:rsidR="002D6D9A" w:rsidRPr="00BB3451">
        <w:rPr>
          <w:rFonts w:ascii="Gill Sans" w:hAnsi="Gill Sans" w:cs="Gill Sans"/>
          <w:noProof/>
          <w:sz w:val="22"/>
          <w:szCs w:val="22"/>
          <w:lang w:val="en-GB"/>
        </w:rPr>
        <w:t xml:space="preserve"> </w:t>
      </w:r>
      <w:r w:rsidR="005059F5" w:rsidRPr="00BB3451">
        <w:rPr>
          <w:rFonts w:ascii="Gill Sans" w:hAnsi="Gill Sans" w:cs="Gill Sans"/>
          <w:noProof/>
          <w:sz w:val="22"/>
          <w:szCs w:val="22"/>
          <w:lang w:val="en-GB"/>
        </w:rPr>
        <w:t xml:space="preserve">to justify any access restriction with legitimate reasons, including the substantial harm that may be caused by disclosure. It also must prove that such harm outweighs the public interest in disclosure. This requirement </w:t>
      </w:r>
      <w:r w:rsidR="00A2568C">
        <w:rPr>
          <w:rFonts w:ascii="Gill Sans" w:hAnsi="Gill Sans" w:cs="Gill Sans"/>
          <w:noProof/>
          <w:sz w:val="22"/>
          <w:szCs w:val="22"/>
          <w:lang w:val="en-GB"/>
        </w:rPr>
        <w:t xml:space="preserve">was </w:t>
      </w:r>
      <w:r w:rsidR="005059F5" w:rsidRPr="00BB3451">
        <w:rPr>
          <w:rFonts w:ascii="Gill Sans" w:hAnsi="Gill Sans" w:cs="Gill Sans"/>
          <w:noProof/>
          <w:sz w:val="22"/>
          <w:szCs w:val="22"/>
          <w:lang w:val="en-GB"/>
        </w:rPr>
        <w:t>embedded in the rules on</w:t>
      </w:r>
      <w:r>
        <w:rPr>
          <w:rFonts w:ascii="Gill Sans" w:hAnsi="Gill Sans" w:cs="Gill Sans"/>
          <w:noProof/>
          <w:sz w:val="22"/>
          <w:szCs w:val="22"/>
          <w:lang w:val="en-GB"/>
        </w:rPr>
        <w:t xml:space="preserve"> the </w:t>
      </w:r>
      <w:r w:rsidR="005059F5" w:rsidRPr="00BB3451">
        <w:rPr>
          <w:rFonts w:ascii="Gill Sans" w:hAnsi="Gill Sans" w:cs="Gill Sans"/>
          <w:noProof/>
          <w:sz w:val="22"/>
          <w:szCs w:val="22"/>
          <w:lang w:val="en-GB"/>
        </w:rPr>
        <w:t xml:space="preserve"> treatment of official information.</w:t>
      </w:r>
    </w:p>
    <w:p w14:paraId="582A3EC8" w14:textId="5AEA0FF3" w:rsidR="00A2568C" w:rsidRDefault="00A2568C" w:rsidP="006319F4">
      <w:pPr>
        <w:spacing w:after="120"/>
        <w:rPr>
          <w:rFonts w:ascii="Gill Sans" w:hAnsi="Gill Sans" w:cs="Gill Sans"/>
          <w:noProof/>
          <w:sz w:val="22"/>
          <w:szCs w:val="22"/>
          <w:lang w:val="en-GB"/>
        </w:rPr>
      </w:pPr>
      <w:r>
        <w:rPr>
          <w:rFonts w:ascii="Gill Sans" w:hAnsi="Gill Sans" w:cs="Gill Sans"/>
          <w:noProof/>
          <w:sz w:val="22"/>
          <w:szCs w:val="22"/>
          <w:lang w:val="en-GB"/>
        </w:rPr>
        <w:t xml:space="preserve">However, </w:t>
      </w:r>
      <w:r w:rsidR="002D6D9A">
        <w:rPr>
          <w:rFonts w:ascii="Gill Sans" w:hAnsi="Gill Sans" w:cs="Gill Sans"/>
          <w:noProof/>
          <w:sz w:val="22"/>
          <w:szCs w:val="22"/>
          <w:lang w:val="en-GB"/>
        </w:rPr>
        <w:t>u</w:t>
      </w:r>
      <w:r w:rsidR="002D6D9A" w:rsidRPr="002D6D9A">
        <w:rPr>
          <w:rFonts w:ascii="Gill Sans" w:hAnsi="Gill Sans" w:cs="Gill Sans"/>
          <w:noProof/>
          <w:sz w:val="22"/>
          <w:szCs w:val="22"/>
          <w:lang w:val="en-GB"/>
        </w:rPr>
        <w:t xml:space="preserve">nlike the previous legislation, the revised 2011 Law on Information and Law on Access to Public Information did not authorise the </w:t>
      </w:r>
      <w:r w:rsidR="008F3E5F">
        <w:rPr>
          <w:rFonts w:ascii="Gill Sans" w:hAnsi="Gill Sans" w:cs="Gill Sans"/>
          <w:noProof/>
          <w:sz w:val="22"/>
          <w:szCs w:val="22"/>
          <w:lang w:val="en-GB"/>
        </w:rPr>
        <w:t>g</w:t>
      </w:r>
      <w:r w:rsidR="002D6D9A" w:rsidRPr="002D6D9A">
        <w:rPr>
          <w:rFonts w:ascii="Gill Sans" w:hAnsi="Gill Sans" w:cs="Gill Sans"/>
          <w:noProof/>
          <w:sz w:val="22"/>
          <w:szCs w:val="22"/>
          <w:lang w:val="en-GB"/>
        </w:rPr>
        <w:t>overnment to issue mandatory rules for processing official information</w:t>
      </w:r>
      <w:r w:rsidR="002D6D9A">
        <w:rPr>
          <w:rFonts w:ascii="Gill Sans" w:hAnsi="Gill Sans" w:cs="Gill Sans"/>
          <w:noProof/>
          <w:sz w:val="22"/>
          <w:szCs w:val="22"/>
          <w:lang w:val="en-GB"/>
        </w:rPr>
        <w:t xml:space="preserve">. Therefore, </w:t>
      </w:r>
      <w:r>
        <w:rPr>
          <w:rFonts w:ascii="Gill Sans" w:hAnsi="Gill Sans" w:cs="Gill Sans"/>
          <w:noProof/>
          <w:sz w:val="22"/>
          <w:szCs w:val="22"/>
          <w:lang w:val="en-GB"/>
        </w:rPr>
        <w:t xml:space="preserve">the final </w:t>
      </w:r>
      <w:r w:rsidR="002D6D9A">
        <w:rPr>
          <w:rFonts w:ascii="Gill Sans" w:hAnsi="Gill Sans" w:cs="Gill Sans"/>
          <w:noProof/>
          <w:sz w:val="22"/>
          <w:szCs w:val="22"/>
          <w:lang w:val="en-GB"/>
        </w:rPr>
        <w:t xml:space="preserve">“government instructions” </w:t>
      </w:r>
      <w:r>
        <w:rPr>
          <w:rFonts w:ascii="Gill Sans" w:hAnsi="Gill Sans" w:cs="Gill Sans"/>
          <w:noProof/>
          <w:sz w:val="22"/>
          <w:szCs w:val="22"/>
          <w:lang w:val="en-GB"/>
        </w:rPr>
        <w:t xml:space="preserve">document </w:t>
      </w:r>
      <w:r w:rsidR="002D6D9A">
        <w:rPr>
          <w:rFonts w:ascii="Gill Sans" w:hAnsi="Gill Sans" w:cs="Gill Sans"/>
          <w:noProof/>
          <w:sz w:val="22"/>
          <w:szCs w:val="22"/>
          <w:lang w:val="en-GB"/>
        </w:rPr>
        <w:t xml:space="preserve">must </w:t>
      </w:r>
      <w:r>
        <w:rPr>
          <w:rFonts w:ascii="Gill Sans" w:hAnsi="Gill Sans" w:cs="Gill Sans"/>
          <w:noProof/>
          <w:sz w:val="22"/>
          <w:szCs w:val="22"/>
          <w:lang w:val="en-GB"/>
        </w:rPr>
        <w:t xml:space="preserve">be </w:t>
      </w:r>
      <w:r w:rsidR="008F3E5F">
        <w:rPr>
          <w:rFonts w:ascii="Gill Sans" w:hAnsi="Gill Sans" w:cs="Gill Sans"/>
          <w:noProof/>
          <w:sz w:val="22"/>
          <w:szCs w:val="22"/>
          <w:lang w:val="en-GB"/>
        </w:rPr>
        <w:t>considered</w:t>
      </w:r>
      <w:r>
        <w:rPr>
          <w:rFonts w:ascii="Gill Sans" w:hAnsi="Gill Sans" w:cs="Gill Sans"/>
          <w:noProof/>
          <w:sz w:val="22"/>
          <w:szCs w:val="22"/>
          <w:lang w:val="en-GB"/>
        </w:rPr>
        <w:t xml:space="preserve"> a non-binding, recommendatory set of rules. This reduced its importance to some extent, but not significantly, as public authorities</w:t>
      </w:r>
      <w:r w:rsidR="00257C98">
        <w:rPr>
          <w:rFonts w:ascii="Gill Sans" w:hAnsi="Gill Sans" w:cs="Gill Sans"/>
          <w:noProof/>
          <w:sz w:val="22"/>
          <w:szCs w:val="22"/>
          <w:lang w:val="en-GB"/>
        </w:rPr>
        <w:t>’</w:t>
      </w:r>
      <w:r>
        <w:rPr>
          <w:rFonts w:ascii="Gill Sans" w:hAnsi="Gill Sans" w:cs="Gill Sans"/>
          <w:noProof/>
          <w:sz w:val="22"/>
          <w:szCs w:val="22"/>
          <w:lang w:val="en-GB"/>
        </w:rPr>
        <w:t xml:space="preserve"> </w:t>
      </w:r>
      <w:r w:rsidR="002D6D9A">
        <w:rPr>
          <w:rFonts w:ascii="Gill Sans" w:hAnsi="Gill Sans" w:cs="Gill Sans"/>
          <w:noProof/>
          <w:sz w:val="22"/>
          <w:szCs w:val="22"/>
          <w:lang w:val="en-GB"/>
        </w:rPr>
        <w:t xml:space="preserve">de facto practice is to </w:t>
      </w:r>
      <w:r>
        <w:rPr>
          <w:rFonts w:ascii="Gill Sans" w:hAnsi="Gill Sans" w:cs="Gill Sans"/>
          <w:noProof/>
          <w:sz w:val="22"/>
          <w:szCs w:val="22"/>
          <w:lang w:val="en-GB"/>
        </w:rPr>
        <w:t xml:space="preserve">follow such recommendations and implement them in their own regulations. It is important that the </w:t>
      </w:r>
      <w:r w:rsidR="00257C98">
        <w:rPr>
          <w:rFonts w:ascii="Gill Sans" w:hAnsi="Gill Sans" w:cs="Gill Sans"/>
          <w:noProof/>
          <w:sz w:val="22"/>
          <w:szCs w:val="22"/>
          <w:lang w:val="en-GB"/>
        </w:rPr>
        <w:t>g</w:t>
      </w:r>
      <w:r>
        <w:rPr>
          <w:rFonts w:ascii="Gill Sans" w:hAnsi="Gill Sans" w:cs="Gill Sans"/>
          <w:noProof/>
          <w:sz w:val="22"/>
          <w:szCs w:val="22"/>
          <w:lang w:val="en-GB"/>
        </w:rPr>
        <w:t>overnment model rules are enforced through</w:t>
      </w:r>
      <w:r w:rsidR="008F3E5F">
        <w:rPr>
          <w:rFonts w:ascii="Gill Sans" w:hAnsi="Gill Sans" w:cs="Gill Sans"/>
          <w:noProof/>
          <w:sz w:val="22"/>
          <w:szCs w:val="22"/>
          <w:lang w:val="en-GB"/>
        </w:rPr>
        <w:t xml:space="preserve"> the</w:t>
      </w:r>
      <w:r>
        <w:rPr>
          <w:rFonts w:ascii="Gill Sans" w:hAnsi="Gill Sans" w:cs="Gill Sans"/>
          <w:noProof/>
          <w:sz w:val="22"/>
          <w:szCs w:val="22"/>
          <w:lang w:val="en-GB"/>
        </w:rPr>
        <w:t xml:space="preserve"> internal regulations of the relevant authorities.</w:t>
      </w:r>
      <w:r w:rsidR="00FF622E">
        <w:rPr>
          <w:rFonts w:ascii="Gill Sans" w:hAnsi="Gill Sans" w:cs="Gill Sans"/>
          <w:noProof/>
          <w:sz w:val="22"/>
          <w:szCs w:val="22"/>
          <w:lang w:val="en-GB"/>
        </w:rPr>
        <w:t xml:space="preserve"> Th</w:t>
      </w:r>
      <w:r w:rsidR="006B668C">
        <w:rPr>
          <w:rFonts w:ascii="Gill Sans" w:hAnsi="Gill Sans" w:cs="Gill Sans"/>
          <w:noProof/>
          <w:sz w:val="22"/>
          <w:szCs w:val="22"/>
          <w:lang w:val="en-GB"/>
        </w:rPr>
        <w:t xml:space="preserve">erefore, the “government instructions” </w:t>
      </w:r>
      <w:r w:rsidR="00FF622E">
        <w:rPr>
          <w:rFonts w:ascii="Gill Sans" w:hAnsi="Gill Sans" w:cs="Gill Sans"/>
          <w:noProof/>
          <w:sz w:val="22"/>
          <w:szCs w:val="22"/>
          <w:lang w:val="en-GB"/>
        </w:rPr>
        <w:t>enhance the</w:t>
      </w:r>
      <w:r w:rsidR="00C26548">
        <w:rPr>
          <w:rFonts w:ascii="Gill Sans" w:hAnsi="Gill Sans" w:cs="Gill Sans"/>
          <w:noProof/>
          <w:sz w:val="22"/>
          <w:szCs w:val="22"/>
          <w:lang w:val="en-GB"/>
        </w:rPr>
        <w:t xml:space="preserve"> level of public access to </w:t>
      </w:r>
      <w:r w:rsidR="008F3E5F">
        <w:rPr>
          <w:rFonts w:ascii="Gill Sans" w:hAnsi="Gill Sans" w:cs="Gill Sans"/>
          <w:noProof/>
          <w:sz w:val="22"/>
          <w:szCs w:val="22"/>
          <w:lang w:val="en-GB"/>
        </w:rPr>
        <w:t xml:space="preserve">official </w:t>
      </w:r>
      <w:r w:rsidR="00C26548">
        <w:rPr>
          <w:rFonts w:ascii="Gill Sans" w:hAnsi="Gill Sans" w:cs="Gill Sans"/>
          <w:noProof/>
          <w:sz w:val="22"/>
          <w:szCs w:val="22"/>
          <w:lang w:val="en-GB"/>
        </w:rPr>
        <w:t>gove</w:t>
      </w:r>
      <w:r w:rsidR="00FF622E">
        <w:rPr>
          <w:rFonts w:ascii="Gill Sans" w:hAnsi="Gill Sans" w:cs="Gill Sans"/>
          <w:noProof/>
          <w:sz w:val="22"/>
          <w:szCs w:val="22"/>
          <w:lang w:val="en-GB"/>
        </w:rPr>
        <w:t>r</w:t>
      </w:r>
      <w:r w:rsidR="00C26548">
        <w:rPr>
          <w:rFonts w:ascii="Gill Sans" w:hAnsi="Gill Sans" w:cs="Gill Sans"/>
          <w:noProof/>
          <w:sz w:val="22"/>
          <w:szCs w:val="22"/>
          <w:lang w:val="en-GB"/>
        </w:rPr>
        <w:t>n</w:t>
      </w:r>
      <w:r w:rsidR="00FF622E">
        <w:rPr>
          <w:rFonts w:ascii="Gill Sans" w:hAnsi="Gill Sans" w:cs="Gill Sans"/>
          <w:noProof/>
          <w:sz w:val="22"/>
          <w:szCs w:val="22"/>
          <w:lang w:val="en-GB"/>
        </w:rPr>
        <w:t>ment</w:t>
      </w:r>
      <w:r w:rsidR="008F3E5F">
        <w:rPr>
          <w:rFonts w:ascii="Gill Sans" w:hAnsi="Gill Sans" w:cs="Gill Sans"/>
          <w:noProof/>
          <w:sz w:val="22"/>
          <w:szCs w:val="22"/>
          <w:lang w:val="en-GB"/>
        </w:rPr>
        <w:t>-</w:t>
      </w:r>
      <w:r w:rsidR="00FF622E">
        <w:rPr>
          <w:rFonts w:ascii="Gill Sans" w:hAnsi="Gill Sans" w:cs="Gill Sans"/>
          <w:noProof/>
          <w:sz w:val="22"/>
          <w:szCs w:val="22"/>
          <w:lang w:val="en-GB"/>
        </w:rPr>
        <w:t>held information</w:t>
      </w:r>
      <w:r w:rsidR="00667E37">
        <w:rPr>
          <w:rFonts w:ascii="Gill Sans" w:hAnsi="Gill Sans" w:cs="Gill Sans"/>
          <w:noProof/>
          <w:sz w:val="22"/>
          <w:szCs w:val="22"/>
          <w:lang w:val="en-GB"/>
        </w:rPr>
        <w:t>. The rules lay the ground</w:t>
      </w:r>
      <w:r w:rsidR="008F3E5F">
        <w:rPr>
          <w:rFonts w:ascii="Gill Sans" w:hAnsi="Gill Sans" w:cs="Gill Sans"/>
          <w:noProof/>
          <w:sz w:val="22"/>
          <w:szCs w:val="22"/>
          <w:lang w:val="en-GB"/>
        </w:rPr>
        <w:t>work</w:t>
      </w:r>
      <w:r w:rsidR="00667E37">
        <w:rPr>
          <w:rFonts w:ascii="Gill Sans" w:hAnsi="Gill Sans" w:cs="Gill Sans"/>
          <w:noProof/>
          <w:sz w:val="22"/>
          <w:szCs w:val="22"/>
          <w:lang w:val="en-GB"/>
        </w:rPr>
        <w:t xml:space="preserve"> for improved implementation of the 2011 Law on Access to Public Information</w:t>
      </w:r>
      <w:r w:rsidR="008F3E5F">
        <w:rPr>
          <w:rFonts w:ascii="Gill Sans" w:hAnsi="Gill Sans" w:cs="Gill Sans"/>
          <w:noProof/>
          <w:sz w:val="22"/>
          <w:szCs w:val="22"/>
          <w:lang w:val="en-GB"/>
        </w:rPr>
        <w:t>. It does so</w:t>
      </w:r>
      <w:r w:rsidR="00667E37">
        <w:rPr>
          <w:rFonts w:ascii="Gill Sans" w:hAnsi="Gill Sans" w:cs="Gill Sans"/>
          <w:noProof/>
          <w:sz w:val="22"/>
          <w:szCs w:val="22"/>
          <w:lang w:val="en-GB"/>
        </w:rPr>
        <w:t xml:space="preserve"> by defining the rules for manag</w:t>
      </w:r>
      <w:r w:rsidR="008F3E5F">
        <w:rPr>
          <w:rFonts w:ascii="Gill Sans" w:hAnsi="Gill Sans" w:cs="Gill Sans"/>
          <w:noProof/>
          <w:sz w:val="22"/>
          <w:szCs w:val="22"/>
          <w:lang w:val="en-GB"/>
        </w:rPr>
        <w:t>ing</w:t>
      </w:r>
      <w:r w:rsidR="00667E37">
        <w:rPr>
          <w:rFonts w:ascii="Gill Sans" w:hAnsi="Gill Sans" w:cs="Gill Sans"/>
          <w:noProof/>
          <w:sz w:val="22"/>
          <w:szCs w:val="22"/>
          <w:lang w:val="en-GB"/>
        </w:rPr>
        <w:t xml:space="preserve"> public information and</w:t>
      </w:r>
      <w:r w:rsidR="00257C98">
        <w:rPr>
          <w:rFonts w:ascii="Gill Sans" w:hAnsi="Gill Sans" w:cs="Gill Sans"/>
          <w:noProof/>
          <w:sz w:val="22"/>
          <w:szCs w:val="22"/>
          <w:lang w:val="en-GB"/>
        </w:rPr>
        <w:t>,</w:t>
      </w:r>
      <w:r w:rsidR="00667E37">
        <w:rPr>
          <w:rFonts w:ascii="Gill Sans" w:hAnsi="Gill Sans" w:cs="Gill Sans"/>
          <w:noProof/>
          <w:sz w:val="22"/>
          <w:szCs w:val="22"/>
          <w:lang w:val="en-GB"/>
        </w:rPr>
        <w:t xml:space="preserve"> more importantly, </w:t>
      </w:r>
      <w:r w:rsidR="00111B59">
        <w:rPr>
          <w:rFonts w:ascii="Gill Sans" w:hAnsi="Gill Sans" w:cs="Gill Sans"/>
          <w:noProof/>
          <w:sz w:val="22"/>
          <w:szCs w:val="22"/>
          <w:lang w:val="en-GB"/>
        </w:rPr>
        <w:t xml:space="preserve">requiring public </w:t>
      </w:r>
      <w:r w:rsidR="001B3B21">
        <w:rPr>
          <w:rFonts w:ascii="Gill Sans" w:hAnsi="Gill Sans" w:cs="Gill Sans"/>
          <w:noProof/>
          <w:sz w:val="22"/>
          <w:szCs w:val="22"/>
          <w:lang w:val="en-GB"/>
        </w:rPr>
        <w:t xml:space="preserve">and </w:t>
      </w:r>
      <w:r w:rsidR="00111B59">
        <w:rPr>
          <w:rFonts w:ascii="Gill Sans" w:hAnsi="Gill Sans" w:cs="Gill Sans"/>
          <w:noProof/>
          <w:sz w:val="22"/>
          <w:szCs w:val="22"/>
          <w:lang w:val="en-GB"/>
        </w:rPr>
        <w:t xml:space="preserve">harm tests before denying a public information request. </w:t>
      </w:r>
    </w:p>
    <w:p w14:paraId="00EE94FF" w14:textId="77777777" w:rsidR="00545B73" w:rsidRPr="00BB3451" w:rsidRDefault="00545B73" w:rsidP="00163080">
      <w:pPr>
        <w:pStyle w:val="Heading3"/>
      </w:pPr>
      <w:r w:rsidRPr="00BB3451">
        <w:t>Carried forward?</w:t>
      </w:r>
    </w:p>
    <w:p w14:paraId="4E84D993" w14:textId="7B325F31" w:rsidR="00A2568C" w:rsidRDefault="00545B73" w:rsidP="00545B73">
      <w:pPr>
        <w:spacing w:after="120"/>
        <w:rPr>
          <w:rFonts w:ascii="Gill Sans" w:hAnsi="Gill Sans" w:cs="Gill Sans"/>
          <w:sz w:val="22"/>
          <w:szCs w:val="22"/>
        </w:rPr>
      </w:pPr>
      <w:r w:rsidRPr="00BB3451">
        <w:rPr>
          <w:rFonts w:ascii="Gill Sans" w:hAnsi="Gill Sans" w:cs="Gill Sans"/>
          <w:sz w:val="22"/>
          <w:szCs w:val="22"/>
        </w:rPr>
        <w:t xml:space="preserve">The commitment was </w:t>
      </w:r>
      <w:r w:rsidR="00A2568C">
        <w:rPr>
          <w:rFonts w:ascii="Gill Sans" w:hAnsi="Gill Sans" w:cs="Gill Sans"/>
          <w:sz w:val="22"/>
          <w:szCs w:val="22"/>
        </w:rPr>
        <w:t>completed</w:t>
      </w:r>
      <w:r w:rsidR="008F3E5F">
        <w:rPr>
          <w:rFonts w:ascii="Gill Sans" w:hAnsi="Gill Sans" w:cs="Gill Sans"/>
          <w:sz w:val="22"/>
          <w:szCs w:val="22"/>
        </w:rPr>
        <w:t>,</w:t>
      </w:r>
      <w:r w:rsidR="00A2568C">
        <w:rPr>
          <w:rFonts w:ascii="Gill Sans" w:hAnsi="Gill Sans" w:cs="Gill Sans"/>
          <w:sz w:val="22"/>
          <w:szCs w:val="22"/>
        </w:rPr>
        <w:t xml:space="preserve"> and </w:t>
      </w:r>
      <w:r w:rsidR="00C15941">
        <w:rPr>
          <w:rFonts w:ascii="Gill Sans" w:hAnsi="Gill Sans" w:cs="Gill Sans"/>
          <w:sz w:val="22"/>
          <w:szCs w:val="22"/>
        </w:rPr>
        <w:t xml:space="preserve">was </w:t>
      </w:r>
      <w:r w:rsidRPr="00BB3451">
        <w:rPr>
          <w:rFonts w:ascii="Gill Sans" w:hAnsi="Gill Sans" w:cs="Gill Sans"/>
          <w:sz w:val="22"/>
          <w:szCs w:val="22"/>
        </w:rPr>
        <w:t>not carri</w:t>
      </w:r>
      <w:r w:rsidR="00A2568C">
        <w:rPr>
          <w:rFonts w:ascii="Gill Sans" w:hAnsi="Gill Sans" w:cs="Gill Sans"/>
          <w:sz w:val="22"/>
          <w:szCs w:val="22"/>
        </w:rPr>
        <w:t>ed over to the new action plan.</w:t>
      </w:r>
    </w:p>
    <w:p w14:paraId="1754C0B2" w14:textId="77777777" w:rsidR="00A2568C" w:rsidRDefault="00A2568C">
      <w:pPr>
        <w:rPr>
          <w:rFonts w:ascii="Gill Sans" w:hAnsi="Gill Sans" w:cs="Gill Sans"/>
          <w:sz w:val="22"/>
          <w:szCs w:val="22"/>
        </w:rPr>
      </w:pPr>
      <w:r>
        <w:rPr>
          <w:rFonts w:ascii="Gill Sans" w:hAnsi="Gill Sans" w:cs="Gill Sans"/>
          <w:sz w:val="22"/>
          <w:szCs w:val="22"/>
        </w:rPr>
        <w:br w:type="page"/>
      </w:r>
    </w:p>
    <w:p w14:paraId="7346FE1E" w14:textId="77777777" w:rsidR="00A2568C" w:rsidRDefault="00A2568C" w:rsidP="00545B73">
      <w:pPr>
        <w:spacing w:after="120"/>
        <w:rPr>
          <w:noProof/>
          <w:lang w:val="en-GB"/>
        </w:rPr>
        <w:sectPr w:rsidR="00A2568C" w:rsidSect="002A2966">
          <w:endnotePr>
            <w:numFmt w:val="decimal"/>
            <w:numRestart w:val="eachSect"/>
          </w:endnotePr>
          <w:pgSz w:w="11907" w:h="16839" w:code="9"/>
          <w:pgMar w:top="1417" w:right="1417" w:bottom="1417" w:left="1417" w:header="0" w:footer="0" w:gutter="0"/>
          <w:cols w:space="708"/>
          <w:docGrid w:linePitch="360"/>
        </w:sectPr>
      </w:pPr>
    </w:p>
    <w:p w14:paraId="5B200EFC" w14:textId="0582425B" w:rsidR="0089761F" w:rsidRPr="00BB3451" w:rsidRDefault="00F645C3" w:rsidP="0089761F">
      <w:pPr>
        <w:pStyle w:val="Normalrglronly"/>
        <w:rPr>
          <w:b/>
          <w:lang w:val="en-GB"/>
        </w:rPr>
      </w:pPr>
      <w:r w:rsidRPr="00C126F0">
        <w:rPr>
          <w:b/>
          <w:lang w:val="en-GB"/>
        </w:rPr>
        <w:lastRenderedPageBreak/>
        <w:t>5.2</w:t>
      </w:r>
      <w:r w:rsidR="0089761F" w:rsidRPr="00C126F0">
        <w:rPr>
          <w:b/>
          <w:lang w:val="en-GB"/>
        </w:rPr>
        <w:t xml:space="preserve"> </w:t>
      </w:r>
      <w:r w:rsidRPr="00C126F0">
        <w:rPr>
          <w:b/>
          <w:lang w:val="en-GB"/>
        </w:rPr>
        <w:t>Access to urban planning documents</w:t>
      </w:r>
    </w:p>
    <w:p w14:paraId="2C892395" w14:textId="685A57F9" w:rsidR="00F330F7" w:rsidRPr="00F330F7" w:rsidRDefault="00257C98" w:rsidP="00F330F7">
      <w:pPr>
        <w:spacing w:after="120"/>
        <w:rPr>
          <w:rFonts w:ascii="Gill Sans" w:hAnsi="Gill Sans" w:cs="Gill Sans"/>
          <w:i/>
          <w:noProof/>
          <w:sz w:val="22"/>
          <w:szCs w:val="22"/>
          <w:lang w:val="en-GB"/>
        </w:rPr>
      </w:pPr>
      <w:r w:rsidRPr="0016308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F330F7" w:rsidRPr="00F330F7">
        <w:rPr>
          <w:rFonts w:ascii="Gill Sans" w:hAnsi="Gill Sans" w:cs="Gill Sans"/>
          <w:i/>
          <w:noProof/>
          <w:sz w:val="22"/>
          <w:szCs w:val="22"/>
          <w:lang w:val="en-GB"/>
        </w:rPr>
        <w:t>5.2. Ensuring citizens’ unhindered access to public information by means of: ensuring free public access to urban planning documentation and geo-information data (including in electronic form)</w:t>
      </w:r>
      <w:r>
        <w:rPr>
          <w:rFonts w:ascii="Gill Sans" w:hAnsi="Gill Sans" w:cs="Gill Sans"/>
          <w:i/>
          <w:noProof/>
          <w:sz w:val="22"/>
          <w:szCs w:val="22"/>
          <w:lang w:val="en-GB"/>
        </w:rPr>
        <w:t>.</w:t>
      </w:r>
    </w:p>
    <w:p w14:paraId="2426D77C" w14:textId="6CEDEC8E" w:rsidR="00F330F7" w:rsidRPr="00F330F7" w:rsidRDefault="00F330F7" w:rsidP="00F330F7">
      <w:pPr>
        <w:spacing w:after="120"/>
        <w:rPr>
          <w:rFonts w:ascii="Gill Sans" w:hAnsi="Gill Sans" w:cs="Gill Sans"/>
          <w:i/>
          <w:noProof/>
          <w:sz w:val="22"/>
          <w:szCs w:val="22"/>
          <w:lang w:val="en-GB"/>
        </w:rPr>
      </w:pPr>
      <w:r w:rsidRPr="00F330F7">
        <w:rPr>
          <w:rFonts w:ascii="Gill Sans" w:hAnsi="Gill Sans" w:cs="Gill Sans"/>
          <w:i/>
          <w:noProof/>
          <w:sz w:val="22"/>
          <w:szCs w:val="22"/>
          <w:lang w:val="en-GB"/>
        </w:rPr>
        <w:t xml:space="preserve">Expected result: </w:t>
      </w:r>
      <w:r w:rsidRPr="00F330F7">
        <w:rPr>
          <w:rFonts w:ascii="Gill Sans" w:hAnsi="Gill Sans" w:cs="Gill Sans"/>
          <w:i/>
          <w:sz w:val="22"/>
          <w:szCs w:val="22"/>
          <w:lang w:val="en-GB"/>
        </w:rPr>
        <w:t>practices of using the “For internal use only” classification revised concerning urban planning documentation, particularly general urban development plans; general urban development plans published according to the Law of Ukraine on Regulation of Urban Planning Activities; central executive authorities’ regulatory legal acts, particularly lists of data constituting restricted information, brought into conformity with the Law of Ukraine on Access to Public Information, the Law of Ukraine on Amending Some Legislative Acts of Ukraine in Connection with the Adoption of the Law of Ukraine on Information and the Law of Ukraine on Access to Public Information to ensure citizens’ access to geo-information data created at the state budget expense, particularly large-scale maps and plans</w:t>
      </w:r>
      <w:r w:rsidR="00257C98">
        <w:rPr>
          <w:rFonts w:ascii="Gill Sans" w:hAnsi="Gill Sans" w:cs="Gill Sans"/>
          <w:i/>
          <w:sz w:val="22"/>
          <w:szCs w:val="22"/>
          <w:lang w:val="en-GB"/>
        </w:rPr>
        <w:t>.</w:t>
      </w:r>
    </w:p>
    <w:p w14:paraId="12EEF747" w14:textId="7E990283" w:rsidR="00F330F7" w:rsidRPr="00F330F7" w:rsidRDefault="00F330F7" w:rsidP="00F330F7">
      <w:pPr>
        <w:spacing w:after="120"/>
        <w:rPr>
          <w:rFonts w:ascii="Gill Sans" w:hAnsi="Gill Sans" w:cs="Gill Sans"/>
          <w:i/>
          <w:noProof/>
          <w:sz w:val="22"/>
          <w:szCs w:val="22"/>
          <w:lang w:val="en-GB"/>
        </w:rPr>
      </w:pPr>
      <w:r w:rsidRPr="00F330F7">
        <w:rPr>
          <w:rFonts w:ascii="Gill Sans" w:hAnsi="Gill Sans" w:cs="Gill Sans"/>
          <w:sz w:val="22"/>
          <w:szCs w:val="22"/>
          <w:lang w:val="en-GB"/>
        </w:rPr>
        <w:t>Lead institution</w:t>
      </w:r>
      <w:r w:rsidR="00257C98">
        <w:rPr>
          <w:rFonts w:ascii="Gill Sans" w:hAnsi="Gill Sans" w:cs="Gill Sans"/>
          <w:sz w:val="22"/>
          <w:szCs w:val="22"/>
          <w:lang w:val="en-GB"/>
        </w:rPr>
        <w:t>(s)</w:t>
      </w:r>
      <w:r w:rsidRPr="00F330F7">
        <w:rPr>
          <w:rFonts w:ascii="Gill Sans" w:hAnsi="Gill Sans" w:cs="Gill Sans"/>
          <w:sz w:val="22"/>
          <w:szCs w:val="22"/>
          <w:lang w:val="en-GB"/>
        </w:rPr>
        <w:t>:</w:t>
      </w:r>
      <w:r w:rsidRPr="00F330F7">
        <w:rPr>
          <w:rFonts w:ascii="Gill Sans" w:hAnsi="Gill Sans" w:cs="Gill Sans"/>
          <w:noProof/>
          <w:sz w:val="22"/>
          <w:szCs w:val="22"/>
          <w:lang w:val="en-GB"/>
        </w:rPr>
        <w:t xml:space="preserve"> Ministry of Regional Development</w:t>
      </w:r>
    </w:p>
    <w:p w14:paraId="74910FF2" w14:textId="26D36027" w:rsidR="00F330F7" w:rsidRPr="00F330F7" w:rsidRDefault="00F330F7" w:rsidP="00F330F7">
      <w:pPr>
        <w:spacing w:after="120"/>
        <w:rPr>
          <w:rFonts w:ascii="Gill Sans" w:hAnsi="Gill Sans" w:cs="Gill Sans"/>
          <w:noProof/>
          <w:sz w:val="22"/>
          <w:szCs w:val="22"/>
          <w:lang w:val="en-GB"/>
        </w:rPr>
      </w:pPr>
      <w:r w:rsidRPr="00F330F7">
        <w:rPr>
          <w:rFonts w:ascii="Gill Sans" w:hAnsi="Gill Sans" w:cs="Gill Sans"/>
          <w:sz w:val="22"/>
          <w:szCs w:val="22"/>
          <w:lang w:val="en-GB"/>
        </w:rPr>
        <w:t>Supporting institution</w:t>
      </w:r>
      <w:r w:rsidR="00257C98">
        <w:rPr>
          <w:rFonts w:ascii="Gill Sans" w:hAnsi="Gill Sans" w:cs="Gill Sans"/>
          <w:sz w:val="22"/>
          <w:szCs w:val="22"/>
          <w:lang w:val="en-GB"/>
        </w:rPr>
        <w:t>(</w:t>
      </w:r>
      <w:r w:rsidRPr="00F330F7">
        <w:rPr>
          <w:rFonts w:ascii="Gill Sans" w:hAnsi="Gill Sans" w:cs="Gill Sans"/>
          <w:sz w:val="22"/>
          <w:szCs w:val="22"/>
          <w:lang w:val="en-GB"/>
        </w:rPr>
        <w:t>s</w:t>
      </w:r>
      <w:r w:rsidR="00257C98">
        <w:rPr>
          <w:rFonts w:ascii="Gill Sans" w:hAnsi="Gill Sans" w:cs="Gill Sans"/>
          <w:sz w:val="22"/>
          <w:szCs w:val="22"/>
          <w:lang w:val="en-GB"/>
        </w:rPr>
        <w:t>)</w:t>
      </w:r>
      <w:r w:rsidRPr="00F330F7">
        <w:rPr>
          <w:rFonts w:ascii="Gill Sans" w:hAnsi="Gill Sans" w:cs="Gill Sans"/>
          <w:sz w:val="22"/>
          <w:szCs w:val="22"/>
          <w:lang w:val="en-GB"/>
        </w:rPr>
        <w:t xml:space="preserve">: </w:t>
      </w:r>
      <w:r w:rsidRPr="00F330F7">
        <w:rPr>
          <w:rFonts w:ascii="Gill Sans" w:hAnsi="Gill Sans" w:cs="Gill Sans"/>
          <w:noProof/>
          <w:sz w:val="22"/>
          <w:szCs w:val="22"/>
          <w:lang w:val="en-GB"/>
        </w:rPr>
        <w:t>Ministry of Ecology and Natural Resources, Ministry of Defence, Ministry of Agrarian Policy, State Agency of Land Resources, State Agency of Forest Resources, regional state administrations, Kyiv City State Administration, NGO Eastern Ukrainian Centre for Civic Initiatives, unspecified NGOs and international organisations</w:t>
      </w:r>
    </w:p>
    <w:p w14:paraId="7C1DA23F" w14:textId="7A33EFF3" w:rsidR="00F330F7" w:rsidRDefault="00F330F7" w:rsidP="00F330F7">
      <w:pPr>
        <w:spacing w:after="120"/>
        <w:rPr>
          <w:rFonts w:ascii="Gill Sans" w:hAnsi="Gill Sans" w:cs="Gill Sans"/>
          <w:noProof/>
          <w:sz w:val="22"/>
          <w:szCs w:val="22"/>
          <w:lang w:val="en-GB"/>
        </w:rPr>
      </w:pPr>
      <w:r w:rsidRPr="00F330F7">
        <w:rPr>
          <w:rFonts w:ascii="Gill Sans" w:hAnsi="Gill Sans" w:cs="Gill Sans"/>
          <w:noProof/>
          <w:sz w:val="22"/>
          <w:szCs w:val="22"/>
          <w:lang w:val="en-GB"/>
        </w:rPr>
        <w:t xml:space="preserve">Start </w:t>
      </w:r>
      <w:r w:rsidR="00257C98">
        <w:rPr>
          <w:rFonts w:ascii="Gill Sans" w:hAnsi="Gill Sans" w:cs="Gill Sans"/>
          <w:noProof/>
          <w:sz w:val="22"/>
          <w:szCs w:val="22"/>
          <w:lang w:val="en-GB"/>
        </w:rPr>
        <w:t>D</w:t>
      </w:r>
      <w:r w:rsidRPr="00F330F7">
        <w:rPr>
          <w:rFonts w:ascii="Gill Sans" w:hAnsi="Gill Sans" w:cs="Gill Sans"/>
          <w:noProof/>
          <w:sz w:val="22"/>
          <w:szCs w:val="22"/>
          <w:lang w:val="en-GB"/>
        </w:rPr>
        <w:t>ate: Not specified</w:t>
      </w:r>
      <w:r w:rsidRPr="00F330F7">
        <w:rPr>
          <w:rFonts w:ascii="Gill Sans" w:hAnsi="Gill Sans" w:cs="Gill Sans"/>
          <w:noProof/>
          <w:sz w:val="22"/>
          <w:szCs w:val="22"/>
          <w:lang w:val="en-GB"/>
        </w:rPr>
        <w:tab/>
      </w:r>
      <w:r w:rsidR="0020660D">
        <w:rPr>
          <w:rFonts w:ascii="Gill Sans" w:hAnsi="Gill Sans" w:cs="Gill Sans"/>
          <w:noProof/>
          <w:sz w:val="22"/>
          <w:szCs w:val="22"/>
          <w:lang w:val="en-GB"/>
        </w:rPr>
        <w:tab/>
      </w:r>
      <w:r w:rsidR="0020660D">
        <w:rPr>
          <w:rFonts w:ascii="Gill Sans" w:hAnsi="Gill Sans" w:cs="Gill Sans"/>
          <w:noProof/>
          <w:sz w:val="22"/>
          <w:szCs w:val="22"/>
          <w:lang w:val="en-GB"/>
        </w:rPr>
        <w:tab/>
      </w:r>
      <w:r w:rsidR="0020660D">
        <w:rPr>
          <w:rFonts w:ascii="Gill Sans" w:hAnsi="Gill Sans" w:cs="Gill Sans"/>
          <w:noProof/>
          <w:sz w:val="22"/>
          <w:szCs w:val="22"/>
          <w:lang w:val="en-GB"/>
        </w:rPr>
        <w:tab/>
      </w:r>
      <w:r w:rsidR="0020660D">
        <w:rPr>
          <w:rFonts w:ascii="Gill Sans" w:hAnsi="Gill Sans" w:cs="Gill Sans"/>
          <w:noProof/>
          <w:sz w:val="22"/>
          <w:szCs w:val="22"/>
          <w:lang w:val="en-GB"/>
        </w:rPr>
        <w:tab/>
      </w:r>
      <w:r w:rsidRPr="00F330F7">
        <w:rPr>
          <w:rFonts w:ascii="Gill Sans" w:hAnsi="Gill Sans" w:cs="Gill Sans"/>
          <w:noProof/>
          <w:sz w:val="22"/>
          <w:szCs w:val="22"/>
          <w:lang w:val="en-GB"/>
        </w:rPr>
        <w:t xml:space="preserve">End </w:t>
      </w:r>
      <w:r w:rsidR="00257C98">
        <w:rPr>
          <w:rFonts w:ascii="Gill Sans" w:hAnsi="Gill Sans" w:cs="Gill Sans"/>
          <w:noProof/>
          <w:sz w:val="22"/>
          <w:szCs w:val="22"/>
          <w:lang w:val="en-GB"/>
        </w:rPr>
        <w:t>D</w:t>
      </w:r>
      <w:r w:rsidRPr="00F330F7">
        <w:rPr>
          <w:rFonts w:ascii="Gill Sans" w:hAnsi="Gill Sans" w:cs="Gill Sans"/>
          <w:noProof/>
          <w:sz w:val="22"/>
          <w:szCs w:val="22"/>
          <w:lang w:val="en-GB"/>
        </w:rPr>
        <w:t>ate: 31 December 2014</w:t>
      </w:r>
    </w:p>
    <w:tbl>
      <w:tblPr>
        <w:tblW w:w="10368"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347"/>
        <w:gridCol w:w="347"/>
        <w:gridCol w:w="347"/>
        <w:gridCol w:w="428"/>
        <w:gridCol w:w="428"/>
        <w:gridCol w:w="347"/>
        <w:gridCol w:w="347"/>
        <w:gridCol w:w="831"/>
        <w:gridCol w:w="347"/>
        <w:gridCol w:w="347"/>
        <w:gridCol w:w="347"/>
        <w:gridCol w:w="428"/>
        <w:gridCol w:w="347"/>
        <w:gridCol w:w="669"/>
        <w:gridCol w:w="428"/>
        <w:gridCol w:w="508"/>
        <w:gridCol w:w="347"/>
        <w:gridCol w:w="347"/>
        <w:gridCol w:w="428"/>
        <w:gridCol w:w="347"/>
        <w:gridCol w:w="745"/>
      </w:tblGrid>
      <w:tr w:rsidR="0020660D" w:rsidRPr="009651AC" w14:paraId="018E6562" w14:textId="77777777" w:rsidTr="00B017F8">
        <w:trPr>
          <w:trHeight w:val="405"/>
        </w:trPr>
        <w:tc>
          <w:tcPr>
            <w:tcW w:w="1437" w:type="dxa"/>
            <w:vMerge w:val="restart"/>
            <w:tcBorders>
              <w:top w:val="single" w:sz="18" w:space="0" w:color="FFFFFF"/>
              <w:left w:val="single" w:sz="4" w:space="0" w:color="FFFFFF"/>
              <w:right w:val="single" w:sz="18" w:space="0" w:color="FFFFFF"/>
            </w:tcBorders>
            <w:shd w:val="clear" w:color="auto" w:fill="000000"/>
          </w:tcPr>
          <w:p w14:paraId="7968B160" w14:textId="77777777" w:rsidR="0020660D" w:rsidRPr="009651AC" w:rsidRDefault="0020660D" w:rsidP="0020660D">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40737F27" w14:textId="2FEBBBCF" w:rsidR="0020660D" w:rsidRPr="009651AC" w:rsidRDefault="0020660D" w:rsidP="0020660D">
            <w:pPr>
              <w:rPr>
                <w:rFonts w:ascii="Gill Sans" w:hAnsi="Gill Sans" w:cs="Gill Sans"/>
                <w:color w:val="FFFFFF" w:themeColor="background1"/>
                <w:sz w:val="22"/>
                <w:szCs w:val="22"/>
                <w:lang w:val="en-GB"/>
              </w:rPr>
            </w:pPr>
          </w:p>
        </w:tc>
        <w:tc>
          <w:tcPr>
            <w:tcW w:w="1530" w:type="dxa"/>
            <w:gridSpan w:val="4"/>
            <w:vMerge w:val="restart"/>
            <w:tcBorders>
              <w:top w:val="single" w:sz="18" w:space="0" w:color="FFFFFF"/>
              <w:left w:val="single" w:sz="18" w:space="0" w:color="FFFFFF"/>
              <w:right w:val="single" w:sz="18" w:space="0" w:color="FFFFFF"/>
            </w:tcBorders>
            <w:shd w:val="clear" w:color="auto" w:fill="D6E3BC"/>
          </w:tcPr>
          <w:p w14:paraId="29E1CD37"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Specificity</w:t>
            </w:r>
          </w:p>
        </w:tc>
        <w:tc>
          <w:tcPr>
            <w:tcW w:w="2070" w:type="dxa"/>
            <w:gridSpan w:val="4"/>
            <w:vMerge w:val="restart"/>
            <w:tcBorders>
              <w:top w:val="single" w:sz="18" w:space="0" w:color="FFFFFF"/>
              <w:left w:val="single" w:sz="18" w:space="0" w:color="FFFFFF"/>
              <w:right w:val="single" w:sz="18" w:space="0" w:color="FFFFFF"/>
            </w:tcBorders>
            <w:shd w:val="clear" w:color="auto" w:fill="FBD4B4"/>
          </w:tcPr>
          <w:p w14:paraId="568A8CD9" w14:textId="10658DE5"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530" w:type="dxa"/>
            <w:gridSpan w:val="4"/>
            <w:vMerge w:val="restart"/>
            <w:tcBorders>
              <w:top w:val="single" w:sz="18" w:space="0" w:color="FFFFFF"/>
              <w:left w:val="single" w:sz="18" w:space="0" w:color="FFFFFF"/>
              <w:right w:val="single" w:sz="18" w:space="0" w:color="FFFFFF"/>
            </w:tcBorders>
            <w:shd w:val="clear" w:color="auto" w:fill="CCC0D9"/>
          </w:tcPr>
          <w:p w14:paraId="1C4A40D1"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80" w:type="dxa"/>
            <w:gridSpan w:val="2"/>
            <w:vMerge w:val="restart"/>
            <w:tcBorders>
              <w:top w:val="single" w:sz="18" w:space="0" w:color="FFFFFF"/>
              <w:left w:val="single" w:sz="18" w:space="0" w:color="FFFFFF"/>
              <w:right w:val="single" w:sz="2" w:space="0" w:color="FFFFFF"/>
            </w:tcBorders>
            <w:shd w:val="clear" w:color="auto" w:fill="B8CCE4"/>
          </w:tcPr>
          <w:p w14:paraId="67A55F8D" w14:textId="6829711F" w:rsidR="0020660D" w:rsidRPr="009651AC" w:rsidRDefault="0020660D" w:rsidP="0020660D">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90"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4E4F84F4"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Midterm</w:t>
            </w:r>
          </w:p>
        </w:tc>
        <w:tc>
          <w:tcPr>
            <w:tcW w:w="2334" w:type="dxa"/>
            <w:gridSpan w:val="5"/>
            <w:vMerge w:val="restart"/>
            <w:tcBorders>
              <w:top w:val="single" w:sz="18" w:space="0" w:color="FFFFFF"/>
              <w:left w:val="single" w:sz="18" w:space="0" w:color="FFFFFF"/>
              <w:right w:val="single" w:sz="18" w:space="0" w:color="FFFFFF"/>
            </w:tcBorders>
            <w:shd w:val="clear" w:color="auto" w:fill="D99594"/>
          </w:tcPr>
          <w:p w14:paraId="5BAC7196" w14:textId="039324AF"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20660D" w:rsidRPr="009651AC" w14:paraId="7D0E71EB" w14:textId="77777777" w:rsidTr="00B017F8">
        <w:trPr>
          <w:trHeight w:val="373"/>
        </w:trPr>
        <w:tc>
          <w:tcPr>
            <w:tcW w:w="1437" w:type="dxa"/>
            <w:vMerge/>
            <w:tcBorders>
              <w:left w:val="single" w:sz="4" w:space="0" w:color="FFFFFF"/>
              <w:right w:val="single" w:sz="18" w:space="0" w:color="FFFFFF"/>
            </w:tcBorders>
            <w:shd w:val="clear" w:color="auto" w:fill="000000"/>
          </w:tcPr>
          <w:p w14:paraId="4ED40491" w14:textId="7ED62C26" w:rsidR="0020660D" w:rsidRPr="009651AC" w:rsidRDefault="0020660D" w:rsidP="0020660D">
            <w:pPr>
              <w:rPr>
                <w:rFonts w:ascii="Gill Sans" w:hAnsi="Gill Sans" w:cs="Gill Sans"/>
                <w:color w:val="FFFFFF" w:themeColor="background1"/>
                <w:sz w:val="22"/>
                <w:szCs w:val="22"/>
                <w:lang w:val="en-GB"/>
              </w:rPr>
            </w:pPr>
          </w:p>
        </w:tc>
        <w:tc>
          <w:tcPr>
            <w:tcW w:w="1530" w:type="dxa"/>
            <w:gridSpan w:val="4"/>
            <w:vMerge/>
            <w:tcBorders>
              <w:left w:val="single" w:sz="18" w:space="0" w:color="FFFFFF"/>
              <w:bottom w:val="single" w:sz="18" w:space="0" w:color="FFFFFF"/>
              <w:right w:val="single" w:sz="18" w:space="0" w:color="FFFFFF"/>
            </w:tcBorders>
            <w:shd w:val="clear" w:color="auto" w:fill="D6E3BC"/>
          </w:tcPr>
          <w:p w14:paraId="36C00FB6" w14:textId="77777777" w:rsidR="0020660D" w:rsidRPr="009651AC" w:rsidRDefault="0020660D" w:rsidP="0020660D">
            <w:pPr>
              <w:rPr>
                <w:rFonts w:ascii="Gill Sans" w:hAnsi="Gill Sans" w:cs="Gill Sans"/>
                <w:sz w:val="22"/>
                <w:szCs w:val="22"/>
                <w:lang w:val="en-GB"/>
              </w:rPr>
            </w:pPr>
          </w:p>
        </w:tc>
        <w:tc>
          <w:tcPr>
            <w:tcW w:w="2070" w:type="dxa"/>
            <w:gridSpan w:val="4"/>
            <w:vMerge/>
            <w:tcBorders>
              <w:left w:val="single" w:sz="18" w:space="0" w:color="FFFFFF"/>
              <w:bottom w:val="single" w:sz="18" w:space="0" w:color="FFFFFF"/>
              <w:right w:val="single" w:sz="18" w:space="0" w:color="FFFFFF"/>
            </w:tcBorders>
            <w:shd w:val="clear" w:color="auto" w:fill="FBD4B4"/>
          </w:tcPr>
          <w:p w14:paraId="012780AE" w14:textId="77777777" w:rsidR="0020660D" w:rsidRPr="009651AC" w:rsidRDefault="0020660D" w:rsidP="0020660D">
            <w:pPr>
              <w:rPr>
                <w:rFonts w:ascii="Gill Sans" w:hAnsi="Gill Sans" w:cs="Gill Sans"/>
                <w:sz w:val="22"/>
                <w:szCs w:val="22"/>
                <w:lang w:val="en-GB"/>
              </w:rPr>
            </w:pPr>
          </w:p>
        </w:tc>
        <w:tc>
          <w:tcPr>
            <w:tcW w:w="1530" w:type="dxa"/>
            <w:gridSpan w:val="4"/>
            <w:vMerge/>
            <w:tcBorders>
              <w:left w:val="single" w:sz="18" w:space="0" w:color="FFFFFF"/>
              <w:bottom w:val="single" w:sz="18" w:space="0" w:color="FFFFFF"/>
              <w:right w:val="single" w:sz="18" w:space="0" w:color="FFFFFF"/>
            </w:tcBorders>
            <w:shd w:val="clear" w:color="auto" w:fill="CCC0D9"/>
          </w:tcPr>
          <w:p w14:paraId="6380323B" w14:textId="77777777" w:rsidR="0020660D" w:rsidRPr="009651AC" w:rsidRDefault="0020660D" w:rsidP="0020660D">
            <w:pPr>
              <w:rPr>
                <w:rFonts w:ascii="Gill Sans" w:hAnsi="Gill Sans" w:cs="Gill Sans"/>
                <w:sz w:val="22"/>
                <w:szCs w:val="22"/>
                <w:lang w:val="en-GB"/>
              </w:rPr>
            </w:pPr>
          </w:p>
        </w:tc>
        <w:tc>
          <w:tcPr>
            <w:tcW w:w="1080" w:type="dxa"/>
            <w:gridSpan w:val="2"/>
            <w:vMerge/>
            <w:tcBorders>
              <w:left w:val="single" w:sz="18" w:space="0" w:color="FFFFFF"/>
              <w:bottom w:val="single" w:sz="18" w:space="0" w:color="FFFFFF"/>
              <w:right w:val="single" w:sz="2" w:space="0" w:color="FFFFFF"/>
            </w:tcBorders>
            <w:shd w:val="clear" w:color="auto" w:fill="B8CCE4"/>
          </w:tcPr>
          <w:p w14:paraId="4813E2EB" w14:textId="77777777" w:rsidR="0020660D" w:rsidRPr="009651AC" w:rsidRDefault="0020660D" w:rsidP="0020660D">
            <w:pPr>
              <w:rPr>
                <w:rFonts w:ascii="Gill Sans" w:hAnsi="Gill Sans" w:cs="Gill Sans"/>
                <w:sz w:val="22"/>
                <w:szCs w:val="22"/>
                <w:lang w:val="en-GB"/>
              </w:rPr>
            </w:pPr>
          </w:p>
        </w:tc>
        <w:tc>
          <w:tcPr>
            <w:tcW w:w="990"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3DF51C60" w14:textId="3EF2F270"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2334" w:type="dxa"/>
            <w:gridSpan w:val="5"/>
            <w:vMerge/>
            <w:tcBorders>
              <w:left w:val="single" w:sz="18" w:space="0" w:color="FFFFFF"/>
              <w:bottom w:val="single" w:sz="18" w:space="0" w:color="FFFFFF"/>
              <w:right w:val="single" w:sz="18" w:space="0" w:color="FFFFFF"/>
            </w:tcBorders>
            <w:shd w:val="clear" w:color="auto" w:fill="D99594"/>
          </w:tcPr>
          <w:p w14:paraId="7F4E61E4" w14:textId="77777777" w:rsidR="0020660D" w:rsidRPr="009651AC" w:rsidRDefault="0020660D" w:rsidP="0020660D">
            <w:pPr>
              <w:rPr>
                <w:rFonts w:ascii="Gill Sans" w:hAnsi="Gill Sans" w:cs="Gill Sans"/>
                <w:sz w:val="22"/>
                <w:szCs w:val="22"/>
                <w:lang w:val="en-GB"/>
              </w:rPr>
            </w:pPr>
          </w:p>
        </w:tc>
      </w:tr>
      <w:tr w:rsidR="0020660D" w:rsidRPr="009651AC" w14:paraId="1E0D014C" w14:textId="77777777" w:rsidTr="00B017F8">
        <w:trPr>
          <w:cantSplit/>
          <w:trHeight w:val="2336"/>
        </w:trPr>
        <w:tc>
          <w:tcPr>
            <w:tcW w:w="1437" w:type="dxa"/>
            <w:vMerge/>
            <w:tcBorders>
              <w:left w:val="single" w:sz="4" w:space="0" w:color="FFFFFF"/>
              <w:right w:val="single" w:sz="18" w:space="0" w:color="FFFFFF"/>
            </w:tcBorders>
            <w:shd w:val="clear" w:color="auto" w:fill="000000"/>
          </w:tcPr>
          <w:p w14:paraId="2E353B95" w14:textId="35BD94AD" w:rsidR="0020660D" w:rsidRPr="009651AC" w:rsidRDefault="0020660D" w:rsidP="0020660D">
            <w:pPr>
              <w:rPr>
                <w:rFonts w:ascii="Gill Sans" w:hAnsi="Gill Sans" w:cs="Gill Sans"/>
                <w:color w:val="FFFFFF" w:themeColor="background1"/>
                <w:sz w:val="22"/>
                <w:szCs w:val="22"/>
                <w:lang w:val="en-GB"/>
              </w:rPr>
            </w:pPr>
          </w:p>
        </w:tc>
        <w:tc>
          <w:tcPr>
            <w:tcW w:w="360"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4B3B9CAB"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48F62848"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Low</w:t>
            </w:r>
          </w:p>
        </w:tc>
        <w:tc>
          <w:tcPr>
            <w:tcW w:w="360"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26743C08"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Medium</w:t>
            </w:r>
          </w:p>
        </w:tc>
        <w:tc>
          <w:tcPr>
            <w:tcW w:w="450"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542FCBA2"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High</w:t>
            </w:r>
          </w:p>
        </w:tc>
        <w:tc>
          <w:tcPr>
            <w:tcW w:w="45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48A3DFB1"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6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51C95AF9"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6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34B3DBD9"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900"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7305E20E"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43BE2534"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70A607F1"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Minor</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2C8B9067"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Moderate</w:t>
            </w:r>
          </w:p>
        </w:tc>
        <w:tc>
          <w:tcPr>
            <w:tcW w:w="450"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012F8FF8"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360"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18B2DAB0" w14:textId="094B9A9E"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72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207C5141"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Limited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5C45FC3F"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Substantial</w:t>
            </w:r>
          </w:p>
        </w:tc>
        <w:tc>
          <w:tcPr>
            <w:tcW w:w="540"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03EAE5FA"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658564F6" w14:textId="26AE1BD0" w:rsidR="0020660D" w:rsidRPr="009651AC" w:rsidRDefault="0020660D" w:rsidP="007729D3">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97F1399" w14:textId="60545150"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4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B1FB371"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Marginal</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A33CE3D"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804"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307BF259"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Outstanding</w:t>
            </w:r>
          </w:p>
        </w:tc>
      </w:tr>
      <w:tr w:rsidR="0020660D" w:rsidRPr="009651AC" w14:paraId="445BB53D" w14:textId="77777777" w:rsidTr="00B017F8">
        <w:trPr>
          <w:trHeight w:val="340"/>
        </w:trPr>
        <w:tc>
          <w:tcPr>
            <w:tcW w:w="1437" w:type="dxa"/>
            <w:vMerge/>
            <w:tcBorders>
              <w:left w:val="single" w:sz="4" w:space="0" w:color="FFFFFF"/>
              <w:right w:val="single" w:sz="18" w:space="0" w:color="FFFFFF"/>
            </w:tcBorders>
            <w:shd w:val="clear" w:color="auto" w:fill="000000"/>
          </w:tcPr>
          <w:p w14:paraId="73F78697" w14:textId="756206DA" w:rsidR="0020660D" w:rsidRPr="009651AC" w:rsidRDefault="0020660D" w:rsidP="0020660D">
            <w:pPr>
              <w:rPr>
                <w:rFonts w:ascii="Gill Sans" w:hAnsi="Gill Sans" w:cs="Gill Sans"/>
                <w:noProof/>
                <w:color w:val="FFFFFF" w:themeColor="background1"/>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6E3BC"/>
          </w:tcPr>
          <w:p w14:paraId="79F341B8" w14:textId="77777777" w:rsidR="0020660D" w:rsidRPr="009651AC" w:rsidRDefault="0020660D" w:rsidP="0020660D">
            <w:pPr>
              <w:rPr>
                <w:rFonts w:ascii="Gill Sans" w:hAnsi="Gill San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6E3BC"/>
          </w:tcPr>
          <w:p w14:paraId="042D1B38" w14:textId="77777777" w:rsidR="0020660D" w:rsidRPr="00DF1741" w:rsidRDefault="0020660D" w:rsidP="0020660D">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6E3BC"/>
          </w:tcPr>
          <w:p w14:paraId="5179F20F" w14:textId="77777777" w:rsidR="0020660D" w:rsidRPr="00DF1741" w:rsidRDefault="0020660D" w:rsidP="0020660D">
            <w:pPr>
              <w:rPr>
                <w:rFonts w:ascii="Zapf Dingbats" w:hAnsi="Zapf Dingbats" w:cs="Gill Sans"/>
                <w:sz w:val="22"/>
                <w:szCs w:val="22"/>
                <w:lang w:val="en-GB"/>
              </w:rPr>
            </w:pPr>
          </w:p>
        </w:tc>
        <w:tc>
          <w:tcPr>
            <w:tcW w:w="450" w:type="dxa"/>
            <w:vMerge w:val="restart"/>
            <w:tcBorders>
              <w:top w:val="single" w:sz="18" w:space="0" w:color="FFFFFF"/>
              <w:left w:val="single" w:sz="2" w:space="0" w:color="FFFFFF"/>
              <w:right w:val="single" w:sz="18" w:space="0" w:color="FFFFFF"/>
            </w:tcBorders>
            <w:shd w:val="clear" w:color="auto" w:fill="D6E3BC"/>
          </w:tcPr>
          <w:p w14:paraId="4E480490" w14:textId="77777777" w:rsidR="0020660D" w:rsidRPr="00DF1741" w:rsidRDefault="0020660D" w:rsidP="0020660D">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FBD4B4"/>
          </w:tcPr>
          <w:p w14:paraId="3BE3DD5B" w14:textId="77777777"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2" w:space="0" w:color="FFFFFF"/>
            </w:tcBorders>
            <w:shd w:val="clear" w:color="auto" w:fill="FBD4B4"/>
          </w:tcPr>
          <w:p w14:paraId="2FAFCC1E" w14:textId="77777777" w:rsidR="0020660D" w:rsidRPr="00DF1741" w:rsidRDefault="0020660D" w:rsidP="0020660D">
            <w:pPr>
              <w:rPr>
                <w:rFonts w:ascii="Zapf Dingbats" w:hAnsi="Zapf Dingbats" w:cs="Gill Sans"/>
                <w:noProof/>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FBD4B4"/>
          </w:tcPr>
          <w:p w14:paraId="06366F7F" w14:textId="77777777" w:rsidR="0020660D" w:rsidRPr="00DF1741" w:rsidRDefault="0020660D" w:rsidP="0020660D">
            <w:pPr>
              <w:rPr>
                <w:rFonts w:ascii="Zapf Dingbats" w:hAnsi="Zapf Dingbats" w:cs="Gill Sans"/>
                <w:noProof/>
                <w:sz w:val="22"/>
                <w:szCs w:val="22"/>
                <w:lang w:val="en-GB"/>
              </w:rPr>
            </w:pPr>
          </w:p>
        </w:tc>
        <w:tc>
          <w:tcPr>
            <w:tcW w:w="900" w:type="dxa"/>
            <w:vMerge w:val="restart"/>
            <w:tcBorders>
              <w:top w:val="single" w:sz="18" w:space="0" w:color="FFFFFF"/>
              <w:left w:val="single" w:sz="2" w:space="0" w:color="FFFFFF"/>
              <w:right w:val="single" w:sz="18" w:space="0" w:color="FFFFFF"/>
            </w:tcBorders>
            <w:shd w:val="clear" w:color="auto" w:fill="FBD4B4"/>
          </w:tcPr>
          <w:p w14:paraId="71601162" w14:textId="5C9A367A"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18" w:space="0" w:color="FFFFFF"/>
              <w:right w:val="single" w:sz="2" w:space="0" w:color="FFFFFF"/>
            </w:tcBorders>
            <w:shd w:val="clear" w:color="auto" w:fill="CCC0D9"/>
          </w:tcPr>
          <w:p w14:paraId="0D87C9ED" w14:textId="77777777" w:rsidR="0020660D" w:rsidRPr="00DF1741" w:rsidRDefault="0020660D" w:rsidP="0020660D">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2D5A3D2D" w14:textId="2328C8C7" w:rsidR="0020660D" w:rsidRPr="00DF1741" w:rsidRDefault="0020660D" w:rsidP="0020660D">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79E9A409" w14:textId="77777777" w:rsidR="0020660D" w:rsidRPr="00DF1741" w:rsidRDefault="0020660D" w:rsidP="0020660D">
            <w:pPr>
              <w:rPr>
                <w:rFonts w:ascii="Zapf Dingbats" w:hAnsi="Zapf Dingbats" w:cs="Gill Sans"/>
                <w:noProof/>
                <w:sz w:val="22"/>
                <w:szCs w:val="22"/>
                <w:lang w:val="en-GB"/>
              </w:rPr>
            </w:pPr>
          </w:p>
        </w:tc>
        <w:tc>
          <w:tcPr>
            <w:tcW w:w="450" w:type="dxa"/>
            <w:vMerge w:val="restart"/>
            <w:tcBorders>
              <w:top w:val="single" w:sz="18" w:space="0" w:color="FFFFFF"/>
              <w:left w:val="single" w:sz="2" w:space="0" w:color="FFFFFF"/>
              <w:right w:val="single" w:sz="18" w:space="0" w:color="FFFFFF"/>
            </w:tcBorders>
            <w:shd w:val="clear" w:color="auto" w:fill="CCC0D9"/>
          </w:tcPr>
          <w:p w14:paraId="1346F26C" w14:textId="6EAB47B1"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60" w:type="dxa"/>
            <w:tcBorders>
              <w:top w:val="single" w:sz="18" w:space="0" w:color="FFFFFF"/>
              <w:left w:val="single" w:sz="18" w:space="0" w:color="FFFFFF"/>
              <w:bottom w:val="single" w:sz="2" w:space="0" w:color="auto"/>
              <w:right w:val="single" w:sz="4" w:space="0" w:color="FFFFFF" w:themeColor="background1"/>
            </w:tcBorders>
            <w:shd w:val="clear" w:color="auto" w:fill="B8CCE4"/>
          </w:tcPr>
          <w:p w14:paraId="23CEC42C" w14:textId="77777777" w:rsidR="0020660D" w:rsidRPr="00DF1741" w:rsidRDefault="0020660D" w:rsidP="0020660D">
            <w:pPr>
              <w:rPr>
                <w:rFonts w:ascii="Zapf Dingbats" w:hAnsi="Zapf Dingbats" w:cs="Gill Sans"/>
                <w:sz w:val="22"/>
                <w:szCs w:val="22"/>
                <w:lang w:val="en-GB"/>
              </w:rPr>
            </w:pPr>
          </w:p>
        </w:tc>
        <w:tc>
          <w:tcPr>
            <w:tcW w:w="720" w:type="dxa"/>
            <w:tcBorders>
              <w:top w:val="single" w:sz="18" w:space="0" w:color="FFFFFF"/>
              <w:left w:val="single" w:sz="4" w:space="0" w:color="FFFFFF" w:themeColor="background1"/>
              <w:bottom w:val="single" w:sz="2" w:space="0" w:color="auto"/>
              <w:right w:val="single" w:sz="4" w:space="0" w:color="FFFFFF" w:themeColor="background1"/>
            </w:tcBorders>
            <w:shd w:val="clear" w:color="auto" w:fill="B8CCE4"/>
          </w:tcPr>
          <w:p w14:paraId="4E488288" w14:textId="252C0BB9"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450" w:type="dxa"/>
            <w:tcBorders>
              <w:top w:val="single" w:sz="18" w:space="0" w:color="FFFFFF"/>
              <w:left w:val="single" w:sz="4" w:space="0" w:color="FFFFFF" w:themeColor="background1"/>
              <w:bottom w:val="single" w:sz="2" w:space="0" w:color="auto"/>
              <w:right w:val="single" w:sz="4" w:space="0" w:color="FFFFFF" w:themeColor="background1"/>
            </w:tcBorders>
            <w:shd w:val="clear" w:color="auto" w:fill="B8CCE4"/>
          </w:tcPr>
          <w:p w14:paraId="4EC47E3C" w14:textId="3BEA437E" w:rsidR="0020660D" w:rsidRPr="00DF1741" w:rsidRDefault="0020660D" w:rsidP="0020660D">
            <w:pPr>
              <w:rPr>
                <w:rFonts w:ascii="Zapf Dingbats" w:hAnsi="Zapf Dingbats" w:cs="Gill Sans"/>
                <w:sz w:val="22"/>
                <w:szCs w:val="22"/>
                <w:lang w:val="en-GB"/>
              </w:rPr>
            </w:pPr>
          </w:p>
        </w:tc>
        <w:tc>
          <w:tcPr>
            <w:tcW w:w="540" w:type="dxa"/>
            <w:tcBorders>
              <w:top w:val="single" w:sz="18" w:space="0" w:color="FFFFFF"/>
              <w:left w:val="single" w:sz="4" w:space="0" w:color="FFFFFF" w:themeColor="background1"/>
              <w:bottom w:val="single" w:sz="2" w:space="0" w:color="auto"/>
              <w:right w:val="single" w:sz="18" w:space="0" w:color="FFFFFF"/>
            </w:tcBorders>
            <w:shd w:val="clear" w:color="auto" w:fill="B8CCE4"/>
          </w:tcPr>
          <w:p w14:paraId="632BB40A" w14:textId="77777777" w:rsidR="0020660D" w:rsidRPr="009651AC" w:rsidRDefault="0020660D" w:rsidP="0020660D">
            <w:pPr>
              <w:rPr>
                <w:rFonts w:ascii="Gill Sans" w:hAnsi="Gill Sans" w:cs="Gill Sans"/>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99594"/>
          </w:tcPr>
          <w:p w14:paraId="1EA6C138" w14:textId="77777777" w:rsidR="0020660D" w:rsidRPr="009651AC" w:rsidRDefault="0020660D" w:rsidP="0020660D">
            <w:pPr>
              <w:rPr>
                <w:rFonts w:ascii="Gill Sans" w:hAnsi="Gill San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99594"/>
          </w:tcPr>
          <w:p w14:paraId="7E4F5629" w14:textId="77777777" w:rsidR="0020660D" w:rsidRPr="009651AC" w:rsidRDefault="0020660D" w:rsidP="0020660D">
            <w:pPr>
              <w:rPr>
                <w:rFonts w:ascii="Gill Sans" w:hAnsi="Gill Sans" w:cs="Gill Sans"/>
                <w:sz w:val="22"/>
                <w:szCs w:val="22"/>
                <w:lang w:val="en-GB"/>
              </w:rPr>
            </w:pPr>
          </w:p>
        </w:tc>
        <w:tc>
          <w:tcPr>
            <w:tcW w:w="450" w:type="dxa"/>
            <w:vMerge w:val="restart"/>
            <w:tcBorders>
              <w:top w:val="single" w:sz="18" w:space="0" w:color="FFFFFF"/>
              <w:left w:val="single" w:sz="2" w:space="0" w:color="FFFFFF"/>
              <w:right w:val="single" w:sz="2" w:space="0" w:color="FFFFFF"/>
            </w:tcBorders>
            <w:shd w:val="clear" w:color="auto" w:fill="D99594"/>
          </w:tcPr>
          <w:p w14:paraId="44A95469" w14:textId="4DE18109" w:rsidR="0020660D" w:rsidRPr="00DF1741" w:rsidRDefault="0020660D" w:rsidP="0020660D">
            <w:pPr>
              <w:rPr>
                <w:rFonts w:ascii="Zapf Dingbats" w:hAnsi="Zapf Dingbats" w:cs="Gill Sans"/>
                <w:sz w:val="22"/>
                <w:szCs w:val="22"/>
                <w:lang w:val="uk-UA"/>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2" w:space="0" w:color="FFFFFF"/>
            </w:tcBorders>
            <w:shd w:val="clear" w:color="auto" w:fill="D99594"/>
          </w:tcPr>
          <w:p w14:paraId="2F18212E" w14:textId="62020533" w:rsidR="0020660D" w:rsidRPr="008E2D1E" w:rsidRDefault="0020660D" w:rsidP="0020660D">
            <w:pPr>
              <w:rPr>
                <w:rFonts w:ascii="Gill Sans" w:hAnsi="Gill Sans" w:cs="Gill Sans"/>
                <w:noProof/>
                <w:sz w:val="22"/>
                <w:szCs w:val="22"/>
              </w:rPr>
            </w:pPr>
          </w:p>
        </w:tc>
        <w:tc>
          <w:tcPr>
            <w:tcW w:w="804" w:type="dxa"/>
            <w:vMerge w:val="restart"/>
            <w:tcBorders>
              <w:top w:val="single" w:sz="18" w:space="0" w:color="FFFFFF"/>
              <w:left w:val="single" w:sz="2" w:space="0" w:color="FFFFFF"/>
              <w:right w:val="single" w:sz="18" w:space="0" w:color="FFFFFF"/>
            </w:tcBorders>
            <w:shd w:val="clear" w:color="auto" w:fill="D99594"/>
          </w:tcPr>
          <w:p w14:paraId="4BBD9DCE" w14:textId="77777777" w:rsidR="0020660D" w:rsidRPr="009651AC" w:rsidRDefault="0020660D" w:rsidP="0020660D">
            <w:pPr>
              <w:rPr>
                <w:rFonts w:ascii="Gill Sans" w:hAnsi="Gill Sans" w:cs="Gill Sans"/>
                <w:sz w:val="22"/>
                <w:szCs w:val="22"/>
                <w:lang w:val="en-GB"/>
              </w:rPr>
            </w:pPr>
          </w:p>
        </w:tc>
      </w:tr>
      <w:tr w:rsidR="0020660D" w:rsidRPr="009651AC" w14:paraId="43F53A1D" w14:textId="77777777" w:rsidTr="00B017F8">
        <w:trPr>
          <w:trHeight w:val="340"/>
        </w:trPr>
        <w:tc>
          <w:tcPr>
            <w:tcW w:w="1437" w:type="dxa"/>
            <w:vMerge/>
            <w:tcBorders>
              <w:left w:val="single" w:sz="4" w:space="0" w:color="FFFFFF"/>
              <w:right w:val="single" w:sz="18" w:space="0" w:color="FFFFFF"/>
            </w:tcBorders>
            <w:shd w:val="clear" w:color="auto" w:fill="000000"/>
          </w:tcPr>
          <w:p w14:paraId="0D44B0FE" w14:textId="77777777" w:rsidR="0020660D" w:rsidRPr="009651AC" w:rsidRDefault="0020660D" w:rsidP="0020660D">
            <w:pPr>
              <w:rPr>
                <w:rFonts w:ascii="Gill Sans" w:hAnsi="Gill Sans" w:cs="Gill Sans"/>
                <w:color w:val="FFFFFF" w:themeColor="background1"/>
                <w:sz w:val="22"/>
                <w:szCs w:val="22"/>
                <w:lang w:val="en-GB"/>
              </w:rPr>
            </w:pPr>
          </w:p>
        </w:tc>
        <w:tc>
          <w:tcPr>
            <w:tcW w:w="360" w:type="dxa"/>
            <w:vMerge/>
            <w:tcBorders>
              <w:left w:val="single" w:sz="18" w:space="0" w:color="FFFFFF"/>
              <w:right w:val="single" w:sz="2" w:space="0" w:color="FFFFFF"/>
            </w:tcBorders>
            <w:shd w:val="clear" w:color="auto" w:fill="D6E3BC"/>
          </w:tcPr>
          <w:p w14:paraId="1F46ACDC"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6E3BC"/>
          </w:tcPr>
          <w:p w14:paraId="75622A51" w14:textId="77777777" w:rsidR="0020660D" w:rsidRPr="00DF1741" w:rsidRDefault="0020660D" w:rsidP="0020660D">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D6E3BC"/>
          </w:tcPr>
          <w:p w14:paraId="51FE60AF" w14:textId="77777777" w:rsidR="0020660D" w:rsidRPr="00DF1741" w:rsidRDefault="0020660D" w:rsidP="0020660D">
            <w:pPr>
              <w:rPr>
                <w:rFonts w:ascii="Zapf Dingbats" w:hAnsi="Zapf Dingbats" w:cs="Gill Sans"/>
                <w:sz w:val="22"/>
                <w:szCs w:val="22"/>
                <w:lang w:val="en-GB"/>
              </w:rPr>
            </w:pPr>
          </w:p>
        </w:tc>
        <w:tc>
          <w:tcPr>
            <w:tcW w:w="450" w:type="dxa"/>
            <w:vMerge/>
            <w:tcBorders>
              <w:left w:val="single" w:sz="2" w:space="0" w:color="FFFFFF"/>
              <w:right w:val="single" w:sz="18" w:space="0" w:color="FFFFFF"/>
            </w:tcBorders>
            <w:shd w:val="clear" w:color="auto" w:fill="D6E3BC"/>
          </w:tcPr>
          <w:p w14:paraId="26CFEBC6" w14:textId="77777777" w:rsidR="0020660D" w:rsidRPr="00DF1741" w:rsidRDefault="0020660D" w:rsidP="0020660D">
            <w:pPr>
              <w:rPr>
                <w:rFonts w:ascii="Zapf Dingbats" w:hAnsi="Zapf Dingbats" w:cs="Gill Sans"/>
                <w:noProof/>
                <w:sz w:val="22"/>
                <w:szCs w:val="22"/>
                <w:lang w:val="en-GB"/>
              </w:rPr>
            </w:pPr>
          </w:p>
        </w:tc>
        <w:tc>
          <w:tcPr>
            <w:tcW w:w="450" w:type="dxa"/>
            <w:vMerge/>
            <w:tcBorders>
              <w:left w:val="single" w:sz="2" w:space="0" w:color="FFFFFF"/>
              <w:right w:val="single" w:sz="2" w:space="0" w:color="FFFFFF"/>
            </w:tcBorders>
            <w:shd w:val="clear" w:color="auto" w:fill="FBD4B4"/>
          </w:tcPr>
          <w:p w14:paraId="1194C860" w14:textId="77777777" w:rsidR="0020660D" w:rsidRPr="00DF1741" w:rsidRDefault="0020660D" w:rsidP="0020660D">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FBD4B4"/>
          </w:tcPr>
          <w:p w14:paraId="13D7BC41" w14:textId="77777777" w:rsidR="0020660D" w:rsidRPr="00DF1741" w:rsidRDefault="0020660D" w:rsidP="0020660D">
            <w:pPr>
              <w:rPr>
                <w:rFonts w:ascii="Zapf Dingbats" w:hAnsi="Zapf Dingbats" w:cs="Gill Sans"/>
                <w:noProof/>
                <w:sz w:val="22"/>
                <w:szCs w:val="22"/>
                <w:lang w:val="en-GB"/>
              </w:rPr>
            </w:pPr>
          </w:p>
        </w:tc>
        <w:tc>
          <w:tcPr>
            <w:tcW w:w="360" w:type="dxa"/>
            <w:vMerge/>
            <w:tcBorders>
              <w:left w:val="single" w:sz="2" w:space="0" w:color="FFFFFF"/>
              <w:right w:val="single" w:sz="2" w:space="0" w:color="FFFFFF"/>
            </w:tcBorders>
            <w:shd w:val="clear" w:color="auto" w:fill="FBD4B4"/>
          </w:tcPr>
          <w:p w14:paraId="565DD7FD" w14:textId="77777777" w:rsidR="0020660D" w:rsidRPr="00DF1741" w:rsidRDefault="0020660D" w:rsidP="0020660D">
            <w:pPr>
              <w:rPr>
                <w:rFonts w:ascii="Zapf Dingbats" w:hAnsi="Zapf Dingbats" w:cs="Gill Sans"/>
                <w:noProof/>
                <w:sz w:val="22"/>
                <w:szCs w:val="22"/>
                <w:lang w:val="en-GB"/>
              </w:rPr>
            </w:pPr>
          </w:p>
        </w:tc>
        <w:tc>
          <w:tcPr>
            <w:tcW w:w="900" w:type="dxa"/>
            <w:vMerge/>
            <w:tcBorders>
              <w:left w:val="single" w:sz="2" w:space="0" w:color="FFFFFF"/>
              <w:right w:val="single" w:sz="18" w:space="0" w:color="FFFFFF"/>
            </w:tcBorders>
            <w:shd w:val="clear" w:color="auto" w:fill="FBD4B4"/>
          </w:tcPr>
          <w:p w14:paraId="6933DE99" w14:textId="77777777" w:rsidR="0020660D" w:rsidRPr="00DF1741" w:rsidRDefault="0020660D" w:rsidP="0020660D">
            <w:pPr>
              <w:rPr>
                <w:rFonts w:ascii="Zapf Dingbats" w:hAnsi="Zapf Dingbats" w:cs="Gill Sans"/>
                <w:sz w:val="22"/>
                <w:szCs w:val="22"/>
                <w:lang w:val="en-GB"/>
              </w:rPr>
            </w:pPr>
          </w:p>
        </w:tc>
        <w:tc>
          <w:tcPr>
            <w:tcW w:w="360" w:type="dxa"/>
            <w:vMerge/>
            <w:tcBorders>
              <w:left w:val="single" w:sz="18" w:space="0" w:color="FFFFFF"/>
              <w:right w:val="single" w:sz="2" w:space="0" w:color="FFFFFF"/>
            </w:tcBorders>
            <w:shd w:val="clear" w:color="auto" w:fill="CCC0D9"/>
          </w:tcPr>
          <w:p w14:paraId="05EF7DAF" w14:textId="77777777" w:rsidR="0020660D" w:rsidRPr="00DF1741" w:rsidRDefault="0020660D" w:rsidP="0020660D">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CCC0D9"/>
          </w:tcPr>
          <w:p w14:paraId="4FB55DD8" w14:textId="77777777" w:rsidR="0020660D" w:rsidRPr="00DF1741" w:rsidRDefault="0020660D" w:rsidP="0020660D">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CCC0D9"/>
          </w:tcPr>
          <w:p w14:paraId="7BDDF4F1" w14:textId="77777777" w:rsidR="0020660D" w:rsidRPr="00DF1741" w:rsidRDefault="0020660D" w:rsidP="0020660D">
            <w:pPr>
              <w:rPr>
                <w:rFonts w:ascii="Zapf Dingbats" w:hAnsi="Zapf Dingbats" w:cs="Gill Sans"/>
                <w:noProof/>
                <w:sz w:val="22"/>
                <w:szCs w:val="22"/>
                <w:lang w:val="en-GB"/>
              </w:rPr>
            </w:pPr>
          </w:p>
        </w:tc>
        <w:tc>
          <w:tcPr>
            <w:tcW w:w="450" w:type="dxa"/>
            <w:vMerge/>
            <w:tcBorders>
              <w:left w:val="single" w:sz="2" w:space="0" w:color="FFFFFF"/>
              <w:right w:val="single" w:sz="18" w:space="0" w:color="FFFFFF"/>
            </w:tcBorders>
            <w:shd w:val="clear" w:color="auto" w:fill="CCC0D9"/>
          </w:tcPr>
          <w:p w14:paraId="0D0ABAB7" w14:textId="77777777" w:rsidR="0020660D" w:rsidRPr="00DF1741" w:rsidRDefault="0020660D" w:rsidP="0020660D">
            <w:pPr>
              <w:rPr>
                <w:rFonts w:ascii="Zapf Dingbats" w:hAnsi="Zapf Dingbats" w:cs="Gill Sans"/>
                <w:sz w:val="22"/>
                <w:szCs w:val="22"/>
                <w:lang w:val="en-GB"/>
              </w:rPr>
            </w:pPr>
          </w:p>
        </w:tc>
        <w:tc>
          <w:tcPr>
            <w:tcW w:w="360" w:type="dxa"/>
            <w:tcBorders>
              <w:top w:val="single" w:sz="2" w:space="0" w:color="auto"/>
              <w:left w:val="single" w:sz="18" w:space="0" w:color="FFFFFF"/>
              <w:bottom w:val="single" w:sz="4" w:space="0" w:color="auto"/>
              <w:right w:val="single" w:sz="4" w:space="0" w:color="FFFFFF" w:themeColor="background1"/>
            </w:tcBorders>
            <w:shd w:val="clear" w:color="auto" w:fill="B8CCE4"/>
          </w:tcPr>
          <w:p w14:paraId="6FA9A704" w14:textId="77777777" w:rsidR="0020660D" w:rsidRPr="00DF1741" w:rsidRDefault="0020660D" w:rsidP="0020660D">
            <w:pPr>
              <w:rPr>
                <w:rFonts w:ascii="Zapf Dingbats" w:hAnsi="Zapf Dingbats" w:cs="Gill Sans"/>
                <w:sz w:val="22"/>
                <w:szCs w:val="22"/>
                <w:lang w:val="en-GB"/>
              </w:rPr>
            </w:pPr>
          </w:p>
        </w:tc>
        <w:tc>
          <w:tcPr>
            <w:tcW w:w="720" w:type="dxa"/>
            <w:tcBorders>
              <w:top w:val="single" w:sz="2" w:space="0" w:color="auto"/>
              <w:left w:val="single" w:sz="4" w:space="0" w:color="FFFFFF" w:themeColor="background1"/>
              <w:bottom w:val="single" w:sz="4" w:space="0" w:color="auto"/>
              <w:right w:val="single" w:sz="4" w:space="0" w:color="FFFFFF" w:themeColor="background1"/>
            </w:tcBorders>
            <w:shd w:val="clear" w:color="auto" w:fill="B8CCE4"/>
          </w:tcPr>
          <w:p w14:paraId="5A79288E" w14:textId="13F8E122"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450" w:type="dxa"/>
            <w:tcBorders>
              <w:top w:val="single" w:sz="2" w:space="0" w:color="auto"/>
              <w:left w:val="single" w:sz="4" w:space="0" w:color="FFFFFF" w:themeColor="background1"/>
              <w:bottom w:val="single" w:sz="4" w:space="0" w:color="auto"/>
              <w:right w:val="single" w:sz="4" w:space="0" w:color="FFFFFF" w:themeColor="background1"/>
            </w:tcBorders>
            <w:shd w:val="clear" w:color="auto" w:fill="B8CCE4"/>
          </w:tcPr>
          <w:p w14:paraId="7515C333" w14:textId="77777777" w:rsidR="0020660D" w:rsidRPr="00DF1741" w:rsidRDefault="0020660D" w:rsidP="0020660D">
            <w:pPr>
              <w:rPr>
                <w:rFonts w:ascii="Zapf Dingbats" w:hAnsi="Zapf Dingbats" w:cs="Gill Sans"/>
                <w:sz w:val="22"/>
                <w:szCs w:val="22"/>
                <w:lang w:val="en-GB"/>
              </w:rPr>
            </w:pPr>
          </w:p>
        </w:tc>
        <w:tc>
          <w:tcPr>
            <w:tcW w:w="540" w:type="dxa"/>
            <w:tcBorders>
              <w:top w:val="single" w:sz="2" w:space="0" w:color="auto"/>
              <w:left w:val="single" w:sz="4" w:space="0" w:color="FFFFFF" w:themeColor="background1"/>
              <w:bottom w:val="single" w:sz="4" w:space="0" w:color="auto"/>
              <w:right w:val="single" w:sz="18" w:space="0" w:color="FFFFFF"/>
            </w:tcBorders>
            <w:shd w:val="clear" w:color="auto" w:fill="B8CCE4"/>
          </w:tcPr>
          <w:p w14:paraId="5EEE5FC8" w14:textId="25CA6E9B" w:rsidR="0020660D" w:rsidRPr="009651AC" w:rsidRDefault="0020660D" w:rsidP="0020660D">
            <w:pPr>
              <w:jc w:val="center"/>
              <w:rPr>
                <w:rFonts w:ascii="Gill Sans" w:hAnsi="Gill Sans" w:cs="Gill Sans"/>
                <w:sz w:val="22"/>
                <w:szCs w:val="22"/>
                <w:lang w:val="en-GB"/>
              </w:rPr>
            </w:pPr>
          </w:p>
        </w:tc>
        <w:tc>
          <w:tcPr>
            <w:tcW w:w="360" w:type="dxa"/>
            <w:vMerge/>
            <w:tcBorders>
              <w:left w:val="single" w:sz="18" w:space="0" w:color="FFFFFF"/>
              <w:right w:val="single" w:sz="2" w:space="0" w:color="FFFFFF"/>
            </w:tcBorders>
            <w:shd w:val="clear" w:color="auto" w:fill="D99594"/>
          </w:tcPr>
          <w:p w14:paraId="79DD56FE"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3B5F3839" w14:textId="77777777" w:rsidR="0020660D" w:rsidRPr="009651AC" w:rsidRDefault="0020660D" w:rsidP="0020660D">
            <w:pPr>
              <w:rPr>
                <w:rFonts w:ascii="Gill Sans" w:hAnsi="Gill Sans" w:cs="Gill Sans"/>
                <w:sz w:val="22"/>
                <w:szCs w:val="22"/>
                <w:lang w:val="en-GB"/>
              </w:rPr>
            </w:pPr>
          </w:p>
        </w:tc>
        <w:tc>
          <w:tcPr>
            <w:tcW w:w="450" w:type="dxa"/>
            <w:vMerge/>
            <w:tcBorders>
              <w:left w:val="single" w:sz="2" w:space="0" w:color="FFFFFF"/>
              <w:right w:val="single" w:sz="2" w:space="0" w:color="FFFFFF"/>
            </w:tcBorders>
            <w:shd w:val="clear" w:color="auto" w:fill="D99594"/>
          </w:tcPr>
          <w:p w14:paraId="4EFCB68D"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4FF422E0" w14:textId="77777777" w:rsidR="0020660D" w:rsidRPr="009651AC" w:rsidRDefault="0020660D" w:rsidP="0020660D">
            <w:pPr>
              <w:rPr>
                <w:rFonts w:ascii="Gill Sans" w:hAnsi="Gill Sans" w:cs="Gill Sans"/>
                <w:noProof/>
                <w:sz w:val="22"/>
                <w:szCs w:val="22"/>
                <w:lang w:val="en-GB"/>
              </w:rPr>
            </w:pPr>
          </w:p>
        </w:tc>
        <w:tc>
          <w:tcPr>
            <w:tcW w:w="804" w:type="dxa"/>
            <w:vMerge/>
            <w:tcBorders>
              <w:left w:val="single" w:sz="2" w:space="0" w:color="FFFFFF"/>
              <w:right w:val="single" w:sz="18" w:space="0" w:color="FFFFFF"/>
            </w:tcBorders>
            <w:shd w:val="clear" w:color="auto" w:fill="D99594"/>
          </w:tcPr>
          <w:p w14:paraId="63EADB8A" w14:textId="77777777" w:rsidR="0020660D" w:rsidRPr="009651AC" w:rsidRDefault="0020660D" w:rsidP="0020660D">
            <w:pPr>
              <w:rPr>
                <w:rFonts w:ascii="Gill Sans" w:hAnsi="Gill Sans" w:cs="Gill Sans"/>
                <w:sz w:val="22"/>
                <w:szCs w:val="22"/>
                <w:lang w:val="en-GB"/>
              </w:rPr>
            </w:pPr>
          </w:p>
        </w:tc>
      </w:tr>
    </w:tbl>
    <w:p w14:paraId="77FA8A5C" w14:textId="77777777" w:rsidR="008F3E5F" w:rsidRPr="00F00809" w:rsidRDefault="008F3E5F" w:rsidP="00163080"/>
    <w:p w14:paraId="3CCE3728" w14:textId="770A8348" w:rsidR="0089761F" w:rsidRPr="00BB3451" w:rsidRDefault="0089761F" w:rsidP="006319F4">
      <w:pPr>
        <w:pStyle w:val="Heading3"/>
      </w:pPr>
      <w:r w:rsidRPr="00BB3451">
        <w:t xml:space="preserve">Commitment </w:t>
      </w:r>
      <w:r w:rsidR="008F3E5F">
        <w:t>a</w:t>
      </w:r>
      <w:r w:rsidRPr="00BB3451">
        <w:t>im</w:t>
      </w:r>
    </w:p>
    <w:p w14:paraId="43650B3A" w14:textId="6D87A431" w:rsidR="0089761F" w:rsidRPr="00BB3451" w:rsidRDefault="0089761F" w:rsidP="00F00809">
      <w:pPr>
        <w:spacing w:after="120"/>
        <w:rPr>
          <w:rFonts w:ascii="Gill Sans" w:hAnsi="Gill Sans" w:cs="Gill Sans"/>
          <w:sz w:val="22"/>
          <w:szCs w:val="22"/>
          <w:lang w:val="en-GB"/>
        </w:rPr>
      </w:pPr>
      <w:r w:rsidRPr="00BB3451">
        <w:rPr>
          <w:rFonts w:ascii="Gill Sans" w:hAnsi="Gill Sans" w:cs="Gill Sans"/>
          <w:sz w:val="22"/>
          <w:szCs w:val="22"/>
          <w:lang w:val="en-GB"/>
        </w:rPr>
        <w:t>Th</w:t>
      </w:r>
      <w:r w:rsidR="008F3E5F">
        <w:rPr>
          <w:rFonts w:ascii="Gill Sans" w:hAnsi="Gill Sans" w:cs="Gill Sans"/>
          <w:sz w:val="22"/>
          <w:szCs w:val="22"/>
          <w:lang w:val="en-GB"/>
        </w:rPr>
        <w:t>is</w:t>
      </w:r>
      <w:r w:rsidRPr="00BB3451">
        <w:rPr>
          <w:rFonts w:ascii="Gill Sans" w:hAnsi="Gill Sans" w:cs="Gill Sans"/>
          <w:sz w:val="22"/>
          <w:szCs w:val="22"/>
          <w:lang w:val="en-GB"/>
        </w:rPr>
        <w:t xml:space="preserve"> commitment </w:t>
      </w:r>
      <w:r w:rsidR="008F3E5F">
        <w:rPr>
          <w:rFonts w:ascii="Gill Sans" w:hAnsi="Gill Sans" w:cs="Gill Sans"/>
          <w:sz w:val="22"/>
          <w:szCs w:val="22"/>
          <w:lang w:val="en-GB"/>
        </w:rPr>
        <w:t>was designed</w:t>
      </w:r>
      <w:r w:rsidR="008F3E5F" w:rsidRPr="00BB3451">
        <w:rPr>
          <w:rFonts w:ascii="Gill Sans" w:hAnsi="Gill Sans" w:cs="Gill Sans"/>
          <w:sz w:val="22"/>
          <w:szCs w:val="22"/>
          <w:lang w:val="en-GB"/>
        </w:rPr>
        <w:t xml:space="preserve"> </w:t>
      </w:r>
      <w:r w:rsidR="00CC6D18">
        <w:rPr>
          <w:rFonts w:ascii="Gill Sans" w:hAnsi="Gill Sans" w:cs="Gill Sans"/>
          <w:sz w:val="22"/>
          <w:szCs w:val="22"/>
          <w:lang w:val="en-GB"/>
        </w:rPr>
        <w:t xml:space="preserve">to </w:t>
      </w:r>
      <w:r w:rsidR="008E2D1E">
        <w:rPr>
          <w:rFonts w:ascii="Gill Sans" w:hAnsi="Gill Sans" w:cs="Gill Sans"/>
          <w:sz w:val="22"/>
          <w:szCs w:val="22"/>
          <w:lang w:val="en-GB"/>
        </w:rPr>
        <w:t>improve public access to urban planning documentation</w:t>
      </w:r>
      <w:r w:rsidR="00CC6D18">
        <w:rPr>
          <w:rFonts w:ascii="Gill Sans" w:hAnsi="Gill Sans" w:cs="Gill Sans"/>
          <w:sz w:val="22"/>
          <w:szCs w:val="22"/>
          <w:lang w:val="en-GB"/>
        </w:rPr>
        <w:t xml:space="preserve"> and </w:t>
      </w:r>
      <w:r w:rsidR="00CC6D18" w:rsidRPr="00CC6D18">
        <w:rPr>
          <w:rFonts w:ascii="Gill Sans" w:hAnsi="Gill Sans" w:cs="Gill Sans"/>
          <w:noProof/>
          <w:sz w:val="22"/>
          <w:szCs w:val="22"/>
          <w:lang w:val="en-GB"/>
        </w:rPr>
        <w:t>geo-information data</w:t>
      </w:r>
      <w:r w:rsidR="00CC6D18">
        <w:rPr>
          <w:rFonts w:ascii="Gill Sans" w:hAnsi="Gill Sans" w:cs="Gill Sans"/>
          <w:sz w:val="22"/>
          <w:szCs w:val="22"/>
          <w:lang w:val="en-GB"/>
        </w:rPr>
        <w:t>, particular</w:t>
      </w:r>
      <w:r w:rsidR="00F856D8">
        <w:rPr>
          <w:rFonts w:ascii="Gill Sans" w:hAnsi="Gill Sans" w:cs="Gill Sans"/>
          <w:sz w:val="22"/>
          <w:szCs w:val="22"/>
          <w:lang w:val="en-GB"/>
        </w:rPr>
        <w:t>ly</w:t>
      </w:r>
      <w:r w:rsidR="00CC6D18">
        <w:rPr>
          <w:rFonts w:ascii="Gill Sans" w:hAnsi="Gill Sans" w:cs="Gill Sans"/>
          <w:sz w:val="22"/>
          <w:szCs w:val="22"/>
          <w:lang w:val="en-GB"/>
        </w:rPr>
        <w:t xml:space="preserve"> in electronic and machine-readable form. </w:t>
      </w:r>
      <w:r w:rsidRPr="00BB3451">
        <w:rPr>
          <w:rFonts w:ascii="Gill Sans" w:hAnsi="Gill Sans" w:cs="Gill Sans"/>
          <w:sz w:val="22"/>
          <w:szCs w:val="22"/>
          <w:lang w:val="en-GB"/>
        </w:rPr>
        <w:t xml:space="preserve">It would result in better public access to government-held information, </w:t>
      </w:r>
      <w:r w:rsidR="00CC6D18">
        <w:rPr>
          <w:rFonts w:ascii="Gill Sans" w:hAnsi="Gill Sans" w:cs="Gill Sans"/>
          <w:sz w:val="22"/>
          <w:szCs w:val="22"/>
          <w:lang w:val="en-GB"/>
        </w:rPr>
        <w:t xml:space="preserve">reduce possibilities for corruption in urban planning and construction, better inform local communities about local </w:t>
      </w:r>
      <w:r w:rsidR="00C26548">
        <w:rPr>
          <w:rFonts w:ascii="Gill Sans" w:hAnsi="Gill Sans" w:cs="Gill Sans"/>
          <w:sz w:val="22"/>
          <w:szCs w:val="22"/>
          <w:lang w:val="en-GB"/>
        </w:rPr>
        <w:t xml:space="preserve">area development </w:t>
      </w:r>
      <w:r w:rsidR="00CC6D18">
        <w:rPr>
          <w:rFonts w:ascii="Gill Sans" w:hAnsi="Gill Sans" w:cs="Gill Sans"/>
          <w:sz w:val="22"/>
          <w:szCs w:val="22"/>
          <w:lang w:val="en-GB"/>
        </w:rPr>
        <w:t>plans</w:t>
      </w:r>
      <w:r w:rsidR="00F856D8">
        <w:rPr>
          <w:rFonts w:ascii="Gill Sans" w:hAnsi="Gill Sans" w:cs="Gill Sans"/>
          <w:sz w:val="22"/>
          <w:szCs w:val="22"/>
          <w:lang w:val="en-GB"/>
        </w:rPr>
        <w:t>,</w:t>
      </w:r>
      <w:r w:rsidR="00CC6D18">
        <w:rPr>
          <w:rFonts w:ascii="Gill Sans" w:hAnsi="Gill Sans" w:cs="Gill Sans"/>
          <w:sz w:val="22"/>
          <w:szCs w:val="22"/>
          <w:lang w:val="en-GB"/>
        </w:rPr>
        <w:t xml:space="preserve"> and empower </w:t>
      </w:r>
      <w:r w:rsidR="00C26548">
        <w:rPr>
          <w:rFonts w:ascii="Gill Sans" w:hAnsi="Gill Sans" w:cs="Gill Sans"/>
          <w:sz w:val="22"/>
          <w:szCs w:val="22"/>
          <w:lang w:val="en-GB"/>
        </w:rPr>
        <w:t xml:space="preserve">local communities </w:t>
      </w:r>
      <w:r w:rsidR="00CC6D18">
        <w:rPr>
          <w:rFonts w:ascii="Gill Sans" w:hAnsi="Gill Sans" w:cs="Gill Sans"/>
          <w:sz w:val="22"/>
          <w:szCs w:val="22"/>
          <w:lang w:val="en-GB"/>
        </w:rPr>
        <w:t xml:space="preserve">to exercise more effective control over local authorities. </w:t>
      </w:r>
    </w:p>
    <w:p w14:paraId="166C7F0C" w14:textId="07B2D2D5" w:rsidR="0089761F" w:rsidRPr="00BB3451" w:rsidRDefault="0089761F" w:rsidP="006319F4">
      <w:pPr>
        <w:pStyle w:val="Heading3"/>
      </w:pPr>
      <w:r w:rsidRPr="00BB3451">
        <w:t>Status</w:t>
      </w:r>
    </w:p>
    <w:p w14:paraId="5B52B411" w14:textId="724EDF90" w:rsidR="0089761F" w:rsidRPr="005018B2" w:rsidRDefault="0089761F" w:rsidP="005018B2">
      <w:pPr>
        <w:pStyle w:val="Normalrglronly"/>
        <w:rPr>
          <w:b/>
          <w:lang w:val="en-GB"/>
        </w:rPr>
      </w:pPr>
      <w:r w:rsidRPr="005018B2">
        <w:rPr>
          <w:b/>
          <w:lang w:val="en-GB"/>
        </w:rPr>
        <w:t xml:space="preserve">Midterm: </w:t>
      </w:r>
      <w:r w:rsidR="000623D1" w:rsidRPr="005018B2">
        <w:rPr>
          <w:b/>
          <w:lang w:val="en-GB"/>
        </w:rPr>
        <w:t>Limited</w:t>
      </w:r>
    </w:p>
    <w:p w14:paraId="0ED2DFAC" w14:textId="45480F86" w:rsidR="0089761F" w:rsidRPr="005018B2" w:rsidRDefault="00F856D8" w:rsidP="00F00809">
      <w:pPr>
        <w:spacing w:after="120"/>
        <w:rPr>
          <w:rFonts w:ascii="Gill Sans" w:hAnsi="Gill Sans" w:cs="Gill Sans"/>
          <w:noProof/>
          <w:sz w:val="22"/>
          <w:szCs w:val="22"/>
          <w:lang w:val="en-GB"/>
        </w:rPr>
      </w:pPr>
      <w:r>
        <w:rPr>
          <w:rFonts w:ascii="Gill Sans" w:hAnsi="Gill Sans" w:cs="Gill Sans"/>
          <w:noProof/>
          <w:sz w:val="22"/>
          <w:szCs w:val="22"/>
          <w:lang w:val="en-GB"/>
        </w:rPr>
        <w:t>Ukrainian</w:t>
      </w:r>
      <w:r w:rsidRPr="005018B2">
        <w:rPr>
          <w:rFonts w:ascii="Gill Sans" w:hAnsi="Gill Sans" w:cs="Gill Sans"/>
          <w:noProof/>
          <w:sz w:val="22"/>
          <w:szCs w:val="22"/>
          <w:lang w:val="en-GB"/>
        </w:rPr>
        <w:t xml:space="preserve"> </w:t>
      </w:r>
      <w:r>
        <w:rPr>
          <w:rFonts w:ascii="Gill Sans" w:hAnsi="Gill Sans" w:cs="Gill Sans"/>
          <w:noProof/>
          <w:sz w:val="22"/>
          <w:szCs w:val="22"/>
          <w:lang w:val="en-GB"/>
        </w:rPr>
        <w:t>l</w:t>
      </w:r>
      <w:r w:rsidR="0088180D" w:rsidRPr="005018B2">
        <w:rPr>
          <w:rFonts w:ascii="Gill Sans" w:hAnsi="Gill Sans" w:cs="Gill Sans"/>
          <w:noProof/>
          <w:sz w:val="22"/>
          <w:szCs w:val="22"/>
          <w:lang w:val="en-GB"/>
        </w:rPr>
        <w:t>aw on Regulation of the Urban Planning Activity</w:t>
      </w:r>
      <w:r w:rsidR="0088180D" w:rsidRPr="005018B2">
        <w:rPr>
          <w:rStyle w:val="EndnoteReference"/>
          <w:rFonts w:ascii="Gill Sans" w:hAnsi="Gill Sans" w:cs="Gill Sans"/>
          <w:noProof/>
          <w:sz w:val="22"/>
          <w:szCs w:val="22"/>
          <w:lang w:val="en-GB"/>
        </w:rPr>
        <w:endnoteReference w:id="17"/>
      </w:r>
      <w:r w:rsidR="0088180D" w:rsidRPr="005018B2">
        <w:rPr>
          <w:rFonts w:ascii="Gill Sans" w:hAnsi="Gill Sans" w:cs="Gill Sans"/>
          <w:noProof/>
          <w:sz w:val="22"/>
          <w:szCs w:val="22"/>
          <w:lang w:val="en-GB"/>
        </w:rPr>
        <w:t xml:space="preserve"> </w:t>
      </w:r>
      <w:r w:rsidR="00FD6EDE">
        <w:rPr>
          <w:rFonts w:ascii="Gill Sans" w:hAnsi="Gill Sans" w:cs="Gill Sans"/>
          <w:noProof/>
          <w:sz w:val="22"/>
          <w:szCs w:val="22"/>
          <w:lang w:val="en-GB"/>
        </w:rPr>
        <w:t>provided</w:t>
      </w:r>
      <w:r w:rsidR="0088180D" w:rsidRPr="005018B2">
        <w:rPr>
          <w:rFonts w:ascii="Gill Sans" w:hAnsi="Gill Sans" w:cs="Gill Sans"/>
          <w:noProof/>
          <w:sz w:val="22"/>
          <w:szCs w:val="22"/>
          <w:lang w:val="en-GB"/>
        </w:rPr>
        <w:t xml:space="preserve"> that all urban planning documents (</w:t>
      </w:r>
      <w:r>
        <w:rPr>
          <w:rFonts w:ascii="Gill Sans" w:hAnsi="Gill Sans" w:cs="Gill Sans"/>
          <w:noProof/>
          <w:sz w:val="22"/>
          <w:szCs w:val="22"/>
          <w:lang w:val="en-GB"/>
        </w:rPr>
        <w:t>“</w:t>
      </w:r>
      <w:r w:rsidR="0088180D" w:rsidRPr="005018B2">
        <w:rPr>
          <w:rFonts w:ascii="Gill Sans" w:hAnsi="Gill Sans" w:cs="Gill Sans"/>
          <w:noProof/>
          <w:sz w:val="22"/>
          <w:szCs w:val="22"/>
          <w:lang w:val="en-GB"/>
        </w:rPr>
        <w:t>general urban plans,</w:t>
      </w:r>
      <w:r>
        <w:rPr>
          <w:rFonts w:ascii="Gill Sans" w:hAnsi="Gill Sans" w:cs="Gill Sans"/>
          <w:noProof/>
          <w:sz w:val="22"/>
          <w:szCs w:val="22"/>
          <w:lang w:val="en-GB"/>
        </w:rPr>
        <w:t>”</w:t>
      </w:r>
      <w:r w:rsidR="0088180D" w:rsidRPr="005018B2">
        <w:rPr>
          <w:rFonts w:ascii="Gill Sans" w:hAnsi="Gill Sans" w:cs="Gill Sans"/>
          <w:noProof/>
          <w:sz w:val="22"/>
          <w:szCs w:val="22"/>
          <w:lang w:val="en-GB"/>
        </w:rPr>
        <w:t xml:space="preserve"> </w:t>
      </w:r>
      <w:r>
        <w:rPr>
          <w:rFonts w:ascii="Gill Sans" w:hAnsi="Gill Sans" w:cs="Gill Sans"/>
          <w:noProof/>
          <w:sz w:val="22"/>
          <w:szCs w:val="22"/>
          <w:lang w:val="en-GB"/>
        </w:rPr>
        <w:t>“</w:t>
      </w:r>
      <w:r w:rsidR="0088180D" w:rsidRPr="005018B2">
        <w:rPr>
          <w:rFonts w:ascii="Gill Sans" w:hAnsi="Gill Sans" w:cs="Gill Sans"/>
          <w:noProof/>
          <w:sz w:val="22"/>
          <w:szCs w:val="22"/>
          <w:lang w:val="en-GB"/>
        </w:rPr>
        <w:t>detailed territory plans,</w:t>
      </w:r>
      <w:r>
        <w:rPr>
          <w:rFonts w:ascii="Gill Sans" w:hAnsi="Gill Sans" w:cs="Gill Sans"/>
          <w:noProof/>
          <w:sz w:val="22"/>
          <w:szCs w:val="22"/>
          <w:lang w:val="en-GB"/>
        </w:rPr>
        <w:t>”</w:t>
      </w:r>
      <w:r w:rsidR="0088180D" w:rsidRPr="005018B2">
        <w:rPr>
          <w:rFonts w:ascii="Gill Sans" w:hAnsi="Gill Sans" w:cs="Gill Sans"/>
          <w:noProof/>
          <w:sz w:val="22"/>
          <w:szCs w:val="22"/>
          <w:lang w:val="en-GB"/>
        </w:rPr>
        <w:t xml:space="preserve"> etc.) be open to the public. However, in practice</w:t>
      </w:r>
      <w:r w:rsidR="00750ADF">
        <w:rPr>
          <w:rFonts w:ascii="Gill Sans" w:hAnsi="Gill Sans" w:cs="Gill Sans"/>
          <w:noProof/>
          <w:sz w:val="22"/>
          <w:szCs w:val="22"/>
          <w:lang w:val="en-GB"/>
        </w:rPr>
        <w:t>,</w:t>
      </w:r>
      <w:r w:rsidR="0088180D" w:rsidRPr="005018B2">
        <w:rPr>
          <w:rFonts w:ascii="Gill Sans" w:hAnsi="Gill Sans" w:cs="Gill Sans"/>
          <w:noProof/>
          <w:sz w:val="22"/>
          <w:szCs w:val="22"/>
          <w:lang w:val="en-GB"/>
        </w:rPr>
        <w:t xml:space="preserve"> this provision </w:t>
      </w:r>
      <w:r w:rsidR="00FD6EDE">
        <w:rPr>
          <w:rFonts w:ascii="Gill Sans" w:hAnsi="Gill Sans" w:cs="Gill Sans"/>
          <w:noProof/>
          <w:sz w:val="22"/>
          <w:szCs w:val="22"/>
          <w:lang w:val="en-GB"/>
        </w:rPr>
        <w:t xml:space="preserve">was </w:t>
      </w:r>
      <w:r w:rsidR="0088180D" w:rsidRPr="005018B2">
        <w:rPr>
          <w:rFonts w:ascii="Gill Sans" w:hAnsi="Gill Sans" w:cs="Gill Sans"/>
          <w:noProof/>
          <w:sz w:val="22"/>
          <w:szCs w:val="22"/>
          <w:lang w:val="en-GB"/>
        </w:rPr>
        <w:t>not properly enforced</w:t>
      </w:r>
      <w:r w:rsidR="00750ADF">
        <w:rPr>
          <w:rFonts w:ascii="Gill Sans" w:hAnsi="Gill Sans" w:cs="Gill Sans"/>
          <w:noProof/>
          <w:sz w:val="22"/>
          <w:szCs w:val="22"/>
          <w:lang w:val="en-GB"/>
        </w:rPr>
        <w:t>,</w:t>
      </w:r>
      <w:r w:rsidR="0088180D" w:rsidRPr="005018B2">
        <w:rPr>
          <w:rFonts w:ascii="Gill Sans" w:hAnsi="Gill Sans" w:cs="Gill Sans"/>
          <w:noProof/>
          <w:sz w:val="22"/>
          <w:szCs w:val="22"/>
          <w:lang w:val="en-GB"/>
        </w:rPr>
        <w:t xml:space="preserve"> as relevant documentation or its parts </w:t>
      </w:r>
      <w:r w:rsidR="00FD6EDE">
        <w:rPr>
          <w:rFonts w:ascii="Gill Sans" w:hAnsi="Gill Sans" w:cs="Gill Sans"/>
          <w:noProof/>
          <w:sz w:val="22"/>
          <w:szCs w:val="22"/>
          <w:lang w:val="en-GB"/>
        </w:rPr>
        <w:t xml:space="preserve">were </w:t>
      </w:r>
      <w:r w:rsidR="00750ADF">
        <w:rPr>
          <w:rFonts w:ascii="Gill Sans" w:hAnsi="Gill Sans" w:cs="Gill Sans"/>
          <w:noProof/>
          <w:sz w:val="22"/>
          <w:szCs w:val="22"/>
          <w:lang w:val="en-GB"/>
        </w:rPr>
        <w:t xml:space="preserve">often </w:t>
      </w:r>
      <w:r w:rsidR="0088180D" w:rsidRPr="005018B2">
        <w:rPr>
          <w:rFonts w:ascii="Gill Sans" w:hAnsi="Gill Sans" w:cs="Gill Sans"/>
          <w:noProof/>
          <w:sz w:val="22"/>
          <w:szCs w:val="22"/>
          <w:lang w:val="en-GB"/>
        </w:rPr>
        <w:t xml:space="preserve">classified. </w:t>
      </w:r>
      <w:r w:rsidR="00FD6EDE">
        <w:rPr>
          <w:rFonts w:ascii="Gill Sans" w:hAnsi="Gill Sans" w:cs="Gill Sans"/>
          <w:noProof/>
          <w:sz w:val="22"/>
          <w:szCs w:val="22"/>
          <w:lang w:val="en-GB"/>
        </w:rPr>
        <w:t>S</w:t>
      </w:r>
      <w:r w:rsidR="0088180D" w:rsidRPr="005018B2">
        <w:rPr>
          <w:rFonts w:ascii="Gill Sans" w:hAnsi="Gill Sans" w:cs="Gill Sans"/>
          <w:noProof/>
          <w:sz w:val="22"/>
          <w:szCs w:val="22"/>
          <w:lang w:val="en-GB"/>
        </w:rPr>
        <w:t xml:space="preserve">uch classification </w:t>
      </w:r>
      <w:r w:rsidR="00FD6EDE">
        <w:rPr>
          <w:rFonts w:ascii="Gill Sans" w:hAnsi="Gill Sans" w:cs="Gill Sans"/>
          <w:noProof/>
          <w:sz w:val="22"/>
          <w:szCs w:val="22"/>
          <w:lang w:val="en-GB"/>
        </w:rPr>
        <w:t xml:space="preserve">did not comply with the new access to information legal framework enacted since 2011. </w:t>
      </w:r>
      <w:r w:rsidR="002D6D9A">
        <w:rPr>
          <w:rFonts w:ascii="Gill Sans" w:hAnsi="Gill Sans" w:cs="Gill Sans"/>
          <w:noProof/>
          <w:sz w:val="22"/>
          <w:szCs w:val="22"/>
          <w:lang w:val="en-GB"/>
        </w:rPr>
        <w:t>P</w:t>
      </w:r>
      <w:r w:rsidR="0023126A">
        <w:rPr>
          <w:rFonts w:ascii="Gill Sans" w:hAnsi="Gill Sans" w:cs="Gill Sans"/>
          <w:noProof/>
          <w:sz w:val="22"/>
          <w:szCs w:val="22"/>
          <w:lang w:val="en-GB"/>
        </w:rPr>
        <w:t xml:space="preserve">rior to the commitment, </w:t>
      </w:r>
      <w:r w:rsidR="0088180D" w:rsidRPr="005018B2">
        <w:rPr>
          <w:rFonts w:ascii="Gill Sans" w:hAnsi="Gill Sans" w:cs="Gill Sans"/>
          <w:noProof/>
          <w:sz w:val="22"/>
          <w:szCs w:val="22"/>
          <w:lang w:val="en-GB"/>
        </w:rPr>
        <w:t xml:space="preserve">local authorities and entities responsible for map development failed to comply with the requirement to review </w:t>
      </w:r>
      <w:r w:rsidR="002A67DE">
        <w:rPr>
          <w:rFonts w:ascii="Gill Sans" w:hAnsi="Gill Sans" w:cs="Gill Sans"/>
          <w:noProof/>
          <w:sz w:val="22"/>
          <w:szCs w:val="22"/>
          <w:lang w:val="en-GB"/>
        </w:rPr>
        <w:t xml:space="preserve">the </w:t>
      </w:r>
      <w:r w:rsidR="0088180D" w:rsidRPr="005018B2">
        <w:rPr>
          <w:rFonts w:ascii="Gill Sans" w:hAnsi="Gill Sans" w:cs="Gill Sans"/>
          <w:noProof/>
          <w:sz w:val="22"/>
          <w:szCs w:val="22"/>
          <w:lang w:val="en-GB"/>
        </w:rPr>
        <w:t xml:space="preserve">classification of urban planning documents in line with the new legal framework. Those who did review relevant documents, in most </w:t>
      </w:r>
      <w:r w:rsidR="0088180D" w:rsidRPr="005018B2">
        <w:rPr>
          <w:rFonts w:ascii="Gill Sans" w:hAnsi="Gill Sans" w:cs="Gill Sans"/>
          <w:noProof/>
          <w:sz w:val="22"/>
          <w:szCs w:val="22"/>
          <w:lang w:val="en-GB"/>
        </w:rPr>
        <w:lastRenderedPageBreak/>
        <w:t>cases, automatically extended classification</w:t>
      </w:r>
      <w:r w:rsidR="002A67DE">
        <w:rPr>
          <w:rFonts w:ascii="Gill Sans" w:hAnsi="Gill Sans" w:cs="Gill Sans"/>
          <w:noProof/>
          <w:sz w:val="22"/>
          <w:szCs w:val="22"/>
          <w:lang w:val="en-GB"/>
        </w:rPr>
        <w:t>,</w:t>
      </w:r>
      <w:r w:rsidR="0088180D" w:rsidRPr="005018B2">
        <w:rPr>
          <w:rFonts w:ascii="Gill Sans" w:hAnsi="Gill Sans" w:cs="Gill Sans"/>
          <w:noProof/>
          <w:sz w:val="22"/>
          <w:szCs w:val="22"/>
          <w:lang w:val="en-GB"/>
        </w:rPr>
        <w:t xml:space="preserve"> contrary to the law.</w:t>
      </w:r>
      <w:r w:rsidR="00FD6EDE">
        <w:rPr>
          <w:rFonts w:ascii="Gill Sans" w:hAnsi="Gill Sans" w:cs="Gill Sans"/>
          <w:noProof/>
          <w:sz w:val="22"/>
          <w:szCs w:val="22"/>
          <w:lang w:val="en-GB"/>
        </w:rPr>
        <w:t xml:space="preserve"> The Ministry </w:t>
      </w:r>
      <w:r w:rsidR="0088180D" w:rsidRPr="005018B2">
        <w:rPr>
          <w:rFonts w:ascii="Gill Sans" w:hAnsi="Gill Sans" w:cs="Gill Sans"/>
          <w:noProof/>
          <w:sz w:val="22"/>
          <w:szCs w:val="22"/>
          <w:lang w:val="en-GB"/>
        </w:rPr>
        <w:t xml:space="preserve">of Regional Development </w:t>
      </w:r>
      <w:r w:rsidR="00FD6EDE">
        <w:rPr>
          <w:rFonts w:ascii="Gill Sans" w:hAnsi="Gill Sans" w:cs="Gill Sans"/>
          <w:noProof/>
          <w:sz w:val="22"/>
          <w:szCs w:val="22"/>
          <w:lang w:val="en-GB"/>
        </w:rPr>
        <w:t>argued</w:t>
      </w:r>
      <w:r w:rsidR="0088180D" w:rsidRPr="005018B2">
        <w:rPr>
          <w:rFonts w:ascii="Gill Sans" w:hAnsi="Gill Sans" w:cs="Gill Sans"/>
          <w:noProof/>
          <w:sz w:val="22"/>
          <w:szCs w:val="22"/>
          <w:lang w:val="en-GB"/>
        </w:rPr>
        <w:t xml:space="preserve"> that the current legal framework </w:t>
      </w:r>
      <w:r w:rsidR="00FD6EDE">
        <w:rPr>
          <w:rFonts w:ascii="Gill Sans" w:hAnsi="Gill Sans" w:cs="Gill Sans"/>
          <w:noProof/>
          <w:sz w:val="22"/>
          <w:szCs w:val="22"/>
          <w:lang w:val="en-GB"/>
        </w:rPr>
        <w:t>could not</w:t>
      </w:r>
      <w:r w:rsidR="0088180D" w:rsidRPr="005018B2">
        <w:rPr>
          <w:rFonts w:ascii="Gill Sans" w:hAnsi="Gill Sans" w:cs="Gill Sans"/>
          <w:noProof/>
          <w:sz w:val="22"/>
          <w:szCs w:val="22"/>
          <w:lang w:val="en-GB"/>
        </w:rPr>
        <w:t xml:space="preserve"> be implemented</w:t>
      </w:r>
      <w:r w:rsidR="009A03AA">
        <w:rPr>
          <w:rFonts w:ascii="Gill Sans" w:hAnsi="Gill Sans" w:cs="Gill Sans"/>
          <w:noProof/>
          <w:sz w:val="22"/>
          <w:szCs w:val="22"/>
          <w:lang w:val="en-GB"/>
        </w:rPr>
        <w:t>,</w:t>
      </w:r>
      <w:r w:rsidR="0088180D" w:rsidRPr="005018B2">
        <w:rPr>
          <w:rFonts w:ascii="Gill Sans" w:hAnsi="Gill Sans" w:cs="Gill Sans"/>
          <w:noProof/>
          <w:sz w:val="22"/>
          <w:szCs w:val="22"/>
          <w:lang w:val="en-GB"/>
        </w:rPr>
        <w:t xml:space="preserve"> and that materials with restricted access (e.g., layout of water supply networks and civil defence objects) </w:t>
      </w:r>
      <w:r w:rsidR="00FD6EDE">
        <w:rPr>
          <w:rFonts w:ascii="Gill Sans" w:hAnsi="Gill Sans" w:cs="Gill Sans"/>
          <w:noProof/>
          <w:sz w:val="22"/>
          <w:szCs w:val="22"/>
          <w:lang w:val="en-GB"/>
        </w:rPr>
        <w:t>could not</w:t>
      </w:r>
      <w:r w:rsidR="0088180D" w:rsidRPr="005018B2">
        <w:rPr>
          <w:rFonts w:ascii="Gill Sans" w:hAnsi="Gill Sans" w:cs="Gill Sans"/>
          <w:noProof/>
          <w:sz w:val="22"/>
          <w:szCs w:val="22"/>
          <w:lang w:val="en-GB"/>
        </w:rPr>
        <w:t xml:space="preserve"> be separated from the rest of the urban planning maps. The ministry proposed to amend the law to reverse relevant provisions.</w:t>
      </w:r>
      <w:r w:rsidR="0088180D" w:rsidRPr="005018B2">
        <w:rPr>
          <w:rStyle w:val="EndnoteReference"/>
          <w:rFonts w:ascii="Gill Sans" w:hAnsi="Gill Sans" w:cs="Gill Sans"/>
          <w:noProof/>
          <w:sz w:val="22"/>
          <w:szCs w:val="22"/>
          <w:lang w:val="en-GB"/>
        </w:rPr>
        <w:endnoteReference w:id="18"/>
      </w:r>
      <w:r w:rsidR="00542C9C">
        <w:rPr>
          <w:rFonts w:ascii="Gill Sans" w:hAnsi="Gill Sans" w:cs="Gill Sans"/>
          <w:noProof/>
          <w:sz w:val="22"/>
          <w:szCs w:val="22"/>
          <w:lang w:val="en-GB"/>
        </w:rPr>
        <w:t xml:space="preserve"> </w:t>
      </w:r>
      <w:r w:rsidR="0088180D" w:rsidRPr="005018B2">
        <w:rPr>
          <w:rFonts w:ascii="Gill Sans" w:hAnsi="Gill Sans" w:cs="Gill Sans"/>
          <w:noProof/>
          <w:sz w:val="22"/>
          <w:szCs w:val="22"/>
          <w:lang w:val="en-GB"/>
        </w:rPr>
        <w:t xml:space="preserve">There </w:t>
      </w:r>
      <w:r w:rsidR="00542C9C">
        <w:rPr>
          <w:rFonts w:ascii="Gill Sans" w:hAnsi="Gill Sans" w:cs="Gill Sans"/>
          <w:noProof/>
          <w:sz w:val="22"/>
          <w:szCs w:val="22"/>
          <w:lang w:val="en-GB"/>
        </w:rPr>
        <w:t>was</w:t>
      </w:r>
      <w:r w:rsidR="0088180D" w:rsidRPr="005018B2">
        <w:rPr>
          <w:rFonts w:ascii="Gill Sans" w:hAnsi="Gill Sans" w:cs="Gill Sans"/>
          <w:noProof/>
          <w:sz w:val="22"/>
          <w:szCs w:val="22"/>
          <w:lang w:val="en-GB"/>
        </w:rPr>
        <w:t xml:space="preserve"> also </w:t>
      </w:r>
      <w:r w:rsidR="009A03AA">
        <w:rPr>
          <w:rFonts w:ascii="Gill Sans" w:hAnsi="Gill Sans" w:cs="Gill Sans"/>
          <w:noProof/>
          <w:sz w:val="22"/>
          <w:szCs w:val="22"/>
          <w:lang w:val="en-GB"/>
        </w:rPr>
        <w:t>the</w:t>
      </w:r>
      <w:r w:rsidR="009A03AA" w:rsidRPr="005018B2">
        <w:rPr>
          <w:rFonts w:ascii="Gill Sans" w:hAnsi="Gill Sans" w:cs="Gill Sans"/>
          <w:noProof/>
          <w:sz w:val="22"/>
          <w:szCs w:val="22"/>
          <w:lang w:val="en-GB"/>
        </w:rPr>
        <w:t xml:space="preserve"> </w:t>
      </w:r>
      <w:r w:rsidR="0088180D" w:rsidRPr="005018B2">
        <w:rPr>
          <w:rFonts w:ascii="Gill Sans" w:hAnsi="Gill Sans" w:cs="Gill Sans"/>
          <w:noProof/>
          <w:sz w:val="22"/>
          <w:szCs w:val="22"/>
          <w:lang w:val="en-GB"/>
        </w:rPr>
        <w:t>issue of funding</w:t>
      </w:r>
      <w:r w:rsidR="009A03AA">
        <w:rPr>
          <w:rFonts w:ascii="Gill Sans" w:hAnsi="Gill Sans" w:cs="Gill Sans"/>
          <w:noProof/>
          <w:sz w:val="22"/>
          <w:szCs w:val="22"/>
          <w:lang w:val="en-GB"/>
        </w:rPr>
        <w:t>,</w:t>
      </w:r>
      <w:r w:rsidR="0088180D" w:rsidRPr="005018B2">
        <w:rPr>
          <w:rFonts w:ascii="Gill Sans" w:hAnsi="Gill Sans" w:cs="Gill Sans"/>
          <w:noProof/>
          <w:sz w:val="22"/>
          <w:szCs w:val="22"/>
          <w:lang w:val="en-GB"/>
        </w:rPr>
        <w:t xml:space="preserve"> as redrawing of urban plans </w:t>
      </w:r>
      <w:r w:rsidR="00542C9C">
        <w:rPr>
          <w:rFonts w:ascii="Gill Sans" w:hAnsi="Gill Sans" w:cs="Gill Sans"/>
          <w:noProof/>
          <w:sz w:val="22"/>
          <w:szCs w:val="22"/>
          <w:lang w:val="en-GB"/>
        </w:rPr>
        <w:t>was</w:t>
      </w:r>
      <w:r w:rsidR="0088180D" w:rsidRPr="005018B2">
        <w:rPr>
          <w:rFonts w:ascii="Gill Sans" w:hAnsi="Gill Sans" w:cs="Gill Sans"/>
          <w:noProof/>
          <w:sz w:val="22"/>
          <w:szCs w:val="22"/>
          <w:lang w:val="en-GB"/>
        </w:rPr>
        <w:t xml:space="preserve"> costly. In the new urban planning documents developed through electronic means, separation of restricted parts from the rest of the urban planning materials</w:t>
      </w:r>
      <w:r w:rsidR="00542C9C">
        <w:rPr>
          <w:rFonts w:ascii="Gill Sans" w:hAnsi="Gill Sans" w:cs="Gill Sans"/>
          <w:noProof/>
          <w:sz w:val="22"/>
          <w:szCs w:val="22"/>
          <w:lang w:val="en-GB"/>
        </w:rPr>
        <w:t xml:space="preserve"> was</w:t>
      </w:r>
      <w:r w:rsidR="0088180D" w:rsidRPr="005018B2">
        <w:rPr>
          <w:rFonts w:ascii="Gill Sans" w:hAnsi="Gill Sans" w:cs="Gill Sans"/>
          <w:noProof/>
          <w:sz w:val="22"/>
          <w:szCs w:val="22"/>
          <w:lang w:val="en-GB"/>
        </w:rPr>
        <w:t xml:space="preserve"> easy (because such electronic documents allow multi-layering). Achieving the same result in the hard-copy paper </w:t>
      </w:r>
      <w:r w:rsidR="00542C9C">
        <w:rPr>
          <w:rFonts w:ascii="Gill Sans" w:hAnsi="Gill Sans" w:cs="Gill Sans"/>
          <w:noProof/>
          <w:sz w:val="22"/>
          <w:szCs w:val="22"/>
          <w:lang w:val="en-GB"/>
        </w:rPr>
        <w:t>plans required</w:t>
      </w:r>
      <w:r w:rsidR="0088180D" w:rsidRPr="005018B2">
        <w:rPr>
          <w:rFonts w:ascii="Gill Sans" w:hAnsi="Gill Sans" w:cs="Gill Sans"/>
          <w:noProof/>
          <w:sz w:val="22"/>
          <w:szCs w:val="22"/>
          <w:lang w:val="en-GB"/>
        </w:rPr>
        <w:t xml:space="preserve"> a significant investment of time and money. According to ministry representatives, more than 20,000 citie</w:t>
      </w:r>
      <w:r w:rsidR="00542C9C">
        <w:rPr>
          <w:rFonts w:ascii="Gill Sans" w:hAnsi="Gill Sans" w:cs="Gill Sans"/>
          <w:noProof/>
          <w:sz w:val="22"/>
          <w:szCs w:val="22"/>
          <w:lang w:val="en-GB"/>
        </w:rPr>
        <w:t>s and other dwellings had</w:t>
      </w:r>
      <w:r w:rsidR="0088180D" w:rsidRPr="005018B2">
        <w:rPr>
          <w:rFonts w:ascii="Gill Sans" w:hAnsi="Gill Sans" w:cs="Gill Sans"/>
          <w:noProof/>
          <w:sz w:val="22"/>
          <w:szCs w:val="22"/>
          <w:lang w:val="en-GB"/>
        </w:rPr>
        <w:t xml:space="preserve"> urban planning documents</w:t>
      </w:r>
      <w:r w:rsidR="00750ADF">
        <w:rPr>
          <w:rFonts w:ascii="Gill Sans" w:hAnsi="Gill Sans" w:cs="Gill Sans"/>
          <w:noProof/>
          <w:sz w:val="22"/>
          <w:szCs w:val="22"/>
          <w:lang w:val="en-GB"/>
        </w:rPr>
        <w:t xml:space="preserve">, but </w:t>
      </w:r>
      <w:r w:rsidR="0088180D" w:rsidRPr="005018B2">
        <w:rPr>
          <w:rFonts w:ascii="Gill Sans" w:hAnsi="Gill Sans" w:cs="Gill Sans"/>
          <w:noProof/>
          <w:sz w:val="22"/>
          <w:szCs w:val="22"/>
          <w:lang w:val="en-GB"/>
        </w:rPr>
        <w:t xml:space="preserve">only 1,800 plans </w:t>
      </w:r>
      <w:r w:rsidR="00542C9C">
        <w:rPr>
          <w:rFonts w:ascii="Gill Sans" w:hAnsi="Gill Sans" w:cs="Gill Sans"/>
          <w:noProof/>
          <w:sz w:val="22"/>
          <w:szCs w:val="22"/>
          <w:lang w:val="en-GB"/>
        </w:rPr>
        <w:t>had</w:t>
      </w:r>
      <w:r w:rsidR="0088180D" w:rsidRPr="005018B2">
        <w:rPr>
          <w:rFonts w:ascii="Gill Sans" w:hAnsi="Gill Sans" w:cs="Gill Sans"/>
          <w:noProof/>
          <w:sz w:val="22"/>
          <w:szCs w:val="22"/>
          <w:lang w:val="en-GB"/>
        </w:rPr>
        <w:t xml:space="preserve"> been published online, incl</w:t>
      </w:r>
      <w:r w:rsidR="00542C9C">
        <w:rPr>
          <w:rFonts w:ascii="Gill Sans" w:hAnsi="Gill Sans" w:cs="Gill Sans"/>
          <w:noProof/>
          <w:sz w:val="22"/>
          <w:szCs w:val="22"/>
          <w:lang w:val="en-GB"/>
        </w:rPr>
        <w:t>uding about 1,500 general plans</w:t>
      </w:r>
      <w:r w:rsidR="0089761F" w:rsidRPr="005018B2">
        <w:rPr>
          <w:rFonts w:ascii="Gill Sans" w:hAnsi="Gill Sans" w:cs="Gill Sans"/>
          <w:noProof/>
          <w:sz w:val="22"/>
          <w:szCs w:val="22"/>
          <w:lang w:val="en-GB"/>
        </w:rPr>
        <w:t>.</w:t>
      </w:r>
      <w:r w:rsidR="0089761F" w:rsidRPr="005018B2">
        <w:rPr>
          <w:rStyle w:val="EndnoteReference"/>
          <w:rFonts w:ascii="Gill Sans" w:hAnsi="Gill Sans" w:cs="Gill Sans"/>
          <w:noProof/>
          <w:sz w:val="22"/>
          <w:szCs w:val="22"/>
          <w:lang w:val="en-GB"/>
        </w:rPr>
        <w:endnoteReference w:id="19"/>
      </w:r>
      <w:r w:rsidR="0089761F" w:rsidRPr="005018B2">
        <w:rPr>
          <w:rFonts w:ascii="Gill Sans" w:hAnsi="Gill Sans" w:cs="Gill Sans"/>
          <w:noProof/>
          <w:sz w:val="22"/>
          <w:szCs w:val="22"/>
          <w:lang w:val="en-GB"/>
        </w:rPr>
        <w:t xml:space="preserve"> </w:t>
      </w:r>
    </w:p>
    <w:p w14:paraId="4ADB87C0" w14:textId="6D375FFF" w:rsidR="0089761F" w:rsidRPr="005018B2" w:rsidRDefault="0089761F" w:rsidP="005018B2">
      <w:pPr>
        <w:pStyle w:val="Normalrglronly"/>
        <w:rPr>
          <w:b/>
          <w:lang w:val="en-US"/>
        </w:rPr>
      </w:pPr>
      <w:r w:rsidRPr="00254401">
        <w:rPr>
          <w:b/>
          <w:lang w:val="en-GB"/>
        </w:rPr>
        <w:t xml:space="preserve">End of term: </w:t>
      </w:r>
      <w:r w:rsidR="0099025F" w:rsidRPr="00254401">
        <w:rPr>
          <w:b/>
          <w:lang w:val="en-GB"/>
        </w:rPr>
        <w:t>Limited</w:t>
      </w:r>
    </w:p>
    <w:p w14:paraId="62F3A86A" w14:textId="04618984" w:rsidR="0089761F" w:rsidRPr="00BB3451" w:rsidRDefault="00012280" w:rsidP="00F00809">
      <w:pPr>
        <w:spacing w:after="120"/>
        <w:rPr>
          <w:rFonts w:ascii="Gill Sans" w:hAnsi="Gill Sans" w:cs="Gill Sans"/>
          <w:noProof/>
          <w:sz w:val="22"/>
          <w:szCs w:val="22"/>
          <w:lang w:val="en-GB"/>
        </w:rPr>
      </w:pPr>
      <w:r>
        <w:rPr>
          <w:rFonts w:ascii="Gill Sans" w:hAnsi="Gill Sans" w:cs="Gill Sans"/>
          <w:noProof/>
          <w:sz w:val="22"/>
          <w:szCs w:val="22"/>
          <w:lang w:val="en-GB"/>
        </w:rPr>
        <w:t>No</w:t>
      </w:r>
      <w:r w:rsidR="002D6D9A">
        <w:rPr>
          <w:rFonts w:ascii="Gill Sans" w:hAnsi="Gill Sans" w:cs="Gill Sans"/>
          <w:noProof/>
          <w:sz w:val="22"/>
          <w:szCs w:val="22"/>
          <w:lang w:val="en-GB"/>
        </w:rPr>
        <w:t xml:space="preserve"> further</w:t>
      </w:r>
      <w:r>
        <w:rPr>
          <w:rFonts w:ascii="Gill Sans" w:hAnsi="Gill Sans" w:cs="Gill Sans"/>
          <w:noProof/>
          <w:sz w:val="22"/>
          <w:szCs w:val="22"/>
          <w:lang w:val="en-GB"/>
        </w:rPr>
        <w:t xml:space="preserve"> progress </w:t>
      </w:r>
      <w:r w:rsidR="002D6D9A">
        <w:rPr>
          <w:rFonts w:ascii="Gill Sans" w:hAnsi="Gill Sans" w:cs="Gill Sans"/>
          <w:noProof/>
          <w:sz w:val="22"/>
          <w:szCs w:val="22"/>
          <w:lang w:val="en-GB"/>
        </w:rPr>
        <w:t>has been</w:t>
      </w:r>
      <w:r>
        <w:rPr>
          <w:rFonts w:ascii="Gill Sans" w:hAnsi="Gill Sans" w:cs="Gill Sans"/>
          <w:noProof/>
          <w:sz w:val="22"/>
          <w:szCs w:val="22"/>
          <w:lang w:val="en-GB"/>
        </w:rPr>
        <w:t xml:space="preserve"> achieved since the midterm report. On the contrary, the Ministry of Regional Development proposed to roll back the transparency requirement and close access to some information in the urban plans</w:t>
      </w:r>
      <w:r w:rsidR="009A03AA">
        <w:rPr>
          <w:rFonts w:ascii="Gill Sans" w:hAnsi="Gill Sans" w:cs="Gill Sans"/>
          <w:noProof/>
          <w:sz w:val="22"/>
          <w:szCs w:val="22"/>
          <w:lang w:val="en-GB"/>
        </w:rPr>
        <w:t>,</w:t>
      </w:r>
      <w:r>
        <w:rPr>
          <w:rFonts w:ascii="Gill Sans" w:hAnsi="Gill Sans" w:cs="Gill Sans"/>
          <w:noProof/>
          <w:sz w:val="22"/>
          <w:szCs w:val="22"/>
          <w:lang w:val="en-GB"/>
        </w:rPr>
        <w:t xml:space="preserve"> by making public only </w:t>
      </w:r>
      <w:r w:rsidR="009A03AA">
        <w:rPr>
          <w:rFonts w:ascii="Gill Sans" w:hAnsi="Gill Sans" w:cs="Gill Sans"/>
          <w:noProof/>
          <w:sz w:val="22"/>
          <w:szCs w:val="22"/>
          <w:lang w:val="en-GB"/>
        </w:rPr>
        <w:t xml:space="preserve">a </w:t>
      </w:r>
      <w:r>
        <w:rPr>
          <w:rFonts w:ascii="Gill Sans" w:hAnsi="Gill Sans" w:cs="Gill Sans"/>
          <w:noProof/>
          <w:sz w:val="22"/>
          <w:szCs w:val="22"/>
          <w:lang w:val="en-GB"/>
        </w:rPr>
        <w:t xml:space="preserve">summary of </w:t>
      </w:r>
      <w:r w:rsidR="009A03AA">
        <w:rPr>
          <w:rFonts w:ascii="Gill Sans" w:hAnsi="Gill Sans" w:cs="Gill Sans"/>
          <w:noProof/>
          <w:sz w:val="22"/>
          <w:szCs w:val="22"/>
          <w:lang w:val="en-GB"/>
        </w:rPr>
        <w:t>the</w:t>
      </w:r>
      <w:r>
        <w:rPr>
          <w:rFonts w:ascii="Gill Sans" w:hAnsi="Gill Sans" w:cs="Gill Sans"/>
          <w:noProof/>
          <w:sz w:val="22"/>
          <w:szCs w:val="22"/>
          <w:lang w:val="en-GB"/>
        </w:rPr>
        <w:t xml:space="preserve"> plan.</w:t>
      </w:r>
      <w:r>
        <w:rPr>
          <w:rStyle w:val="EndnoteReference"/>
          <w:rFonts w:ascii="Gill Sans" w:hAnsi="Gill Sans" w:cs="Gill Sans"/>
          <w:noProof/>
          <w:sz w:val="22"/>
          <w:szCs w:val="22"/>
          <w:lang w:val="en-GB"/>
        </w:rPr>
        <w:endnoteReference w:id="20"/>
      </w:r>
      <w:r w:rsidR="004D20D6">
        <w:rPr>
          <w:rFonts w:ascii="Gill Sans" w:hAnsi="Gill Sans" w:cs="Gill Sans"/>
          <w:noProof/>
          <w:sz w:val="22"/>
          <w:szCs w:val="22"/>
          <w:lang w:val="en-GB"/>
        </w:rPr>
        <w:t xml:space="preserve"> Local authorities also conti</w:t>
      </w:r>
      <w:r w:rsidR="004F15D8">
        <w:rPr>
          <w:rFonts w:ascii="Gill Sans" w:hAnsi="Gill Sans" w:cs="Gill Sans"/>
          <w:noProof/>
          <w:sz w:val="22"/>
          <w:szCs w:val="22"/>
          <w:lang w:val="en-GB"/>
        </w:rPr>
        <w:t>nued to deny access to urban plans, despite clear provisions of the law allowing such access.</w:t>
      </w:r>
      <w:r w:rsidR="004F15D8">
        <w:rPr>
          <w:rStyle w:val="EndnoteReference"/>
          <w:rFonts w:ascii="Gill Sans" w:hAnsi="Gill Sans" w:cs="Gill Sans"/>
          <w:noProof/>
          <w:sz w:val="22"/>
          <w:szCs w:val="22"/>
          <w:lang w:val="en-GB"/>
        </w:rPr>
        <w:endnoteReference w:id="21"/>
      </w:r>
      <w:r w:rsidR="00F24770">
        <w:rPr>
          <w:rFonts w:ascii="Gill Sans" w:hAnsi="Gill Sans" w:cs="Gill Sans"/>
          <w:noProof/>
          <w:sz w:val="22"/>
          <w:szCs w:val="22"/>
          <w:lang w:val="en-GB"/>
        </w:rPr>
        <w:t xml:space="preserve"> </w:t>
      </w:r>
    </w:p>
    <w:p w14:paraId="3890D847" w14:textId="77777777" w:rsidR="0089761F" w:rsidRPr="00BB3451" w:rsidRDefault="0089761F" w:rsidP="006319F4">
      <w:pPr>
        <w:pStyle w:val="Heading3"/>
      </w:pPr>
      <w:r w:rsidRPr="00BB3451">
        <w:t>Did it open government?</w:t>
      </w:r>
    </w:p>
    <w:p w14:paraId="27C5F99B" w14:textId="3C03359E" w:rsidR="0089761F" w:rsidRPr="00BB3451" w:rsidRDefault="0089761F" w:rsidP="0089761F">
      <w:pPr>
        <w:spacing w:after="120"/>
        <w:rPr>
          <w:rFonts w:ascii="Gill Sans" w:hAnsi="Gill Sans" w:cs="Gill Sans"/>
          <w:b/>
          <w:color w:val="000000" w:themeColor="text1"/>
          <w:sz w:val="22"/>
          <w:szCs w:val="22"/>
          <w:lang w:val="en-GB"/>
        </w:rPr>
      </w:pPr>
      <w:r w:rsidRPr="00254401">
        <w:rPr>
          <w:rFonts w:ascii="Gill Sans" w:hAnsi="Gill Sans" w:cs="Gill Sans"/>
          <w:b/>
          <w:color w:val="000000" w:themeColor="text1"/>
          <w:sz w:val="22"/>
          <w:szCs w:val="22"/>
          <w:lang w:val="en-GB"/>
        </w:rPr>
        <w:t xml:space="preserve">Access to information: </w:t>
      </w:r>
      <w:r w:rsidR="0038432F" w:rsidRPr="00254401">
        <w:rPr>
          <w:rFonts w:ascii="Gill Sans" w:hAnsi="Gill Sans" w:cs="Gill Sans"/>
          <w:b/>
          <w:color w:val="000000" w:themeColor="text1"/>
          <w:sz w:val="22"/>
          <w:szCs w:val="22"/>
          <w:lang w:val="en-GB"/>
        </w:rPr>
        <w:t>Marginal</w:t>
      </w:r>
    </w:p>
    <w:p w14:paraId="268208D7" w14:textId="64B3EF4B" w:rsidR="00455340" w:rsidRPr="007913CC" w:rsidRDefault="00AE0AA4" w:rsidP="00F00809">
      <w:pPr>
        <w:spacing w:after="120"/>
        <w:rPr>
          <w:rFonts w:ascii="Gill Sans" w:hAnsi="Gill Sans" w:cs="Gill Sans"/>
          <w:noProof/>
          <w:sz w:val="22"/>
          <w:szCs w:val="22"/>
          <w:lang w:val="en-GB"/>
        </w:rPr>
      </w:pPr>
      <w:r w:rsidRPr="007913CC">
        <w:rPr>
          <w:rFonts w:ascii="Gill Sans" w:hAnsi="Gill Sans" w:cs="Gill Sans"/>
          <w:noProof/>
          <w:sz w:val="22"/>
          <w:szCs w:val="22"/>
          <w:lang w:val="en-GB"/>
        </w:rPr>
        <w:t xml:space="preserve">The commitment had only </w:t>
      </w:r>
      <w:r w:rsidR="009A03AA">
        <w:rPr>
          <w:rFonts w:ascii="Gill Sans" w:hAnsi="Gill Sans" w:cs="Gill Sans"/>
          <w:noProof/>
          <w:sz w:val="22"/>
          <w:szCs w:val="22"/>
          <w:lang w:val="en-GB"/>
        </w:rPr>
        <w:t xml:space="preserve">a </w:t>
      </w:r>
      <w:r w:rsidRPr="007913CC">
        <w:rPr>
          <w:rFonts w:ascii="Gill Sans" w:hAnsi="Gill Sans" w:cs="Gill Sans"/>
          <w:noProof/>
          <w:sz w:val="22"/>
          <w:szCs w:val="22"/>
          <w:lang w:val="en-GB"/>
        </w:rPr>
        <w:t xml:space="preserve">marginal </w:t>
      </w:r>
      <w:r w:rsidR="007913CC" w:rsidRPr="007913CC">
        <w:rPr>
          <w:rFonts w:ascii="Gill Sans" w:hAnsi="Gill Sans" w:cs="Gill Sans"/>
          <w:noProof/>
          <w:sz w:val="22"/>
          <w:szCs w:val="22"/>
          <w:lang w:val="en-GB"/>
        </w:rPr>
        <w:t>impact on open government</w:t>
      </w:r>
      <w:r w:rsidR="007913CC">
        <w:rPr>
          <w:rFonts w:ascii="Gill Sans" w:hAnsi="Gill Sans" w:cs="Gill Sans"/>
          <w:noProof/>
          <w:sz w:val="22"/>
          <w:szCs w:val="22"/>
          <w:lang w:val="en-GB"/>
        </w:rPr>
        <w:t xml:space="preserve">. It resulted in </w:t>
      </w:r>
      <w:r w:rsidR="009A03AA">
        <w:rPr>
          <w:rFonts w:ascii="Gill Sans" w:hAnsi="Gill Sans" w:cs="Gill Sans"/>
          <w:noProof/>
          <w:sz w:val="22"/>
          <w:szCs w:val="22"/>
          <w:lang w:val="en-GB"/>
        </w:rPr>
        <w:t xml:space="preserve">the </w:t>
      </w:r>
      <w:r w:rsidR="007913CC">
        <w:rPr>
          <w:rFonts w:ascii="Gill Sans" w:hAnsi="Gill Sans" w:cs="Gill Sans"/>
          <w:noProof/>
          <w:sz w:val="22"/>
          <w:szCs w:val="22"/>
          <w:lang w:val="en-GB"/>
        </w:rPr>
        <w:t xml:space="preserve">publication of some urban planning documents, but failed to achieve its goal of </w:t>
      </w:r>
      <w:r w:rsidR="007913CC" w:rsidRPr="007913CC">
        <w:rPr>
          <w:rFonts w:ascii="Gill Sans" w:hAnsi="Gill Sans" w:cs="Gill Sans"/>
          <w:noProof/>
          <w:sz w:val="22"/>
          <w:szCs w:val="22"/>
          <w:lang w:val="en-GB"/>
        </w:rPr>
        <w:t xml:space="preserve">ensuring free public access to </w:t>
      </w:r>
      <w:r w:rsidR="007F46E3">
        <w:rPr>
          <w:rFonts w:ascii="Gill Sans" w:hAnsi="Gill Sans" w:cs="Gill Sans"/>
          <w:noProof/>
          <w:sz w:val="22"/>
          <w:szCs w:val="22"/>
          <w:lang w:val="en-GB"/>
        </w:rPr>
        <w:t xml:space="preserve">all </w:t>
      </w:r>
      <w:r w:rsidR="007913CC" w:rsidRPr="007913CC">
        <w:rPr>
          <w:rFonts w:ascii="Gill Sans" w:hAnsi="Gill Sans" w:cs="Gill Sans"/>
          <w:noProof/>
          <w:sz w:val="22"/>
          <w:szCs w:val="22"/>
          <w:lang w:val="en-GB"/>
        </w:rPr>
        <w:t>urban planning documentation and geo-information data (including in electronic form)</w:t>
      </w:r>
      <w:r w:rsidR="007913CC">
        <w:rPr>
          <w:rFonts w:ascii="Gill Sans" w:hAnsi="Gill Sans" w:cs="Gill Sans"/>
          <w:noProof/>
          <w:sz w:val="22"/>
          <w:szCs w:val="22"/>
          <w:lang w:val="en-GB"/>
        </w:rPr>
        <w:t>. According to NGO</w:t>
      </w:r>
      <w:r w:rsidR="00750ADF">
        <w:rPr>
          <w:rFonts w:ascii="Gill Sans" w:hAnsi="Gill Sans" w:cs="Gill Sans"/>
          <w:noProof/>
          <w:sz w:val="22"/>
          <w:szCs w:val="22"/>
          <w:lang w:val="en-GB"/>
        </w:rPr>
        <w:t>s</w:t>
      </w:r>
      <w:r w:rsidR="007F46E3">
        <w:rPr>
          <w:rFonts w:ascii="Gill Sans" w:hAnsi="Gill Sans" w:cs="Gill Sans"/>
          <w:noProof/>
          <w:sz w:val="22"/>
          <w:szCs w:val="22"/>
          <w:lang w:val="en-GB"/>
        </w:rPr>
        <w:t xml:space="preserve"> working on urban development issues</w:t>
      </w:r>
      <w:r w:rsidR="007913CC">
        <w:rPr>
          <w:rFonts w:ascii="Gill Sans" w:hAnsi="Gill Sans" w:cs="Gill Sans"/>
          <w:noProof/>
          <w:sz w:val="22"/>
          <w:szCs w:val="22"/>
          <w:lang w:val="en-GB"/>
        </w:rPr>
        <w:t xml:space="preserve">, the law on free access to urban planning documents is not complied with in most cases. Very few information holders reviewed </w:t>
      </w:r>
      <w:r w:rsidR="009A03AA">
        <w:rPr>
          <w:rFonts w:ascii="Gill Sans" w:hAnsi="Gill Sans" w:cs="Gill Sans"/>
          <w:noProof/>
          <w:sz w:val="22"/>
          <w:szCs w:val="22"/>
          <w:lang w:val="en-GB"/>
        </w:rPr>
        <w:t xml:space="preserve">the </w:t>
      </w:r>
      <w:r w:rsidR="007913CC">
        <w:rPr>
          <w:rFonts w:ascii="Gill Sans" w:hAnsi="Gill Sans" w:cs="Gill Sans"/>
          <w:noProof/>
          <w:sz w:val="22"/>
          <w:szCs w:val="22"/>
          <w:lang w:val="en-GB"/>
        </w:rPr>
        <w:t>classification of relevant documentation</w:t>
      </w:r>
      <w:r w:rsidR="00750ADF">
        <w:rPr>
          <w:rFonts w:ascii="Gill Sans" w:hAnsi="Gill Sans" w:cs="Gill Sans"/>
          <w:noProof/>
          <w:sz w:val="22"/>
          <w:szCs w:val="22"/>
          <w:lang w:val="en-GB"/>
        </w:rPr>
        <w:t>,</w:t>
      </w:r>
      <w:r w:rsidR="000B05DD">
        <w:rPr>
          <w:rFonts w:ascii="Gill Sans" w:hAnsi="Gill Sans" w:cs="Gill Sans"/>
          <w:noProof/>
          <w:sz w:val="22"/>
          <w:szCs w:val="22"/>
          <w:lang w:val="en-GB"/>
        </w:rPr>
        <w:t xml:space="preserve"> which still remains under restricted status</w:t>
      </w:r>
      <w:r w:rsidR="007913CC">
        <w:rPr>
          <w:rFonts w:ascii="Gill Sans" w:hAnsi="Gill Sans" w:cs="Gill Sans"/>
          <w:noProof/>
          <w:sz w:val="22"/>
          <w:szCs w:val="22"/>
          <w:lang w:val="en-GB"/>
        </w:rPr>
        <w:t>.</w:t>
      </w:r>
      <w:r w:rsidR="007913CC">
        <w:rPr>
          <w:rStyle w:val="EndnoteReference"/>
          <w:rFonts w:ascii="Gill Sans" w:hAnsi="Gill Sans" w:cs="Gill Sans"/>
          <w:noProof/>
          <w:sz w:val="22"/>
          <w:szCs w:val="22"/>
          <w:lang w:val="en-GB"/>
        </w:rPr>
        <w:endnoteReference w:id="22"/>
      </w:r>
      <w:r w:rsidR="007913CC">
        <w:rPr>
          <w:rFonts w:ascii="Gill Sans" w:hAnsi="Gill Sans" w:cs="Gill Sans"/>
          <w:noProof/>
          <w:sz w:val="22"/>
          <w:szCs w:val="22"/>
          <w:lang w:val="en-GB"/>
        </w:rPr>
        <w:t xml:space="preserve"> </w:t>
      </w:r>
    </w:p>
    <w:p w14:paraId="53585C54" w14:textId="77777777" w:rsidR="0089761F" w:rsidRPr="00BB3451" w:rsidRDefault="0089761F" w:rsidP="006319F4">
      <w:pPr>
        <w:pStyle w:val="Heading3"/>
      </w:pPr>
      <w:r w:rsidRPr="00BB3451">
        <w:t>Carried forward?</w:t>
      </w:r>
    </w:p>
    <w:p w14:paraId="7FDAE1AC" w14:textId="3E7614D0" w:rsidR="0089761F" w:rsidRPr="00675D43" w:rsidRDefault="0089761F" w:rsidP="00F00809">
      <w:pPr>
        <w:spacing w:after="120"/>
        <w:rPr>
          <w:rFonts w:ascii="Gill Sans" w:hAnsi="Gill Sans" w:cs="Gill Sans"/>
          <w:sz w:val="22"/>
          <w:szCs w:val="22"/>
          <w:lang w:val="uk-UA"/>
        </w:rPr>
      </w:pPr>
      <w:r w:rsidRPr="00BB3451">
        <w:rPr>
          <w:rFonts w:ascii="Gill Sans" w:hAnsi="Gill Sans" w:cs="Gill Sans"/>
          <w:sz w:val="22"/>
          <w:szCs w:val="22"/>
        </w:rPr>
        <w:t>The commitment was carri</w:t>
      </w:r>
      <w:r>
        <w:rPr>
          <w:rFonts w:ascii="Gill Sans" w:hAnsi="Gill Sans" w:cs="Gill Sans"/>
          <w:sz w:val="22"/>
          <w:szCs w:val="22"/>
        </w:rPr>
        <w:t>ed over to the new action plan.</w:t>
      </w:r>
      <w:r w:rsidR="0038432F">
        <w:rPr>
          <w:rFonts w:ascii="Gill Sans" w:hAnsi="Gill Sans" w:cs="Gill Sans"/>
          <w:sz w:val="22"/>
          <w:szCs w:val="22"/>
        </w:rPr>
        <w:t xml:space="preserve"> The new plan aims to </w:t>
      </w:r>
      <w:r w:rsidR="00C26548">
        <w:rPr>
          <w:rFonts w:ascii="Gill Sans" w:hAnsi="Gill Sans" w:cs="Gill Sans"/>
          <w:sz w:val="22"/>
          <w:szCs w:val="22"/>
        </w:rPr>
        <w:t>amend</w:t>
      </w:r>
      <w:r w:rsidR="0038432F">
        <w:rPr>
          <w:rFonts w:ascii="Gill Sans" w:hAnsi="Gill Sans" w:cs="Gill Sans"/>
          <w:sz w:val="22"/>
          <w:szCs w:val="22"/>
        </w:rPr>
        <w:t xml:space="preserve"> Article 18 of the Law on Urban Planning</w:t>
      </w:r>
      <w:r w:rsidR="00F548DE">
        <w:rPr>
          <w:rFonts w:ascii="Gill Sans" w:hAnsi="Gill Sans" w:cs="Gill Sans"/>
          <w:sz w:val="22"/>
          <w:szCs w:val="22"/>
        </w:rPr>
        <w:t xml:space="preserve"> (by December 2017), align local urban planning documentation with the legal requirements </w:t>
      </w:r>
      <w:r w:rsidR="009A03AA">
        <w:rPr>
          <w:rFonts w:ascii="Gill Sans" w:hAnsi="Gill Sans" w:cs="Gill Sans"/>
          <w:sz w:val="22"/>
          <w:szCs w:val="22"/>
        </w:rPr>
        <w:t xml:space="preserve">for </w:t>
      </w:r>
      <w:r w:rsidR="00F548DE">
        <w:rPr>
          <w:rFonts w:ascii="Gill Sans" w:hAnsi="Gill Sans" w:cs="Gill Sans"/>
          <w:sz w:val="22"/>
          <w:szCs w:val="22"/>
        </w:rPr>
        <w:t>their openness (by December 2017)</w:t>
      </w:r>
      <w:r w:rsidR="00750ADF">
        <w:rPr>
          <w:rFonts w:ascii="Gill Sans" w:hAnsi="Gill Sans" w:cs="Gill Sans"/>
          <w:sz w:val="22"/>
          <w:szCs w:val="22"/>
        </w:rPr>
        <w:t>,</w:t>
      </w:r>
      <w:r w:rsidR="00F548DE">
        <w:rPr>
          <w:rFonts w:ascii="Gill Sans" w:hAnsi="Gill Sans" w:cs="Gill Sans"/>
          <w:sz w:val="22"/>
          <w:szCs w:val="22"/>
        </w:rPr>
        <w:t xml:space="preserve"> and develop </w:t>
      </w:r>
      <w:r w:rsidR="00750ADF">
        <w:rPr>
          <w:rFonts w:ascii="Gill Sans" w:hAnsi="Gill Sans" w:cs="Gill Sans"/>
          <w:sz w:val="22"/>
          <w:szCs w:val="22"/>
        </w:rPr>
        <w:t xml:space="preserve">the </w:t>
      </w:r>
      <w:r w:rsidR="00F548DE">
        <w:rPr>
          <w:rFonts w:ascii="Gill Sans" w:hAnsi="Gill Sans" w:cs="Gill Sans"/>
          <w:sz w:val="22"/>
          <w:szCs w:val="22"/>
        </w:rPr>
        <w:t xml:space="preserve">software and hardware system of the </w:t>
      </w:r>
      <w:r w:rsidR="009A03AA">
        <w:rPr>
          <w:rFonts w:ascii="Gill Sans" w:hAnsi="Gill Sans" w:cs="Gill Sans"/>
          <w:sz w:val="22"/>
          <w:szCs w:val="22"/>
        </w:rPr>
        <w:t xml:space="preserve">national </w:t>
      </w:r>
      <w:r w:rsidR="00F548DE">
        <w:rPr>
          <w:rFonts w:ascii="Gill Sans" w:hAnsi="Gill Sans" w:cs="Gill Sans"/>
          <w:sz w:val="22"/>
          <w:szCs w:val="22"/>
        </w:rPr>
        <w:t>urban planning cadaster and launch it in test mode (by June 2018).</w:t>
      </w:r>
    </w:p>
    <w:p w14:paraId="08D4B45B" w14:textId="6317BFED" w:rsidR="00217AB0" w:rsidRDefault="00217AB0">
      <w:pPr>
        <w:rPr>
          <w:rFonts w:ascii="Gill Sans" w:hAnsi="Gill Sans" w:cs="Gill Sans"/>
          <w:sz w:val="22"/>
          <w:szCs w:val="22"/>
        </w:rPr>
      </w:pPr>
      <w:r>
        <w:rPr>
          <w:rFonts w:ascii="Gill Sans" w:hAnsi="Gill Sans" w:cs="Gill Sans"/>
          <w:sz w:val="22"/>
          <w:szCs w:val="22"/>
        </w:rPr>
        <w:br w:type="page"/>
      </w:r>
    </w:p>
    <w:p w14:paraId="67C076DF" w14:textId="77777777" w:rsidR="00217AB0" w:rsidRDefault="00217AB0" w:rsidP="0089761F">
      <w:pPr>
        <w:spacing w:after="120"/>
        <w:rPr>
          <w:rFonts w:ascii="Gill Sans" w:hAnsi="Gill Sans" w:cs="Gill Sans"/>
          <w:sz w:val="22"/>
          <w:szCs w:val="22"/>
        </w:rPr>
        <w:sectPr w:rsidR="00217AB0" w:rsidSect="002A2966">
          <w:endnotePr>
            <w:numFmt w:val="decimal"/>
            <w:numRestart w:val="eachSect"/>
          </w:endnotePr>
          <w:pgSz w:w="11907" w:h="16839" w:code="9"/>
          <w:pgMar w:top="1417" w:right="1417" w:bottom="1417" w:left="1417" w:header="0" w:footer="0" w:gutter="0"/>
          <w:cols w:space="708"/>
          <w:docGrid w:linePitch="360"/>
        </w:sectPr>
      </w:pPr>
    </w:p>
    <w:p w14:paraId="657AFB67" w14:textId="0E2FEAFA" w:rsidR="00217AB0" w:rsidRPr="00BB3451" w:rsidRDefault="006E6C92" w:rsidP="00217AB0">
      <w:pPr>
        <w:pStyle w:val="Normalrglronly"/>
        <w:rPr>
          <w:b/>
          <w:lang w:val="en-GB"/>
        </w:rPr>
      </w:pPr>
      <w:r w:rsidRPr="00140D0F">
        <w:rPr>
          <w:rFonts w:ascii="MS Mincho" w:eastAsia="MS Mincho" w:hAnsi="MS Mincho" w:cs="MS Mincho"/>
          <w:lang w:val="en-GB"/>
        </w:rPr>
        <w:lastRenderedPageBreak/>
        <w:t>✪</w:t>
      </w:r>
      <w:r w:rsidR="001472DB">
        <w:rPr>
          <w:b/>
          <w:lang w:val="en-GB"/>
        </w:rPr>
        <w:t>5.3</w:t>
      </w:r>
      <w:r w:rsidR="0020660D">
        <w:rPr>
          <w:b/>
          <w:lang w:val="en-GB"/>
        </w:rPr>
        <w:t>.</w:t>
      </w:r>
      <w:r w:rsidR="00217AB0" w:rsidRPr="00BB3451">
        <w:rPr>
          <w:b/>
          <w:lang w:val="en-GB"/>
        </w:rPr>
        <w:t xml:space="preserve"> </w:t>
      </w:r>
      <w:r w:rsidR="001472DB" w:rsidRPr="001472DB">
        <w:rPr>
          <w:b/>
          <w:lang w:val="en-GB"/>
        </w:rPr>
        <w:t>Access to Communist-era archives</w:t>
      </w:r>
    </w:p>
    <w:p w14:paraId="4415C5C5" w14:textId="683B16BB" w:rsidR="001472DB" w:rsidRPr="001472DB" w:rsidRDefault="0068332A" w:rsidP="001472DB">
      <w:pPr>
        <w:spacing w:after="120"/>
        <w:rPr>
          <w:rFonts w:ascii="Gill Sans" w:hAnsi="Gill Sans" w:cs="Gill Sans"/>
          <w:i/>
          <w:noProof/>
          <w:sz w:val="22"/>
          <w:szCs w:val="22"/>
          <w:lang w:val="en-GB"/>
        </w:rPr>
      </w:pPr>
      <w:r w:rsidRPr="0016308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1472DB" w:rsidRPr="001472DB">
        <w:rPr>
          <w:rFonts w:ascii="Gill Sans" w:hAnsi="Gill Sans" w:cs="Gill Sans"/>
          <w:i/>
          <w:noProof/>
          <w:sz w:val="22"/>
          <w:szCs w:val="22"/>
          <w:lang w:val="en-GB"/>
        </w:rPr>
        <w:t>5.3. Ensuring citizens’ unhindered access to public information by means of: developing and submitting to the Cabinet of Ministers of Ukraine in due course a draft law regulating the procedure and conditions of access to archives of the USSR internal affairs bodies and secret services of 1917-1991</w:t>
      </w:r>
      <w:r>
        <w:rPr>
          <w:rFonts w:ascii="Gill Sans" w:hAnsi="Gill Sans" w:cs="Gill Sans"/>
          <w:i/>
          <w:noProof/>
          <w:sz w:val="22"/>
          <w:szCs w:val="22"/>
          <w:lang w:val="en-GB"/>
        </w:rPr>
        <w:t>.</w:t>
      </w:r>
    </w:p>
    <w:p w14:paraId="1250F8A7" w14:textId="34F2F8AF" w:rsidR="001472DB" w:rsidRPr="001472DB" w:rsidRDefault="001472DB" w:rsidP="001472DB">
      <w:pPr>
        <w:spacing w:after="120"/>
        <w:rPr>
          <w:rFonts w:ascii="Gill Sans" w:hAnsi="Gill Sans" w:cs="Gill Sans"/>
          <w:i/>
          <w:noProof/>
          <w:sz w:val="22"/>
          <w:szCs w:val="22"/>
          <w:lang w:val="en-GB"/>
        </w:rPr>
      </w:pPr>
      <w:r w:rsidRPr="001472DB">
        <w:rPr>
          <w:rFonts w:ascii="Gill Sans" w:hAnsi="Gill Sans" w:cs="Gill Sans"/>
          <w:i/>
          <w:noProof/>
          <w:sz w:val="22"/>
          <w:szCs w:val="22"/>
          <w:lang w:val="en-GB"/>
        </w:rPr>
        <w:t xml:space="preserve">Expected result: </w:t>
      </w:r>
      <w:r w:rsidRPr="001472DB">
        <w:rPr>
          <w:rFonts w:ascii="Gill Sans" w:hAnsi="Gill Sans" w:cs="Gill Sans"/>
          <w:i/>
          <w:sz w:val="22"/>
          <w:szCs w:val="22"/>
          <w:lang w:val="en-GB"/>
        </w:rPr>
        <w:t xml:space="preserve">relevant draft law endorsed by the Cabinet of Ministers of Ukraine, submitted to the </w:t>
      </w:r>
      <w:proofErr w:type="spellStart"/>
      <w:r w:rsidRPr="001472DB">
        <w:rPr>
          <w:rFonts w:ascii="Gill Sans" w:hAnsi="Gill Sans" w:cs="Gill Sans"/>
          <w:i/>
          <w:sz w:val="22"/>
          <w:szCs w:val="22"/>
          <w:lang w:val="en-GB"/>
        </w:rPr>
        <w:t>Verkhovna</w:t>
      </w:r>
      <w:proofErr w:type="spellEnd"/>
      <w:r w:rsidRPr="001472DB">
        <w:rPr>
          <w:rFonts w:ascii="Gill Sans" w:hAnsi="Gill Sans" w:cs="Gill Sans"/>
          <w:i/>
          <w:sz w:val="22"/>
          <w:szCs w:val="22"/>
          <w:lang w:val="en-GB"/>
        </w:rPr>
        <w:t xml:space="preserve"> Rada of Ukraine, and followed up until adoption</w:t>
      </w:r>
      <w:r w:rsidR="0068332A">
        <w:rPr>
          <w:rFonts w:ascii="Gill Sans" w:hAnsi="Gill Sans" w:cs="Gill Sans"/>
          <w:i/>
          <w:sz w:val="22"/>
          <w:szCs w:val="22"/>
          <w:lang w:val="en-GB"/>
        </w:rPr>
        <w:t>.</w:t>
      </w:r>
    </w:p>
    <w:p w14:paraId="475FC93A" w14:textId="0D962FFE" w:rsidR="001472DB" w:rsidRPr="001472DB" w:rsidRDefault="001472DB" w:rsidP="001472DB">
      <w:pPr>
        <w:spacing w:after="120"/>
        <w:rPr>
          <w:rFonts w:ascii="Gill Sans" w:hAnsi="Gill Sans" w:cs="Gill Sans"/>
          <w:noProof/>
          <w:sz w:val="22"/>
          <w:szCs w:val="22"/>
          <w:lang w:val="en-GB"/>
        </w:rPr>
      </w:pPr>
      <w:r w:rsidRPr="001472DB">
        <w:rPr>
          <w:rFonts w:ascii="Gill Sans" w:hAnsi="Gill Sans" w:cs="Gill Sans"/>
          <w:sz w:val="22"/>
          <w:szCs w:val="22"/>
          <w:lang w:val="en-GB"/>
        </w:rPr>
        <w:t>Lead institution</w:t>
      </w:r>
      <w:r w:rsidR="0068332A">
        <w:rPr>
          <w:rFonts w:ascii="Gill Sans" w:hAnsi="Gill Sans" w:cs="Gill Sans"/>
          <w:sz w:val="22"/>
          <w:szCs w:val="22"/>
          <w:lang w:val="en-GB"/>
        </w:rPr>
        <w:t>(s)</w:t>
      </w:r>
      <w:r w:rsidRPr="001472DB">
        <w:rPr>
          <w:rFonts w:ascii="Gill Sans" w:hAnsi="Gill Sans" w:cs="Gill Sans"/>
          <w:noProof/>
          <w:sz w:val="22"/>
          <w:szCs w:val="22"/>
          <w:lang w:val="en-GB"/>
        </w:rPr>
        <w:t>: Ukrainian Institute of National Remembrance</w:t>
      </w:r>
    </w:p>
    <w:p w14:paraId="445C491D" w14:textId="284BAF55" w:rsidR="00801B16" w:rsidRDefault="001472DB" w:rsidP="00801B16">
      <w:pPr>
        <w:spacing w:after="120"/>
        <w:rPr>
          <w:rFonts w:ascii="Gill Sans" w:hAnsi="Gill Sans" w:cs="Gill Sans"/>
          <w:noProof/>
          <w:sz w:val="22"/>
          <w:szCs w:val="22"/>
          <w:lang w:val="en-GB"/>
        </w:rPr>
      </w:pPr>
      <w:r w:rsidRPr="001472DB">
        <w:rPr>
          <w:rFonts w:ascii="Gill Sans" w:hAnsi="Gill Sans" w:cs="Gill Sans"/>
          <w:sz w:val="22"/>
          <w:szCs w:val="22"/>
          <w:lang w:val="en-GB"/>
        </w:rPr>
        <w:t>Supporting institution</w:t>
      </w:r>
      <w:r w:rsidR="0068332A">
        <w:rPr>
          <w:rFonts w:ascii="Gill Sans" w:hAnsi="Gill Sans" w:cs="Gill Sans"/>
          <w:sz w:val="22"/>
          <w:szCs w:val="22"/>
          <w:lang w:val="en-GB"/>
        </w:rPr>
        <w:t>(</w:t>
      </w:r>
      <w:r w:rsidRPr="001472DB">
        <w:rPr>
          <w:rFonts w:ascii="Gill Sans" w:hAnsi="Gill Sans" w:cs="Gill Sans"/>
          <w:sz w:val="22"/>
          <w:szCs w:val="22"/>
          <w:lang w:val="en-GB"/>
        </w:rPr>
        <w:t>s</w:t>
      </w:r>
      <w:r w:rsidR="0068332A">
        <w:rPr>
          <w:rFonts w:ascii="Gill Sans" w:hAnsi="Gill Sans" w:cs="Gill Sans"/>
          <w:sz w:val="22"/>
          <w:szCs w:val="22"/>
          <w:lang w:val="en-GB"/>
        </w:rPr>
        <w:t>)</w:t>
      </w:r>
      <w:r w:rsidRPr="001472DB">
        <w:rPr>
          <w:rFonts w:ascii="Gill Sans" w:hAnsi="Gill Sans" w:cs="Gill Sans"/>
          <w:sz w:val="22"/>
          <w:szCs w:val="22"/>
          <w:lang w:val="en-GB"/>
        </w:rPr>
        <w:t xml:space="preserve">: </w:t>
      </w:r>
      <w:r w:rsidRPr="001472DB">
        <w:rPr>
          <w:rFonts w:ascii="Gill Sans" w:hAnsi="Gill Sans" w:cs="Gill Sans"/>
          <w:noProof/>
          <w:sz w:val="22"/>
          <w:szCs w:val="22"/>
          <w:lang w:val="en-GB"/>
        </w:rPr>
        <w:t xml:space="preserve">Ministry of Culture, State Archive Service, Ministry of Justice, NGO </w:t>
      </w:r>
      <w:r w:rsidR="009A03AA">
        <w:rPr>
          <w:rFonts w:ascii="Gill Sans" w:hAnsi="Gill Sans" w:cs="Gill Sans"/>
          <w:noProof/>
          <w:sz w:val="22"/>
          <w:szCs w:val="22"/>
          <w:lang w:val="en-GB"/>
        </w:rPr>
        <w:t>“</w:t>
      </w:r>
      <w:r w:rsidRPr="001472DB">
        <w:rPr>
          <w:rFonts w:ascii="Gill Sans" w:hAnsi="Gill Sans" w:cs="Gill Sans"/>
          <w:noProof/>
          <w:sz w:val="22"/>
          <w:szCs w:val="22"/>
          <w:lang w:val="en-GB"/>
        </w:rPr>
        <w:t>Centre for Researching Liberation Movement,</w:t>
      </w:r>
      <w:r w:rsidR="009A03AA">
        <w:rPr>
          <w:rFonts w:ascii="Gill Sans" w:hAnsi="Gill Sans" w:cs="Gill Sans"/>
          <w:noProof/>
          <w:sz w:val="22"/>
          <w:szCs w:val="22"/>
          <w:lang w:val="en-GB"/>
        </w:rPr>
        <w:t>”</w:t>
      </w:r>
      <w:r w:rsidRPr="001472DB">
        <w:rPr>
          <w:rFonts w:ascii="Gill Sans" w:hAnsi="Gill Sans" w:cs="Gill Sans"/>
          <w:noProof/>
          <w:sz w:val="22"/>
          <w:szCs w:val="22"/>
          <w:lang w:val="en-GB"/>
        </w:rPr>
        <w:t xml:space="preserve"> other unspecified NGOs and international organisations</w:t>
      </w:r>
    </w:p>
    <w:p w14:paraId="41521ABB" w14:textId="0BB4D406" w:rsidR="0020660D" w:rsidRPr="001472DB" w:rsidRDefault="0020660D" w:rsidP="00801B16">
      <w:pPr>
        <w:spacing w:after="120"/>
        <w:rPr>
          <w:rFonts w:ascii="Gill Sans" w:hAnsi="Gill Sans" w:cs="Gill Sans"/>
          <w:noProof/>
          <w:sz w:val="22"/>
          <w:szCs w:val="22"/>
          <w:lang w:val="en-GB"/>
        </w:rPr>
      </w:pPr>
      <w:r w:rsidRPr="001472DB">
        <w:rPr>
          <w:rFonts w:ascii="Gill Sans" w:hAnsi="Gill Sans" w:cs="Gill Sans"/>
          <w:noProof/>
          <w:sz w:val="22"/>
          <w:szCs w:val="22"/>
          <w:lang w:val="en-GB"/>
        </w:rPr>
        <w:t xml:space="preserve">Start date: Not specified </w:t>
      </w:r>
      <w:r w:rsidRPr="001472DB">
        <w:rPr>
          <w:rFonts w:ascii="Gill Sans" w:hAnsi="Gill Sans" w:cs="Gill Sans"/>
          <w:noProof/>
          <w:sz w:val="22"/>
          <w:szCs w:val="22"/>
          <w:lang w:val="en-GB"/>
        </w:rPr>
        <w:tab/>
      </w:r>
      <w:r w:rsidRPr="001472DB">
        <w:rPr>
          <w:rFonts w:ascii="Gill Sans" w:hAnsi="Gill Sans" w:cs="Gill Sans"/>
          <w:noProof/>
          <w:sz w:val="22"/>
          <w:szCs w:val="22"/>
          <w:lang w:val="en-GB"/>
        </w:rPr>
        <w:tab/>
      </w:r>
      <w:r w:rsidRPr="001472DB">
        <w:rPr>
          <w:rFonts w:ascii="Gill Sans" w:hAnsi="Gill Sans" w:cs="Gill Sans"/>
          <w:noProof/>
          <w:sz w:val="22"/>
          <w:szCs w:val="22"/>
          <w:lang w:val="en-GB"/>
        </w:rPr>
        <w:tab/>
      </w:r>
      <w:r>
        <w:rPr>
          <w:rFonts w:ascii="Gill Sans" w:hAnsi="Gill Sans" w:cs="Gill Sans"/>
          <w:noProof/>
          <w:sz w:val="22"/>
          <w:szCs w:val="22"/>
          <w:lang w:val="en-GB"/>
        </w:rPr>
        <w:tab/>
      </w:r>
      <w:r>
        <w:rPr>
          <w:rFonts w:ascii="Gill Sans" w:hAnsi="Gill Sans" w:cs="Gill Sans"/>
          <w:noProof/>
          <w:sz w:val="22"/>
          <w:szCs w:val="22"/>
          <w:lang w:val="en-GB"/>
        </w:rPr>
        <w:tab/>
      </w:r>
      <w:r w:rsidRPr="001472DB">
        <w:rPr>
          <w:rFonts w:ascii="Gill Sans" w:hAnsi="Gill Sans" w:cs="Gill Sans"/>
          <w:noProof/>
          <w:sz w:val="22"/>
          <w:szCs w:val="22"/>
          <w:lang w:val="en-GB"/>
        </w:rPr>
        <w:t>End date: 31 December 2014</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3"/>
        <w:gridCol w:w="349"/>
        <w:gridCol w:w="349"/>
        <w:gridCol w:w="350"/>
        <w:gridCol w:w="432"/>
        <w:gridCol w:w="350"/>
        <w:gridCol w:w="350"/>
        <w:gridCol w:w="844"/>
        <w:gridCol w:w="350"/>
        <w:gridCol w:w="350"/>
        <w:gridCol w:w="432"/>
        <w:gridCol w:w="350"/>
        <w:gridCol w:w="597"/>
        <w:gridCol w:w="432"/>
        <w:gridCol w:w="432"/>
        <w:gridCol w:w="515"/>
        <w:gridCol w:w="350"/>
        <w:gridCol w:w="350"/>
        <w:gridCol w:w="350"/>
        <w:gridCol w:w="350"/>
        <w:gridCol w:w="432"/>
      </w:tblGrid>
      <w:tr w:rsidR="0020660D" w:rsidRPr="009651AC" w14:paraId="118655E7" w14:textId="77777777" w:rsidTr="00B017F8">
        <w:trPr>
          <w:trHeight w:val="405"/>
        </w:trPr>
        <w:tc>
          <w:tcPr>
            <w:tcW w:w="1522" w:type="dxa"/>
            <w:vMerge w:val="restart"/>
            <w:tcBorders>
              <w:top w:val="single" w:sz="18" w:space="0" w:color="FFFFFF"/>
              <w:left w:val="single" w:sz="4" w:space="0" w:color="FFFFFF"/>
              <w:right w:val="single" w:sz="18" w:space="0" w:color="FFFFFF"/>
            </w:tcBorders>
            <w:shd w:val="clear" w:color="auto" w:fill="000000"/>
          </w:tcPr>
          <w:p w14:paraId="11461722" w14:textId="77777777" w:rsidR="0020660D" w:rsidRPr="009651AC" w:rsidRDefault="0020660D" w:rsidP="0020660D">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78AF765C" w14:textId="06A3DBCA" w:rsidR="0020660D" w:rsidRPr="009651AC" w:rsidRDefault="0020660D" w:rsidP="0020660D">
            <w:pPr>
              <w:rPr>
                <w:rFonts w:ascii="Gill Sans" w:hAnsi="Gill Sans" w:cs="Gill Sans"/>
                <w:color w:val="FFFFFF" w:themeColor="background1"/>
                <w:sz w:val="22"/>
                <w:szCs w:val="22"/>
                <w:lang w:val="en-GB"/>
              </w:rPr>
            </w:pPr>
          </w:p>
        </w:tc>
        <w:tc>
          <w:tcPr>
            <w:tcW w:w="1445" w:type="dxa"/>
            <w:gridSpan w:val="4"/>
            <w:vMerge w:val="restart"/>
            <w:tcBorders>
              <w:top w:val="single" w:sz="18" w:space="0" w:color="FFFFFF"/>
              <w:left w:val="single" w:sz="18" w:space="0" w:color="FFFFFF"/>
              <w:right w:val="single" w:sz="18" w:space="0" w:color="FFFFFF"/>
            </w:tcBorders>
            <w:shd w:val="clear" w:color="auto" w:fill="D6E3BC"/>
          </w:tcPr>
          <w:p w14:paraId="7E5C92A4"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Specificity</w:t>
            </w:r>
          </w:p>
        </w:tc>
        <w:tc>
          <w:tcPr>
            <w:tcW w:w="2070" w:type="dxa"/>
            <w:gridSpan w:val="4"/>
            <w:vMerge w:val="restart"/>
            <w:tcBorders>
              <w:top w:val="single" w:sz="18" w:space="0" w:color="FFFFFF"/>
              <w:left w:val="single" w:sz="18" w:space="0" w:color="FFFFFF"/>
              <w:right w:val="single" w:sz="18" w:space="0" w:color="FFFFFF"/>
            </w:tcBorders>
            <w:shd w:val="clear" w:color="auto" w:fill="FBD4B4"/>
          </w:tcPr>
          <w:p w14:paraId="40729B15" w14:textId="4F10464C"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530" w:type="dxa"/>
            <w:gridSpan w:val="4"/>
            <w:vMerge w:val="restart"/>
            <w:tcBorders>
              <w:top w:val="single" w:sz="18" w:space="0" w:color="FFFFFF"/>
              <w:left w:val="single" w:sz="18" w:space="0" w:color="FFFFFF"/>
              <w:right w:val="single" w:sz="18" w:space="0" w:color="FFFFFF"/>
            </w:tcBorders>
            <w:shd w:val="clear" w:color="auto" w:fill="CCC0D9"/>
          </w:tcPr>
          <w:p w14:paraId="07B45810"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80" w:type="dxa"/>
            <w:gridSpan w:val="2"/>
            <w:vMerge w:val="restart"/>
            <w:tcBorders>
              <w:top w:val="single" w:sz="18" w:space="0" w:color="FFFFFF"/>
              <w:left w:val="single" w:sz="18" w:space="0" w:color="FFFFFF"/>
              <w:right w:val="single" w:sz="2" w:space="0" w:color="FFFFFF"/>
            </w:tcBorders>
            <w:shd w:val="clear" w:color="auto" w:fill="B8CCE4"/>
          </w:tcPr>
          <w:p w14:paraId="2CA312B7" w14:textId="51148174" w:rsidR="0020660D" w:rsidRPr="009651AC" w:rsidRDefault="0020660D" w:rsidP="0020660D">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90"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0711B31A"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Midterm</w:t>
            </w:r>
          </w:p>
        </w:tc>
        <w:tc>
          <w:tcPr>
            <w:tcW w:w="1890" w:type="dxa"/>
            <w:gridSpan w:val="5"/>
            <w:vMerge w:val="restart"/>
            <w:tcBorders>
              <w:top w:val="single" w:sz="18" w:space="0" w:color="FFFFFF"/>
              <w:left w:val="single" w:sz="18" w:space="0" w:color="FFFFFF"/>
              <w:right w:val="single" w:sz="18" w:space="0" w:color="FFFFFF"/>
            </w:tcBorders>
            <w:shd w:val="clear" w:color="auto" w:fill="D99594"/>
          </w:tcPr>
          <w:p w14:paraId="4D109DE6" w14:textId="602C8CE4"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20660D" w:rsidRPr="009651AC" w14:paraId="4225FA13" w14:textId="77777777" w:rsidTr="00B017F8">
        <w:trPr>
          <w:trHeight w:val="373"/>
        </w:trPr>
        <w:tc>
          <w:tcPr>
            <w:tcW w:w="1522" w:type="dxa"/>
            <w:vMerge/>
            <w:tcBorders>
              <w:left w:val="single" w:sz="4" w:space="0" w:color="FFFFFF"/>
              <w:right w:val="single" w:sz="18" w:space="0" w:color="FFFFFF"/>
            </w:tcBorders>
            <w:shd w:val="clear" w:color="auto" w:fill="000000"/>
          </w:tcPr>
          <w:p w14:paraId="699A2E1F" w14:textId="4E864D08" w:rsidR="0020660D" w:rsidRPr="009651AC" w:rsidRDefault="0020660D" w:rsidP="0020660D">
            <w:pPr>
              <w:rPr>
                <w:rFonts w:ascii="Gill Sans" w:hAnsi="Gill Sans" w:cs="Gill Sans"/>
                <w:color w:val="FFFFFF" w:themeColor="background1"/>
                <w:sz w:val="22"/>
                <w:szCs w:val="22"/>
                <w:lang w:val="en-GB"/>
              </w:rPr>
            </w:pPr>
          </w:p>
        </w:tc>
        <w:tc>
          <w:tcPr>
            <w:tcW w:w="1445" w:type="dxa"/>
            <w:gridSpan w:val="4"/>
            <w:vMerge/>
            <w:tcBorders>
              <w:left w:val="single" w:sz="18" w:space="0" w:color="FFFFFF"/>
              <w:bottom w:val="single" w:sz="18" w:space="0" w:color="FFFFFF"/>
              <w:right w:val="single" w:sz="18" w:space="0" w:color="FFFFFF"/>
            </w:tcBorders>
            <w:shd w:val="clear" w:color="auto" w:fill="D6E3BC"/>
          </w:tcPr>
          <w:p w14:paraId="5AE845BC" w14:textId="77777777" w:rsidR="0020660D" w:rsidRPr="009651AC" w:rsidRDefault="0020660D" w:rsidP="0020660D">
            <w:pPr>
              <w:rPr>
                <w:rFonts w:ascii="Gill Sans" w:hAnsi="Gill Sans" w:cs="Gill Sans"/>
                <w:sz w:val="22"/>
                <w:szCs w:val="22"/>
                <w:lang w:val="en-GB"/>
              </w:rPr>
            </w:pPr>
          </w:p>
        </w:tc>
        <w:tc>
          <w:tcPr>
            <w:tcW w:w="2070" w:type="dxa"/>
            <w:gridSpan w:val="4"/>
            <w:vMerge/>
            <w:tcBorders>
              <w:left w:val="single" w:sz="18" w:space="0" w:color="FFFFFF"/>
              <w:bottom w:val="single" w:sz="18" w:space="0" w:color="FFFFFF"/>
              <w:right w:val="single" w:sz="18" w:space="0" w:color="FFFFFF"/>
            </w:tcBorders>
            <w:shd w:val="clear" w:color="auto" w:fill="FBD4B4"/>
          </w:tcPr>
          <w:p w14:paraId="1BC81B69" w14:textId="77777777" w:rsidR="0020660D" w:rsidRPr="009651AC" w:rsidRDefault="0020660D" w:rsidP="0020660D">
            <w:pPr>
              <w:rPr>
                <w:rFonts w:ascii="Gill Sans" w:hAnsi="Gill Sans" w:cs="Gill Sans"/>
                <w:sz w:val="22"/>
                <w:szCs w:val="22"/>
                <w:lang w:val="en-GB"/>
              </w:rPr>
            </w:pPr>
          </w:p>
        </w:tc>
        <w:tc>
          <w:tcPr>
            <w:tcW w:w="1530" w:type="dxa"/>
            <w:gridSpan w:val="4"/>
            <w:vMerge/>
            <w:tcBorders>
              <w:left w:val="single" w:sz="18" w:space="0" w:color="FFFFFF"/>
              <w:bottom w:val="single" w:sz="18" w:space="0" w:color="FFFFFF"/>
              <w:right w:val="single" w:sz="18" w:space="0" w:color="FFFFFF"/>
            </w:tcBorders>
            <w:shd w:val="clear" w:color="auto" w:fill="CCC0D9"/>
          </w:tcPr>
          <w:p w14:paraId="66D04403" w14:textId="77777777" w:rsidR="0020660D" w:rsidRPr="009651AC" w:rsidRDefault="0020660D" w:rsidP="0020660D">
            <w:pPr>
              <w:rPr>
                <w:rFonts w:ascii="Gill Sans" w:hAnsi="Gill Sans" w:cs="Gill Sans"/>
                <w:sz w:val="22"/>
                <w:szCs w:val="22"/>
                <w:lang w:val="en-GB"/>
              </w:rPr>
            </w:pPr>
          </w:p>
        </w:tc>
        <w:tc>
          <w:tcPr>
            <w:tcW w:w="1080" w:type="dxa"/>
            <w:gridSpan w:val="2"/>
            <w:vMerge/>
            <w:tcBorders>
              <w:left w:val="single" w:sz="18" w:space="0" w:color="FFFFFF"/>
              <w:bottom w:val="single" w:sz="18" w:space="0" w:color="FFFFFF"/>
              <w:right w:val="single" w:sz="2" w:space="0" w:color="FFFFFF"/>
            </w:tcBorders>
            <w:shd w:val="clear" w:color="auto" w:fill="B8CCE4"/>
          </w:tcPr>
          <w:p w14:paraId="5ECE221F" w14:textId="77777777" w:rsidR="0020660D" w:rsidRPr="009651AC" w:rsidRDefault="0020660D" w:rsidP="0020660D">
            <w:pPr>
              <w:rPr>
                <w:rFonts w:ascii="Gill Sans" w:hAnsi="Gill Sans" w:cs="Gill Sans"/>
                <w:sz w:val="22"/>
                <w:szCs w:val="22"/>
                <w:lang w:val="en-GB"/>
              </w:rPr>
            </w:pPr>
          </w:p>
        </w:tc>
        <w:tc>
          <w:tcPr>
            <w:tcW w:w="990"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24FFE2D8" w14:textId="2825FE7E"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1890" w:type="dxa"/>
            <w:gridSpan w:val="5"/>
            <w:vMerge/>
            <w:tcBorders>
              <w:left w:val="single" w:sz="18" w:space="0" w:color="FFFFFF"/>
              <w:bottom w:val="single" w:sz="18" w:space="0" w:color="FFFFFF"/>
              <w:right w:val="single" w:sz="18" w:space="0" w:color="FFFFFF"/>
            </w:tcBorders>
            <w:shd w:val="clear" w:color="auto" w:fill="D99594"/>
          </w:tcPr>
          <w:p w14:paraId="07AE3B4F" w14:textId="77777777" w:rsidR="0020660D" w:rsidRPr="009651AC" w:rsidRDefault="0020660D" w:rsidP="0020660D">
            <w:pPr>
              <w:rPr>
                <w:rFonts w:ascii="Gill Sans" w:hAnsi="Gill Sans" w:cs="Gill Sans"/>
                <w:sz w:val="22"/>
                <w:szCs w:val="22"/>
                <w:lang w:val="en-GB"/>
              </w:rPr>
            </w:pPr>
          </w:p>
        </w:tc>
      </w:tr>
      <w:tr w:rsidR="0020660D" w:rsidRPr="009651AC" w14:paraId="68FD46CC" w14:textId="77777777" w:rsidTr="00B017F8">
        <w:trPr>
          <w:cantSplit/>
          <w:trHeight w:val="2336"/>
        </w:trPr>
        <w:tc>
          <w:tcPr>
            <w:tcW w:w="1522" w:type="dxa"/>
            <w:vMerge/>
            <w:tcBorders>
              <w:left w:val="single" w:sz="4" w:space="0" w:color="FFFFFF"/>
              <w:right w:val="single" w:sz="18" w:space="0" w:color="FFFFFF"/>
            </w:tcBorders>
            <w:shd w:val="clear" w:color="auto" w:fill="000000"/>
          </w:tcPr>
          <w:p w14:paraId="45F78378" w14:textId="47F1BF5D" w:rsidR="0020660D" w:rsidRPr="009651AC" w:rsidRDefault="0020660D" w:rsidP="0020660D">
            <w:pPr>
              <w:rPr>
                <w:rFonts w:ascii="Gill Sans" w:hAnsi="Gill Sans" w:cs="Gill Sans"/>
                <w:color w:val="FFFFFF" w:themeColor="background1"/>
                <w:sz w:val="22"/>
                <w:szCs w:val="22"/>
                <w:lang w:val="en-GB"/>
              </w:rPr>
            </w:pPr>
          </w:p>
        </w:tc>
        <w:tc>
          <w:tcPr>
            <w:tcW w:w="365"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437B60E5"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6F4103E9"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Low</w:t>
            </w:r>
          </w:p>
        </w:tc>
        <w:tc>
          <w:tcPr>
            <w:tcW w:w="360"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2C3FEFDE"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Medium</w:t>
            </w:r>
          </w:p>
        </w:tc>
        <w:tc>
          <w:tcPr>
            <w:tcW w:w="360"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2BE1D29E"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High</w:t>
            </w:r>
          </w:p>
        </w:tc>
        <w:tc>
          <w:tcPr>
            <w:tcW w:w="45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1159CF5E"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6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3D750611"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6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4D768780"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900"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573924B9"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4642A446"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05A4EDD2"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23444358"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0CD84756"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630"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603562D7" w14:textId="54A0DE52"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7B1DBF93"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Limited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3F4B52B4"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Substantial</w:t>
            </w:r>
          </w:p>
        </w:tc>
        <w:tc>
          <w:tcPr>
            <w:tcW w:w="540"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47B0973C"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CA6BC73" w14:textId="79A94491"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39877F3" w14:textId="3A7DD29F"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ot change</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B3E5589"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Marginal</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1641B58"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50"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2879F01D"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Outstanding</w:t>
            </w:r>
          </w:p>
        </w:tc>
      </w:tr>
      <w:tr w:rsidR="0020660D" w:rsidRPr="009651AC" w14:paraId="730DAE72" w14:textId="77777777" w:rsidTr="00B017F8">
        <w:trPr>
          <w:trHeight w:val="340"/>
        </w:trPr>
        <w:tc>
          <w:tcPr>
            <w:tcW w:w="1522" w:type="dxa"/>
            <w:vMerge/>
            <w:tcBorders>
              <w:left w:val="single" w:sz="4" w:space="0" w:color="FFFFFF"/>
              <w:right w:val="single" w:sz="18" w:space="0" w:color="FFFFFF"/>
            </w:tcBorders>
            <w:shd w:val="clear" w:color="auto" w:fill="000000"/>
          </w:tcPr>
          <w:p w14:paraId="5791FE23" w14:textId="554989C3" w:rsidR="0020660D" w:rsidRPr="009651AC" w:rsidRDefault="0020660D" w:rsidP="0020660D">
            <w:pPr>
              <w:rPr>
                <w:rFonts w:ascii="Gill Sans" w:hAnsi="Gill Sans" w:cs="Gill Sans"/>
                <w:noProof/>
                <w:color w:val="FFFFFF" w:themeColor="background1"/>
                <w:sz w:val="22"/>
                <w:szCs w:val="22"/>
                <w:lang w:val="en-GB"/>
              </w:rPr>
            </w:pPr>
          </w:p>
        </w:tc>
        <w:tc>
          <w:tcPr>
            <w:tcW w:w="365" w:type="dxa"/>
            <w:vMerge w:val="restart"/>
            <w:tcBorders>
              <w:top w:val="single" w:sz="18" w:space="0" w:color="FFFFFF"/>
              <w:left w:val="single" w:sz="18" w:space="0" w:color="FFFFFF"/>
              <w:right w:val="single" w:sz="2" w:space="0" w:color="FFFFFF"/>
            </w:tcBorders>
            <w:shd w:val="clear" w:color="auto" w:fill="D6E3BC"/>
          </w:tcPr>
          <w:p w14:paraId="16CF727D" w14:textId="77777777" w:rsidR="0020660D" w:rsidRPr="009651AC" w:rsidRDefault="0020660D" w:rsidP="0020660D">
            <w:pPr>
              <w:rPr>
                <w:rFonts w:ascii="Gill Sans" w:hAnsi="Gill San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6E3BC"/>
          </w:tcPr>
          <w:p w14:paraId="2F67DCDC" w14:textId="77777777" w:rsidR="0020660D" w:rsidRPr="009651AC" w:rsidRDefault="0020660D" w:rsidP="0020660D">
            <w:pPr>
              <w:rPr>
                <w:rFonts w:ascii="Gill Sans" w:hAnsi="Gill San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6E3BC"/>
          </w:tcPr>
          <w:p w14:paraId="3E90A748" w14:textId="77777777" w:rsidR="0020660D" w:rsidRPr="00DF1741" w:rsidRDefault="0020660D" w:rsidP="0020660D">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18" w:space="0" w:color="FFFFFF"/>
            </w:tcBorders>
            <w:shd w:val="clear" w:color="auto" w:fill="D6E3BC"/>
          </w:tcPr>
          <w:p w14:paraId="4E6E5A4F" w14:textId="77777777" w:rsidR="0020660D" w:rsidRPr="00DF1741" w:rsidRDefault="0020660D" w:rsidP="0020660D">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FBD4B4"/>
          </w:tcPr>
          <w:p w14:paraId="7A8B6AC7" w14:textId="77777777"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2" w:space="0" w:color="FFFFFF"/>
            </w:tcBorders>
            <w:shd w:val="clear" w:color="auto" w:fill="FBD4B4"/>
          </w:tcPr>
          <w:p w14:paraId="518C4B94" w14:textId="77777777" w:rsidR="0020660D" w:rsidRPr="00DF1741" w:rsidRDefault="0020660D" w:rsidP="0020660D">
            <w:pPr>
              <w:rPr>
                <w:rFonts w:ascii="Zapf Dingbats" w:hAnsi="Zapf Dingbats" w:cs="Gill Sans"/>
                <w:noProof/>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FBD4B4"/>
          </w:tcPr>
          <w:p w14:paraId="0E3C4D34" w14:textId="77777777" w:rsidR="0020660D" w:rsidRPr="00DF1741" w:rsidRDefault="0020660D" w:rsidP="0020660D">
            <w:pPr>
              <w:rPr>
                <w:rFonts w:ascii="Zapf Dingbats" w:hAnsi="Zapf Dingbats" w:cs="Gill Sans"/>
                <w:noProof/>
                <w:sz w:val="22"/>
                <w:szCs w:val="22"/>
                <w:lang w:val="en-GB"/>
              </w:rPr>
            </w:pPr>
          </w:p>
        </w:tc>
        <w:tc>
          <w:tcPr>
            <w:tcW w:w="900" w:type="dxa"/>
            <w:vMerge w:val="restart"/>
            <w:tcBorders>
              <w:top w:val="single" w:sz="18" w:space="0" w:color="FFFFFF"/>
              <w:left w:val="single" w:sz="2" w:space="0" w:color="FFFFFF"/>
              <w:right w:val="single" w:sz="18" w:space="0" w:color="FFFFFF"/>
            </w:tcBorders>
            <w:shd w:val="clear" w:color="auto" w:fill="FBD4B4"/>
          </w:tcPr>
          <w:p w14:paraId="3A6A6E9A" w14:textId="411B15B6" w:rsidR="0020660D" w:rsidRPr="00DF1741" w:rsidRDefault="0020660D" w:rsidP="0020660D">
            <w:pPr>
              <w:rPr>
                <w:rFonts w:ascii="Zapf Dingbats" w:hAnsi="Zapf Dingbats" w:cs="Gill Sans"/>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CCC0D9"/>
          </w:tcPr>
          <w:p w14:paraId="2021D1F4" w14:textId="77777777" w:rsidR="0020660D" w:rsidRPr="00DF1741" w:rsidRDefault="0020660D" w:rsidP="0020660D">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4C804678" w14:textId="77777777" w:rsidR="0020660D" w:rsidRPr="00DF1741" w:rsidRDefault="0020660D" w:rsidP="0020660D">
            <w:pPr>
              <w:rPr>
                <w:rFonts w:ascii="Zapf Dingbats" w:hAnsi="Zapf Dingbats" w:cs="Gill Sans"/>
                <w:sz w:val="22"/>
                <w:szCs w:val="22"/>
                <w:lang w:val="en-GB"/>
              </w:rPr>
            </w:pPr>
          </w:p>
        </w:tc>
        <w:tc>
          <w:tcPr>
            <w:tcW w:w="450" w:type="dxa"/>
            <w:vMerge w:val="restart"/>
            <w:tcBorders>
              <w:top w:val="single" w:sz="18" w:space="0" w:color="FFFFFF"/>
              <w:left w:val="single" w:sz="2" w:space="0" w:color="FFFFFF"/>
              <w:right w:val="single" w:sz="2" w:space="0" w:color="FFFFFF"/>
            </w:tcBorders>
            <w:shd w:val="clear" w:color="auto" w:fill="CCC0D9"/>
          </w:tcPr>
          <w:p w14:paraId="701C58B6" w14:textId="77777777" w:rsidR="0020660D" w:rsidRPr="00DF1741" w:rsidRDefault="0020660D" w:rsidP="0020660D">
            <w:pPr>
              <w:rPr>
                <w:rFonts w:ascii="Zapf Dingbats" w:hAnsi="Zapf Dingbats" w:cs="Gill Sans"/>
                <w:noProof/>
                <w:sz w:val="22"/>
                <w:szCs w:val="22"/>
                <w:lang w:val="en-GB"/>
              </w:rPr>
            </w:pPr>
          </w:p>
        </w:tc>
        <w:tc>
          <w:tcPr>
            <w:tcW w:w="360" w:type="dxa"/>
            <w:vMerge w:val="restart"/>
            <w:tcBorders>
              <w:top w:val="single" w:sz="18" w:space="0" w:color="FFFFFF"/>
              <w:left w:val="single" w:sz="2" w:space="0" w:color="FFFFFF"/>
              <w:right w:val="single" w:sz="18" w:space="0" w:color="FFFFFF"/>
            </w:tcBorders>
            <w:shd w:val="clear" w:color="auto" w:fill="CCC0D9"/>
          </w:tcPr>
          <w:p w14:paraId="0A842645" w14:textId="77777777"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630" w:type="dxa"/>
            <w:tcBorders>
              <w:top w:val="single" w:sz="18" w:space="0" w:color="FFFFFF"/>
              <w:left w:val="single" w:sz="18" w:space="0" w:color="FFFFFF"/>
              <w:bottom w:val="single" w:sz="2" w:space="0" w:color="auto"/>
              <w:right w:val="single" w:sz="4" w:space="0" w:color="FFFFFF" w:themeColor="background1"/>
            </w:tcBorders>
            <w:shd w:val="clear" w:color="auto" w:fill="B8CCE4"/>
          </w:tcPr>
          <w:p w14:paraId="0ABCEB21" w14:textId="77777777" w:rsidR="0020660D" w:rsidRPr="00DF1741" w:rsidRDefault="0020660D" w:rsidP="0020660D">
            <w:pPr>
              <w:rPr>
                <w:rFonts w:ascii="Zapf Dingbats" w:hAnsi="Zapf Dingbats" w:cs="Gill Sans"/>
                <w:sz w:val="22"/>
                <w:szCs w:val="22"/>
                <w:lang w:val="en-GB"/>
              </w:rPr>
            </w:pPr>
          </w:p>
        </w:tc>
        <w:tc>
          <w:tcPr>
            <w:tcW w:w="450" w:type="dxa"/>
            <w:tcBorders>
              <w:top w:val="single" w:sz="18" w:space="0" w:color="FFFFFF"/>
              <w:left w:val="single" w:sz="4" w:space="0" w:color="FFFFFF" w:themeColor="background1"/>
              <w:bottom w:val="single" w:sz="2" w:space="0" w:color="auto"/>
              <w:right w:val="single" w:sz="4" w:space="0" w:color="FFFFFF" w:themeColor="background1"/>
            </w:tcBorders>
            <w:shd w:val="clear" w:color="auto" w:fill="B8CCE4"/>
          </w:tcPr>
          <w:p w14:paraId="0C94FE19" w14:textId="50D5C7D1" w:rsidR="0020660D" w:rsidRPr="00DF1741" w:rsidRDefault="0020660D" w:rsidP="0020660D">
            <w:pPr>
              <w:rPr>
                <w:rFonts w:ascii="Zapf Dingbats" w:hAnsi="Zapf Dingbats" w:cs="Gill Sans"/>
                <w:sz w:val="22"/>
                <w:szCs w:val="22"/>
                <w:lang w:val="en-GB"/>
              </w:rPr>
            </w:pPr>
          </w:p>
        </w:tc>
        <w:tc>
          <w:tcPr>
            <w:tcW w:w="450" w:type="dxa"/>
            <w:tcBorders>
              <w:top w:val="single" w:sz="18" w:space="0" w:color="FFFFFF"/>
              <w:left w:val="single" w:sz="4" w:space="0" w:color="FFFFFF" w:themeColor="background1"/>
              <w:bottom w:val="single" w:sz="2" w:space="0" w:color="auto"/>
              <w:right w:val="single" w:sz="4" w:space="0" w:color="FFFFFF" w:themeColor="background1"/>
            </w:tcBorders>
            <w:shd w:val="clear" w:color="auto" w:fill="B8CCE4"/>
          </w:tcPr>
          <w:p w14:paraId="4AE4C5E5" w14:textId="77777777" w:rsidR="0020660D" w:rsidRPr="00DF1741" w:rsidRDefault="0020660D" w:rsidP="0020660D">
            <w:pPr>
              <w:rPr>
                <w:rFonts w:ascii="Zapf Dingbats" w:hAnsi="Zapf Dingbats" w:cs="Gill Sans"/>
                <w:sz w:val="22"/>
                <w:szCs w:val="22"/>
                <w:lang w:val="en-GB"/>
              </w:rPr>
            </w:pPr>
          </w:p>
        </w:tc>
        <w:tc>
          <w:tcPr>
            <w:tcW w:w="540" w:type="dxa"/>
            <w:tcBorders>
              <w:top w:val="single" w:sz="18" w:space="0" w:color="FFFFFF"/>
              <w:left w:val="single" w:sz="4" w:space="0" w:color="FFFFFF" w:themeColor="background1"/>
              <w:bottom w:val="single" w:sz="2" w:space="0" w:color="auto"/>
              <w:right w:val="single" w:sz="18" w:space="0" w:color="FFFFFF"/>
            </w:tcBorders>
            <w:shd w:val="clear" w:color="auto" w:fill="B8CCE4"/>
          </w:tcPr>
          <w:p w14:paraId="4588C09A" w14:textId="345F8800"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18" w:space="0" w:color="FFFFFF"/>
              <w:right w:val="single" w:sz="2" w:space="0" w:color="FFFFFF"/>
            </w:tcBorders>
            <w:shd w:val="clear" w:color="auto" w:fill="D99594"/>
          </w:tcPr>
          <w:p w14:paraId="2A51A8B1" w14:textId="77777777" w:rsidR="0020660D" w:rsidRPr="009651AC" w:rsidRDefault="0020660D" w:rsidP="0020660D">
            <w:pPr>
              <w:rPr>
                <w:rFonts w:ascii="Gill Sans" w:hAnsi="Gill San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99594"/>
          </w:tcPr>
          <w:p w14:paraId="19C1527D" w14:textId="77777777" w:rsidR="0020660D" w:rsidRPr="009651AC" w:rsidRDefault="0020660D" w:rsidP="0020660D">
            <w:pPr>
              <w:rPr>
                <w:rFonts w:ascii="Gill Sans" w:hAnsi="Gill San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99594"/>
          </w:tcPr>
          <w:p w14:paraId="28864420" w14:textId="77777777" w:rsidR="0020660D" w:rsidRPr="009651AC" w:rsidRDefault="0020660D" w:rsidP="0020660D">
            <w:pPr>
              <w:rPr>
                <w:rFonts w:ascii="Gill Sans" w:hAnsi="Gill Sans" w:cs="Gill Sans"/>
                <w:sz w:val="22"/>
                <w:szCs w:val="22"/>
                <w:lang w:val="uk-UA"/>
              </w:rPr>
            </w:pPr>
          </w:p>
        </w:tc>
        <w:tc>
          <w:tcPr>
            <w:tcW w:w="360" w:type="dxa"/>
            <w:vMerge w:val="restart"/>
            <w:tcBorders>
              <w:top w:val="single" w:sz="18" w:space="0" w:color="FFFFFF"/>
              <w:left w:val="single" w:sz="2" w:space="0" w:color="FFFFFF"/>
              <w:right w:val="single" w:sz="2" w:space="0" w:color="FFFFFF"/>
            </w:tcBorders>
            <w:shd w:val="clear" w:color="auto" w:fill="D99594"/>
          </w:tcPr>
          <w:p w14:paraId="41F05ABD" w14:textId="77777777" w:rsidR="0020660D" w:rsidRPr="008E2D1E" w:rsidRDefault="0020660D" w:rsidP="0020660D">
            <w:pPr>
              <w:rPr>
                <w:rFonts w:ascii="Gill Sans" w:hAnsi="Gill Sans" w:cs="Gill Sans"/>
                <w:noProof/>
                <w:sz w:val="22"/>
                <w:szCs w:val="22"/>
              </w:rPr>
            </w:pPr>
          </w:p>
        </w:tc>
        <w:tc>
          <w:tcPr>
            <w:tcW w:w="450" w:type="dxa"/>
            <w:vMerge w:val="restart"/>
            <w:tcBorders>
              <w:top w:val="single" w:sz="18" w:space="0" w:color="FFFFFF"/>
              <w:left w:val="single" w:sz="2" w:space="0" w:color="FFFFFF"/>
              <w:right w:val="single" w:sz="18" w:space="0" w:color="FFFFFF"/>
            </w:tcBorders>
            <w:shd w:val="clear" w:color="auto" w:fill="D99594"/>
          </w:tcPr>
          <w:p w14:paraId="5BA336F4" w14:textId="77777777" w:rsidR="0020660D" w:rsidRDefault="0020660D" w:rsidP="0020660D">
            <w:pPr>
              <w:rPr>
                <w:rFonts w:ascii="Zapf Dingbats" w:eastAsia="MS Mincho" w:hAnsi="Zapf Dingbats" w:cs="MS Mincho"/>
                <w:noProof/>
                <w:sz w:val="22"/>
                <w:szCs w:val="22"/>
                <w:lang w:val="en-GB"/>
              </w:rPr>
            </w:pPr>
          </w:p>
          <w:p w14:paraId="3CD5D9B4" w14:textId="72F6A39D"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r>
      <w:tr w:rsidR="0020660D" w:rsidRPr="009651AC" w14:paraId="5A59B2B1" w14:textId="77777777" w:rsidTr="00B017F8">
        <w:trPr>
          <w:trHeight w:val="340"/>
        </w:trPr>
        <w:tc>
          <w:tcPr>
            <w:tcW w:w="1522" w:type="dxa"/>
            <w:vMerge/>
            <w:tcBorders>
              <w:left w:val="single" w:sz="4" w:space="0" w:color="FFFFFF"/>
              <w:right w:val="single" w:sz="18" w:space="0" w:color="FFFFFF"/>
            </w:tcBorders>
            <w:shd w:val="clear" w:color="auto" w:fill="000000"/>
          </w:tcPr>
          <w:p w14:paraId="6EEA465E" w14:textId="77777777" w:rsidR="0020660D" w:rsidRPr="009651AC" w:rsidRDefault="0020660D" w:rsidP="0020660D">
            <w:pPr>
              <w:rPr>
                <w:rFonts w:ascii="Gill Sans" w:hAnsi="Gill Sans" w:cs="Gill Sans"/>
                <w:color w:val="FFFFFF" w:themeColor="background1"/>
                <w:sz w:val="22"/>
                <w:szCs w:val="22"/>
                <w:lang w:val="en-GB"/>
              </w:rPr>
            </w:pPr>
          </w:p>
        </w:tc>
        <w:tc>
          <w:tcPr>
            <w:tcW w:w="365" w:type="dxa"/>
            <w:vMerge/>
            <w:tcBorders>
              <w:left w:val="single" w:sz="18" w:space="0" w:color="FFFFFF"/>
              <w:right w:val="single" w:sz="2" w:space="0" w:color="FFFFFF"/>
            </w:tcBorders>
            <w:shd w:val="clear" w:color="auto" w:fill="D6E3BC"/>
          </w:tcPr>
          <w:p w14:paraId="2C9A8733"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6E3BC"/>
          </w:tcPr>
          <w:p w14:paraId="3F417D87"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6E3BC"/>
          </w:tcPr>
          <w:p w14:paraId="4E798141" w14:textId="77777777" w:rsidR="0020660D" w:rsidRPr="00DF1741" w:rsidRDefault="0020660D" w:rsidP="0020660D">
            <w:pPr>
              <w:rPr>
                <w:rFonts w:ascii="Zapf Dingbats" w:hAnsi="Zapf Dingbats" w:cs="Gill Sans"/>
                <w:sz w:val="22"/>
                <w:szCs w:val="22"/>
                <w:lang w:val="en-GB"/>
              </w:rPr>
            </w:pPr>
          </w:p>
        </w:tc>
        <w:tc>
          <w:tcPr>
            <w:tcW w:w="360" w:type="dxa"/>
            <w:vMerge/>
            <w:tcBorders>
              <w:left w:val="single" w:sz="2" w:space="0" w:color="FFFFFF"/>
              <w:right w:val="single" w:sz="18" w:space="0" w:color="FFFFFF"/>
            </w:tcBorders>
            <w:shd w:val="clear" w:color="auto" w:fill="D6E3BC"/>
          </w:tcPr>
          <w:p w14:paraId="266072F5" w14:textId="77777777" w:rsidR="0020660D" w:rsidRPr="00DF1741" w:rsidRDefault="0020660D" w:rsidP="0020660D">
            <w:pPr>
              <w:rPr>
                <w:rFonts w:ascii="Zapf Dingbats" w:hAnsi="Zapf Dingbats" w:cs="Gill Sans"/>
                <w:noProof/>
                <w:sz w:val="22"/>
                <w:szCs w:val="22"/>
                <w:lang w:val="en-GB"/>
              </w:rPr>
            </w:pPr>
          </w:p>
        </w:tc>
        <w:tc>
          <w:tcPr>
            <w:tcW w:w="450" w:type="dxa"/>
            <w:vMerge/>
            <w:tcBorders>
              <w:left w:val="single" w:sz="2" w:space="0" w:color="FFFFFF"/>
              <w:right w:val="single" w:sz="2" w:space="0" w:color="FFFFFF"/>
            </w:tcBorders>
            <w:shd w:val="clear" w:color="auto" w:fill="FBD4B4"/>
          </w:tcPr>
          <w:p w14:paraId="5D26DA66" w14:textId="77777777" w:rsidR="0020660D" w:rsidRPr="00DF1741" w:rsidRDefault="0020660D" w:rsidP="0020660D">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FBD4B4"/>
          </w:tcPr>
          <w:p w14:paraId="36955A24" w14:textId="77777777" w:rsidR="0020660D" w:rsidRPr="00DF1741" w:rsidRDefault="0020660D" w:rsidP="0020660D">
            <w:pPr>
              <w:rPr>
                <w:rFonts w:ascii="Zapf Dingbats" w:hAnsi="Zapf Dingbats" w:cs="Gill Sans"/>
                <w:noProof/>
                <w:sz w:val="22"/>
                <w:szCs w:val="22"/>
                <w:lang w:val="en-GB"/>
              </w:rPr>
            </w:pPr>
          </w:p>
        </w:tc>
        <w:tc>
          <w:tcPr>
            <w:tcW w:w="360" w:type="dxa"/>
            <w:vMerge/>
            <w:tcBorders>
              <w:left w:val="single" w:sz="2" w:space="0" w:color="FFFFFF"/>
              <w:right w:val="single" w:sz="2" w:space="0" w:color="FFFFFF"/>
            </w:tcBorders>
            <w:shd w:val="clear" w:color="auto" w:fill="FBD4B4"/>
          </w:tcPr>
          <w:p w14:paraId="1AAFDDD0" w14:textId="77777777" w:rsidR="0020660D" w:rsidRPr="00DF1741" w:rsidRDefault="0020660D" w:rsidP="0020660D">
            <w:pPr>
              <w:rPr>
                <w:rFonts w:ascii="Zapf Dingbats" w:hAnsi="Zapf Dingbats" w:cs="Gill Sans"/>
                <w:noProof/>
                <w:sz w:val="22"/>
                <w:szCs w:val="22"/>
                <w:lang w:val="en-GB"/>
              </w:rPr>
            </w:pPr>
          </w:p>
        </w:tc>
        <w:tc>
          <w:tcPr>
            <w:tcW w:w="900" w:type="dxa"/>
            <w:vMerge/>
            <w:tcBorders>
              <w:left w:val="single" w:sz="2" w:space="0" w:color="FFFFFF"/>
              <w:right w:val="single" w:sz="18" w:space="0" w:color="FFFFFF"/>
            </w:tcBorders>
            <w:shd w:val="clear" w:color="auto" w:fill="FBD4B4"/>
          </w:tcPr>
          <w:p w14:paraId="67DD3A05" w14:textId="77777777" w:rsidR="0020660D" w:rsidRPr="00DF1741" w:rsidRDefault="0020660D" w:rsidP="0020660D">
            <w:pPr>
              <w:rPr>
                <w:rFonts w:ascii="Zapf Dingbats" w:hAnsi="Zapf Dingbats" w:cs="Gill Sans"/>
                <w:sz w:val="22"/>
                <w:szCs w:val="22"/>
                <w:lang w:val="en-GB"/>
              </w:rPr>
            </w:pPr>
          </w:p>
        </w:tc>
        <w:tc>
          <w:tcPr>
            <w:tcW w:w="360" w:type="dxa"/>
            <w:vMerge/>
            <w:tcBorders>
              <w:left w:val="single" w:sz="18" w:space="0" w:color="FFFFFF"/>
              <w:right w:val="single" w:sz="2" w:space="0" w:color="FFFFFF"/>
            </w:tcBorders>
            <w:shd w:val="clear" w:color="auto" w:fill="CCC0D9"/>
          </w:tcPr>
          <w:p w14:paraId="2D07BA45" w14:textId="77777777" w:rsidR="0020660D" w:rsidRPr="00DF1741" w:rsidRDefault="0020660D" w:rsidP="0020660D">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CCC0D9"/>
          </w:tcPr>
          <w:p w14:paraId="1C81A47D" w14:textId="77777777" w:rsidR="0020660D" w:rsidRPr="00DF1741" w:rsidRDefault="0020660D" w:rsidP="0020660D">
            <w:pPr>
              <w:rPr>
                <w:rFonts w:ascii="Zapf Dingbats" w:hAnsi="Zapf Dingbats" w:cs="Gill Sans"/>
                <w:sz w:val="22"/>
                <w:szCs w:val="22"/>
                <w:lang w:val="en-GB"/>
              </w:rPr>
            </w:pPr>
          </w:p>
        </w:tc>
        <w:tc>
          <w:tcPr>
            <w:tcW w:w="450" w:type="dxa"/>
            <w:vMerge/>
            <w:tcBorders>
              <w:left w:val="single" w:sz="2" w:space="0" w:color="FFFFFF"/>
              <w:right w:val="single" w:sz="2" w:space="0" w:color="FFFFFF"/>
            </w:tcBorders>
            <w:shd w:val="clear" w:color="auto" w:fill="CCC0D9"/>
          </w:tcPr>
          <w:p w14:paraId="34900476" w14:textId="77777777" w:rsidR="0020660D" w:rsidRPr="00DF1741" w:rsidRDefault="0020660D" w:rsidP="0020660D">
            <w:pPr>
              <w:rPr>
                <w:rFonts w:ascii="Zapf Dingbats" w:hAnsi="Zapf Dingbats" w:cs="Gill Sans"/>
                <w:noProof/>
                <w:sz w:val="22"/>
                <w:szCs w:val="22"/>
                <w:lang w:val="en-GB"/>
              </w:rPr>
            </w:pPr>
          </w:p>
        </w:tc>
        <w:tc>
          <w:tcPr>
            <w:tcW w:w="360" w:type="dxa"/>
            <w:vMerge/>
            <w:tcBorders>
              <w:left w:val="single" w:sz="2" w:space="0" w:color="FFFFFF"/>
              <w:right w:val="single" w:sz="18" w:space="0" w:color="FFFFFF"/>
            </w:tcBorders>
            <w:shd w:val="clear" w:color="auto" w:fill="CCC0D9"/>
          </w:tcPr>
          <w:p w14:paraId="1407ED6D" w14:textId="77777777" w:rsidR="0020660D" w:rsidRPr="00DF1741" w:rsidRDefault="0020660D" w:rsidP="0020660D">
            <w:pPr>
              <w:rPr>
                <w:rFonts w:ascii="Zapf Dingbats" w:hAnsi="Zapf Dingbats" w:cs="Gill Sans"/>
                <w:sz w:val="22"/>
                <w:szCs w:val="22"/>
                <w:lang w:val="en-GB"/>
              </w:rPr>
            </w:pPr>
          </w:p>
        </w:tc>
        <w:tc>
          <w:tcPr>
            <w:tcW w:w="630" w:type="dxa"/>
            <w:tcBorders>
              <w:top w:val="single" w:sz="2" w:space="0" w:color="auto"/>
              <w:left w:val="single" w:sz="18" w:space="0" w:color="FFFFFF"/>
              <w:bottom w:val="single" w:sz="4" w:space="0" w:color="auto"/>
              <w:right w:val="single" w:sz="4" w:space="0" w:color="FFFFFF" w:themeColor="background1"/>
            </w:tcBorders>
            <w:shd w:val="clear" w:color="auto" w:fill="B8CCE4"/>
          </w:tcPr>
          <w:p w14:paraId="0F2C17D0" w14:textId="77777777" w:rsidR="0020660D" w:rsidRPr="00DF1741" w:rsidRDefault="0020660D" w:rsidP="0020660D">
            <w:pPr>
              <w:rPr>
                <w:rFonts w:ascii="Zapf Dingbats" w:hAnsi="Zapf Dingbats" w:cs="Gill Sans"/>
                <w:sz w:val="22"/>
                <w:szCs w:val="22"/>
                <w:lang w:val="en-GB"/>
              </w:rPr>
            </w:pPr>
          </w:p>
        </w:tc>
        <w:tc>
          <w:tcPr>
            <w:tcW w:w="450" w:type="dxa"/>
            <w:tcBorders>
              <w:top w:val="single" w:sz="2" w:space="0" w:color="auto"/>
              <w:left w:val="single" w:sz="4" w:space="0" w:color="FFFFFF" w:themeColor="background1"/>
              <w:bottom w:val="single" w:sz="4" w:space="0" w:color="auto"/>
              <w:right w:val="single" w:sz="4" w:space="0" w:color="FFFFFF" w:themeColor="background1"/>
            </w:tcBorders>
            <w:shd w:val="clear" w:color="auto" w:fill="B8CCE4"/>
          </w:tcPr>
          <w:p w14:paraId="299A364B" w14:textId="77777777" w:rsidR="0020660D" w:rsidRPr="00DF1741" w:rsidRDefault="0020660D" w:rsidP="0020660D">
            <w:pPr>
              <w:rPr>
                <w:rFonts w:ascii="Zapf Dingbats" w:hAnsi="Zapf Dingbats" w:cs="Gill Sans"/>
                <w:sz w:val="22"/>
                <w:szCs w:val="22"/>
                <w:lang w:val="en-GB"/>
              </w:rPr>
            </w:pPr>
          </w:p>
        </w:tc>
        <w:tc>
          <w:tcPr>
            <w:tcW w:w="450" w:type="dxa"/>
            <w:tcBorders>
              <w:top w:val="single" w:sz="2" w:space="0" w:color="auto"/>
              <w:left w:val="single" w:sz="4" w:space="0" w:color="FFFFFF" w:themeColor="background1"/>
              <w:bottom w:val="single" w:sz="4" w:space="0" w:color="auto"/>
              <w:right w:val="single" w:sz="4" w:space="0" w:color="FFFFFF" w:themeColor="background1"/>
            </w:tcBorders>
            <w:shd w:val="clear" w:color="auto" w:fill="B8CCE4"/>
          </w:tcPr>
          <w:p w14:paraId="1C21A9C6" w14:textId="77777777" w:rsidR="0020660D" w:rsidRPr="00DF1741" w:rsidRDefault="0020660D" w:rsidP="0020660D">
            <w:pPr>
              <w:rPr>
                <w:rFonts w:ascii="Zapf Dingbats" w:hAnsi="Zapf Dingbats" w:cs="Gill Sans"/>
                <w:sz w:val="22"/>
                <w:szCs w:val="22"/>
                <w:lang w:val="en-GB"/>
              </w:rPr>
            </w:pPr>
          </w:p>
        </w:tc>
        <w:tc>
          <w:tcPr>
            <w:tcW w:w="540" w:type="dxa"/>
            <w:tcBorders>
              <w:top w:val="single" w:sz="2" w:space="0" w:color="auto"/>
              <w:left w:val="single" w:sz="4" w:space="0" w:color="FFFFFF" w:themeColor="background1"/>
              <w:bottom w:val="single" w:sz="4" w:space="0" w:color="auto"/>
              <w:right w:val="single" w:sz="18" w:space="0" w:color="FFFFFF"/>
            </w:tcBorders>
            <w:shd w:val="clear" w:color="auto" w:fill="B8CCE4"/>
          </w:tcPr>
          <w:p w14:paraId="527AD231" w14:textId="4FF13121" w:rsidR="0020660D" w:rsidRPr="00DF1741" w:rsidRDefault="0020660D" w:rsidP="0020660D">
            <w:pPr>
              <w:jc w:val="cente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60" w:type="dxa"/>
            <w:vMerge/>
            <w:tcBorders>
              <w:left w:val="single" w:sz="18" w:space="0" w:color="FFFFFF"/>
              <w:right w:val="single" w:sz="2" w:space="0" w:color="FFFFFF"/>
            </w:tcBorders>
            <w:shd w:val="clear" w:color="auto" w:fill="D99594"/>
          </w:tcPr>
          <w:p w14:paraId="4CDE83A8"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0F6DA66A"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7C95F6F0"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202F4B80" w14:textId="77777777" w:rsidR="0020660D" w:rsidRPr="009651AC" w:rsidRDefault="0020660D" w:rsidP="0020660D">
            <w:pPr>
              <w:rPr>
                <w:rFonts w:ascii="Gill Sans" w:hAnsi="Gill Sans" w:cs="Gill Sans"/>
                <w:noProof/>
                <w:sz w:val="22"/>
                <w:szCs w:val="22"/>
                <w:lang w:val="en-GB"/>
              </w:rPr>
            </w:pPr>
          </w:p>
        </w:tc>
        <w:tc>
          <w:tcPr>
            <w:tcW w:w="450" w:type="dxa"/>
            <w:vMerge/>
            <w:tcBorders>
              <w:left w:val="single" w:sz="2" w:space="0" w:color="FFFFFF"/>
              <w:right w:val="single" w:sz="18" w:space="0" w:color="FFFFFF"/>
            </w:tcBorders>
            <w:shd w:val="clear" w:color="auto" w:fill="D99594"/>
          </w:tcPr>
          <w:p w14:paraId="51704025" w14:textId="77777777" w:rsidR="0020660D" w:rsidRPr="009651AC" w:rsidRDefault="0020660D" w:rsidP="0020660D">
            <w:pPr>
              <w:rPr>
                <w:rFonts w:ascii="Gill Sans" w:hAnsi="Gill Sans" w:cs="Gill Sans"/>
                <w:sz w:val="22"/>
                <w:szCs w:val="22"/>
                <w:lang w:val="en-GB"/>
              </w:rPr>
            </w:pPr>
          </w:p>
        </w:tc>
      </w:tr>
    </w:tbl>
    <w:p w14:paraId="5BA62A65" w14:textId="77777777" w:rsidR="006E6C92" w:rsidRDefault="006E6C92" w:rsidP="006319F4">
      <w:pPr>
        <w:pStyle w:val="Heading3"/>
        <w:rPr>
          <w:rFonts w:eastAsiaTheme="minorEastAsia"/>
          <w:b w:val="0"/>
          <w:bCs w:val="0"/>
          <w:noProof w:val="0"/>
          <w:color w:val="auto"/>
          <w:szCs w:val="22"/>
        </w:rPr>
      </w:pPr>
    </w:p>
    <w:p w14:paraId="5338377F" w14:textId="77777777" w:rsidR="006E6C92" w:rsidRPr="006023C3" w:rsidRDefault="006E6C92" w:rsidP="006023C3"/>
    <w:p w14:paraId="61DCB22F" w14:textId="65945C29" w:rsidR="00217AB0" w:rsidRPr="00BB3451" w:rsidRDefault="00217AB0" w:rsidP="006319F4">
      <w:pPr>
        <w:pStyle w:val="Heading3"/>
      </w:pPr>
      <w:r w:rsidRPr="00BB3451">
        <w:t xml:space="preserve">Commitment </w:t>
      </w:r>
      <w:r w:rsidR="003615A9">
        <w:t>a</w:t>
      </w:r>
      <w:r w:rsidRPr="00BB3451">
        <w:t>im</w:t>
      </w:r>
    </w:p>
    <w:p w14:paraId="6AACAEFB" w14:textId="4CD3F8C4" w:rsidR="00217AB0" w:rsidRPr="00BB3451" w:rsidRDefault="00217AB0" w:rsidP="00F00809">
      <w:pPr>
        <w:spacing w:after="120"/>
        <w:rPr>
          <w:rFonts w:ascii="Gill Sans" w:hAnsi="Gill Sans" w:cs="Gill Sans"/>
          <w:sz w:val="22"/>
          <w:szCs w:val="22"/>
          <w:lang w:val="en-GB"/>
        </w:rPr>
      </w:pPr>
      <w:r w:rsidRPr="00167546">
        <w:rPr>
          <w:rFonts w:ascii="Gill Sans" w:hAnsi="Gill Sans" w:cs="Gill Sans"/>
          <w:sz w:val="22"/>
          <w:szCs w:val="22"/>
          <w:lang w:val="en-GB"/>
        </w:rPr>
        <w:t xml:space="preserve">The commitment </w:t>
      </w:r>
      <w:r w:rsidR="00D163B8">
        <w:rPr>
          <w:rFonts w:ascii="Gill Sans" w:hAnsi="Gill Sans" w:cs="Gill Sans"/>
          <w:sz w:val="22"/>
          <w:szCs w:val="22"/>
          <w:lang w:val="en-GB"/>
        </w:rPr>
        <w:t xml:space="preserve">sought </w:t>
      </w:r>
      <w:r w:rsidR="00167546" w:rsidRPr="00167546">
        <w:rPr>
          <w:rFonts w:ascii="Gill Sans" w:hAnsi="Gill Sans" w:cs="Gill Sans"/>
          <w:sz w:val="22"/>
          <w:szCs w:val="22"/>
          <w:lang w:val="en-GB"/>
        </w:rPr>
        <w:t xml:space="preserve">to </w:t>
      </w:r>
      <w:r w:rsidR="003615A9">
        <w:rPr>
          <w:rFonts w:ascii="Gill Sans" w:hAnsi="Gill Sans" w:cs="Gill Sans"/>
          <w:sz w:val="22"/>
          <w:szCs w:val="22"/>
          <w:lang w:val="en-GB"/>
        </w:rPr>
        <w:t>grant</w:t>
      </w:r>
      <w:r w:rsidR="003615A9" w:rsidRPr="00167546">
        <w:rPr>
          <w:rFonts w:ascii="Gill Sans" w:hAnsi="Gill Sans" w:cs="Gill Sans"/>
          <w:sz w:val="22"/>
          <w:szCs w:val="22"/>
          <w:lang w:val="en-GB"/>
        </w:rPr>
        <w:t xml:space="preserve"> </w:t>
      </w:r>
      <w:r w:rsidR="00167546" w:rsidRPr="00167546">
        <w:rPr>
          <w:rFonts w:ascii="Gill Sans" w:hAnsi="Gill Sans" w:cs="Gill Sans"/>
          <w:sz w:val="22"/>
          <w:szCs w:val="22"/>
          <w:lang w:val="en-GB"/>
        </w:rPr>
        <w:t xml:space="preserve">access to documents </w:t>
      </w:r>
      <w:r w:rsidR="00D163B8">
        <w:rPr>
          <w:rFonts w:ascii="Gill Sans" w:hAnsi="Gill Sans" w:cs="Gill Sans"/>
          <w:sz w:val="22"/>
          <w:szCs w:val="22"/>
          <w:lang w:val="en-GB"/>
        </w:rPr>
        <w:t>the Soviet regime</w:t>
      </w:r>
      <w:r w:rsidR="00D163B8" w:rsidRPr="00167546">
        <w:rPr>
          <w:rFonts w:ascii="Gill Sans" w:hAnsi="Gill Sans" w:cs="Gill Sans"/>
          <w:sz w:val="22"/>
          <w:szCs w:val="22"/>
          <w:lang w:val="en-GB"/>
        </w:rPr>
        <w:t xml:space="preserve"> </w:t>
      </w:r>
      <w:r w:rsidR="00167546" w:rsidRPr="00167546">
        <w:rPr>
          <w:rFonts w:ascii="Gill Sans" w:hAnsi="Gill Sans" w:cs="Gill Sans"/>
          <w:sz w:val="22"/>
          <w:szCs w:val="22"/>
          <w:lang w:val="en-GB"/>
        </w:rPr>
        <w:t>kept secret for many years,</w:t>
      </w:r>
      <w:r w:rsidR="00D163B8">
        <w:rPr>
          <w:rFonts w:ascii="Gill Sans" w:hAnsi="Gill Sans" w:cs="Gill Sans"/>
          <w:sz w:val="22"/>
          <w:szCs w:val="22"/>
          <w:lang w:val="en-GB"/>
        </w:rPr>
        <w:t xml:space="preserve"> as well as</w:t>
      </w:r>
      <w:r w:rsidR="00167546" w:rsidRPr="00167546">
        <w:rPr>
          <w:rFonts w:ascii="Gill Sans" w:hAnsi="Gill Sans" w:cs="Gill Sans"/>
          <w:sz w:val="22"/>
          <w:szCs w:val="22"/>
          <w:lang w:val="en-GB"/>
        </w:rPr>
        <w:t xml:space="preserve"> </w:t>
      </w:r>
      <w:r w:rsidR="00D163B8">
        <w:rPr>
          <w:rFonts w:ascii="Gill Sans" w:hAnsi="Gill Sans" w:cs="Gill Sans"/>
          <w:sz w:val="22"/>
          <w:szCs w:val="22"/>
          <w:lang w:val="en-GB"/>
        </w:rPr>
        <w:t>post-independence</w:t>
      </w:r>
      <w:r w:rsidR="00167546" w:rsidRPr="00167546">
        <w:rPr>
          <w:rFonts w:ascii="Gill Sans" w:hAnsi="Gill Sans" w:cs="Gill Sans"/>
          <w:sz w:val="22"/>
          <w:szCs w:val="22"/>
          <w:lang w:val="en-GB"/>
        </w:rPr>
        <w:t xml:space="preserve"> </w:t>
      </w:r>
      <w:r w:rsidR="00D163B8">
        <w:rPr>
          <w:rFonts w:ascii="Gill Sans" w:hAnsi="Gill Sans" w:cs="Gill Sans"/>
          <w:sz w:val="22"/>
          <w:szCs w:val="22"/>
          <w:lang w:val="en-GB"/>
        </w:rPr>
        <w:t>documents from</w:t>
      </w:r>
      <w:r w:rsidR="00167546" w:rsidRPr="00167546">
        <w:rPr>
          <w:rFonts w:ascii="Gill Sans" w:hAnsi="Gill Sans" w:cs="Gill Sans"/>
          <w:sz w:val="22"/>
          <w:szCs w:val="22"/>
          <w:lang w:val="en-GB"/>
        </w:rPr>
        <w:t xml:space="preserve"> 1991</w:t>
      </w:r>
      <w:r w:rsidR="00D163B8">
        <w:rPr>
          <w:rFonts w:ascii="Gill Sans" w:hAnsi="Gill Sans" w:cs="Gill Sans"/>
          <w:sz w:val="22"/>
          <w:szCs w:val="22"/>
          <w:lang w:val="en-GB"/>
        </w:rPr>
        <w:t xml:space="preserve"> onward</w:t>
      </w:r>
      <w:r w:rsidR="00167546" w:rsidRPr="00167546">
        <w:rPr>
          <w:rFonts w:ascii="Gill Sans" w:hAnsi="Gill Sans" w:cs="Gill Sans"/>
          <w:sz w:val="22"/>
          <w:szCs w:val="22"/>
          <w:lang w:val="en-GB"/>
        </w:rPr>
        <w:t xml:space="preserve">. It </w:t>
      </w:r>
      <w:r w:rsidR="00C77E15">
        <w:rPr>
          <w:rFonts w:ascii="Gill Sans" w:hAnsi="Gill Sans" w:cs="Gill Sans"/>
          <w:sz w:val="22"/>
          <w:szCs w:val="22"/>
          <w:lang w:val="en-GB"/>
        </w:rPr>
        <w:t xml:space="preserve">set an ambitious goal of </w:t>
      </w:r>
      <w:r w:rsidR="00167546" w:rsidRPr="00167546">
        <w:rPr>
          <w:rFonts w:ascii="Gill Sans" w:hAnsi="Gill Sans" w:cs="Gill Sans"/>
          <w:sz w:val="22"/>
          <w:szCs w:val="22"/>
          <w:lang w:val="en-GB"/>
        </w:rPr>
        <w:t>break</w:t>
      </w:r>
      <w:r w:rsidR="00C77E15">
        <w:rPr>
          <w:rFonts w:ascii="Gill Sans" w:hAnsi="Gill Sans" w:cs="Gill Sans"/>
          <w:sz w:val="22"/>
          <w:szCs w:val="22"/>
          <w:lang w:val="en-GB"/>
        </w:rPr>
        <w:t>ing</w:t>
      </w:r>
      <w:r w:rsidR="00167546" w:rsidRPr="00167546">
        <w:rPr>
          <w:rFonts w:ascii="Gill Sans" w:hAnsi="Gill Sans" w:cs="Gill Sans"/>
          <w:sz w:val="22"/>
          <w:szCs w:val="22"/>
          <w:lang w:val="en-GB"/>
        </w:rPr>
        <w:t xml:space="preserve"> from </w:t>
      </w:r>
      <w:r w:rsidR="003615A9">
        <w:rPr>
          <w:rFonts w:ascii="Gill Sans" w:hAnsi="Gill Sans" w:cs="Gill Sans"/>
          <w:sz w:val="22"/>
          <w:szCs w:val="22"/>
          <w:lang w:val="en-GB"/>
        </w:rPr>
        <w:t>Ukraine’s</w:t>
      </w:r>
      <w:r w:rsidR="003615A9" w:rsidRPr="00167546">
        <w:rPr>
          <w:rFonts w:ascii="Gill Sans" w:hAnsi="Gill Sans" w:cs="Gill Sans"/>
          <w:sz w:val="22"/>
          <w:szCs w:val="22"/>
          <w:lang w:val="en-GB"/>
        </w:rPr>
        <w:t xml:space="preserve"> </w:t>
      </w:r>
      <w:r w:rsidR="00167546" w:rsidRPr="00167546">
        <w:rPr>
          <w:rFonts w:ascii="Gill Sans" w:hAnsi="Gill Sans" w:cs="Gill Sans"/>
          <w:sz w:val="22"/>
          <w:szCs w:val="22"/>
          <w:lang w:val="en-GB"/>
        </w:rPr>
        <w:t>totalitarian past</w:t>
      </w:r>
      <w:r w:rsidR="003615A9">
        <w:rPr>
          <w:rFonts w:ascii="Gill Sans" w:hAnsi="Gill Sans" w:cs="Gill Sans"/>
          <w:sz w:val="22"/>
          <w:szCs w:val="22"/>
          <w:lang w:val="en-GB"/>
        </w:rPr>
        <w:t>,</w:t>
      </w:r>
      <w:r w:rsidR="00167546" w:rsidRPr="00167546">
        <w:rPr>
          <w:rFonts w:ascii="Gill Sans" w:hAnsi="Gill Sans" w:cs="Gill Sans"/>
          <w:sz w:val="22"/>
          <w:szCs w:val="22"/>
          <w:lang w:val="en-GB"/>
        </w:rPr>
        <w:t xml:space="preserve"> by allowing researchers and others to examine archives that document crimes of the previous regime</w:t>
      </w:r>
      <w:r w:rsidR="003615A9">
        <w:rPr>
          <w:rFonts w:ascii="Gill Sans" w:hAnsi="Gill Sans" w:cs="Gill Sans"/>
          <w:sz w:val="22"/>
          <w:szCs w:val="22"/>
          <w:lang w:val="en-GB"/>
        </w:rPr>
        <w:t>,</w:t>
      </w:r>
      <w:r w:rsidR="00167546" w:rsidRPr="00167546">
        <w:rPr>
          <w:rFonts w:ascii="Gill Sans" w:hAnsi="Gill Sans" w:cs="Gill Sans"/>
          <w:sz w:val="22"/>
          <w:szCs w:val="22"/>
          <w:lang w:val="en-GB"/>
        </w:rPr>
        <w:t xml:space="preserve"> and enforce the right to truth. </w:t>
      </w:r>
    </w:p>
    <w:p w14:paraId="7DC1C153" w14:textId="7AFB61F9" w:rsidR="00217AB0" w:rsidRPr="00BB3451" w:rsidRDefault="00217AB0" w:rsidP="006319F4">
      <w:pPr>
        <w:pStyle w:val="Heading3"/>
      </w:pPr>
      <w:r w:rsidRPr="00BB3451">
        <w:t>Status</w:t>
      </w:r>
    </w:p>
    <w:p w14:paraId="0D228DCF" w14:textId="18EA8771" w:rsidR="00217AB0" w:rsidRPr="005018B2" w:rsidRDefault="00217AB0" w:rsidP="00217AB0">
      <w:pPr>
        <w:pStyle w:val="Normalrglronly"/>
        <w:rPr>
          <w:b/>
          <w:lang w:val="en-GB"/>
        </w:rPr>
      </w:pPr>
      <w:r w:rsidRPr="005018B2">
        <w:rPr>
          <w:b/>
          <w:lang w:val="en-GB"/>
        </w:rPr>
        <w:t xml:space="preserve">Midterm: </w:t>
      </w:r>
      <w:r w:rsidR="00084369">
        <w:rPr>
          <w:b/>
          <w:lang w:val="en-GB"/>
        </w:rPr>
        <w:t>Complete</w:t>
      </w:r>
    </w:p>
    <w:p w14:paraId="1603A9B4" w14:textId="1250E0CA" w:rsidR="007F299B" w:rsidRDefault="007F299B" w:rsidP="00D163B8">
      <w:pPr>
        <w:spacing w:after="120"/>
        <w:rPr>
          <w:rFonts w:ascii="Gill Sans" w:hAnsi="Gill Sans" w:cs="Gill Sans"/>
          <w:noProof/>
          <w:sz w:val="22"/>
          <w:szCs w:val="22"/>
          <w:lang w:val="en-GB"/>
        </w:rPr>
      </w:pPr>
      <w:r w:rsidRPr="007F299B">
        <w:rPr>
          <w:rFonts w:ascii="Gill Sans" w:hAnsi="Gill Sans" w:cs="Gill Sans"/>
          <w:noProof/>
          <w:sz w:val="22"/>
          <w:szCs w:val="22"/>
          <w:lang w:val="en-GB"/>
        </w:rPr>
        <w:t xml:space="preserve">The government exceeded the planned implementation of the commitment. </w:t>
      </w:r>
      <w:r w:rsidR="00D163B8">
        <w:rPr>
          <w:rFonts w:ascii="Gill Sans" w:hAnsi="Gill Sans" w:cs="Gill Sans"/>
          <w:noProof/>
          <w:sz w:val="22"/>
          <w:szCs w:val="22"/>
          <w:lang w:val="en-GB"/>
        </w:rPr>
        <w:t>It</w:t>
      </w:r>
      <w:r w:rsidRPr="007F299B">
        <w:rPr>
          <w:rFonts w:ascii="Gill Sans" w:hAnsi="Gill Sans" w:cs="Gill Sans"/>
          <w:noProof/>
          <w:sz w:val="22"/>
          <w:szCs w:val="22"/>
          <w:lang w:val="en-GB"/>
        </w:rPr>
        <w:t xml:space="preserve"> submitted the draft law developed by NGOs and the Ukrainian Institute of National Remembrance to </w:t>
      </w:r>
      <w:r w:rsidR="00D163B8">
        <w:rPr>
          <w:rFonts w:ascii="Gill Sans" w:hAnsi="Gill Sans" w:cs="Gill Sans"/>
          <w:noProof/>
          <w:sz w:val="22"/>
          <w:szCs w:val="22"/>
          <w:lang w:val="en-GB"/>
        </w:rPr>
        <w:t>P</w:t>
      </w:r>
      <w:r w:rsidRPr="007F299B">
        <w:rPr>
          <w:rFonts w:ascii="Gill Sans" w:hAnsi="Gill Sans" w:cs="Gill Sans"/>
          <w:noProof/>
          <w:sz w:val="22"/>
          <w:szCs w:val="22"/>
          <w:lang w:val="en-GB"/>
        </w:rPr>
        <w:t xml:space="preserve">arliament in </w:t>
      </w:r>
      <w:r w:rsidR="00D163B8">
        <w:rPr>
          <w:rFonts w:ascii="Gill Sans" w:hAnsi="Gill Sans" w:cs="Gill Sans"/>
          <w:noProof/>
          <w:sz w:val="22"/>
          <w:szCs w:val="22"/>
          <w:lang w:val="en-GB"/>
        </w:rPr>
        <w:t>early</w:t>
      </w:r>
      <w:r w:rsidRPr="007F299B">
        <w:rPr>
          <w:rFonts w:ascii="Gill Sans" w:hAnsi="Gill Sans" w:cs="Gill Sans"/>
          <w:noProof/>
          <w:sz w:val="22"/>
          <w:szCs w:val="22"/>
          <w:lang w:val="en-GB"/>
        </w:rPr>
        <w:t xml:space="preserve"> April 2015 and</w:t>
      </w:r>
      <w:r w:rsidR="00D163B8">
        <w:rPr>
          <w:rFonts w:ascii="Gill Sans" w:hAnsi="Gill Sans" w:cs="Gill Sans"/>
          <w:noProof/>
          <w:sz w:val="22"/>
          <w:szCs w:val="22"/>
          <w:lang w:val="en-GB"/>
        </w:rPr>
        <w:t>,</w:t>
      </w:r>
      <w:r w:rsidRPr="007F299B">
        <w:rPr>
          <w:rFonts w:ascii="Gill Sans" w:hAnsi="Gill Sans" w:cs="Gill Sans"/>
          <w:noProof/>
          <w:sz w:val="22"/>
          <w:szCs w:val="22"/>
          <w:lang w:val="en-GB"/>
        </w:rPr>
        <w:t xml:space="preserve"> days later (on 9 April 2015)</w:t>
      </w:r>
      <w:r w:rsidR="00D163B8">
        <w:rPr>
          <w:rFonts w:ascii="Gill Sans" w:hAnsi="Gill Sans" w:cs="Gill Sans"/>
          <w:noProof/>
          <w:sz w:val="22"/>
          <w:szCs w:val="22"/>
          <w:lang w:val="en-GB"/>
        </w:rPr>
        <w:t>, P</w:t>
      </w:r>
      <w:r w:rsidRPr="007F299B">
        <w:rPr>
          <w:rFonts w:ascii="Gill Sans" w:hAnsi="Gill Sans" w:cs="Gill Sans"/>
          <w:noProof/>
          <w:sz w:val="22"/>
          <w:szCs w:val="22"/>
          <w:lang w:val="en-GB"/>
        </w:rPr>
        <w:t>arliament adopted the law in the first and final reading.</w:t>
      </w:r>
      <w:r w:rsidRPr="007F299B">
        <w:rPr>
          <w:rStyle w:val="EndnoteReference"/>
          <w:rFonts w:ascii="Gill Sans" w:hAnsi="Gill Sans" w:cs="Gill Sans"/>
          <w:noProof/>
          <w:sz w:val="22"/>
          <w:szCs w:val="22"/>
          <w:lang w:val="en-GB"/>
        </w:rPr>
        <w:endnoteReference w:id="23"/>
      </w:r>
      <w:r w:rsidRPr="007F299B">
        <w:rPr>
          <w:rFonts w:ascii="Gill Sans" w:hAnsi="Gill Sans" w:cs="Gill Sans"/>
          <w:noProof/>
          <w:sz w:val="22"/>
          <w:szCs w:val="22"/>
          <w:lang w:val="en-GB"/>
        </w:rPr>
        <w:t xml:space="preserve"> The Law on Access to Archives of Repressive Bodies of the Communist Totalitarian Regime of 1917-1991 determined special procedure</w:t>
      </w:r>
      <w:r w:rsidR="00D163B8">
        <w:rPr>
          <w:rFonts w:ascii="Gill Sans" w:hAnsi="Gill Sans" w:cs="Gill Sans"/>
          <w:noProof/>
          <w:sz w:val="22"/>
          <w:szCs w:val="22"/>
          <w:lang w:val="en-GB"/>
        </w:rPr>
        <w:t>s</w:t>
      </w:r>
      <w:r w:rsidRPr="007F299B">
        <w:rPr>
          <w:rFonts w:ascii="Gill Sans" w:hAnsi="Gill Sans" w:cs="Gill Sans"/>
          <w:noProof/>
          <w:sz w:val="22"/>
          <w:szCs w:val="22"/>
          <w:lang w:val="en-GB"/>
        </w:rPr>
        <w:t xml:space="preserve"> for accessing relevant archives</w:t>
      </w:r>
      <w:r w:rsidR="00D163B8">
        <w:rPr>
          <w:rFonts w:ascii="Gill Sans" w:hAnsi="Gill Sans" w:cs="Gill Sans"/>
          <w:noProof/>
          <w:sz w:val="22"/>
          <w:szCs w:val="22"/>
          <w:lang w:val="en-GB"/>
        </w:rPr>
        <w:t>,</w:t>
      </w:r>
      <w:r w:rsidRPr="007F299B">
        <w:rPr>
          <w:rFonts w:ascii="Gill Sans" w:hAnsi="Gill Sans" w:cs="Gill Sans"/>
          <w:noProof/>
          <w:sz w:val="22"/>
          <w:szCs w:val="22"/>
          <w:lang w:val="en-GB"/>
        </w:rPr>
        <w:t xml:space="preserve"> and lists grounds for restricting such access. </w:t>
      </w:r>
    </w:p>
    <w:p w14:paraId="01A6ED09" w14:textId="24D117E4" w:rsidR="00217AB0" w:rsidRPr="007F299B" w:rsidRDefault="007F299B" w:rsidP="00F00809">
      <w:pPr>
        <w:spacing w:after="120"/>
        <w:rPr>
          <w:rFonts w:ascii="Gill Sans" w:hAnsi="Gill Sans" w:cs="Gill Sans"/>
          <w:sz w:val="22"/>
          <w:szCs w:val="22"/>
          <w:lang w:val="en-GB"/>
        </w:rPr>
      </w:pPr>
      <w:r w:rsidRPr="007F299B">
        <w:rPr>
          <w:rFonts w:ascii="Gill Sans" w:hAnsi="Gill Sans" w:cs="Gill Sans"/>
          <w:noProof/>
          <w:sz w:val="22"/>
          <w:szCs w:val="22"/>
          <w:lang w:val="en-GB"/>
        </w:rPr>
        <w:t>The law mandated that law enforcement, security, and other agencies transfer relevant archives they possess to a special state archive</w:t>
      </w:r>
      <w:r w:rsidR="00D163B8">
        <w:rPr>
          <w:rFonts w:ascii="Gill Sans" w:hAnsi="Gill Sans" w:cs="Gill Sans"/>
          <w:noProof/>
          <w:sz w:val="22"/>
          <w:szCs w:val="22"/>
          <w:lang w:val="en-GB"/>
        </w:rPr>
        <w:t>,</w:t>
      </w:r>
      <w:r w:rsidRPr="007F299B">
        <w:rPr>
          <w:rFonts w:ascii="Gill Sans" w:hAnsi="Gill Sans" w:cs="Gill Sans"/>
          <w:noProof/>
          <w:sz w:val="22"/>
          <w:szCs w:val="22"/>
          <w:lang w:val="en-GB"/>
        </w:rPr>
        <w:t xml:space="preserve"> to be set up and managed by the Ukrainian Institute of National Remembrance.</w:t>
      </w:r>
      <w:r w:rsidR="00217AB0" w:rsidRPr="007F299B">
        <w:rPr>
          <w:rStyle w:val="EndnoteReference"/>
          <w:rFonts w:ascii="Gill Sans" w:hAnsi="Gill Sans" w:cs="Gill Sans"/>
          <w:noProof/>
          <w:sz w:val="22"/>
          <w:szCs w:val="22"/>
          <w:lang w:val="en-GB"/>
        </w:rPr>
        <w:endnoteReference w:id="24"/>
      </w:r>
      <w:r w:rsidR="00217AB0" w:rsidRPr="007F299B">
        <w:rPr>
          <w:rFonts w:ascii="Gill Sans" w:hAnsi="Gill Sans" w:cs="Gill Sans"/>
          <w:noProof/>
          <w:sz w:val="22"/>
          <w:szCs w:val="22"/>
          <w:lang w:val="en-GB"/>
        </w:rPr>
        <w:t xml:space="preserve"> </w:t>
      </w:r>
      <w:r w:rsidRPr="007F299B">
        <w:rPr>
          <w:rFonts w:ascii="Gill Sans" w:hAnsi="Gill Sans" w:cs="Gill Sans"/>
          <w:sz w:val="22"/>
          <w:szCs w:val="22"/>
          <w:lang w:val="en-GB"/>
        </w:rPr>
        <w:t xml:space="preserve">The new law </w:t>
      </w:r>
      <w:r w:rsidR="00D163B8">
        <w:rPr>
          <w:rFonts w:ascii="Gill Sans" w:hAnsi="Gill Sans" w:cs="Gill Sans"/>
          <w:sz w:val="22"/>
          <w:szCs w:val="22"/>
          <w:lang w:val="en-GB"/>
        </w:rPr>
        <w:t>includes</w:t>
      </w:r>
      <w:r w:rsidR="00D163B8" w:rsidRPr="007F299B">
        <w:rPr>
          <w:rFonts w:ascii="Gill Sans" w:hAnsi="Gill Sans" w:cs="Gill Sans"/>
          <w:sz w:val="22"/>
          <w:szCs w:val="22"/>
          <w:lang w:val="en-GB"/>
        </w:rPr>
        <w:t xml:space="preserve"> </w:t>
      </w:r>
      <w:r w:rsidRPr="007F299B">
        <w:rPr>
          <w:rFonts w:ascii="Gill Sans" w:hAnsi="Gill Sans" w:cs="Gill Sans"/>
          <w:sz w:val="22"/>
          <w:szCs w:val="22"/>
          <w:lang w:val="en-GB"/>
        </w:rPr>
        <w:t>information about the struggle for Ukrain</w:t>
      </w:r>
      <w:r w:rsidR="003615A9">
        <w:rPr>
          <w:rFonts w:ascii="Gill Sans" w:hAnsi="Gill Sans" w:cs="Gill Sans"/>
          <w:sz w:val="22"/>
          <w:szCs w:val="22"/>
          <w:lang w:val="en-GB"/>
        </w:rPr>
        <w:t>ian</w:t>
      </w:r>
      <w:r w:rsidRPr="007F299B">
        <w:rPr>
          <w:rFonts w:ascii="Gill Sans" w:hAnsi="Gill Sans" w:cs="Gill Sans"/>
          <w:sz w:val="22"/>
          <w:szCs w:val="22"/>
          <w:lang w:val="en-GB"/>
        </w:rPr>
        <w:t xml:space="preserve"> independence in the 20th century, political persecutions carried out by repressive </w:t>
      </w:r>
      <w:r w:rsidR="003615A9" w:rsidRPr="007F299B">
        <w:rPr>
          <w:rFonts w:ascii="Gill Sans" w:hAnsi="Gill Sans" w:cs="Gill Sans"/>
          <w:sz w:val="22"/>
          <w:szCs w:val="22"/>
          <w:lang w:val="en-GB"/>
        </w:rPr>
        <w:t xml:space="preserve">Soviet </w:t>
      </w:r>
      <w:r w:rsidRPr="007F299B">
        <w:rPr>
          <w:rFonts w:ascii="Gill Sans" w:hAnsi="Gill Sans" w:cs="Gill Sans"/>
          <w:sz w:val="22"/>
          <w:szCs w:val="22"/>
          <w:lang w:val="en-GB"/>
        </w:rPr>
        <w:t xml:space="preserve">bodies on Ukraine’s territory </w:t>
      </w:r>
      <w:r w:rsidR="00D163B8">
        <w:rPr>
          <w:rFonts w:ascii="Gill Sans" w:hAnsi="Gill Sans" w:cs="Gill Sans"/>
          <w:sz w:val="22"/>
          <w:szCs w:val="22"/>
          <w:lang w:val="en-GB"/>
        </w:rPr>
        <w:t>from</w:t>
      </w:r>
      <w:r w:rsidR="00D163B8" w:rsidRPr="007F299B">
        <w:rPr>
          <w:rFonts w:ascii="Gill Sans" w:hAnsi="Gill Sans" w:cs="Gill Sans"/>
          <w:sz w:val="22"/>
          <w:szCs w:val="22"/>
          <w:lang w:val="en-GB"/>
        </w:rPr>
        <w:t xml:space="preserve"> </w:t>
      </w:r>
      <w:r w:rsidRPr="007F299B">
        <w:rPr>
          <w:rFonts w:ascii="Gill Sans" w:hAnsi="Gill Sans" w:cs="Gill Sans"/>
          <w:sz w:val="22"/>
          <w:szCs w:val="22"/>
          <w:lang w:val="en-GB"/>
        </w:rPr>
        <w:t xml:space="preserve">1917-1991, human rights violations committed by Soviet agencies, World War II events </w:t>
      </w:r>
      <w:r w:rsidR="003615A9">
        <w:rPr>
          <w:rFonts w:ascii="Gill Sans" w:hAnsi="Gill Sans" w:cs="Gill Sans"/>
          <w:sz w:val="22"/>
          <w:szCs w:val="22"/>
          <w:lang w:val="en-GB"/>
        </w:rPr>
        <w:t>i</w:t>
      </w:r>
      <w:r w:rsidRPr="007F299B">
        <w:rPr>
          <w:rFonts w:ascii="Gill Sans" w:hAnsi="Gill Sans" w:cs="Gill Sans"/>
          <w:sz w:val="22"/>
          <w:szCs w:val="22"/>
          <w:lang w:val="en-GB"/>
        </w:rPr>
        <w:t xml:space="preserve">n Ukraine, and technological incidents and catastrophes in </w:t>
      </w:r>
      <w:r w:rsidR="003B756C">
        <w:rPr>
          <w:rFonts w:ascii="Gill Sans" w:hAnsi="Gill Sans" w:cs="Gill Sans"/>
          <w:sz w:val="22"/>
          <w:szCs w:val="22"/>
          <w:lang w:val="en-GB"/>
        </w:rPr>
        <w:t>the country</w:t>
      </w:r>
      <w:r w:rsidR="003B756C" w:rsidRPr="007F299B">
        <w:rPr>
          <w:rFonts w:ascii="Gill Sans" w:hAnsi="Gill Sans" w:cs="Gill Sans"/>
          <w:sz w:val="22"/>
          <w:szCs w:val="22"/>
          <w:lang w:val="en-GB"/>
        </w:rPr>
        <w:t xml:space="preserve"> </w:t>
      </w:r>
      <w:r w:rsidR="00D163B8">
        <w:rPr>
          <w:rFonts w:ascii="Gill Sans" w:hAnsi="Gill Sans" w:cs="Gill Sans"/>
          <w:sz w:val="22"/>
          <w:szCs w:val="22"/>
          <w:lang w:val="en-GB"/>
        </w:rPr>
        <w:t>between</w:t>
      </w:r>
      <w:r w:rsidRPr="007F299B">
        <w:rPr>
          <w:rFonts w:ascii="Gill Sans" w:hAnsi="Gill Sans" w:cs="Gill Sans"/>
          <w:sz w:val="22"/>
          <w:szCs w:val="22"/>
          <w:lang w:val="en-GB"/>
        </w:rPr>
        <w:t xml:space="preserve"> 1917</w:t>
      </w:r>
      <w:r w:rsidR="003B756C">
        <w:rPr>
          <w:rFonts w:ascii="Gill Sans" w:hAnsi="Gill Sans" w:cs="Gill Sans"/>
          <w:sz w:val="22"/>
          <w:szCs w:val="22"/>
          <w:lang w:val="en-GB"/>
        </w:rPr>
        <w:t xml:space="preserve"> and </w:t>
      </w:r>
      <w:r w:rsidRPr="007F299B">
        <w:rPr>
          <w:rFonts w:ascii="Gill Sans" w:hAnsi="Gill Sans" w:cs="Gill Sans"/>
          <w:sz w:val="22"/>
          <w:szCs w:val="22"/>
          <w:lang w:val="en-GB"/>
        </w:rPr>
        <w:t xml:space="preserve">1991. All this information is of high </w:t>
      </w:r>
      <w:r w:rsidR="00D163B8">
        <w:rPr>
          <w:rFonts w:ascii="Gill Sans" w:hAnsi="Gill Sans" w:cs="Gill Sans"/>
          <w:sz w:val="22"/>
          <w:szCs w:val="22"/>
          <w:lang w:val="en-GB"/>
        </w:rPr>
        <w:t xml:space="preserve">interest to the </w:t>
      </w:r>
      <w:r w:rsidRPr="007F299B">
        <w:rPr>
          <w:rFonts w:ascii="Gill Sans" w:hAnsi="Gill Sans" w:cs="Gill Sans"/>
          <w:sz w:val="22"/>
          <w:szCs w:val="22"/>
          <w:lang w:val="en-GB"/>
        </w:rPr>
        <w:t>public</w:t>
      </w:r>
      <w:r w:rsidR="00D163B8">
        <w:rPr>
          <w:rFonts w:ascii="Gill Sans" w:hAnsi="Gill Sans" w:cs="Gill Sans"/>
          <w:sz w:val="22"/>
          <w:szCs w:val="22"/>
          <w:lang w:val="en-GB"/>
        </w:rPr>
        <w:t>,</w:t>
      </w:r>
      <w:r w:rsidRPr="007F299B">
        <w:rPr>
          <w:rFonts w:ascii="Gill Sans" w:hAnsi="Gill Sans" w:cs="Gill Sans"/>
          <w:sz w:val="22"/>
          <w:szCs w:val="22"/>
          <w:lang w:val="en-GB"/>
        </w:rPr>
        <w:t xml:space="preserve"> and </w:t>
      </w:r>
      <w:r w:rsidR="00D163B8">
        <w:rPr>
          <w:rFonts w:ascii="Gill Sans" w:hAnsi="Gill Sans" w:cs="Gill Sans"/>
          <w:sz w:val="22"/>
          <w:szCs w:val="22"/>
          <w:lang w:val="en-GB"/>
        </w:rPr>
        <w:t>was</w:t>
      </w:r>
      <w:r w:rsidRPr="007F299B">
        <w:rPr>
          <w:rFonts w:ascii="Gill Sans" w:hAnsi="Gill Sans" w:cs="Gill Sans"/>
          <w:sz w:val="22"/>
          <w:szCs w:val="22"/>
          <w:lang w:val="en-GB"/>
        </w:rPr>
        <w:t xml:space="preserve"> suppressed for a </w:t>
      </w:r>
      <w:r w:rsidR="00D163B8">
        <w:rPr>
          <w:rFonts w:ascii="Gill Sans" w:hAnsi="Gill Sans" w:cs="Gill Sans"/>
          <w:sz w:val="22"/>
          <w:szCs w:val="22"/>
          <w:lang w:val="en-GB"/>
        </w:rPr>
        <w:t xml:space="preserve">very </w:t>
      </w:r>
      <w:r w:rsidRPr="007F299B">
        <w:rPr>
          <w:rFonts w:ascii="Gill Sans" w:hAnsi="Gill Sans" w:cs="Gill Sans"/>
          <w:sz w:val="22"/>
          <w:szCs w:val="22"/>
          <w:lang w:val="en-GB"/>
        </w:rPr>
        <w:t>long time.</w:t>
      </w:r>
      <w:r w:rsidRPr="007F299B">
        <w:rPr>
          <w:rStyle w:val="EndnoteReference"/>
          <w:rFonts w:ascii="Gill Sans" w:hAnsi="Gill Sans" w:cs="Gill Sans"/>
          <w:sz w:val="22"/>
          <w:szCs w:val="22"/>
          <w:lang w:val="en-GB"/>
        </w:rPr>
        <w:endnoteReference w:id="25"/>
      </w:r>
    </w:p>
    <w:p w14:paraId="4C5ABB05" w14:textId="2C6EA112" w:rsidR="00217AB0" w:rsidRPr="00BB3451" w:rsidRDefault="00217AB0" w:rsidP="006319F4">
      <w:pPr>
        <w:pStyle w:val="Heading3"/>
      </w:pPr>
      <w:r w:rsidRPr="00BB3451">
        <w:lastRenderedPageBreak/>
        <w:t>Did it open government?</w:t>
      </w:r>
    </w:p>
    <w:p w14:paraId="4FC59B03" w14:textId="6DC0FC4E" w:rsidR="00217AB0" w:rsidRDefault="00217AB0" w:rsidP="00217AB0">
      <w:pPr>
        <w:spacing w:after="120"/>
        <w:rPr>
          <w:rFonts w:ascii="Gill Sans" w:hAnsi="Gill Sans" w:cs="Gill Sans"/>
          <w:b/>
          <w:color w:val="000000" w:themeColor="text1"/>
          <w:sz w:val="22"/>
          <w:szCs w:val="22"/>
          <w:lang w:val="en-GB"/>
        </w:rPr>
      </w:pPr>
      <w:r w:rsidRPr="00BB3451">
        <w:rPr>
          <w:rFonts w:ascii="Gill Sans" w:hAnsi="Gill Sans" w:cs="Gill Sans"/>
          <w:b/>
          <w:color w:val="000000" w:themeColor="text1"/>
          <w:sz w:val="22"/>
          <w:szCs w:val="22"/>
          <w:lang w:val="en-GB"/>
        </w:rPr>
        <w:t xml:space="preserve">Access to information: </w:t>
      </w:r>
      <w:r w:rsidR="00926A15">
        <w:rPr>
          <w:rFonts w:ascii="Gill Sans" w:hAnsi="Gill Sans" w:cs="Gill Sans"/>
          <w:b/>
          <w:color w:val="000000" w:themeColor="text1"/>
          <w:sz w:val="22"/>
          <w:szCs w:val="22"/>
          <w:lang w:val="en-GB"/>
        </w:rPr>
        <w:t>Outstanding</w:t>
      </w:r>
    </w:p>
    <w:p w14:paraId="0975B066" w14:textId="48A8AA3C" w:rsidR="007D0598" w:rsidRPr="00BB3451" w:rsidRDefault="007D0598" w:rsidP="00F00809">
      <w:pPr>
        <w:spacing w:after="120"/>
        <w:rPr>
          <w:rFonts w:ascii="Gill Sans" w:hAnsi="Gill Sans" w:cs="Gill Sans"/>
          <w:b/>
          <w:color w:val="000000" w:themeColor="text1"/>
          <w:sz w:val="22"/>
          <w:szCs w:val="22"/>
          <w:lang w:val="en-GB"/>
        </w:rPr>
      </w:pPr>
      <w:r>
        <w:rPr>
          <w:rFonts w:ascii="Gill Sans" w:hAnsi="Gill Sans" w:cs="Gill Sans"/>
          <w:noProof/>
          <w:sz w:val="22"/>
          <w:szCs w:val="22"/>
          <w:lang w:val="en-GB"/>
        </w:rPr>
        <w:t>Since the midterm assessment</w:t>
      </w:r>
      <w:r w:rsidR="00D163B8">
        <w:rPr>
          <w:rFonts w:ascii="Gill Sans" w:hAnsi="Gill Sans" w:cs="Gill Sans"/>
          <w:noProof/>
          <w:sz w:val="22"/>
          <w:szCs w:val="22"/>
          <w:lang w:val="en-GB"/>
        </w:rPr>
        <w:t>,</w:t>
      </w:r>
      <w:r>
        <w:rPr>
          <w:rFonts w:ascii="Gill Sans" w:hAnsi="Gill Sans" w:cs="Gill Sans"/>
          <w:noProof/>
          <w:sz w:val="22"/>
          <w:szCs w:val="22"/>
          <w:lang w:val="en-GB"/>
        </w:rPr>
        <w:t xml:space="preserve"> </w:t>
      </w:r>
      <w:r w:rsidR="00D163B8">
        <w:rPr>
          <w:rFonts w:ascii="Gill Sans" w:hAnsi="Gill Sans" w:cs="Gill Sans"/>
          <w:noProof/>
          <w:sz w:val="22"/>
          <w:szCs w:val="22"/>
          <w:lang w:val="en-GB"/>
        </w:rPr>
        <w:t>g</w:t>
      </w:r>
      <w:r>
        <w:rPr>
          <w:rFonts w:ascii="Gill Sans" w:hAnsi="Gill Sans" w:cs="Gill Sans"/>
          <w:noProof/>
          <w:sz w:val="22"/>
          <w:szCs w:val="22"/>
          <w:lang w:val="en-GB"/>
        </w:rPr>
        <w:t>overnment agencies took a</w:t>
      </w:r>
      <w:r w:rsidR="00D163B8">
        <w:rPr>
          <w:rFonts w:ascii="Gill Sans" w:hAnsi="Gill Sans" w:cs="Gill Sans"/>
          <w:noProof/>
          <w:sz w:val="22"/>
          <w:szCs w:val="22"/>
          <w:lang w:val="en-GB"/>
        </w:rPr>
        <w:t xml:space="preserve">dditional </w:t>
      </w:r>
      <w:r>
        <w:rPr>
          <w:rFonts w:ascii="Gill Sans" w:hAnsi="Gill Sans" w:cs="Gill Sans"/>
          <w:noProof/>
          <w:sz w:val="22"/>
          <w:szCs w:val="22"/>
          <w:lang w:val="en-GB"/>
        </w:rPr>
        <w:t>steps to implement the new law. In pa</w:t>
      </w:r>
      <w:r w:rsidR="00D163B8">
        <w:rPr>
          <w:rFonts w:ascii="Gill Sans" w:hAnsi="Gill Sans" w:cs="Gill Sans"/>
          <w:noProof/>
          <w:sz w:val="22"/>
          <w:szCs w:val="22"/>
          <w:lang w:val="en-GB"/>
        </w:rPr>
        <w:t>r</w:t>
      </w:r>
      <w:r>
        <w:rPr>
          <w:rFonts w:ascii="Gill Sans" w:hAnsi="Gill Sans" w:cs="Gill Sans"/>
          <w:noProof/>
          <w:sz w:val="22"/>
          <w:szCs w:val="22"/>
          <w:lang w:val="en-GB"/>
        </w:rPr>
        <w:t xml:space="preserve">ticular, the Ministry of Justice (which is in charge of </w:t>
      </w:r>
      <w:r w:rsidR="00D163B8">
        <w:rPr>
          <w:rFonts w:ascii="Gill Sans" w:hAnsi="Gill Sans" w:cs="Gill Sans"/>
          <w:noProof/>
          <w:sz w:val="22"/>
          <w:szCs w:val="22"/>
          <w:lang w:val="en-GB"/>
        </w:rPr>
        <w:t xml:space="preserve">the </w:t>
      </w:r>
      <w:r>
        <w:rPr>
          <w:rFonts w:ascii="Gill Sans" w:hAnsi="Gill Sans" w:cs="Gill Sans"/>
          <w:noProof/>
          <w:sz w:val="22"/>
          <w:szCs w:val="22"/>
          <w:lang w:val="en-GB"/>
        </w:rPr>
        <w:t>State Archive Service) updated its procedure</w:t>
      </w:r>
      <w:r w:rsidR="00D163B8">
        <w:rPr>
          <w:rFonts w:ascii="Gill Sans" w:hAnsi="Gill Sans" w:cs="Gill Sans"/>
          <w:noProof/>
          <w:sz w:val="22"/>
          <w:szCs w:val="22"/>
          <w:lang w:val="en-GB"/>
        </w:rPr>
        <w:t>s</w:t>
      </w:r>
      <w:r>
        <w:rPr>
          <w:rFonts w:ascii="Gill Sans" w:hAnsi="Gill Sans" w:cs="Gill Sans"/>
          <w:noProof/>
          <w:sz w:val="22"/>
          <w:szCs w:val="22"/>
          <w:lang w:val="en-GB"/>
        </w:rPr>
        <w:t xml:space="preserve"> for </w:t>
      </w:r>
      <w:r w:rsidR="003B756C">
        <w:rPr>
          <w:rFonts w:ascii="Gill Sans" w:hAnsi="Gill Sans" w:cs="Gill Sans"/>
          <w:noProof/>
          <w:sz w:val="22"/>
          <w:szCs w:val="22"/>
          <w:lang w:val="en-GB"/>
        </w:rPr>
        <w:t xml:space="preserve">the </w:t>
      </w:r>
      <w:r>
        <w:rPr>
          <w:rFonts w:ascii="Gill Sans" w:hAnsi="Gill Sans" w:cs="Gill Sans"/>
          <w:noProof/>
          <w:sz w:val="22"/>
          <w:szCs w:val="22"/>
          <w:lang w:val="en-GB"/>
        </w:rPr>
        <w:t>use of archives held by state bodies or local communities</w:t>
      </w:r>
      <w:r w:rsidR="00D163B8">
        <w:rPr>
          <w:rFonts w:ascii="Gill Sans" w:hAnsi="Gill Sans" w:cs="Gill Sans"/>
          <w:noProof/>
          <w:sz w:val="22"/>
          <w:szCs w:val="22"/>
          <w:lang w:val="en-GB"/>
        </w:rPr>
        <w:t>,</w:t>
      </w:r>
      <w:r>
        <w:rPr>
          <w:rFonts w:ascii="Gill Sans" w:hAnsi="Gill Sans" w:cs="Gill Sans"/>
          <w:noProof/>
          <w:sz w:val="22"/>
          <w:szCs w:val="22"/>
          <w:lang w:val="en-GB"/>
        </w:rPr>
        <w:t xml:space="preserve"> to align them with the new law</w:t>
      </w:r>
      <w:r w:rsidR="00D163B8">
        <w:rPr>
          <w:rFonts w:ascii="Gill Sans" w:hAnsi="Gill Sans" w:cs="Gill Sans"/>
          <w:noProof/>
          <w:sz w:val="22"/>
          <w:szCs w:val="22"/>
          <w:lang w:val="en-GB"/>
        </w:rPr>
        <w:t>. P</w:t>
      </w:r>
      <w:r>
        <w:rPr>
          <w:rFonts w:ascii="Gill Sans" w:hAnsi="Gill Sans" w:cs="Gill Sans"/>
          <w:noProof/>
          <w:sz w:val="22"/>
          <w:szCs w:val="22"/>
          <w:lang w:val="en-GB"/>
        </w:rPr>
        <w:t xml:space="preserve">ublic archive institutions published on their websites information </w:t>
      </w:r>
      <w:r w:rsidR="00D163B8">
        <w:rPr>
          <w:rFonts w:ascii="Gill Sans" w:hAnsi="Gill Sans" w:cs="Gill Sans"/>
          <w:noProof/>
          <w:sz w:val="22"/>
          <w:szCs w:val="22"/>
          <w:lang w:val="en-GB"/>
        </w:rPr>
        <w:t xml:space="preserve">regarding </w:t>
      </w:r>
      <w:r w:rsidR="003B756C">
        <w:rPr>
          <w:rFonts w:ascii="Gill Sans" w:hAnsi="Gill Sans" w:cs="Gill Sans"/>
          <w:noProof/>
          <w:sz w:val="22"/>
          <w:szCs w:val="22"/>
          <w:lang w:val="en-GB"/>
        </w:rPr>
        <w:t xml:space="preserve">the </w:t>
      </w:r>
      <w:r>
        <w:rPr>
          <w:rFonts w:ascii="Gill Sans" w:hAnsi="Gill Sans" w:cs="Gill Sans"/>
          <w:noProof/>
          <w:sz w:val="22"/>
          <w:szCs w:val="22"/>
          <w:lang w:val="en-GB"/>
        </w:rPr>
        <w:t>employees responsible</w:t>
      </w:r>
      <w:r w:rsidR="00752DC4">
        <w:rPr>
          <w:rFonts w:ascii="Gill Sans" w:hAnsi="Gill Sans" w:cs="Gill Sans"/>
          <w:noProof/>
          <w:sz w:val="22"/>
          <w:szCs w:val="22"/>
          <w:lang w:val="en-GB"/>
        </w:rPr>
        <w:t>, by law,</w:t>
      </w:r>
      <w:r>
        <w:rPr>
          <w:rFonts w:ascii="Gill Sans" w:hAnsi="Gill Sans" w:cs="Gill Sans"/>
          <w:noProof/>
          <w:sz w:val="22"/>
          <w:szCs w:val="22"/>
          <w:lang w:val="en-GB"/>
        </w:rPr>
        <w:t xml:space="preserve"> for </w:t>
      </w:r>
      <w:r w:rsidR="00752DC4">
        <w:rPr>
          <w:rFonts w:ascii="Gill Sans" w:hAnsi="Gill Sans" w:cs="Gill Sans"/>
          <w:noProof/>
          <w:sz w:val="22"/>
          <w:szCs w:val="22"/>
          <w:lang w:val="en-GB"/>
        </w:rPr>
        <w:t xml:space="preserve">allowing </w:t>
      </w:r>
      <w:r>
        <w:rPr>
          <w:rFonts w:ascii="Gill Sans" w:hAnsi="Gill Sans" w:cs="Gill Sans"/>
          <w:noProof/>
          <w:sz w:val="22"/>
          <w:szCs w:val="22"/>
          <w:lang w:val="en-GB"/>
        </w:rPr>
        <w:t xml:space="preserve">access to </w:t>
      </w:r>
      <w:r w:rsidR="003B756C">
        <w:rPr>
          <w:rFonts w:ascii="Gill Sans" w:hAnsi="Gill Sans" w:cs="Gill Sans"/>
          <w:noProof/>
          <w:sz w:val="22"/>
          <w:szCs w:val="22"/>
          <w:lang w:val="en-GB"/>
        </w:rPr>
        <w:t xml:space="preserve">the </w:t>
      </w:r>
      <w:r>
        <w:rPr>
          <w:rFonts w:ascii="Gill Sans" w:hAnsi="Gill Sans" w:cs="Gill Sans"/>
          <w:noProof/>
          <w:sz w:val="22"/>
          <w:szCs w:val="22"/>
          <w:lang w:val="en-GB"/>
        </w:rPr>
        <w:t>archives of r</w:t>
      </w:r>
      <w:r w:rsidRPr="007F299B">
        <w:rPr>
          <w:rFonts w:ascii="Gill Sans" w:hAnsi="Gill Sans" w:cs="Gill Sans"/>
          <w:noProof/>
          <w:sz w:val="22"/>
          <w:szCs w:val="22"/>
          <w:lang w:val="en-GB"/>
        </w:rPr>
        <w:t xml:space="preserve">epressive </w:t>
      </w:r>
      <w:r>
        <w:rPr>
          <w:rFonts w:ascii="Gill Sans" w:hAnsi="Gill Sans" w:cs="Gill Sans"/>
          <w:noProof/>
          <w:sz w:val="22"/>
          <w:szCs w:val="22"/>
          <w:lang w:val="en-GB"/>
        </w:rPr>
        <w:t>bodies</w:t>
      </w:r>
      <w:r w:rsidR="003B756C">
        <w:rPr>
          <w:rFonts w:ascii="Gill Sans" w:hAnsi="Gill Sans" w:cs="Gill Sans"/>
          <w:noProof/>
          <w:sz w:val="22"/>
          <w:szCs w:val="22"/>
          <w:lang w:val="en-GB"/>
        </w:rPr>
        <w:t>;</w:t>
      </w:r>
      <w:r>
        <w:rPr>
          <w:rFonts w:ascii="Gill Sans" w:hAnsi="Gill Sans" w:cs="Gill Sans"/>
          <w:noProof/>
          <w:sz w:val="22"/>
          <w:szCs w:val="22"/>
          <w:lang w:val="en-GB"/>
        </w:rPr>
        <w:t xml:space="preserve"> lists of archives of repressive bodies in their possession</w:t>
      </w:r>
      <w:r w:rsidR="003B756C">
        <w:rPr>
          <w:rFonts w:ascii="Gill Sans" w:hAnsi="Gill Sans" w:cs="Gill Sans"/>
          <w:noProof/>
          <w:sz w:val="22"/>
          <w:szCs w:val="22"/>
          <w:lang w:val="en-GB"/>
        </w:rPr>
        <w:t>;</w:t>
      </w:r>
      <w:r>
        <w:rPr>
          <w:rFonts w:ascii="Gill Sans" w:hAnsi="Gill Sans" w:cs="Gill Sans"/>
          <w:noProof/>
          <w:sz w:val="22"/>
          <w:szCs w:val="22"/>
          <w:lang w:val="en-GB"/>
        </w:rPr>
        <w:t xml:space="preserve"> as well as information about valid restrictions on access to such archives. After a significant delay, the </w:t>
      </w:r>
      <w:r w:rsidR="00752DC4">
        <w:rPr>
          <w:rFonts w:ascii="Gill Sans" w:hAnsi="Gill Sans" w:cs="Gill Sans"/>
          <w:noProof/>
          <w:sz w:val="22"/>
          <w:szCs w:val="22"/>
          <w:lang w:val="en-GB"/>
        </w:rPr>
        <w:t>g</w:t>
      </w:r>
      <w:r>
        <w:rPr>
          <w:rFonts w:ascii="Gill Sans" w:hAnsi="Gill Sans" w:cs="Gill Sans"/>
          <w:noProof/>
          <w:sz w:val="22"/>
          <w:szCs w:val="22"/>
          <w:lang w:val="en-GB"/>
        </w:rPr>
        <w:t xml:space="preserve">overnment issued </w:t>
      </w:r>
      <w:r w:rsidR="00752DC4">
        <w:rPr>
          <w:rFonts w:ascii="Gill Sans" w:hAnsi="Gill Sans" w:cs="Gill Sans"/>
          <w:noProof/>
          <w:sz w:val="22"/>
          <w:szCs w:val="22"/>
          <w:lang w:val="en-GB"/>
        </w:rPr>
        <w:t xml:space="preserve">a </w:t>
      </w:r>
      <w:r>
        <w:rPr>
          <w:rFonts w:ascii="Gill Sans" w:hAnsi="Gill Sans" w:cs="Gill Sans"/>
          <w:noProof/>
          <w:sz w:val="22"/>
          <w:szCs w:val="22"/>
          <w:lang w:val="en-GB"/>
        </w:rPr>
        <w:t>decision</w:t>
      </w:r>
      <w:r w:rsidR="00752DC4">
        <w:rPr>
          <w:rFonts w:ascii="Gill Sans" w:hAnsi="Gill Sans" w:cs="Gill Sans"/>
          <w:noProof/>
          <w:sz w:val="22"/>
          <w:szCs w:val="22"/>
          <w:lang w:val="en-GB"/>
        </w:rPr>
        <w:t>, in December 2016,</w:t>
      </w:r>
      <w:r>
        <w:rPr>
          <w:rFonts w:ascii="Gill Sans" w:hAnsi="Gill Sans" w:cs="Gill Sans"/>
          <w:noProof/>
          <w:sz w:val="22"/>
          <w:szCs w:val="22"/>
          <w:lang w:val="en-GB"/>
        </w:rPr>
        <w:t xml:space="preserve"> to set up </w:t>
      </w:r>
      <w:r>
        <w:rPr>
          <w:rFonts w:ascii="Gill Sans" w:hAnsi="Gill Sans" w:cs="Gill Sans"/>
          <w:noProof/>
          <w:sz w:val="22"/>
          <w:szCs w:val="22"/>
        </w:rPr>
        <w:t xml:space="preserve">the Sectoral State Archive of the </w:t>
      </w:r>
      <w:r w:rsidRPr="007F299B">
        <w:rPr>
          <w:rFonts w:ascii="Gill Sans" w:hAnsi="Gill Sans" w:cs="Gill Sans"/>
          <w:noProof/>
          <w:sz w:val="22"/>
          <w:szCs w:val="22"/>
          <w:lang w:val="en-GB"/>
        </w:rPr>
        <w:t>Ukrainian Institute of National Remembrance</w:t>
      </w:r>
      <w:r>
        <w:rPr>
          <w:rFonts w:ascii="Gill Sans" w:hAnsi="Gill Sans" w:cs="Gill Sans"/>
          <w:noProof/>
          <w:sz w:val="22"/>
          <w:szCs w:val="22"/>
          <w:lang w:val="en-GB"/>
        </w:rPr>
        <w:t xml:space="preserve"> to track, keep, restore, </w:t>
      </w:r>
      <w:r w:rsidR="00752DC4">
        <w:rPr>
          <w:rFonts w:ascii="Gill Sans" w:hAnsi="Gill Sans" w:cs="Gill Sans"/>
          <w:noProof/>
          <w:sz w:val="22"/>
          <w:szCs w:val="22"/>
          <w:lang w:val="en-GB"/>
        </w:rPr>
        <w:t xml:space="preserve">and </w:t>
      </w:r>
      <w:r>
        <w:rPr>
          <w:rFonts w:ascii="Gill Sans" w:hAnsi="Gill Sans" w:cs="Gill Sans"/>
          <w:noProof/>
          <w:sz w:val="22"/>
          <w:szCs w:val="22"/>
          <w:lang w:val="en-GB"/>
        </w:rPr>
        <w:t>provide access to the records covered by the law</w:t>
      </w:r>
      <w:r>
        <w:rPr>
          <w:rFonts w:ascii="Gill Sans" w:hAnsi="Gill Sans" w:cs="Gill Sans"/>
          <w:noProof/>
          <w:sz w:val="22"/>
          <w:szCs w:val="22"/>
        </w:rPr>
        <w:t>.</w:t>
      </w:r>
      <w:r>
        <w:rPr>
          <w:rStyle w:val="EndnoteReference"/>
          <w:rFonts w:ascii="Gill Sans" w:hAnsi="Gill Sans" w:cs="Gill Sans"/>
          <w:noProof/>
          <w:sz w:val="22"/>
          <w:szCs w:val="22"/>
        </w:rPr>
        <w:endnoteReference w:id="26"/>
      </w:r>
    </w:p>
    <w:p w14:paraId="2840738E" w14:textId="31947294" w:rsidR="006F7EBD" w:rsidRPr="00163080" w:rsidRDefault="00956FBC" w:rsidP="00163080">
      <w:pPr>
        <w:spacing w:after="120"/>
        <w:rPr>
          <w:rFonts w:ascii="Gill Sans" w:eastAsia="Times New Roman" w:hAnsi="Gill Sans" w:cs="Gill Sans"/>
          <w:color w:val="000000" w:themeColor="text1"/>
          <w:sz w:val="22"/>
          <w:szCs w:val="22"/>
        </w:rPr>
      </w:pPr>
      <w:r>
        <w:rPr>
          <w:rFonts w:ascii="Gill Sans" w:hAnsi="Gill Sans" w:cs="Gill Sans"/>
          <w:noProof/>
          <w:sz w:val="22"/>
          <w:szCs w:val="22"/>
          <w:lang w:val="en-GB"/>
        </w:rPr>
        <w:t xml:space="preserve">The </w:t>
      </w:r>
      <w:r w:rsidR="003B756C">
        <w:rPr>
          <w:rFonts w:ascii="Gill Sans" w:hAnsi="Gill Sans" w:cs="Gill Sans"/>
          <w:noProof/>
          <w:sz w:val="22"/>
          <w:szCs w:val="22"/>
          <w:lang w:val="en-GB"/>
        </w:rPr>
        <w:t>l</w:t>
      </w:r>
      <w:r w:rsidRPr="007F299B">
        <w:rPr>
          <w:rFonts w:ascii="Gill Sans" w:hAnsi="Gill Sans" w:cs="Gill Sans"/>
          <w:noProof/>
          <w:sz w:val="22"/>
          <w:szCs w:val="22"/>
          <w:lang w:val="en-GB"/>
        </w:rPr>
        <w:t xml:space="preserve">aw on </w:t>
      </w:r>
      <w:r w:rsidR="003B756C">
        <w:rPr>
          <w:rFonts w:ascii="Gill Sans" w:hAnsi="Gill Sans" w:cs="Gill Sans"/>
          <w:noProof/>
          <w:sz w:val="22"/>
          <w:szCs w:val="22"/>
          <w:lang w:val="en-GB"/>
        </w:rPr>
        <w:t>a</w:t>
      </w:r>
      <w:r w:rsidRPr="007F299B">
        <w:rPr>
          <w:rFonts w:ascii="Gill Sans" w:hAnsi="Gill Sans" w:cs="Gill Sans"/>
          <w:noProof/>
          <w:sz w:val="22"/>
          <w:szCs w:val="22"/>
          <w:lang w:val="en-GB"/>
        </w:rPr>
        <w:t>ccess to</w:t>
      </w:r>
      <w:r w:rsidR="003B756C">
        <w:rPr>
          <w:rFonts w:ascii="Gill Sans" w:hAnsi="Gill Sans" w:cs="Gill Sans"/>
          <w:noProof/>
          <w:sz w:val="22"/>
          <w:szCs w:val="22"/>
          <w:lang w:val="en-GB"/>
        </w:rPr>
        <w:t xml:space="preserve"> the</w:t>
      </w:r>
      <w:r w:rsidRPr="007F299B">
        <w:rPr>
          <w:rFonts w:ascii="Gill Sans" w:hAnsi="Gill Sans" w:cs="Gill Sans"/>
          <w:noProof/>
          <w:sz w:val="22"/>
          <w:szCs w:val="22"/>
          <w:lang w:val="en-GB"/>
        </w:rPr>
        <w:t xml:space="preserve"> </w:t>
      </w:r>
      <w:r w:rsidR="003B756C">
        <w:rPr>
          <w:rFonts w:ascii="Gill Sans" w:hAnsi="Gill Sans" w:cs="Gill Sans"/>
          <w:noProof/>
          <w:sz w:val="22"/>
          <w:szCs w:val="22"/>
          <w:lang w:val="en-GB"/>
        </w:rPr>
        <w:t>a</w:t>
      </w:r>
      <w:r w:rsidRPr="007F299B">
        <w:rPr>
          <w:rFonts w:ascii="Gill Sans" w:hAnsi="Gill Sans" w:cs="Gill Sans"/>
          <w:noProof/>
          <w:sz w:val="22"/>
          <w:szCs w:val="22"/>
          <w:lang w:val="en-GB"/>
        </w:rPr>
        <w:t xml:space="preserve">rchives of </w:t>
      </w:r>
      <w:r w:rsidR="003B756C">
        <w:rPr>
          <w:rFonts w:ascii="Gill Sans" w:hAnsi="Gill Sans" w:cs="Gill Sans"/>
          <w:noProof/>
          <w:sz w:val="22"/>
          <w:szCs w:val="22"/>
          <w:lang w:val="en-GB"/>
        </w:rPr>
        <w:t>r</w:t>
      </w:r>
      <w:r w:rsidRPr="007F299B">
        <w:rPr>
          <w:rFonts w:ascii="Gill Sans" w:hAnsi="Gill Sans" w:cs="Gill Sans"/>
          <w:noProof/>
          <w:sz w:val="22"/>
          <w:szCs w:val="22"/>
          <w:lang w:val="en-GB"/>
        </w:rPr>
        <w:t xml:space="preserve">epressive </w:t>
      </w:r>
      <w:r w:rsidR="003B756C">
        <w:rPr>
          <w:rFonts w:ascii="Gill Sans" w:hAnsi="Gill Sans" w:cs="Gill Sans"/>
          <w:noProof/>
          <w:sz w:val="22"/>
          <w:szCs w:val="22"/>
          <w:lang w:val="en-GB"/>
        </w:rPr>
        <w:t>b</w:t>
      </w:r>
      <w:r w:rsidRPr="007F299B">
        <w:rPr>
          <w:rFonts w:ascii="Gill Sans" w:hAnsi="Gill Sans" w:cs="Gill Sans"/>
          <w:noProof/>
          <w:sz w:val="22"/>
          <w:szCs w:val="22"/>
          <w:lang w:val="en-GB"/>
        </w:rPr>
        <w:t xml:space="preserve">odies </w:t>
      </w:r>
      <w:r w:rsidRPr="009400F9">
        <w:rPr>
          <w:rFonts w:ascii="Gill Sans" w:hAnsi="Gill Sans" w:cs="Gill Sans"/>
          <w:color w:val="000000"/>
          <w:sz w:val="22"/>
          <w:szCs w:val="22"/>
          <w:lang w:val="en-GB"/>
        </w:rPr>
        <w:t xml:space="preserve">transformed ‘business as usual’ in the area </w:t>
      </w:r>
      <w:r>
        <w:rPr>
          <w:rFonts w:ascii="Gill Sans" w:hAnsi="Gill Sans" w:cs="Gill Sans"/>
          <w:color w:val="000000"/>
          <w:sz w:val="22"/>
          <w:szCs w:val="22"/>
          <w:lang w:val="en-GB"/>
        </w:rPr>
        <w:t xml:space="preserve">of national archives and remembrance </w:t>
      </w:r>
      <w:r w:rsidRPr="009400F9">
        <w:rPr>
          <w:rFonts w:ascii="Gill Sans" w:hAnsi="Gill Sans" w:cs="Gill Sans"/>
          <w:color w:val="000000"/>
          <w:sz w:val="22"/>
          <w:szCs w:val="22"/>
          <w:lang w:val="en-GB"/>
        </w:rPr>
        <w:t>by opening government.</w:t>
      </w:r>
      <w:r w:rsidR="009F72E1">
        <w:rPr>
          <w:rFonts w:ascii="Gill Sans" w:hAnsi="Gill Sans" w:cs="Gill Sans"/>
          <w:color w:val="000000"/>
          <w:sz w:val="22"/>
          <w:szCs w:val="22"/>
          <w:lang w:val="en-GB"/>
        </w:rPr>
        <w:t xml:space="preserve"> It allowed dispersed </w:t>
      </w:r>
      <w:r w:rsidR="00963D75">
        <w:rPr>
          <w:rFonts w:ascii="Gill Sans" w:hAnsi="Gill Sans" w:cs="Gill Sans"/>
          <w:color w:val="000000"/>
          <w:sz w:val="22"/>
          <w:szCs w:val="22"/>
          <w:lang w:val="en-GB"/>
        </w:rPr>
        <w:t xml:space="preserve">archives of high public interest </w:t>
      </w:r>
      <w:r w:rsidR="00752DC4">
        <w:rPr>
          <w:rFonts w:ascii="Gill Sans" w:hAnsi="Gill Sans" w:cs="Gill Sans"/>
          <w:color w:val="000000"/>
          <w:sz w:val="22"/>
          <w:szCs w:val="22"/>
          <w:lang w:val="en-GB"/>
        </w:rPr>
        <w:t>to be consolidated under</w:t>
      </w:r>
      <w:r w:rsidR="00963D75">
        <w:rPr>
          <w:rFonts w:ascii="Gill Sans" w:hAnsi="Gill Sans" w:cs="Gill Sans"/>
          <w:color w:val="000000"/>
          <w:sz w:val="22"/>
          <w:szCs w:val="22"/>
          <w:lang w:val="en-GB"/>
        </w:rPr>
        <w:t xml:space="preserve"> one institution, </w:t>
      </w:r>
      <w:r w:rsidR="00752DC4">
        <w:rPr>
          <w:rFonts w:ascii="Gill Sans" w:hAnsi="Gill Sans" w:cs="Gill Sans"/>
          <w:color w:val="000000"/>
          <w:sz w:val="22"/>
          <w:szCs w:val="22"/>
          <w:lang w:val="en-GB"/>
        </w:rPr>
        <w:t xml:space="preserve">and </w:t>
      </w:r>
      <w:r w:rsidR="00963D75">
        <w:rPr>
          <w:rFonts w:ascii="Gill Sans" w:hAnsi="Gill Sans" w:cs="Gill Sans"/>
          <w:color w:val="000000"/>
          <w:sz w:val="22"/>
          <w:szCs w:val="22"/>
          <w:lang w:val="en-GB"/>
        </w:rPr>
        <w:t>simplif</w:t>
      </w:r>
      <w:r w:rsidR="00752DC4">
        <w:rPr>
          <w:rFonts w:ascii="Gill Sans" w:hAnsi="Gill Sans" w:cs="Gill Sans"/>
          <w:color w:val="000000"/>
          <w:sz w:val="22"/>
          <w:szCs w:val="22"/>
          <w:lang w:val="en-GB"/>
        </w:rPr>
        <w:t>ied</w:t>
      </w:r>
      <w:r w:rsidR="00963D75">
        <w:rPr>
          <w:rFonts w:ascii="Gill Sans" w:hAnsi="Gill Sans" w:cs="Gill Sans"/>
          <w:color w:val="000000"/>
          <w:sz w:val="22"/>
          <w:szCs w:val="22"/>
          <w:lang w:val="en-GB"/>
        </w:rPr>
        <w:t xml:space="preserve"> access to such archives for researche</w:t>
      </w:r>
      <w:r w:rsidR="003B756C">
        <w:rPr>
          <w:rFonts w:ascii="Gill Sans" w:hAnsi="Gill Sans" w:cs="Gill Sans"/>
          <w:color w:val="000000"/>
          <w:sz w:val="22"/>
          <w:szCs w:val="22"/>
          <w:lang w:val="en-GB"/>
        </w:rPr>
        <w:t>r</w:t>
      </w:r>
      <w:r w:rsidR="00963D75">
        <w:rPr>
          <w:rFonts w:ascii="Gill Sans" w:hAnsi="Gill Sans" w:cs="Gill Sans"/>
          <w:color w:val="000000"/>
          <w:sz w:val="22"/>
          <w:szCs w:val="22"/>
          <w:lang w:val="en-GB"/>
        </w:rPr>
        <w:t>s, relatives</w:t>
      </w:r>
      <w:r w:rsidR="00752DC4">
        <w:rPr>
          <w:rFonts w:ascii="Gill Sans" w:hAnsi="Gill Sans" w:cs="Gill Sans"/>
          <w:color w:val="000000"/>
          <w:sz w:val="22"/>
          <w:szCs w:val="22"/>
          <w:lang w:val="en-GB"/>
        </w:rPr>
        <w:t>,</w:t>
      </w:r>
      <w:r w:rsidR="00963D75">
        <w:rPr>
          <w:rFonts w:ascii="Gill Sans" w:hAnsi="Gill Sans" w:cs="Gill Sans"/>
          <w:color w:val="000000"/>
          <w:sz w:val="22"/>
          <w:szCs w:val="22"/>
          <w:lang w:val="en-GB"/>
        </w:rPr>
        <w:t xml:space="preserve"> and others. The law provided </w:t>
      </w:r>
      <w:r w:rsidR="00A4455C">
        <w:rPr>
          <w:rFonts w:ascii="Gill Sans" w:hAnsi="Gill Sans" w:cs="Gill Sans"/>
          <w:color w:val="000000"/>
          <w:sz w:val="22"/>
          <w:szCs w:val="22"/>
          <w:lang w:val="en-GB"/>
        </w:rPr>
        <w:t xml:space="preserve">an effective </w:t>
      </w:r>
      <w:r w:rsidR="00963D75">
        <w:rPr>
          <w:rFonts w:ascii="Gill Sans" w:hAnsi="Gill Sans" w:cs="Gill Sans"/>
          <w:color w:val="000000"/>
          <w:sz w:val="22"/>
          <w:szCs w:val="22"/>
          <w:lang w:val="en-GB"/>
        </w:rPr>
        <w:t xml:space="preserve">mechanism to ensure respect for the right to truth. </w:t>
      </w:r>
      <w:r w:rsidR="00CA02DC">
        <w:rPr>
          <w:rFonts w:ascii="Gill Sans" w:hAnsi="Gill Sans" w:cs="Gill Sans"/>
          <w:color w:val="000000"/>
          <w:sz w:val="22"/>
          <w:szCs w:val="22"/>
          <w:lang w:val="en-GB"/>
        </w:rPr>
        <w:t xml:space="preserve">According to one of the drafters of the </w:t>
      </w:r>
      <w:r w:rsidR="00752DC4">
        <w:rPr>
          <w:rFonts w:ascii="Gill Sans" w:hAnsi="Gill Sans" w:cs="Gill Sans"/>
          <w:color w:val="000000"/>
          <w:sz w:val="22"/>
          <w:szCs w:val="22"/>
          <w:lang w:val="en-GB"/>
        </w:rPr>
        <w:t>l</w:t>
      </w:r>
      <w:r w:rsidR="00CA02DC">
        <w:rPr>
          <w:rFonts w:ascii="Gill Sans" w:hAnsi="Gill Sans" w:cs="Gill Sans"/>
          <w:color w:val="000000"/>
          <w:sz w:val="22"/>
          <w:szCs w:val="22"/>
          <w:lang w:val="en-GB"/>
        </w:rPr>
        <w:t xml:space="preserve">aw </w:t>
      </w:r>
      <w:r w:rsidR="00A2079F">
        <w:rPr>
          <w:rFonts w:ascii="Gill Sans" w:hAnsi="Gill Sans" w:cs="Gill Sans"/>
          <w:color w:val="000000"/>
          <w:sz w:val="22"/>
          <w:szCs w:val="22"/>
          <w:lang w:val="en-GB"/>
        </w:rPr>
        <w:t xml:space="preserve">and </w:t>
      </w:r>
      <w:r w:rsidR="004E7645">
        <w:rPr>
          <w:rFonts w:ascii="Gill Sans" w:hAnsi="Gill Sans" w:cs="Gill Sans"/>
          <w:color w:val="000000"/>
          <w:sz w:val="22"/>
          <w:szCs w:val="22"/>
          <w:lang w:val="en-GB"/>
        </w:rPr>
        <w:t>current</w:t>
      </w:r>
      <w:r w:rsidR="00A2079F">
        <w:rPr>
          <w:rFonts w:ascii="Gill Sans" w:hAnsi="Gill Sans" w:cs="Gill Sans"/>
          <w:color w:val="000000"/>
          <w:sz w:val="22"/>
          <w:szCs w:val="22"/>
          <w:lang w:val="en-GB"/>
        </w:rPr>
        <w:t xml:space="preserve"> head of the Security Service’s Archive, the implementation </w:t>
      </w:r>
      <w:r w:rsidR="004E7645">
        <w:rPr>
          <w:rFonts w:ascii="Gill Sans" w:hAnsi="Gill Sans" w:cs="Gill Sans"/>
          <w:color w:val="000000"/>
          <w:sz w:val="22"/>
          <w:szCs w:val="22"/>
          <w:lang w:val="en-GB"/>
        </w:rPr>
        <w:t xml:space="preserve">of the </w:t>
      </w:r>
      <w:r w:rsidR="00752DC4">
        <w:rPr>
          <w:rFonts w:ascii="Gill Sans" w:hAnsi="Gill Sans" w:cs="Gill Sans"/>
          <w:color w:val="000000"/>
          <w:sz w:val="22"/>
          <w:szCs w:val="22"/>
          <w:lang w:val="en-GB"/>
        </w:rPr>
        <w:t>l</w:t>
      </w:r>
      <w:r w:rsidR="00A2079F">
        <w:rPr>
          <w:rFonts w:ascii="Gill Sans" w:hAnsi="Gill Sans" w:cs="Gill Sans"/>
          <w:color w:val="000000"/>
          <w:sz w:val="22"/>
          <w:szCs w:val="22"/>
          <w:lang w:val="en-GB"/>
        </w:rPr>
        <w:t>aw resulted</w:t>
      </w:r>
      <w:r w:rsidR="007232E6">
        <w:rPr>
          <w:rFonts w:ascii="Gill Sans" w:hAnsi="Gill Sans" w:cs="Gill Sans"/>
          <w:color w:val="000000"/>
          <w:sz w:val="22"/>
          <w:szCs w:val="22"/>
          <w:lang w:val="en-GB"/>
        </w:rPr>
        <w:t xml:space="preserve"> in </w:t>
      </w:r>
      <w:r w:rsidR="00752DC4">
        <w:rPr>
          <w:rFonts w:ascii="Gill Sans" w:hAnsi="Gill Sans" w:cs="Gill Sans"/>
          <w:color w:val="000000"/>
          <w:sz w:val="22"/>
          <w:szCs w:val="22"/>
          <w:lang w:val="en-GB"/>
        </w:rPr>
        <w:t xml:space="preserve">a </w:t>
      </w:r>
      <w:r w:rsidR="00CA02DC">
        <w:rPr>
          <w:rFonts w:ascii="Gill Sans" w:hAnsi="Gill Sans" w:cs="Gill Sans"/>
          <w:color w:val="000000"/>
          <w:sz w:val="22"/>
          <w:szCs w:val="22"/>
        </w:rPr>
        <w:t>significant</w:t>
      </w:r>
      <w:r w:rsidR="00A2079F">
        <w:rPr>
          <w:rFonts w:ascii="Gill Sans" w:hAnsi="Gill Sans" w:cs="Gill Sans"/>
          <w:color w:val="000000"/>
          <w:sz w:val="22"/>
          <w:szCs w:val="22"/>
        </w:rPr>
        <w:t xml:space="preserve"> increase in the number of access requests addressed to archive</w:t>
      </w:r>
      <w:r w:rsidR="004E7645">
        <w:rPr>
          <w:rFonts w:ascii="Gill Sans" w:hAnsi="Gill Sans" w:cs="Gill Sans"/>
          <w:color w:val="000000"/>
          <w:sz w:val="22"/>
          <w:szCs w:val="22"/>
        </w:rPr>
        <w:t>s</w:t>
      </w:r>
      <w:r w:rsidR="003B756C">
        <w:rPr>
          <w:rFonts w:ascii="Gill Sans" w:hAnsi="Gill Sans" w:cs="Gill Sans"/>
          <w:color w:val="000000"/>
          <w:sz w:val="22"/>
          <w:szCs w:val="22"/>
        </w:rPr>
        <w:t>. It also resulted</w:t>
      </w:r>
      <w:r w:rsidR="00A2079F">
        <w:rPr>
          <w:rFonts w:ascii="Gill Sans" w:hAnsi="Gill Sans" w:cs="Gill Sans"/>
          <w:color w:val="000000"/>
          <w:sz w:val="22"/>
          <w:szCs w:val="22"/>
        </w:rPr>
        <w:t xml:space="preserve"> in </w:t>
      </w:r>
      <w:r w:rsidR="00752DC4">
        <w:rPr>
          <w:rFonts w:ascii="Gill Sans" w:hAnsi="Gill Sans" w:cs="Gill Sans"/>
          <w:color w:val="000000"/>
          <w:sz w:val="22"/>
          <w:szCs w:val="22"/>
        </w:rPr>
        <w:t xml:space="preserve">the </w:t>
      </w:r>
      <w:r w:rsidR="00A2079F">
        <w:rPr>
          <w:rFonts w:ascii="Gill Sans" w:hAnsi="Gill Sans" w:cs="Gill Sans"/>
          <w:color w:val="000000"/>
          <w:sz w:val="22"/>
          <w:szCs w:val="22"/>
        </w:rPr>
        <w:t>proactive publication by archives of the descriptive list of relevant collections</w:t>
      </w:r>
      <w:r w:rsidR="00752DC4">
        <w:rPr>
          <w:rFonts w:ascii="Gill Sans" w:hAnsi="Gill Sans" w:cs="Gill Sans"/>
          <w:color w:val="000000"/>
          <w:sz w:val="22"/>
          <w:szCs w:val="22"/>
        </w:rPr>
        <w:t xml:space="preserve"> and</w:t>
      </w:r>
      <w:r w:rsidR="00A2079F">
        <w:rPr>
          <w:rFonts w:ascii="Gill Sans" w:hAnsi="Gill Sans" w:cs="Gill Sans"/>
          <w:color w:val="000000"/>
          <w:sz w:val="22"/>
          <w:szCs w:val="22"/>
        </w:rPr>
        <w:t xml:space="preserve"> documents they hold. Another result was the increase in the number of request</w:t>
      </w:r>
      <w:r w:rsidR="007F46E3">
        <w:rPr>
          <w:rFonts w:ascii="Gill Sans" w:hAnsi="Gill Sans" w:cs="Gill Sans"/>
          <w:color w:val="000000"/>
          <w:sz w:val="22"/>
          <w:szCs w:val="22"/>
        </w:rPr>
        <w:t>s</w:t>
      </w:r>
      <w:r w:rsidR="00A2079F">
        <w:rPr>
          <w:rFonts w:ascii="Gill Sans" w:hAnsi="Gill Sans" w:cs="Gill Sans"/>
          <w:color w:val="000000"/>
          <w:sz w:val="22"/>
          <w:szCs w:val="22"/>
        </w:rPr>
        <w:t xml:space="preserve"> to obtain rehabilitation of persons whose rights were infringed by the totalitarian communist system.</w:t>
      </w:r>
      <w:r w:rsidR="007232E6">
        <w:rPr>
          <w:rStyle w:val="EndnoteReference"/>
          <w:rFonts w:ascii="Gill Sans" w:hAnsi="Gill Sans" w:cs="Gill Sans"/>
          <w:color w:val="000000"/>
          <w:sz w:val="22"/>
          <w:szCs w:val="22"/>
          <w:lang w:val="en-GB"/>
        </w:rPr>
        <w:endnoteReference w:id="27"/>
      </w:r>
      <w:r w:rsidR="00752DC4">
        <w:rPr>
          <w:rFonts w:ascii="Gill Sans" w:hAnsi="Gill Sans" w:cs="Gill Sans"/>
          <w:color w:val="000000"/>
          <w:sz w:val="22"/>
          <w:szCs w:val="22"/>
        </w:rPr>
        <w:t xml:space="preserve"> </w:t>
      </w:r>
      <w:r w:rsidR="006F7EBD">
        <w:rPr>
          <w:rFonts w:ascii="Gill Sans" w:hAnsi="Gill Sans" w:cs="Gill Sans"/>
          <w:color w:val="000000"/>
          <w:sz w:val="22"/>
          <w:szCs w:val="22"/>
        </w:rPr>
        <w:t xml:space="preserve">According to the head of the Security Services Archive, </w:t>
      </w:r>
      <w:r w:rsidR="006F7EBD" w:rsidRPr="00163080">
        <w:rPr>
          <w:rFonts w:ascii="Gill Sans" w:eastAsia="Times New Roman" w:hAnsi="Gill Sans" w:cs="Gill Sans"/>
          <w:color w:val="000000" w:themeColor="text1"/>
          <w:sz w:val="22"/>
          <w:szCs w:val="22"/>
        </w:rPr>
        <w:t>more than 87</w:t>
      </w:r>
      <w:r w:rsidR="00752DC4">
        <w:rPr>
          <w:rFonts w:ascii="Gill Sans" w:eastAsia="Times New Roman" w:hAnsi="Gill Sans" w:cs="Gill Sans"/>
          <w:color w:val="000000" w:themeColor="text1"/>
          <w:sz w:val="22"/>
          <w:szCs w:val="22"/>
        </w:rPr>
        <w:t>,000</w:t>
      </w:r>
      <w:r w:rsidR="006F7EBD" w:rsidRPr="00163080">
        <w:rPr>
          <w:rFonts w:ascii="Gill Sans" w:eastAsia="Times New Roman" w:hAnsi="Gill Sans" w:cs="Gill Sans"/>
          <w:color w:val="000000" w:themeColor="text1"/>
          <w:sz w:val="22"/>
          <w:szCs w:val="22"/>
        </w:rPr>
        <w:t xml:space="preserve"> individuals accessed the archive in 2015.</w:t>
      </w:r>
      <w:r w:rsidR="006F7EBD" w:rsidRPr="00163080">
        <w:rPr>
          <w:rFonts w:ascii="Arial" w:eastAsia="Times New Roman" w:hAnsi="Arial" w:cs="Arial"/>
          <w:color w:val="000000" w:themeColor="text1"/>
          <w:sz w:val="20"/>
          <w:szCs w:val="20"/>
        </w:rPr>
        <w:t xml:space="preserve"> </w:t>
      </w:r>
      <w:r w:rsidR="006F7EBD" w:rsidRPr="00163080">
        <w:rPr>
          <w:rFonts w:ascii="Gill Sans" w:eastAsia="Times New Roman" w:hAnsi="Gill Sans" w:cs="Gill Sans"/>
          <w:color w:val="000000" w:themeColor="text1"/>
          <w:sz w:val="22"/>
          <w:szCs w:val="22"/>
        </w:rPr>
        <w:t>Compared to the first quarter of 2014, the number of requests in the first quarter of 2016 increased threefold.</w:t>
      </w:r>
      <w:r w:rsidR="006F7EBD" w:rsidRPr="00163080">
        <w:rPr>
          <w:rStyle w:val="EndnoteReference"/>
          <w:rFonts w:ascii="Gill Sans" w:eastAsia="Times New Roman" w:hAnsi="Gill Sans" w:cs="Gill Sans"/>
          <w:color w:val="000000" w:themeColor="text1"/>
          <w:sz w:val="22"/>
          <w:szCs w:val="22"/>
        </w:rPr>
        <w:endnoteReference w:id="28"/>
      </w:r>
    </w:p>
    <w:p w14:paraId="4C393922" w14:textId="4EA61086" w:rsidR="00956FBC" w:rsidRDefault="004E7645" w:rsidP="00752DC4">
      <w:pPr>
        <w:spacing w:after="120"/>
        <w:rPr>
          <w:rFonts w:ascii="Gill Sans" w:hAnsi="Gill Sans" w:cs="Gill Sans"/>
          <w:noProof/>
          <w:sz w:val="22"/>
          <w:szCs w:val="22"/>
          <w:lang w:val="en-GB"/>
        </w:rPr>
      </w:pPr>
      <w:r>
        <w:rPr>
          <w:rFonts w:ascii="Gill Sans" w:hAnsi="Gill Sans" w:cs="Gill Sans"/>
          <w:color w:val="000000"/>
          <w:sz w:val="22"/>
          <w:szCs w:val="22"/>
        </w:rPr>
        <w:t xml:space="preserve">The </w:t>
      </w:r>
      <w:r w:rsidR="003B756C">
        <w:rPr>
          <w:rFonts w:ascii="Gill Sans" w:hAnsi="Gill Sans" w:cs="Gill Sans"/>
          <w:color w:val="000000"/>
          <w:sz w:val="22"/>
          <w:szCs w:val="22"/>
        </w:rPr>
        <w:t>l</w:t>
      </w:r>
      <w:r>
        <w:rPr>
          <w:rFonts w:ascii="Gill Sans" w:hAnsi="Gill Sans" w:cs="Gill Sans"/>
          <w:color w:val="000000"/>
          <w:sz w:val="22"/>
          <w:szCs w:val="22"/>
        </w:rPr>
        <w:t xml:space="preserve">aw </w:t>
      </w:r>
      <w:r w:rsidR="00752DC4">
        <w:rPr>
          <w:rFonts w:ascii="Gill Sans" w:hAnsi="Gill Sans" w:cs="Gill Sans"/>
          <w:color w:val="000000"/>
          <w:sz w:val="22"/>
          <w:szCs w:val="22"/>
        </w:rPr>
        <w:t xml:space="preserve">also </w:t>
      </w:r>
      <w:r w:rsidR="008D05DF">
        <w:rPr>
          <w:rFonts w:ascii="Gill Sans" w:hAnsi="Gill Sans" w:cs="Gill Sans"/>
          <w:color w:val="000000"/>
          <w:sz w:val="22"/>
          <w:szCs w:val="22"/>
        </w:rPr>
        <w:t xml:space="preserve">permits citizens </w:t>
      </w:r>
      <w:r>
        <w:rPr>
          <w:rFonts w:ascii="Gill Sans" w:hAnsi="Gill Sans" w:cs="Gill Sans"/>
          <w:color w:val="000000"/>
          <w:sz w:val="22"/>
          <w:szCs w:val="22"/>
        </w:rPr>
        <w:t>to copy archives free of charge, which furthe</w:t>
      </w:r>
      <w:r w:rsidR="00752DC4">
        <w:rPr>
          <w:rFonts w:ascii="Gill Sans" w:hAnsi="Gill Sans" w:cs="Gill Sans"/>
          <w:color w:val="000000"/>
          <w:sz w:val="22"/>
          <w:szCs w:val="22"/>
        </w:rPr>
        <w:t>red</w:t>
      </w:r>
      <w:r>
        <w:rPr>
          <w:rFonts w:ascii="Gill Sans" w:hAnsi="Gill Sans" w:cs="Gill Sans"/>
          <w:color w:val="000000"/>
          <w:sz w:val="22"/>
          <w:szCs w:val="22"/>
        </w:rPr>
        <w:t xml:space="preserve"> access and interest in the archives.</w:t>
      </w:r>
      <w:r>
        <w:rPr>
          <w:rStyle w:val="EndnoteReference"/>
          <w:rFonts w:ascii="Gill Sans" w:hAnsi="Gill Sans" w:cs="Gill Sans"/>
          <w:color w:val="000000"/>
          <w:sz w:val="22"/>
          <w:szCs w:val="22"/>
        </w:rPr>
        <w:endnoteReference w:id="29"/>
      </w:r>
    </w:p>
    <w:p w14:paraId="148C37FF" w14:textId="77777777" w:rsidR="00217AB0" w:rsidRPr="00BB3451" w:rsidRDefault="00217AB0" w:rsidP="006319F4">
      <w:pPr>
        <w:pStyle w:val="Heading3"/>
      </w:pPr>
      <w:r w:rsidRPr="00BB3451">
        <w:t>Carried forward?</w:t>
      </w:r>
    </w:p>
    <w:p w14:paraId="624CE8B5" w14:textId="53D4B620" w:rsidR="00217AB0" w:rsidRDefault="00217AB0" w:rsidP="00217AB0">
      <w:pPr>
        <w:spacing w:after="120"/>
        <w:rPr>
          <w:rFonts w:ascii="Gill Sans" w:hAnsi="Gill Sans" w:cs="Gill Sans"/>
          <w:sz w:val="22"/>
          <w:szCs w:val="22"/>
        </w:rPr>
      </w:pPr>
      <w:r w:rsidRPr="00BB3451">
        <w:rPr>
          <w:rFonts w:ascii="Gill Sans" w:hAnsi="Gill Sans" w:cs="Gill Sans"/>
          <w:sz w:val="22"/>
          <w:szCs w:val="22"/>
        </w:rPr>
        <w:t xml:space="preserve">The commitment was </w:t>
      </w:r>
      <w:r w:rsidR="005E68D4">
        <w:rPr>
          <w:rFonts w:ascii="Gill Sans" w:hAnsi="Gill Sans" w:cs="Gill Sans"/>
          <w:sz w:val="22"/>
          <w:szCs w:val="22"/>
        </w:rPr>
        <w:t>completed</w:t>
      </w:r>
      <w:r w:rsidR="00752DC4">
        <w:rPr>
          <w:rFonts w:ascii="Gill Sans" w:hAnsi="Gill Sans" w:cs="Gill Sans"/>
          <w:sz w:val="22"/>
          <w:szCs w:val="22"/>
        </w:rPr>
        <w:t>, hence,</w:t>
      </w:r>
      <w:r w:rsidR="005E68D4">
        <w:rPr>
          <w:rFonts w:ascii="Gill Sans" w:hAnsi="Gill Sans" w:cs="Gill Sans"/>
          <w:sz w:val="22"/>
          <w:szCs w:val="22"/>
        </w:rPr>
        <w:t xml:space="preserve"> was not </w:t>
      </w:r>
      <w:r w:rsidRPr="00BB3451">
        <w:rPr>
          <w:rFonts w:ascii="Gill Sans" w:hAnsi="Gill Sans" w:cs="Gill Sans"/>
          <w:sz w:val="22"/>
          <w:szCs w:val="22"/>
        </w:rPr>
        <w:t>carri</w:t>
      </w:r>
      <w:r>
        <w:rPr>
          <w:rFonts w:ascii="Gill Sans" w:hAnsi="Gill Sans" w:cs="Gill Sans"/>
          <w:sz w:val="22"/>
          <w:szCs w:val="22"/>
        </w:rPr>
        <w:t>ed over to the new action plan.</w:t>
      </w:r>
    </w:p>
    <w:p w14:paraId="212AE222" w14:textId="0531EF92" w:rsidR="00217AB0" w:rsidRPr="0038432F" w:rsidRDefault="00217AB0" w:rsidP="0089761F">
      <w:pPr>
        <w:spacing w:after="120"/>
        <w:rPr>
          <w:rFonts w:ascii="Gill Sans" w:hAnsi="Gill Sans" w:cs="Gill Sans"/>
          <w:sz w:val="22"/>
          <w:szCs w:val="22"/>
        </w:rPr>
      </w:pPr>
    </w:p>
    <w:p w14:paraId="48567086" w14:textId="77777777" w:rsidR="00E366DA" w:rsidRDefault="00E366DA" w:rsidP="0062372B">
      <w:pPr>
        <w:spacing w:after="120"/>
        <w:rPr>
          <w:noProof/>
          <w:lang w:val="en-GB"/>
        </w:rPr>
        <w:sectPr w:rsidR="00E366DA" w:rsidSect="002A2966">
          <w:endnotePr>
            <w:numFmt w:val="decimal"/>
            <w:numRestart w:val="eachSect"/>
          </w:endnotePr>
          <w:pgSz w:w="11907" w:h="16839" w:code="9"/>
          <w:pgMar w:top="1417" w:right="1417" w:bottom="1417" w:left="1417" w:header="0" w:footer="0" w:gutter="0"/>
          <w:cols w:space="708"/>
          <w:docGrid w:linePitch="360"/>
        </w:sectPr>
      </w:pPr>
    </w:p>
    <w:p w14:paraId="3727A843" w14:textId="4C0A239B" w:rsidR="00E366DA" w:rsidRPr="00BB3451" w:rsidRDefault="006E6C92" w:rsidP="00E366DA">
      <w:pPr>
        <w:pStyle w:val="Normalrglronly"/>
        <w:rPr>
          <w:b/>
          <w:lang w:val="en-GB"/>
        </w:rPr>
      </w:pPr>
      <w:r w:rsidRPr="00140D0F">
        <w:rPr>
          <w:rFonts w:ascii="MS Mincho" w:eastAsia="MS Mincho" w:hAnsi="MS Mincho" w:cs="MS Mincho"/>
          <w:lang w:val="en-GB"/>
        </w:rPr>
        <w:lastRenderedPageBreak/>
        <w:t>✪</w:t>
      </w:r>
      <w:r w:rsidR="00E366DA">
        <w:rPr>
          <w:b/>
          <w:lang w:val="en-GB"/>
        </w:rPr>
        <w:t>7.</w:t>
      </w:r>
      <w:r w:rsidR="00E366DA" w:rsidRPr="00BB3451">
        <w:rPr>
          <w:b/>
          <w:lang w:val="en-GB"/>
        </w:rPr>
        <w:t xml:space="preserve"> </w:t>
      </w:r>
      <w:r w:rsidR="00E366DA" w:rsidRPr="00E366DA">
        <w:rPr>
          <w:b/>
          <w:lang w:val="en-GB"/>
        </w:rPr>
        <w:t>Right to information supervisory mechanism</w:t>
      </w:r>
      <w:r w:rsidR="00E366DA" w:rsidRPr="001472DB">
        <w:rPr>
          <w:b/>
          <w:lang w:val="en-GB"/>
        </w:rPr>
        <w:t xml:space="preserve"> </w:t>
      </w:r>
    </w:p>
    <w:p w14:paraId="7381FCA4" w14:textId="2C705C89" w:rsidR="00C04A67" w:rsidRPr="00C04A67" w:rsidRDefault="00D7251F" w:rsidP="00C04A67">
      <w:pPr>
        <w:spacing w:after="120"/>
        <w:rPr>
          <w:rFonts w:ascii="Gill Sans" w:hAnsi="Gill Sans" w:cs="Gill Sans"/>
          <w:i/>
          <w:noProof/>
          <w:sz w:val="22"/>
          <w:szCs w:val="22"/>
          <w:lang w:val="en-GB"/>
        </w:rPr>
      </w:pPr>
      <w:r w:rsidRPr="00163080">
        <w:rPr>
          <w:rFonts w:ascii="Gill Sans" w:hAnsi="Gill Sans" w:cs="Gill Sans"/>
          <w:b/>
          <w:bCs/>
          <w:iCs/>
          <w:noProof/>
          <w:color w:val="000000" w:themeColor="text1"/>
          <w:sz w:val="22"/>
          <w:szCs w:val="22"/>
          <w:lang w:val="en-GB"/>
        </w:rPr>
        <w:t>Commitment Text:</w:t>
      </w:r>
      <w:r w:rsidRPr="00163080">
        <w:rPr>
          <w:rFonts w:ascii="Gill Sans" w:hAnsi="Gill Sans" w:cs="Gill Sans"/>
          <w:i/>
          <w:noProof/>
          <w:color w:val="000000" w:themeColor="text1"/>
          <w:sz w:val="22"/>
          <w:szCs w:val="22"/>
          <w:lang w:val="en-GB"/>
        </w:rPr>
        <w:t xml:space="preserve"> </w:t>
      </w:r>
      <w:r w:rsidR="00C04A67" w:rsidRPr="00C04A67">
        <w:rPr>
          <w:rFonts w:ascii="Gill Sans" w:hAnsi="Gill Sans" w:cs="Gill Sans"/>
          <w:i/>
          <w:noProof/>
          <w:sz w:val="22"/>
          <w:szCs w:val="22"/>
          <w:lang w:val="en-GB"/>
        </w:rPr>
        <w:t>7. Developing and submitting to the Cabinet of Ministers of Ukraine in due course a draft law on exercising state supervision over enjoyment of the right to access to public information</w:t>
      </w:r>
      <w:r>
        <w:rPr>
          <w:rFonts w:ascii="Gill Sans" w:hAnsi="Gill Sans" w:cs="Gill Sans"/>
          <w:i/>
          <w:noProof/>
          <w:sz w:val="22"/>
          <w:szCs w:val="22"/>
          <w:lang w:val="en-GB"/>
        </w:rPr>
        <w:t>.</w:t>
      </w:r>
    </w:p>
    <w:p w14:paraId="5CC625C6" w14:textId="6D9ABEB2" w:rsidR="00C04A67" w:rsidRPr="00C04A67" w:rsidRDefault="00C04A67" w:rsidP="00C04A67">
      <w:pPr>
        <w:spacing w:after="120"/>
        <w:rPr>
          <w:rFonts w:ascii="Gill Sans" w:hAnsi="Gill Sans" w:cs="Gill Sans"/>
          <w:i/>
          <w:noProof/>
          <w:sz w:val="22"/>
          <w:szCs w:val="22"/>
          <w:lang w:val="en-GB"/>
        </w:rPr>
      </w:pPr>
      <w:r w:rsidRPr="00C04A67">
        <w:rPr>
          <w:rFonts w:ascii="Gill Sans" w:hAnsi="Gill Sans" w:cs="Gill Sans"/>
          <w:i/>
          <w:noProof/>
          <w:sz w:val="22"/>
          <w:szCs w:val="22"/>
          <w:lang w:val="en-GB"/>
        </w:rPr>
        <w:t xml:space="preserve">Expected result: </w:t>
      </w:r>
      <w:r w:rsidRPr="00C04A67">
        <w:rPr>
          <w:rFonts w:ascii="Gill Sans" w:hAnsi="Gill Sans" w:cs="Gill Sans"/>
          <w:i/>
          <w:sz w:val="22"/>
          <w:szCs w:val="22"/>
          <w:lang w:val="en-GB"/>
        </w:rPr>
        <w:t xml:space="preserve">relevant draft law endorsed by the Cabinet of Ministers of Ukraine, submitted to the </w:t>
      </w:r>
      <w:proofErr w:type="spellStart"/>
      <w:r w:rsidRPr="00C04A67">
        <w:rPr>
          <w:rFonts w:ascii="Gill Sans" w:hAnsi="Gill Sans" w:cs="Gill Sans"/>
          <w:i/>
          <w:sz w:val="22"/>
          <w:szCs w:val="22"/>
          <w:lang w:val="en-GB"/>
        </w:rPr>
        <w:t>Verkhovna</w:t>
      </w:r>
      <w:proofErr w:type="spellEnd"/>
      <w:r w:rsidRPr="00C04A67">
        <w:rPr>
          <w:rFonts w:ascii="Gill Sans" w:hAnsi="Gill Sans" w:cs="Gill Sans"/>
          <w:i/>
          <w:sz w:val="22"/>
          <w:szCs w:val="22"/>
          <w:lang w:val="en-GB"/>
        </w:rPr>
        <w:t xml:space="preserve"> Rada of Ukraine, and followed up until adoption</w:t>
      </w:r>
      <w:r w:rsidR="00D7251F">
        <w:rPr>
          <w:rFonts w:ascii="Gill Sans" w:hAnsi="Gill Sans" w:cs="Gill Sans"/>
          <w:i/>
          <w:sz w:val="22"/>
          <w:szCs w:val="22"/>
          <w:lang w:val="en-GB"/>
        </w:rPr>
        <w:t>.</w:t>
      </w:r>
    </w:p>
    <w:p w14:paraId="38A4030F" w14:textId="6492A514" w:rsidR="00C04A67" w:rsidRPr="00C04A67" w:rsidRDefault="00C04A67" w:rsidP="00C04A67">
      <w:pPr>
        <w:spacing w:after="120"/>
        <w:rPr>
          <w:rFonts w:ascii="Gill Sans" w:hAnsi="Gill Sans" w:cs="Gill Sans"/>
          <w:i/>
          <w:noProof/>
          <w:sz w:val="22"/>
          <w:szCs w:val="22"/>
          <w:lang w:val="en-GB"/>
        </w:rPr>
      </w:pPr>
      <w:r w:rsidRPr="00C04A67">
        <w:rPr>
          <w:rFonts w:ascii="Gill Sans" w:hAnsi="Gill Sans" w:cs="Gill Sans"/>
          <w:sz w:val="22"/>
          <w:szCs w:val="22"/>
          <w:lang w:val="en-GB"/>
        </w:rPr>
        <w:t>Lead institution</w:t>
      </w:r>
      <w:r w:rsidR="00D7251F">
        <w:rPr>
          <w:rFonts w:ascii="Gill Sans" w:hAnsi="Gill Sans" w:cs="Gill Sans"/>
          <w:sz w:val="22"/>
          <w:szCs w:val="22"/>
          <w:lang w:val="en-GB"/>
        </w:rPr>
        <w:t>(s)</w:t>
      </w:r>
      <w:r w:rsidRPr="00C04A67">
        <w:rPr>
          <w:rFonts w:ascii="Gill Sans" w:hAnsi="Gill Sans" w:cs="Gill Sans"/>
          <w:sz w:val="22"/>
          <w:szCs w:val="22"/>
          <w:lang w:val="en-GB"/>
        </w:rPr>
        <w:t>:</w:t>
      </w:r>
      <w:r w:rsidRPr="00C04A67">
        <w:rPr>
          <w:rFonts w:ascii="Gill Sans" w:hAnsi="Gill Sans" w:cs="Gill Sans"/>
          <w:noProof/>
          <w:sz w:val="22"/>
          <w:szCs w:val="22"/>
          <w:lang w:val="en-GB"/>
        </w:rPr>
        <w:t xml:space="preserve"> State Committee on TV and Radio Broadcasting</w:t>
      </w:r>
    </w:p>
    <w:p w14:paraId="07162008" w14:textId="2219A72B" w:rsidR="00C04A67" w:rsidRPr="00C04A67" w:rsidRDefault="00C04A67" w:rsidP="00C04A67">
      <w:pPr>
        <w:spacing w:after="120"/>
        <w:rPr>
          <w:rFonts w:ascii="Gill Sans" w:hAnsi="Gill Sans" w:cs="Gill Sans"/>
          <w:noProof/>
          <w:sz w:val="22"/>
          <w:szCs w:val="22"/>
          <w:lang w:val="en-GB"/>
        </w:rPr>
      </w:pPr>
      <w:r w:rsidRPr="00C04A67">
        <w:rPr>
          <w:rFonts w:ascii="Gill Sans" w:hAnsi="Gill Sans" w:cs="Gill Sans"/>
          <w:sz w:val="22"/>
          <w:szCs w:val="22"/>
          <w:lang w:val="en-GB"/>
        </w:rPr>
        <w:t>Supporting institution</w:t>
      </w:r>
      <w:r w:rsidR="00D7251F">
        <w:rPr>
          <w:rFonts w:ascii="Gill Sans" w:hAnsi="Gill Sans" w:cs="Gill Sans"/>
          <w:sz w:val="22"/>
          <w:szCs w:val="22"/>
          <w:lang w:val="en-GB"/>
        </w:rPr>
        <w:t>(</w:t>
      </w:r>
      <w:r w:rsidRPr="00C04A67">
        <w:rPr>
          <w:rFonts w:ascii="Gill Sans" w:hAnsi="Gill Sans" w:cs="Gill Sans"/>
          <w:sz w:val="22"/>
          <w:szCs w:val="22"/>
          <w:lang w:val="en-GB"/>
        </w:rPr>
        <w:t>s</w:t>
      </w:r>
      <w:r w:rsidR="00D7251F">
        <w:rPr>
          <w:rFonts w:ascii="Gill Sans" w:hAnsi="Gill Sans" w:cs="Gill Sans"/>
          <w:sz w:val="22"/>
          <w:szCs w:val="22"/>
          <w:lang w:val="en-GB"/>
        </w:rPr>
        <w:t>)</w:t>
      </w:r>
      <w:r w:rsidRPr="00C04A67">
        <w:rPr>
          <w:rFonts w:ascii="Gill Sans" w:hAnsi="Gill Sans" w:cs="Gill Sans"/>
          <w:sz w:val="22"/>
          <w:szCs w:val="22"/>
          <w:lang w:val="en-GB"/>
        </w:rPr>
        <w:t>:</w:t>
      </w:r>
      <w:r w:rsidRPr="00C04A67">
        <w:rPr>
          <w:rFonts w:ascii="Gill Sans" w:hAnsi="Gill Sans" w:cs="Gill Sans"/>
          <w:noProof/>
          <w:sz w:val="22"/>
          <w:szCs w:val="22"/>
          <w:lang w:val="en-GB"/>
        </w:rPr>
        <w:t xml:space="preserve"> Ministry of Justice, Parliament's Ombudsman, International Renaissance Foundation, unspecified NGOs and international organisations</w:t>
      </w:r>
    </w:p>
    <w:p w14:paraId="01419A41" w14:textId="12449691" w:rsidR="00E366DA" w:rsidRPr="00C04A67" w:rsidRDefault="00C04A67" w:rsidP="00C04A67">
      <w:pPr>
        <w:spacing w:after="120"/>
        <w:rPr>
          <w:rFonts w:ascii="Gill Sans" w:hAnsi="Gill Sans" w:cs="Gill Sans"/>
          <w:noProof/>
          <w:sz w:val="22"/>
          <w:szCs w:val="22"/>
          <w:lang w:val="en-GB"/>
        </w:rPr>
      </w:pPr>
      <w:r w:rsidRPr="00C04A67">
        <w:rPr>
          <w:rFonts w:ascii="Gill Sans" w:hAnsi="Gill Sans" w:cs="Gill Sans"/>
          <w:noProof/>
          <w:sz w:val="22"/>
          <w:szCs w:val="22"/>
          <w:lang w:val="en-GB"/>
        </w:rPr>
        <w:t xml:space="preserve">Start </w:t>
      </w:r>
      <w:r w:rsidR="00D7251F">
        <w:rPr>
          <w:rFonts w:ascii="Gill Sans" w:hAnsi="Gill Sans" w:cs="Gill Sans"/>
          <w:noProof/>
          <w:sz w:val="22"/>
          <w:szCs w:val="22"/>
          <w:lang w:val="en-GB"/>
        </w:rPr>
        <w:t>D</w:t>
      </w:r>
      <w:r w:rsidRPr="00C04A67">
        <w:rPr>
          <w:rFonts w:ascii="Gill Sans" w:hAnsi="Gill Sans" w:cs="Gill Sans"/>
          <w:noProof/>
          <w:sz w:val="22"/>
          <w:szCs w:val="22"/>
          <w:lang w:val="en-GB"/>
        </w:rPr>
        <w:t xml:space="preserve">ate: Not specified </w:t>
      </w:r>
      <w:r w:rsidRPr="00C04A67">
        <w:rPr>
          <w:rFonts w:ascii="Gill Sans" w:hAnsi="Gill Sans" w:cs="Gill Sans"/>
          <w:noProof/>
          <w:sz w:val="22"/>
          <w:szCs w:val="22"/>
          <w:lang w:val="en-GB"/>
        </w:rPr>
        <w:tab/>
      </w:r>
      <w:r w:rsidRPr="00C04A67">
        <w:rPr>
          <w:rFonts w:ascii="Gill Sans" w:hAnsi="Gill Sans" w:cs="Gill Sans"/>
          <w:noProof/>
          <w:sz w:val="22"/>
          <w:szCs w:val="22"/>
          <w:lang w:val="en-GB"/>
        </w:rPr>
        <w:tab/>
      </w:r>
      <w:r w:rsidRPr="00C04A67">
        <w:rPr>
          <w:rFonts w:ascii="Gill Sans" w:hAnsi="Gill Sans" w:cs="Gill Sans"/>
          <w:noProof/>
          <w:sz w:val="22"/>
          <w:szCs w:val="22"/>
          <w:lang w:val="en-GB"/>
        </w:rPr>
        <w:tab/>
      </w:r>
      <w:r w:rsidRPr="00C04A67">
        <w:rPr>
          <w:rFonts w:ascii="Gill Sans" w:hAnsi="Gill Sans" w:cs="Gill Sans"/>
          <w:noProof/>
          <w:sz w:val="22"/>
          <w:szCs w:val="22"/>
          <w:lang w:val="en-GB"/>
        </w:rPr>
        <w:tab/>
      </w:r>
      <w:r w:rsidR="0020660D">
        <w:rPr>
          <w:rFonts w:ascii="Gill Sans" w:hAnsi="Gill Sans" w:cs="Gill Sans"/>
          <w:noProof/>
          <w:sz w:val="22"/>
          <w:szCs w:val="22"/>
          <w:lang w:val="en-GB"/>
        </w:rPr>
        <w:tab/>
      </w:r>
      <w:r w:rsidRPr="00C04A67">
        <w:rPr>
          <w:rFonts w:ascii="Gill Sans" w:hAnsi="Gill Sans" w:cs="Gill Sans"/>
          <w:noProof/>
          <w:sz w:val="22"/>
          <w:szCs w:val="22"/>
          <w:lang w:val="en-GB"/>
        </w:rPr>
        <w:t xml:space="preserve">End </w:t>
      </w:r>
      <w:r w:rsidR="00D7251F">
        <w:rPr>
          <w:rFonts w:ascii="Gill Sans" w:hAnsi="Gill Sans" w:cs="Gill Sans"/>
          <w:noProof/>
          <w:sz w:val="22"/>
          <w:szCs w:val="22"/>
          <w:lang w:val="en-GB"/>
        </w:rPr>
        <w:t>D</w:t>
      </w:r>
      <w:r w:rsidRPr="00C04A67">
        <w:rPr>
          <w:rFonts w:ascii="Gill Sans" w:hAnsi="Gill Sans" w:cs="Gill Sans"/>
          <w:noProof/>
          <w:sz w:val="22"/>
          <w:szCs w:val="22"/>
          <w:lang w:val="en-GB"/>
        </w:rPr>
        <w:t>ate: 31 December 2015</w:t>
      </w:r>
    </w:p>
    <w:tbl>
      <w:tblPr>
        <w:tblW w:w="10368"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489"/>
        <w:gridCol w:w="429"/>
        <w:gridCol w:w="349"/>
        <w:gridCol w:w="350"/>
        <w:gridCol w:w="373"/>
        <w:gridCol w:w="372"/>
        <w:gridCol w:w="373"/>
        <w:gridCol w:w="852"/>
        <w:gridCol w:w="340"/>
        <w:gridCol w:w="347"/>
        <w:gridCol w:w="428"/>
        <w:gridCol w:w="347"/>
        <w:gridCol w:w="435"/>
        <w:gridCol w:w="580"/>
        <w:gridCol w:w="532"/>
        <w:gridCol w:w="415"/>
        <w:gridCol w:w="347"/>
        <w:gridCol w:w="344"/>
        <w:gridCol w:w="347"/>
        <w:gridCol w:w="347"/>
        <w:gridCol w:w="584"/>
      </w:tblGrid>
      <w:tr w:rsidR="0020660D" w:rsidRPr="009651AC" w14:paraId="1DBBE535" w14:textId="77777777" w:rsidTr="00B017F8">
        <w:trPr>
          <w:trHeight w:val="405"/>
        </w:trPr>
        <w:tc>
          <w:tcPr>
            <w:tcW w:w="1522" w:type="dxa"/>
            <w:vMerge w:val="restart"/>
            <w:tcBorders>
              <w:top w:val="single" w:sz="18" w:space="0" w:color="FFFFFF"/>
              <w:left w:val="single" w:sz="4" w:space="0" w:color="FFFFFF"/>
              <w:right w:val="single" w:sz="18" w:space="0" w:color="FFFFFF"/>
            </w:tcBorders>
            <w:shd w:val="clear" w:color="auto" w:fill="000000"/>
          </w:tcPr>
          <w:p w14:paraId="6368BEC6" w14:textId="77777777" w:rsidR="0020660D" w:rsidRPr="009651AC" w:rsidRDefault="0020660D" w:rsidP="0020660D">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4CC75C0C" w14:textId="207930E4" w:rsidR="0020660D" w:rsidRPr="009651AC" w:rsidRDefault="0020660D" w:rsidP="0020660D">
            <w:pPr>
              <w:rPr>
                <w:rFonts w:ascii="Gill Sans" w:hAnsi="Gill Sans" w:cs="Gill Sans"/>
                <w:color w:val="FFFFFF" w:themeColor="background1"/>
                <w:sz w:val="22"/>
                <w:szCs w:val="22"/>
                <w:lang w:val="en-GB"/>
              </w:rPr>
            </w:pPr>
          </w:p>
        </w:tc>
        <w:tc>
          <w:tcPr>
            <w:tcW w:w="1695" w:type="dxa"/>
            <w:gridSpan w:val="4"/>
            <w:vMerge w:val="restart"/>
            <w:tcBorders>
              <w:top w:val="single" w:sz="18" w:space="0" w:color="FFFFFF"/>
              <w:left w:val="single" w:sz="18" w:space="0" w:color="FFFFFF"/>
              <w:right w:val="single" w:sz="18" w:space="0" w:color="FFFFFF"/>
            </w:tcBorders>
            <w:shd w:val="clear" w:color="auto" w:fill="D6E3BC"/>
          </w:tcPr>
          <w:p w14:paraId="17230730"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Specificity</w:t>
            </w:r>
          </w:p>
        </w:tc>
        <w:tc>
          <w:tcPr>
            <w:tcW w:w="2090" w:type="dxa"/>
            <w:gridSpan w:val="4"/>
            <w:vMerge w:val="restart"/>
            <w:tcBorders>
              <w:top w:val="single" w:sz="18" w:space="0" w:color="FFFFFF"/>
              <w:left w:val="single" w:sz="18" w:space="0" w:color="FFFFFF"/>
              <w:right w:val="single" w:sz="18" w:space="0" w:color="FFFFFF"/>
            </w:tcBorders>
            <w:shd w:val="clear" w:color="auto" w:fill="FBD4B4"/>
          </w:tcPr>
          <w:p w14:paraId="35D77EAD" w14:textId="4E6D22F4"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522" w:type="dxa"/>
            <w:gridSpan w:val="4"/>
            <w:vMerge w:val="restart"/>
            <w:tcBorders>
              <w:top w:val="single" w:sz="18" w:space="0" w:color="FFFFFF"/>
              <w:left w:val="single" w:sz="18" w:space="0" w:color="FFFFFF"/>
              <w:right w:val="single" w:sz="18" w:space="0" w:color="FFFFFF"/>
            </w:tcBorders>
            <w:shd w:val="clear" w:color="auto" w:fill="CCC0D9"/>
          </w:tcPr>
          <w:p w14:paraId="27237C34"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78" w:type="dxa"/>
            <w:gridSpan w:val="2"/>
            <w:vMerge w:val="restart"/>
            <w:tcBorders>
              <w:top w:val="single" w:sz="18" w:space="0" w:color="FFFFFF"/>
              <w:left w:val="single" w:sz="18" w:space="0" w:color="FFFFFF"/>
              <w:right w:val="single" w:sz="2" w:space="0" w:color="FFFFFF"/>
            </w:tcBorders>
            <w:shd w:val="clear" w:color="auto" w:fill="B8CCE4"/>
          </w:tcPr>
          <w:p w14:paraId="1760AA10" w14:textId="4EB1142A" w:rsidR="0020660D" w:rsidRPr="009651AC" w:rsidRDefault="0020660D" w:rsidP="0020660D">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1003"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7268F31D"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Midterm</w:t>
            </w:r>
          </w:p>
        </w:tc>
        <w:tc>
          <w:tcPr>
            <w:tcW w:w="2061" w:type="dxa"/>
            <w:gridSpan w:val="5"/>
            <w:vMerge w:val="restart"/>
            <w:tcBorders>
              <w:top w:val="single" w:sz="18" w:space="0" w:color="FFFFFF"/>
              <w:left w:val="single" w:sz="18" w:space="0" w:color="FFFFFF"/>
              <w:right w:val="single" w:sz="18" w:space="0" w:color="FFFFFF"/>
            </w:tcBorders>
            <w:shd w:val="clear" w:color="auto" w:fill="D99594"/>
          </w:tcPr>
          <w:p w14:paraId="3F438E6E" w14:textId="546AB052"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20660D" w:rsidRPr="009651AC" w14:paraId="1D850A25" w14:textId="77777777" w:rsidTr="00B017F8">
        <w:trPr>
          <w:trHeight w:val="373"/>
        </w:trPr>
        <w:tc>
          <w:tcPr>
            <w:tcW w:w="1522" w:type="dxa"/>
            <w:vMerge/>
            <w:tcBorders>
              <w:left w:val="single" w:sz="4" w:space="0" w:color="FFFFFF"/>
              <w:right w:val="single" w:sz="18" w:space="0" w:color="FFFFFF"/>
            </w:tcBorders>
            <w:shd w:val="clear" w:color="auto" w:fill="000000"/>
          </w:tcPr>
          <w:p w14:paraId="4C54F486" w14:textId="7E3C1E71" w:rsidR="0020660D" w:rsidRPr="009651AC" w:rsidRDefault="0020660D" w:rsidP="0020660D">
            <w:pPr>
              <w:rPr>
                <w:rFonts w:ascii="Gill Sans" w:hAnsi="Gill Sans" w:cs="Gill Sans"/>
                <w:color w:val="FFFFFF" w:themeColor="background1"/>
                <w:sz w:val="22"/>
                <w:szCs w:val="22"/>
                <w:lang w:val="en-GB"/>
              </w:rPr>
            </w:pPr>
          </w:p>
        </w:tc>
        <w:tc>
          <w:tcPr>
            <w:tcW w:w="1695" w:type="dxa"/>
            <w:gridSpan w:val="4"/>
            <w:vMerge/>
            <w:tcBorders>
              <w:left w:val="single" w:sz="18" w:space="0" w:color="FFFFFF"/>
              <w:bottom w:val="single" w:sz="18" w:space="0" w:color="FFFFFF"/>
              <w:right w:val="single" w:sz="18" w:space="0" w:color="FFFFFF"/>
            </w:tcBorders>
            <w:shd w:val="clear" w:color="auto" w:fill="D6E3BC"/>
          </w:tcPr>
          <w:p w14:paraId="7235A373" w14:textId="77777777" w:rsidR="0020660D" w:rsidRPr="009651AC" w:rsidRDefault="0020660D" w:rsidP="0020660D">
            <w:pPr>
              <w:rPr>
                <w:rFonts w:ascii="Gill Sans" w:hAnsi="Gill Sans" w:cs="Gill Sans"/>
                <w:sz w:val="22"/>
                <w:szCs w:val="22"/>
                <w:lang w:val="en-GB"/>
              </w:rPr>
            </w:pPr>
          </w:p>
        </w:tc>
        <w:tc>
          <w:tcPr>
            <w:tcW w:w="2090" w:type="dxa"/>
            <w:gridSpan w:val="4"/>
            <w:vMerge/>
            <w:tcBorders>
              <w:left w:val="single" w:sz="18" w:space="0" w:color="FFFFFF"/>
              <w:bottom w:val="single" w:sz="18" w:space="0" w:color="FFFFFF"/>
              <w:right w:val="single" w:sz="18" w:space="0" w:color="FFFFFF"/>
            </w:tcBorders>
            <w:shd w:val="clear" w:color="auto" w:fill="FBD4B4"/>
          </w:tcPr>
          <w:p w14:paraId="0ECC6CC4" w14:textId="77777777" w:rsidR="0020660D" w:rsidRPr="009651AC" w:rsidRDefault="0020660D" w:rsidP="0020660D">
            <w:pPr>
              <w:rPr>
                <w:rFonts w:ascii="Gill Sans" w:hAnsi="Gill Sans" w:cs="Gill Sans"/>
                <w:sz w:val="22"/>
                <w:szCs w:val="22"/>
                <w:lang w:val="en-GB"/>
              </w:rPr>
            </w:pPr>
          </w:p>
        </w:tc>
        <w:tc>
          <w:tcPr>
            <w:tcW w:w="1522" w:type="dxa"/>
            <w:gridSpan w:val="4"/>
            <w:vMerge/>
            <w:tcBorders>
              <w:left w:val="single" w:sz="18" w:space="0" w:color="FFFFFF"/>
              <w:bottom w:val="single" w:sz="18" w:space="0" w:color="FFFFFF"/>
              <w:right w:val="single" w:sz="18" w:space="0" w:color="FFFFFF"/>
            </w:tcBorders>
            <w:shd w:val="clear" w:color="auto" w:fill="CCC0D9"/>
          </w:tcPr>
          <w:p w14:paraId="53754397" w14:textId="77777777" w:rsidR="0020660D" w:rsidRPr="009651AC" w:rsidRDefault="0020660D" w:rsidP="0020660D">
            <w:pPr>
              <w:rPr>
                <w:rFonts w:ascii="Gill Sans" w:hAnsi="Gill Sans" w:cs="Gill Sans"/>
                <w:sz w:val="22"/>
                <w:szCs w:val="22"/>
                <w:lang w:val="en-GB"/>
              </w:rPr>
            </w:pPr>
          </w:p>
        </w:tc>
        <w:tc>
          <w:tcPr>
            <w:tcW w:w="1078" w:type="dxa"/>
            <w:gridSpan w:val="2"/>
            <w:vMerge/>
            <w:tcBorders>
              <w:left w:val="single" w:sz="18" w:space="0" w:color="FFFFFF"/>
              <w:bottom w:val="single" w:sz="18" w:space="0" w:color="FFFFFF"/>
              <w:right w:val="single" w:sz="2" w:space="0" w:color="FFFFFF"/>
            </w:tcBorders>
            <w:shd w:val="clear" w:color="auto" w:fill="B8CCE4"/>
          </w:tcPr>
          <w:p w14:paraId="54AECE06" w14:textId="77777777" w:rsidR="0020660D" w:rsidRPr="009651AC" w:rsidRDefault="0020660D" w:rsidP="0020660D">
            <w:pPr>
              <w:rPr>
                <w:rFonts w:ascii="Gill Sans" w:hAnsi="Gill Sans" w:cs="Gill Sans"/>
                <w:sz w:val="22"/>
                <w:szCs w:val="22"/>
                <w:lang w:val="en-GB"/>
              </w:rPr>
            </w:pPr>
          </w:p>
        </w:tc>
        <w:tc>
          <w:tcPr>
            <w:tcW w:w="1003"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12291AC" w14:textId="1BFB191A"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2061" w:type="dxa"/>
            <w:gridSpan w:val="5"/>
            <w:vMerge/>
            <w:tcBorders>
              <w:left w:val="single" w:sz="18" w:space="0" w:color="FFFFFF"/>
              <w:bottom w:val="single" w:sz="18" w:space="0" w:color="FFFFFF"/>
              <w:right w:val="single" w:sz="18" w:space="0" w:color="FFFFFF"/>
            </w:tcBorders>
            <w:shd w:val="clear" w:color="auto" w:fill="D99594"/>
          </w:tcPr>
          <w:p w14:paraId="363B56FD" w14:textId="77777777" w:rsidR="0020660D" w:rsidRPr="009651AC" w:rsidRDefault="0020660D" w:rsidP="0020660D">
            <w:pPr>
              <w:rPr>
                <w:rFonts w:ascii="Gill Sans" w:hAnsi="Gill Sans" w:cs="Gill Sans"/>
                <w:sz w:val="22"/>
                <w:szCs w:val="22"/>
                <w:lang w:val="en-GB"/>
              </w:rPr>
            </w:pPr>
          </w:p>
        </w:tc>
      </w:tr>
      <w:tr w:rsidR="0020660D" w:rsidRPr="009651AC" w14:paraId="34F1665F" w14:textId="77777777" w:rsidTr="00B017F8">
        <w:trPr>
          <w:cantSplit/>
          <w:trHeight w:val="2336"/>
        </w:trPr>
        <w:tc>
          <w:tcPr>
            <w:tcW w:w="1522" w:type="dxa"/>
            <w:vMerge/>
            <w:tcBorders>
              <w:left w:val="single" w:sz="4" w:space="0" w:color="FFFFFF"/>
              <w:right w:val="single" w:sz="18" w:space="0" w:color="FFFFFF"/>
            </w:tcBorders>
            <w:shd w:val="clear" w:color="auto" w:fill="000000"/>
          </w:tcPr>
          <w:p w14:paraId="13E2E5F1" w14:textId="033A4F09" w:rsidR="0020660D" w:rsidRPr="009651AC" w:rsidRDefault="0020660D" w:rsidP="0020660D">
            <w:pPr>
              <w:rPr>
                <w:rFonts w:ascii="Gill Sans" w:hAnsi="Gill Sans" w:cs="Gill Sans"/>
                <w:color w:val="FFFFFF" w:themeColor="background1"/>
                <w:sz w:val="22"/>
                <w:szCs w:val="22"/>
                <w:lang w:val="en-GB"/>
              </w:rPr>
            </w:pPr>
          </w:p>
        </w:tc>
        <w:tc>
          <w:tcPr>
            <w:tcW w:w="519"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029C0062"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35C75B10"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3BFD35C7"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7C04F047"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6482BD97"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06B035FB"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311395C8"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924"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5765EAF4"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52"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7BF36F8C"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450B570E"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5F177E0A"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234B2A30"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458"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159E4423" w14:textId="0AFEAFB9"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62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73A8BE3D"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Limited</w:t>
            </w:r>
          </w:p>
        </w:tc>
        <w:tc>
          <w:tcPr>
            <w:tcW w:w="567"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2B972DF6"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Substantial</w:t>
            </w:r>
          </w:p>
        </w:tc>
        <w:tc>
          <w:tcPr>
            <w:tcW w:w="436"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61CAFD53"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43653384" w14:textId="77943E2E"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35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C762B0B" w14:textId="67A8054D"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ot change</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C5E0189"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Marginal</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D6DDBFB"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624"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3A9D05B9"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Outstanding</w:t>
            </w:r>
          </w:p>
        </w:tc>
      </w:tr>
      <w:tr w:rsidR="0020660D" w:rsidRPr="009651AC" w14:paraId="7271256F" w14:textId="77777777" w:rsidTr="00B017F8">
        <w:trPr>
          <w:trHeight w:val="340"/>
        </w:trPr>
        <w:tc>
          <w:tcPr>
            <w:tcW w:w="1522" w:type="dxa"/>
            <w:vMerge/>
            <w:tcBorders>
              <w:left w:val="single" w:sz="4" w:space="0" w:color="FFFFFF"/>
              <w:right w:val="single" w:sz="18" w:space="0" w:color="FFFFFF"/>
            </w:tcBorders>
            <w:shd w:val="clear" w:color="auto" w:fill="000000"/>
          </w:tcPr>
          <w:p w14:paraId="2BF10E06" w14:textId="0B4920AF" w:rsidR="0020660D" w:rsidRPr="009651AC" w:rsidRDefault="0020660D" w:rsidP="0020660D">
            <w:pPr>
              <w:rPr>
                <w:rFonts w:ascii="Gill Sans" w:hAnsi="Gill Sans" w:cs="Gill Sans"/>
                <w:noProof/>
                <w:color w:val="FFFFFF" w:themeColor="background1"/>
                <w:sz w:val="22"/>
                <w:szCs w:val="22"/>
                <w:lang w:val="en-GB"/>
              </w:rPr>
            </w:pPr>
          </w:p>
        </w:tc>
        <w:tc>
          <w:tcPr>
            <w:tcW w:w="519" w:type="dxa"/>
            <w:vMerge w:val="restart"/>
            <w:tcBorders>
              <w:top w:val="single" w:sz="18" w:space="0" w:color="FFFFFF"/>
              <w:left w:val="single" w:sz="18" w:space="0" w:color="FFFFFF"/>
              <w:right w:val="single" w:sz="2" w:space="0" w:color="FFFFFF"/>
            </w:tcBorders>
            <w:shd w:val="clear" w:color="auto" w:fill="D6E3BC"/>
          </w:tcPr>
          <w:p w14:paraId="59B3C8E8" w14:textId="77777777" w:rsidR="0020660D" w:rsidRPr="009651AC" w:rsidRDefault="0020660D" w:rsidP="0020660D">
            <w:pPr>
              <w:rPr>
                <w:rFonts w:ascii="Gill Sans" w:hAnsi="Gill Sans" w:cs="Gill Sans"/>
                <w:sz w:val="22"/>
                <w:szCs w:val="22"/>
                <w:lang w:val="en-GB"/>
              </w:rPr>
            </w:pPr>
          </w:p>
        </w:tc>
        <w:tc>
          <w:tcPr>
            <w:tcW w:w="451" w:type="dxa"/>
            <w:vMerge w:val="restart"/>
            <w:tcBorders>
              <w:top w:val="single" w:sz="18" w:space="0" w:color="FFFFFF"/>
              <w:left w:val="single" w:sz="2" w:space="0" w:color="FFFFFF"/>
              <w:right w:val="single" w:sz="2" w:space="0" w:color="FFFFFF"/>
            </w:tcBorders>
            <w:shd w:val="clear" w:color="auto" w:fill="D6E3BC"/>
          </w:tcPr>
          <w:p w14:paraId="612F461E" w14:textId="77777777" w:rsidR="0020660D" w:rsidRPr="009651AC" w:rsidRDefault="0020660D" w:rsidP="0020660D">
            <w:pPr>
              <w:rPr>
                <w:rFonts w:ascii="Gill Sans" w:hAnsi="Gill Sans" w:cs="Gill Sans"/>
                <w:sz w:val="22"/>
                <w:szCs w:val="22"/>
                <w:lang w:val="en-GB"/>
              </w:rPr>
            </w:pPr>
          </w:p>
        </w:tc>
        <w:tc>
          <w:tcPr>
            <w:tcW w:w="362" w:type="dxa"/>
            <w:vMerge w:val="restart"/>
            <w:tcBorders>
              <w:top w:val="single" w:sz="18" w:space="0" w:color="FFFFFF"/>
              <w:left w:val="single" w:sz="2" w:space="0" w:color="FFFFFF"/>
              <w:right w:val="single" w:sz="2" w:space="0" w:color="FFFFFF"/>
            </w:tcBorders>
            <w:shd w:val="clear" w:color="auto" w:fill="D6E3BC"/>
          </w:tcPr>
          <w:p w14:paraId="6DA1E4EE" w14:textId="77777777" w:rsidR="0020660D" w:rsidRPr="00DF1741" w:rsidRDefault="0020660D" w:rsidP="0020660D">
            <w:pPr>
              <w:rPr>
                <w:rFonts w:ascii="Zapf Dingbats" w:hAnsi="Zapf Dingbats" w:cs="Gill Sans"/>
                <w:sz w:val="22"/>
                <w:szCs w:val="22"/>
                <w:lang w:val="en-GB"/>
              </w:rPr>
            </w:pPr>
          </w:p>
        </w:tc>
        <w:tc>
          <w:tcPr>
            <w:tcW w:w="363" w:type="dxa"/>
            <w:vMerge w:val="restart"/>
            <w:tcBorders>
              <w:top w:val="single" w:sz="18" w:space="0" w:color="FFFFFF"/>
              <w:left w:val="single" w:sz="2" w:space="0" w:color="FFFFFF"/>
              <w:right w:val="single" w:sz="18" w:space="0" w:color="FFFFFF"/>
            </w:tcBorders>
            <w:shd w:val="clear" w:color="auto" w:fill="D6E3BC"/>
          </w:tcPr>
          <w:p w14:paraId="76D87E36" w14:textId="77777777" w:rsidR="0020660D" w:rsidRPr="00DF1741" w:rsidRDefault="0020660D" w:rsidP="0020660D">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6A6ED247" w14:textId="77777777"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88" w:type="dxa"/>
            <w:vMerge w:val="restart"/>
            <w:tcBorders>
              <w:top w:val="single" w:sz="18" w:space="0" w:color="FFFFFF"/>
              <w:left w:val="single" w:sz="2" w:space="0" w:color="FFFFFF"/>
              <w:right w:val="single" w:sz="2" w:space="0" w:color="FFFFFF"/>
            </w:tcBorders>
            <w:shd w:val="clear" w:color="auto" w:fill="FBD4B4"/>
          </w:tcPr>
          <w:p w14:paraId="3885E6F4" w14:textId="77777777" w:rsidR="0020660D" w:rsidRPr="00DF1741" w:rsidRDefault="0020660D" w:rsidP="0020660D">
            <w:pPr>
              <w:rPr>
                <w:rFonts w:ascii="Zapf Dingbats" w:hAnsi="Zapf Dingbats" w:cs="Gill Sans"/>
                <w:noProof/>
                <w:sz w:val="22"/>
                <w:szCs w:val="22"/>
                <w:lang w:val="en-GB"/>
              </w:rPr>
            </w:pPr>
          </w:p>
        </w:tc>
        <w:tc>
          <w:tcPr>
            <w:tcW w:w="389" w:type="dxa"/>
            <w:vMerge w:val="restart"/>
            <w:tcBorders>
              <w:top w:val="single" w:sz="18" w:space="0" w:color="FFFFFF"/>
              <w:left w:val="single" w:sz="2" w:space="0" w:color="FFFFFF"/>
              <w:right w:val="single" w:sz="2" w:space="0" w:color="FFFFFF"/>
            </w:tcBorders>
            <w:shd w:val="clear" w:color="auto" w:fill="FBD4B4"/>
          </w:tcPr>
          <w:p w14:paraId="03F9ED78" w14:textId="287C6736" w:rsidR="0020660D" w:rsidRPr="00DF1741" w:rsidRDefault="0020660D" w:rsidP="0020660D">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924" w:type="dxa"/>
            <w:vMerge w:val="restart"/>
            <w:tcBorders>
              <w:top w:val="single" w:sz="18" w:space="0" w:color="FFFFFF"/>
              <w:left w:val="single" w:sz="2" w:space="0" w:color="FFFFFF"/>
              <w:right w:val="single" w:sz="18" w:space="0" w:color="FFFFFF"/>
            </w:tcBorders>
            <w:shd w:val="clear" w:color="auto" w:fill="FBD4B4"/>
          </w:tcPr>
          <w:p w14:paraId="2617CB5E" w14:textId="77777777" w:rsidR="0020660D" w:rsidRPr="00DF1741" w:rsidRDefault="0020660D" w:rsidP="0020660D">
            <w:pPr>
              <w:rPr>
                <w:rFonts w:ascii="Zapf Dingbats" w:hAnsi="Zapf Dingbats" w:cs="Gill Sans"/>
                <w:sz w:val="22"/>
                <w:szCs w:val="22"/>
                <w:lang w:val="en-GB"/>
              </w:rPr>
            </w:pPr>
          </w:p>
        </w:tc>
        <w:tc>
          <w:tcPr>
            <w:tcW w:w="352" w:type="dxa"/>
            <w:vMerge w:val="restart"/>
            <w:tcBorders>
              <w:top w:val="single" w:sz="18" w:space="0" w:color="FFFFFF"/>
              <w:left w:val="single" w:sz="18" w:space="0" w:color="FFFFFF"/>
              <w:right w:val="single" w:sz="2" w:space="0" w:color="FFFFFF"/>
            </w:tcBorders>
            <w:shd w:val="clear" w:color="auto" w:fill="CCC0D9"/>
          </w:tcPr>
          <w:p w14:paraId="79E1A684" w14:textId="77777777" w:rsidR="0020660D" w:rsidRPr="00DF1741" w:rsidRDefault="0020660D" w:rsidP="0020660D">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60BE2032" w14:textId="77777777" w:rsidR="0020660D" w:rsidRPr="00DF1741" w:rsidRDefault="0020660D" w:rsidP="0020660D">
            <w:pPr>
              <w:rPr>
                <w:rFonts w:ascii="Zapf Dingbats" w:hAnsi="Zapf Dingbats" w:cs="Gill Sans"/>
                <w:sz w:val="22"/>
                <w:szCs w:val="22"/>
                <w:lang w:val="en-GB"/>
              </w:rPr>
            </w:pPr>
          </w:p>
        </w:tc>
        <w:tc>
          <w:tcPr>
            <w:tcW w:w="450" w:type="dxa"/>
            <w:vMerge w:val="restart"/>
            <w:tcBorders>
              <w:top w:val="single" w:sz="18" w:space="0" w:color="FFFFFF"/>
              <w:left w:val="single" w:sz="2" w:space="0" w:color="FFFFFF"/>
              <w:right w:val="single" w:sz="2" w:space="0" w:color="FFFFFF"/>
            </w:tcBorders>
            <w:shd w:val="clear" w:color="auto" w:fill="CCC0D9"/>
          </w:tcPr>
          <w:p w14:paraId="78E5FCF2" w14:textId="77777777" w:rsidR="0020660D" w:rsidRPr="00DF1741" w:rsidRDefault="0020660D" w:rsidP="0020660D">
            <w:pPr>
              <w:rPr>
                <w:rFonts w:ascii="Zapf Dingbats" w:hAnsi="Zapf Dingbats" w:cs="Gill Sans"/>
                <w:noProof/>
                <w:sz w:val="22"/>
                <w:szCs w:val="22"/>
                <w:lang w:val="en-GB"/>
              </w:rPr>
            </w:pPr>
          </w:p>
        </w:tc>
        <w:tc>
          <w:tcPr>
            <w:tcW w:w="360" w:type="dxa"/>
            <w:vMerge w:val="restart"/>
            <w:tcBorders>
              <w:top w:val="single" w:sz="18" w:space="0" w:color="FFFFFF"/>
              <w:left w:val="single" w:sz="2" w:space="0" w:color="FFFFFF"/>
              <w:right w:val="single" w:sz="18" w:space="0" w:color="FFFFFF"/>
            </w:tcBorders>
            <w:shd w:val="clear" w:color="auto" w:fill="CCC0D9"/>
          </w:tcPr>
          <w:p w14:paraId="2A25C780" w14:textId="77777777"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458"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06634F72" w14:textId="77777777" w:rsidR="0020660D" w:rsidRPr="00DF1741" w:rsidRDefault="0020660D" w:rsidP="0020660D">
            <w:pPr>
              <w:rPr>
                <w:rFonts w:ascii="Zapf Dingbats" w:hAnsi="Zapf Dingbats" w:cs="Gill Sans"/>
                <w:sz w:val="22"/>
                <w:szCs w:val="22"/>
                <w:lang w:val="en-GB"/>
              </w:rPr>
            </w:pPr>
          </w:p>
        </w:tc>
        <w:tc>
          <w:tcPr>
            <w:tcW w:w="62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AEB8901" w14:textId="77777777" w:rsidR="0020660D" w:rsidRPr="00DF1741" w:rsidRDefault="0020660D" w:rsidP="0020660D">
            <w:pPr>
              <w:rPr>
                <w:rFonts w:ascii="Zapf Dingbats" w:hAnsi="Zapf Dingbats" w:cs="Gill Sans"/>
                <w:sz w:val="22"/>
                <w:szCs w:val="22"/>
                <w:lang w:val="en-GB"/>
              </w:rPr>
            </w:pPr>
          </w:p>
        </w:tc>
        <w:tc>
          <w:tcPr>
            <w:tcW w:w="56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8F3B4DF" w14:textId="57B1B93A" w:rsidR="0020660D" w:rsidRPr="00DF1741" w:rsidRDefault="0020660D" w:rsidP="0020660D">
            <w:pPr>
              <w:rPr>
                <w:rFonts w:ascii="Zapf Dingbats" w:hAnsi="Zapf Dingbats" w:cs="Gill Sans"/>
                <w:sz w:val="22"/>
                <w:szCs w:val="22"/>
                <w:lang w:val="en-GB"/>
              </w:rPr>
            </w:pPr>
          </w:p>
        </w:tc>
        <w:tc>
          <w:tcPr>
            <w:tcW w:w="436"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286E89C2" w14:textId="581BD63D" w:rsidR="0020660D" w:rsidRPr="009651AC" w:rsidRDefault="0020660D" w:rsidP="0020660D">
            <w:pPr>
              <w:rPr>
                <w:rFonts w:ascii="Gill Sans" w:hAnsi="Gill Sans" w:cs="Gill Sans"/>
                <w:sz w:val="22"/>
                <w:szCs w:val="22"/>
                <w:lang w:val="en-GB"/>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18" w:space="0" w:color="FFFFFF"/>
              <w:right w:val="single" w:sz="2" w:space="0" w:color="FFFFFF"/>
            </w:tcBorders>
            <w:shd w:val="clear" w:color="auto" w:fill="D99594"/>
          </w:tcPr>
          <w:p w14:paraId="33A79A8A" w14:textId="77777777" w:rsidR="0020660D" w:rsidRPr="009651AC" w:rsidRDefault="0020660D" w:rsidP="0020660D">
            <w:pPr>
              <w:rPr>
                <w:rFonts w:ascii="Gill Sans" w:hAnsi="Gill Sans" w:cs="Gill Sans"/>
                <w:sz w:val="22"/>
                <w:szCs w:val="22"/>
                <w:lang w:val="en-GB"/>
              </w:rPr>
            </w:pPr>
          </w:p>
        </w:tc>
        <w:tc>
          <w:tcPr>
            <w:tcW w:w="357" w:type="dxa"/>
            <w:vMerge w:val="restart"/>
            <w:tcBorders>
              <w:top w:val="single" w:sz="18" w:space="0" w:color="FFFFFF"/>
              <w:left w:val="single" w:sz="2" w:space="0" w:color="FFFFFF"/>
              <w:right w:val="single" w:sz="2" w:space="0" w:color="FFFFFF"/>
            </w:tcBorders>
            <w:shd w:val="clear" w:color="auto" w:fill="D99594"/>
          </w:tcPr>
          <w:p w14:paraId="3FE0696A" w14:textId="03E7F7D7" w:rsidR="0020660D" w:rsidRPr="00DF1741" w:rsidRDefault="0020660D" w:rsidP="0020660D">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2" w:space="0" w:color="FFFFFF"/>
            </w:tcBorders>
            <w:shd w:val="clear" w:color="auto" w:fill="D99594"/>
          </w:tcPr>
          <w:p w14:paraId="1F38D3B6" w14:textId="77777777" w:rsidR="0020660D" w:rsidRPr="009651AC" w:rsidRDefault="0020660D" w:rsidP="0020660D">
            <w:pPr>
              <w:rPr>
                <w:rFonts w:ascii="Gill Sans" w:hAnsi="Gill Sans" w:cs="Gill Sans"/>
                <w:sz w:val="22"/>
                <w:szCs w:val="22"/>
                <w:lang w:val="uk-UA"/>
              </w:rPr>
            </w:pPr>
          </w:p>
        </w:tc>
        <w:tc>
          <w:tcPr>
            <w:tcW w:w="360" w:type="dxa"/>
            <w:vMerge w:val="restart"/>
            <w:tcBorders>
              <w:top w:val="single" w:sz="18" w:space="0" w:color="FFFFFF"/>
              <w:left w:val="single" w:sz="2" w:space="0" w:color="FFFFFF"/>
              <w:right w:val="single" w:sz="2" w:space="0" w:color="FFFFFF"/>
            </w:tcBorders>
            <w:shd w:val="clear" w:color="auto" w:fill="D99594"/>
          </w:tcPr>
          <w:p w14:paraId="621EBC8A" w14:textId="77777777" w:rsidR="0020660D" w:rsidRPr="008E2D1E" w:rsidRDefault="0020660D" w:rsidP="0020660D">
            <w:pPr>
              <w:rPr>
                <w:rFonts w:ascii="Gill Sans" w:hAnsi="Gill Sans" w:cs="Gill Sans"/>
                <w:noProof/>
                <w:sz w:val="22"/>
                <w:szCs w:val="22"/>
              </w:rPr>
            </w:pPr>
          </w:p>
        </w:tc>
        <w:tc>
          <w:tcPr>
            <w:tcW w:w="624" w:type="dxa"/>
            <w:vMerge w:val="restart"/>
            <w:tcBorders>
              <w:top w:val="single" w:sz="18" w:space="0" w:color="FFFFFF"/>
              <w:left w:val="single" w:sz="2" w:space="0" w:color="FFFFFF"/>
              <w:right w:val="single" w:sz="18" w:space="0" w:color="FFFFFF"/>
            </w:tcBorders>
            <w:shd w:val="clear" w:color="auto" w:fill="D99594"/>
          </w:tcPr>
          <w:p w14:paraId="5033E8A7" w14:textId="47903FAF" w:rsidR="0020660D" w:rsidRPr="009651AC" w:rsidRDefault="0020660D" w:rsidP="0020660D">
            <w:pPr>
              <w:rPr>
                <w:rFonts w:ascii="Gill Sans" w:hAnsi="Gill Sans" w:cs="Gill Sans"/>
                <w:sz w:val="22"/>
                <w:szCs w:val="22"/>
                <w:lang w:val="en-GB"/>
              </w:rPr>
            </w:pPr>
          </w:p>
        </w:tc>
      </w:tr>
      <w:tr w:rsidR="0020660D" w:rsidRPr="009651AC" w14:paraId="259088B2" w14:textId="77777777" w:rsidTr="00B017F8">
        <w:trPr>
          <w:trHeight w:val="340"/>
        </w:trPr>
        <w:tc>
          <w:tcPr>
            <w:tcW w:w="1522" w:type="dxa"/>
            <w:vMerge/>
            <w:tcBorders>
              <w:left w:val="single" w:sz="4" w:space="0" w:color="FFFFFF"/>
              <w:right w:val="single" w:sz="18" w:space="0" w:color="FFFFFF"/>
            </w:tcBorders>
            <w:shd w:val="clear" w:color="auto" w:fill="000000"/>
          </w:tcPr>
          <w:p w14:paraId="79B5FA33" w14:textId="77777777" w:rsidR="0020660D" w:rsidRPr="009651AC" w:rsidRDefault="0020660D" w:rsidP="0020660D">
            <w:pPr>
              <w:rPr>
                <w:rFonts w:ascii="Gill Sans" w:hAnsi="Gill Sans" w:cs="Gill Sans"/>
                <w:color w:val="FFFFFF" w:themeColor="background1"/>
                <w:sz w:val="22"/>
                <w:szCs w:val="22"/>
                <w:lang w:val="en-GB"/>
              </w:rPr>
            </w:pPr>
          </w:p>
        </w:tc>
        <w:tc>
          <w:tcPr>
            <w:tcW w:w="519" w:type="dxa"/>
            <w:vMerge/>
            <w:tcBorders>
              <w:left w:val="single" w:sz="18" w:space="0" w:color="FFFFFF"/>
              <w:right w:val="single" w:sz="2" w:space="0" w:color="FFFFFF"/>
            </w:tcBorders>
            <w:shd w:val="clear" w:color="auto" w:fill="D6E3BC"/>
          </w:tcPr>
          <w:p w14:paraId="554C5F80" w14:textId="77777777" w:rsidR="0020660D" w:rsidRPr="009651AC" w:rsidRDefault="0020660D" w:rsidP="0020660D">
            <w:pPr>
              <w:rPr>
                <w:rFonts w:ascii="Gill Sans" w:hAnsi="Gill Sans" w:cs="Gill Sans"/>
                <w:sz w:val="22"/>
                <w:szCs w:val="22"/>
                <w:lang w:val="en-GB"/>
              </w:rPr>
            </w:pPr>
          </w:p>
        </w:tc>
        <w:tc>
          <w:tcPr>
            <w:tcW w:w="451" w:type="dxa"/>
            <w:vMerge/>
            <w:tcBorders>
              <w:left w:val="single" w:sz="2" w:space="0" w:color="FFFFFF"/>
              <w:right w:val="single" w:sz="2" w:space="0" w:color="FFFFFF"/>
            </w:tcBorders>
            <w:shd w:val="clear" w:color="auto" w:fill="D6E3BC"/>
          </w:tcPr>
          <w:p w14:paraId="6DF89DC5" w14:textId="77777777" w:rsidR="0020660D" w:rsidRPr="009651AC" w:rsidRDefault="0020660D" w:rsidP="0020660D">
            <w:pPr>
              <w:rPr>
                <w:rFonts w:ascii="Gill Sans" w:hAnsi="Gill Sans" w:cs="Gill Sans"/>
                <w:sz w:val="22"/>
                <w:szCs w:val="22"/>
                <w:lang w:val="en-GB"/>
              </w:rPr>
            </w:pPr>
          </w:p>
        </w:tc>
        <w:tc>
          <w:tcPr>
            <w:tcW w:w="362" w:type="dxa"/>
            <w:vMerge/>
            <w:tcBorders>
              <w:left w:val="single" w:sz="2" w:space="0" w:color="FFFFFF"/>
              <w:right w:val="single" w:sz="2" w:space="0" w:color="FFFFFF"/>
            </w:tcBorders>
            <w:shd w:val="clear" w:color="auto" w:fill="D6E3BC"/>
          </w:tcPr>
          <w:p w14:paraId="75C97A76" w14:textId="77777777" w:rsidR="0020660D" w:rsidRPr="00DF1741" w:rsidRDefault="0020660D" w:rsidP="0020660D">
            <w:pPr>
              <w:rPr>
                <w:rFonts w:ascii="Zapf Dingbats" w:hAnsi="Zapf Dingbats" w:cs="Gill Sans"/>
                <w:sz w:val="22"/>
                <w:szCs w:val="22"/>
                <w:lang w:val="en-GB"/>
              </w:rPr>
            </w:pPr>
          </w:p>
        </w:tc>
        <w:tc>
          <w:tcPr>
            <w:tcW w:w="363" w:type="dxa"/>
            <w:vMerge/>
            <w:tcBorders>
              <w:left w:val="single" w:sz="2" w:space="0" w:color="FFFFFF"/>
              <w:right w:val="single" w:sz="18" w:space="0" w:color="FFFFFF"/>
            </w:tcBorders>
            <w:shd w:val="clear" w:color="auto" w:fill="D6E3BC"/>
          </w:tcPr>
          <w:p w14:paraId="4D6BF049" w14:textId="77777777" w:rsidR="0020660D" w:rsidRPr="00DF1741" w:rsidRDefault="0020660D" w:rsidP="0020660D">
            <w:pPr>
              <w:rPr>
                <w:rFonts w:ascii="Zapf Dingbats" w:hAnsi="Zapf Dingbat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40EDFE41" w14:textId="77777777" w:rsidR="0020660D" w:rsidRPr="00DF1741" w:rsidRDefault="0020660D" w:rsidP="0020660D">
            <w:pPr>
              <w:rPr>
                <w:rFonts w:ascii="Zapf Dingbats" w:hAnsi="Zapf Dingbats" w:cs="Gill Sans"/>
                <w:sz w:val="22"/>
                <w:szCs w:val="22"/>
                <w:lang w:val="en-GB"/>
              </w:rPr>
            </w:pPr>
          </w:p>
        </w:tc>
        <w:tc>
          <w:tcPr>
            <w:tcW w:w="388" w:type="dxa"/>
            <w:vMerge/>
            <w:tcBorders>
              <w:left w:val="single" w:sz="2" w:space="0" w:color="FFFFFF"/>
              <w:right w:val="single" w:sz="2" w:space="0" w:color="FFFFFF"/>
            </w:tcBorders>
            <w:shd w:val="clear" w:color="auto" w:fill="FBD4B4"/>
          </w:tcPr>
          <w:p w14:paraId="053FE65F" w14:textId="77777777" w:rsidR="0020660D" w:rsidRPr="00DF1741" w:rsidRDefault="0020660D" w:rsidP="0020660D">
            <w:pPr>
              <w:rPr>
                <w:rFonts w:ascii="Zapf Dingbats" w:hAnsi="Zapf Dingbat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7F758D6B" w14:textId="77777777" w:rsidR="0020660D" w:rsidRPr="00DF1741" w:rsidRDefault="0020660D" w:rsidP="0020660D">
            <w:pPr>
              <w:rPr>
                <w:rFonts w:ascii="Zapf Dingbats" w:hAnsi="Zapf Dingbats" w:cs="Gill Sans"/>
                <w:noProof/>
                <w:sz w:val="22"/>
                <w:szCs w:val="22"/>
                <w:lang w:val="en-GB"/>
              </w:rPr>
            </w:pPr>
          </w:p>
        </w:tc>
        <w:tc>
          <w:tcPr>
            <w:tcW w:w="924" w:type="dxa"/>
            <w:vMerge/>
            <w:tcBorders>
              <w:left w:val="single" w:sz="2" w:space="0" w:color="FFFFFF"/>
              <w:right w:val="single" w:sz="18" w:space="0" w:color="FFFFFF"/>
            </w:tcBorders>
            <w:shd w:val="clear" w:color="auto" w:fill="FBD4B4"/>
          </w:tcPr>
          <w:p w14:paraId="5BBF49F1" w14:textId="77777777" w:rsidR="0020660D" w:rsidRPr="00DF1741" w:rsidRDefault="0020660D" w:rsidP="0020660D">
            <w:pPr>
              <w:rPr>
                <w:rFonts w:ascii="Zapf Dingbats" w:hAnsi="Zapf Dingbats" w:cs="Gill Sans"/>
                <w:sz w:val="22"/>
                <w:szCs w:val="22"/>
                <w:lang w:val="en-GB"/>
              </w:rPr>
            </w:pPr>
          </w:p>
        </w:tc>
        <w:tc>
          <w:tcPr>
            <w:tcW w:w="352" w:type="dxa"/>
            <w:vMerge/>
            <w:tcBorders>
              <w:left w:val="single" w:sz="18" w:space="0" w:color="FFFFFF"/>
              <w:right w:val="single" w:sz="2" w:space="0" w:color="FFFFFF"/>
            </w:tcBorders>
            <w:shd w:val="clear" w:color="auto" w:fill="CCC0D9"/>
          </w:tcPr>
          <w:p w14:paraId="548476FE" w14:textId="77777777" w:rsidR="0020660D" w:rsidRPr="00DF1741" w:rsidRDefault="0020660D" w:rsidP="0020660D">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CCC0D9"/>
          </w:tcPr>
          <w:p w14:paraId="78D5E34F" w14:textId="77777777" w:rsidR="0020660D" w:rsidRPr="00DF1741" w:rsidRDefault="0020660D" w:rsidP="0020660D">
            <w:pPr>
              <w:rPr>
                <w:rFonts w:ascii="Zapf Dingbats" w:hAnsi="Zapf Dingbats" w:cs="Gill Sans"/>
                <w:sz w:val="22"/>
                <w:szCs w:val="22"/>
                <w:lang w:val="en-GB"/>
              </w:rPr>
            </w:pPr>
          </w:p>
        </w:tc>
        <w:tc>
          <w:tcPr>
            <w:tcW w:w="450" w:type="dxa"/>
            <w:vMerge/>
            <w:tcBorders>
              <w:left w:val="single" w:sz="2" w:space="0" w:color="FFFFFF"/>
              <w:right w:val="single" w:sz="2" w:space="0" w:color="FFFFFF"/>
            </w:tcBorders>
            <w:shd w:val="clear" w:color="auto" w:fill="CCC0D9"/>
          </w:tcPr>
          <w:p w14:paraId="407E4343" w14:textId="77777777" w:rsidR="0020660D" w:rsidRPr="00DF1741" w:rsidRDefault="0020660D" w:rsidP="0020660D">
            <w:pPr>
              <w:rPr>
                <w:rFonts w:ascii="Zapf Dingbats" w:hAnsi="Zapf Dingbats" w:cs="Gill Sans"/>
                <w:noProof/>
                <w:sz w:val="22"/>
                <w:szCs w:val="22"/>
                <w:lang w:val="en-GB"/>
              </w:rPr>
            </w:pPr>
          </w:p>
        </w:tc>
        <w:tc>
          <w:tcPr>
            <w:tcW w:w="360" w:type="dxa"/>
            <w:vMerge/>
            <w:tcBorders>
              <w:left w:val="single" w:sz="2" w:space="0" w:color="FFFFFF"/>
              <w:right w:val="single" w:sz="18" w:space="0" w:color="FFFFFF"/>
            </w:tcBorders>
            <w:shd w:val="clear" w:color="auto" w:fill="CCC0D9"/>
          </w:tcPr>
          <w:p w14:paraId="46E73B07" w14:textId="77777777" w:rsidR="0020660D" w:rsidRPr="00DF1741" w:rsidRDefault="0020660D" w:rsidP="0020660D">
            <w:pPr>
              <w:rPr>
                <w:rFonts w:ascii="Zapf Dingbats" w:hAnsi="Zapf Dingbats" w:cs="Gill Sans"/>
                <w:sz w:val="22"/>
                <w:szCs w:val="22"/>
                <w:lang w:val="en-GB"/>
              </w:rPr>
            </w:pPr>
          </w:p>
        </w:tc>
        <w:tc>
          <w:tcPr>
            <w:tcW w:w="458"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2FD065A5" w14:textId="77777777" w:rsidR="0020660D" w:rsidRPr="00DF1741" w:rsidRDefault="0020660D" w:rsidP="0020660D">
            <w:pPr>
              <w:rPr>
                <w:rFonts w:ascii="Zapf Dingbats" w:hAnsi="Zapf Dingbats" w:cs="Gill Sans"/>
                <w:sz w:val="22"/>
                <w:szCs w:val="22"/>
                <w:lang w:val="en-GB"/>
              </w:rPr>
            </w:pPr>
          </w:p>
        </w:tc>
        <w:tc>
          <w:tcPr>
            <w:tcW w:w="62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8D82635" w14:textId="77777777" w:rsidR="0020660D" w:rsidRPr="00DF1741" w:rsidRDefault="0020660D" w:rsidP="0020660D">
            <w:pPr>
              <w:rPr>
                <w:rFonts w:ascii="Zapf Dingbats" w:hAnsi="Zapf Dingbats" w:cs="Gill Sans"/>
                <w:sz w:val="22"/>
                <w:szCs w:val="22"/>
                <w:lang w:val="en-GB"/>
              </w:rPr>
            </w:pPr>
          </w:p>
        </w:tc>
        <w:tc>
          <w:tcPr>
            <w:tcW w:w="567"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473EB318" w14:textId="2C865F94" w:rsidR="0020660D" w:rsidRPr="00DF1741" w:rsidRDefault="0020660D" w:rsidP="0020660D">
            <w:pPr>
              <w:rPr>
                <w:rFonts w:ascii="Zapf Dingbats" w:hAnsi="Zapf Dingbats" w:cs="Gill Sans"/>
                <w:sz w:val="22"/>
                <w:szCs w:val="22"/>
                <w:lang w:val="en-GB"/>
              </w:rPr>
            </w:pPr>
          </w:p>
        </w:tc>
        <w:tc>
          <w:tcPr>
            <w:tcW w:w="436"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4B697284" w14:textId="3A0D6EE2" w:rsidR="0020660D" w:rsidRPr="009651AC" w:rsidRDefault="0020660D" w:rsidP="0020660D">
            <w:pPr>
              <w:jc w:val="center"/>
              <w:rPr>
                <w:rFonts w:ascii="Gill Sans" w:hAnsi="Gill Sans" w:cs="Gill Sans"/>
                <w:sz w:val="22"/>
                <w:szCs w:val="22"/>
                <w:lang w:val="en-GB"/>
              </w:rPr>
            </w:pPr>
            <w:r w:rsidRPr="00DF1741">
              <w:rPr>
                <w:rFonts w:ascii="Zapf Dingbats" w:eastAsia="MS Mincho" w:hAnsi="Zapf Dingbats" w:cs="MS Mincho"/>
                <w:noProof/>
                <w:sz w:val="22"/>
                <w:szCs w:val="22"/>
                <w:lang w:val="en-GB"/>
              </w:rPr>
              <w:t>✔</w:t>
            </w:r>
          </w:p>
        </w:tc>
        <w:tc>
          <w:tcPr>
            <w:tcW w:w="360" w:type="dxa"/>
            <w:vMerge/>
            <w:tcBorders>
              <w:left w:val="single" w:sz="18" w:space="0" w:color="FFFFFF"/>
              <w:right w:val="single" w:sz="2" w:space="0" w:color="FFFFFF"/>
            </w:tcBorders>
            <w:shd w:val="clear" w:color="auto" w:fill="D99594"/>
          </w:tcPr>
          <w:p w14:paraId="275B00C8" w14:textId="77777777" w:rsidR="0020660D" w:rsidRPr="009651AC" w:rsidRDefault="0020660D" w:rsidP="0020660D">
            <w:pPr>
              <w:rPr>
                <w:rFonts w:ascii="Gill Sans" w:hAnsi="Gill Sans" w:cs="Gill Sans"/>
                <w:sz w:val="22"/>
                <w:szCs w:val="22"/>
                <w:lang w:val="en-GB"/>
              </w:rPr>
            </w:pPr>
          </w:p>
        </w:tc>
        <w:tc>
          <w:tcPr>
            <w:tcW w:w="357" w:type="dxa"/>
            <w:vMerge/>
            <w:tcBorders>
              <w:left w:val="single" w:sz="2" w:space="0" w:color="FFFFFF"/>
              <w:right w:val="single" w:sz="2" w:space="0" w:color="FFFFFF"/>
            </w:tcBorders>
            <w:shd w:val="clear" w:color="auto" w:fill="D99594"/>
          </w:tcPr>
          <w:p w14:paraId="6939AF6D"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650BE055"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13AA00C3" w14:textId="77777777" w:rsidR="0020660D" w:rsidRPr="009651AC" w:rsidRDefault="0020660D" w:rsidP="0020660D">
            <w:pPr>
              <w:rPr>
                <w:rFonts w:ascii="Gill Sans" w:hAnsi="Gill Sans" w:cs="Gill Sans"/>
                <w:noProof/>
                <w:sz w:val="22"/>
                <w:szCs w:val="22"/>
                <w:lang w:val="en-GB"/>
              </w:rPr>
            </w:pPr>
          </w:p>
        </w:tc>
        <w:tc>
          <w:tcPr>
            <w:tcW w:w="624" w:type="dxa"/>
            <w:vMerge/>
            <w:tcBorders>
              <w:left w:val="single" w:sz="2" w:space="0" w:color="FFFFFF"/>
              <w:right w:val="single" w:sz="18" w:space="0" w:color="FFFFFF"/>
            </w:tcBorders>
            <w:shd w:val="clear" w:color="auto" w:fill="D99594"/>
          </w:tcPr>
          <w:p w14:paraId="7BEBF12F" w14:textId="77777777" w:rsidR="0020660D" w:rsidRPr="009651AC" w:rsidRDefault="0020660D" w:rsidP="0020660D">
            <w:pPr>
              <w:rPr>
                <w:rFonts w:ascii="Gill Sans" w:hAnsi="Gill Sans" w:cs="Gill Sans"/>
                <w:sz w:val="22"/>
                <w:szCs w:val="22"/>
                <w:lang w:val="en-GB"/>
              </w:rPr>
            </w:pPr>
          </w:p>
        </w:tc>
      </w:tr>
    </w:tbl>
    <w:p w14:paraId="751BAFB8" w14:textId="7F4D3B0B" w:rsidR="00113F13" w:rsidRDefault="00113F13" w:rsidP="006319F4">
      <w:pPr>
        <w:pStyle w:val="Heading3"/>
      </w:pPr>
    </w:p>
    <w:p w14:paraId="097241A6" w14:textId="77777777" w:rsidR="003B756C" w:rsidRDefault="003B756C" w:rsidP="00163080">
      <w:pPr>
        <w:pStyle w:val="Heading3"/>
      </w:pPr>
    </w:p>
    <w:p w14:paraId="1FC1ECB4" w14:textId="3DB28614" w:rsidR="00E366DA" w:rsidRPr="00352741" w:rsidRDefault="00E366DA" w:rsidP="00163080">
      <w:pPr>
        <w:pStyle w:val="Heading3"/>
      </w:pPr>
      <w:r w:rsidRPr="00352741">
        <w:t xml:space="preserve">Commitment </w:t>
      </w:r>
      <w:r w:rsidR="003B756C">
        <w:t>a</w:t>
      </w:r>
      <w:r w:rsidRPr="00352741">
        <w:t>im</w:t>
      </w:r>
    </w:p>
    <w:p w14:paraId="693374B2" w14:textId="60F6DA31" w:rsidR="00A72F53" w:rsidRPr="00352741" w:rsidRDefault="00A72F53" w:rsidP="00F00809">
      <w:pPr>
        <w:spacing w:after="120"/>
        <w:rPr>
          <w:rFonts w:ascii="Gill Sans" w:hAnsi="Gill Sans" w:cs="Gill Sans"/>
          <w:sz w:val="22"/>
          <w:szCs w:val="22"/>
          <w:lang w:val="en-GB"/>
        </w:rPr>
      </w:pPr>
      <w:r w:rsidRPr="00352741">
        <w:rPr>
          <w:rFonts w:ascii="Gill Sans" w:hAnsi="Gill Sans" w:cs="Gill Sans"/>
          <w:noProof/>
          <w:sz w:val="22"/>
          <w:szCs w:val="22"/>
          <w:lang w:val="en-GB"/>
        </w:rPr>
        <w:t xml:space="preserve">In 2011, </w:t>
      </w:r>
      <w:r w:rsidR="00D7251F">
        <w:rPr>
          <w:rFonts w:ascii="Gill Sans" w:hAnsi="Gill Sans" w:cs="Gill Sans"/>
          <w:noProof/>
          <w:sz w:val="22"/>
          <w:szCs w:val="22"/>
          <w:lang w:val="en-GB"/>
        </w:rPr>
        <w:t>P</w:t>
      </w:r>
      <w:r w:rsidRPr="00352741">
        <w:rPr>
          <w:rFonts w:ascii="Gill Sans" w:hAnsi="Gill Sans" w:cs="Gill Sans"/>
          <w:noProof/>
          <w:sz w:val="22"/>
          <w:szCs w:val="22"/>
          <w:lang w:val="en-GB"/>
        </w:rPr>
        <w:t>arliament adopted a new Law on Access to Public Information</w:t>
      </w:r>
      <w:r w:rsidR="00D7251F">
        <w:rPr>
          <w:rFonts w:ascii="Gill Sans" w:hAnsi="Gill Sans" w:cs="Gill Sans"/>
          <w:noProof/>
          <w:sz w:val="22"/>
          <w:szCs w:val="22"/>
          <w:lang w:val="en-GB"/>
        </w:rPr>
        <w:t>. I</w:t>
      </w:r>
      <w:r w:rsidRPr="00352741">
        <w:rPr>
          <w:rFonts w:ascii="Gill Sans" w:hAnsi="Gill Sans" w:cs="Gill Sans"/>
          <w:noProof/>
          <w:sz w:val="22"/>
          <w:szCs w:val="22"/>
          <w:lang w:val="en-GB"/>
        </w:rPr>
        <w:t xml:space="preserve">t did not provide for a separate mechanism for supervising its enforcement, notably through an extrajudicial review of complaints. Lack of the relevant provisions was one of the main deficiencies of the new law. The commitment aimed to address this deficiency </w:t>
      </w:r>
      <w:r w:rsidR="009647BD">
        <w:rPr>
          <w:rFonts w:ascii="Gill Sans" w:hAnsi="Gill Sans" w:cs="Gill Sans"/>
          <w:noProof/>
          <w:sz w:val="22"/>
          <w:szCs w:val="22"/>
          <w:lang w:val="en-GB"/>
        </w:rPr>
        <w:t>by</w:t>
      </w:r>
      <w:r w:rsidR="009647BD" w:rsidRPr="00352741">
        <w:rPr>
          <w:rFonts w:ascii="Gill Sans" w:hAnsi="Gill Sans" w:cs="Gill Sans"/>
          <w:noProof/>
          <w:sz w:val="22"/>
          <w:szCs w:val="22"/>
          <w:lang w:val="en-GB"/>
        </w:rPr>
        <w:t xml:space="preserve"> </w:t>
      </w:r>
      <w:r w:rsidRPr="00352741">
        <w:rPr>
          <w:rFonts w:ascii="Gill Sans" w:hAnsi="Gill Sans" w:cs="Gill Sans"/>
          <w:noProof/>
          <w:sz w:val="22"/>
          <w:szCs w:val="22"/>
          <w:lang w:val="en-GB"/>
        </w:rPr>
        <w:t>establish</w:t>
      </w:r>
      <w:r w:rsidR="009647BD">
        <w:rPr>
          <w:rFonts w:ascii="Gill Sans" w:hAnsi="Gill Sans" w:cs="Gill Sans"/>
          <w:noProof/>
          <w:sz w:val="22"/>
          <w:szCs w:val="22"/>
          <w:lang w:val="en-GB"/>
        </w:rPr>
        <w:t>ing</w:t>
      </w:r>
      <w:r w:rsidRPr="00352741">
        <w:rPr>
          <w:rFonts w:ascii="Gill Sans" w:hAnsi="Gill Sans" w:cs="Gill Sans"/>
          <w:noProof/>
          <w:sz w:val="22"/>
          <w:szCs w:val="22"/>
          <w:lang w:val="en-GB"/>
        </w:rPr>
        <w:t xml:space="preserve"> a supervisory mechanism for enforc</w:t>
      </w:r>
      <w:r w:rsidR="009647BD">
        <w:rPr>
          <w:rFonts w:ascii="Gill Sans" w:hAnsi="Gill Sans" w:cs="Gill Sans"/>
          <w:noProof/>
          <w:sz w:val="22"/>
          <w:szCs w:val="22"/>
          <w:lang w:val="en-GB"/>
        </w:rPr>
        <w:t>ing</w:t>
      </w:r>
      <w:r w:rsidRPr="00352741">
        <w:rPr>
          <w:rFonts w:ascii="Gill Sans" w:hAnsi="Gill Sans" w:cs="Gill Sans"/>
          <w:noProof/>
          <w:sz w:val="22"/>
          <w:szCs w:val="22"/>
          <w:lang w:val="en-GB"/>
        </w:rPr>
        <w:t xml:space="preserve"> the access to information provisions. </w:t>
      </w:r>
      <w:r w:rsidR="009647BD">
        <w:rPr>
          <w:rFonts w:ascii="Gill Sans" w:hAnsi="Gill Sans" w:cs="Gill Sans"/>
          <w:noProof/>
          <w:sz w:val="22"/>
          <w:szCs w:val="22"/>
          <w:lang w:val="en-GB"/>
        </w:rPr>
        <w:t>This</w:t>
      </w:r>
      <w:r w:rsidR="009647BD" w:rsidRPr="00352741">
        <w:rPr>
          <w:rFonts w:ascii="Gill Sans" w:hAnsi="Gill Sans" w:cs="Gill Sans"/>
          <w:noProof/>
          <w:sz w:val="22"/>
          <w:szCs w:val="22"/>
          <w:lang w:val="en-GB"/>
        </w:rPr>
        <w:t xml:space="preserve"> </w:t>
      </w:r>
      <w:r w:rsidRPr="00352741">
        <w:rPr>
          <w:rFonts w:ascii="Gill Sans" w:hAnsi="Gill Sans" w:cs="Gill Sans"/>
          <w:noProof/>
          <w:sz w:val="22"/>
          <w:szCs w:val="22"/>
          <w:lang w:val="en-GB"/>
        </w:rPr>
        <w:t xml:space="preserve">would </w:t>
      </w:r>
      <w:r w:rsidR="009647BD">
        <w:rPr>
          <w:rFonts w:ascii="Gill Sans" w:hAnsi="Gill Sans" w:cs="Gill Sans"/>
          <w:noProof/>
          <w:sz w:val="22"/>
          <w:szCs w:val="22"/>
          <w:lang w:val="en-GB"/>
        </w:rPr>
        <w:t>enhance the right to</w:t>
      </w:r>
      <w:r w:rsidRPr="00352741">
        <w:rPr>
          <w:rFonts w:ascii="Gill Sans" w:hAnsi="Gill Sans" w:cs="Gill Sans"/>
          <w:noProof/>
          <w:sz w:val="22"/>
          <w:szCs w:val="22"/>
          <w:lang w:val="en-GB"/>
        </w:rPr>
        <w:t xml:space="preserve"> access information, increase accountability of public authorities</w:t>
      </w:r>
      <w:r w:rsidR="00D7251F">
        <w:rPr>
          <w:rFonts w:ascii="Gill Sans" w:hAnsi="Gill Sans" w:cs="Gill Sans"/>
          <w:noProof/>
          <w:sz w:val="22"/>
          <w:szCs w:val="22"/>
          <w:lang w:val="en-GB"/>
        </w:rPr>
        <w:t>,</w:t>
      </w:r>
      <w:r w:rsidRPr="00352741">
        <w:rPr>
          <w:rFonts w:ascii="Gill Sans" w:hAnsi="Gill Sans" w:cs="Gill Sans"/>
          <w:noProof/>
          <w:sz w:val="22"/>
          <w:szCs w:val="22"/>
          <w:lang w:val="en-GB"/>
        </w:rPr>
        <w:t xml:space="preserve"> and make the government more transparent.</w:t>
      </w:r>
    </w:p>
    <w:p w14:paraId="395F23DA" w14:textId="791D7D1D" w:rsidR="00E366DA" w:rsidRPr="00352741" w:rsidRDefault="00E366DA" w:rsidP="006319F4">
      <w:pPr>
        <w:pStyle w:val="Heading3"/>
      </w:pPr>
      <w:r w:rsidRPr="00352741">
        <w:t>Status</w:t>
      </w:r>
    </w:p>
    <w:p w14:paraId="11EF2496" w14:textId="7B55B047" w:rsidR="00E366DA" w:rsidRPr="00352741" w:rsidRDefault="00E366DA" w:rsidP="00352741">
      <w:pPr>
        <w:pStyle w:val="Normalrglronly"/>
        <w:rPr>
          <w:b/>
          <w:lang w:val="en-GB"/>
        </w:rPr>
      </w:pPr>
      <w:r w:rsidRPr="00352741">
        <w:rPr>
          <w:b/>
          <w:lang w:val="en-GB"/>
        </w:rPr>
        <w:t>Midterm: Complete</w:t>
      </w:r>
    </w:p>
    <w:p w14:paraId="062638D6" w14:textId="2E9DEC7C" w:rsidR="00C80450" w:rsidRPr="00C80450" w:rsidRDefault="00A72F53" w:rsidP="00F00809">
      <w:pPr>
        <w:spacing w:after="120"/>
        <w:rPr>
          <w:rFonts w:ascii="Gill Sans" w:hAnsi="Gill Sans" w:cs="Gill Sans"/>
          <w:sz w:val="22"/>
          <w:szCs w:val="22"/>
          <w:lang w:val="en-GB"/>
        </w:rPr>
      </w:pPr>
      <w:r w:rsidRPr="00352741">
        <w:rPr>
          <w:rFonts w:ascii="Gill Sans" w:hAnsi="Gill Sans" w:cs="Gill Sans"/>
          <w:noProof/>
          <w:sz w:val="22"/>
          <w:szCs w:val="22"/>
          <w:lang w:val="en-GB"/>
        </w:rPr>
        <w:t xml:space="preserve">The </w:t>
      </w:r>
      <w:r w:rsidR="00191565">
        <w:rPr>
          <w:rFonts w:ascii="Gill Sans" w:hAnsi="Gill Sans" w:cs="Gill Sans"/>
          <w:noProof/>
          <w:sz w:val="22"/>
          <w:szCs w:val="22"/>
          <w:lang w:val="en-GB"/>
        </w:rPr>
        <w:t xml:space="preserve">2014 Law on </w:t>
      </w:r>
      <w:r w:rsidRPr="00352741">
        <w:rPr>
          <w:rFonts w:ascii="Gill Sans" w:hAnsi="Gill Sans" w:cs="Gill Sans"/>
          <w:noProof/>
          <w:sz w:val="22"/>
          <w:szCs w:val="22"/>
          <w:lang w:val="en-GB"/>
        </w:rPr>
        <w:t>Anti-Corruption Strategy of Ukraine for 2014-2017</w:t>
      </w:r>
      <w:r w:rsidRPr="00352741">
        <w:rPr>
          <w:rStyle w:val="EndnoteReference"/>
          <w:rFonts w:ascii="Gill Sans" w:hAnsi="Gill Sans" w:cs="Gill Sans"/>
          <w:noProof/>
          <w:sz w:val="22"/>
          <w:szCs w:val="22"/>
          <w:lang w:val="en-GB"/>
        </w:rPr>
        <w:endnoteReference w:id="30"/>
      </w:r>
      <w:r w:rsidRPr="00352741">
        <w:rPr>
          <w:rFonts w:ascii="Gill Sans" w:hAnsi="Gill Sans" w:cs="Gill Sans"/>
          <w:noProof/>
          <w:sz w:val="22"/>
          <w:szCs w:val="22"/>
          <w:lang w:val="en-GB"/>
        </w:rPr>
        <w:t xml:space="preserve"> established as one of its policy directions setting up or designating a state authority to oversee implementation of the right </w:t>
      </w:r>
      <w:r w:rsidR="009647BD">
        <w:rPr>
          <w:rFonts w:ascii="Gill Sans" w:hAnsi="Gill Sans" w:cs="Gill Sans"/>
          <w:noProof/>
          <w:sz w:val="22"/>
          <w:szCs w:val="22"/>
          <w:lang w:val="en-GB"/>
        </w:rPr>
        <w:t xml:space="preserve">to </w:t>
      </w:r>
      <w:r w:rsidRPr="00352741">
        <w:rPr>
          <w:rFonts w:ascii="Gill Sans" w:hAnsi="Gill Sans" w:cs="Gill Sans"/>
          <w:noProof/>
          <w:sz w:val="22"/>
          <w:szCs w:val="22"/>
          <w:lang w:val="en-GB"/>
        </w:rPr>
        <w:t xml:space="preserve">access information. Such authority would have to comply with standards of effectiveness and independence. From October 2014 to April 2015, a working group at </w:t>
      </w:r>
      <w:r w:rsidRPr="00C80450">
        <w:rPr>
          <w:rFonts w:ascii="Gill Sans" w:hAnsi="Gill Sans" w:cs="Gill Sans"/>
          <w:noProof/>
          <w:sz w:val="22"/>
          <w:szCs w:val="22"/>
          <w:lang w:val="en-GB"/>
        </w:rPr>
        <w:t>the ombudsman</w:t>
      </w:r>
      <w:r w:rsidR="00D7251F">
        <w:rPr>
          <w:rFonts w:ascii="Gill Sans" w:hAnsi="Gill Sans" w:cs="Gill Sans"/>
          <w:noProof/>
          <w:sz w:val="22"/>
          <w:szCs w:val="22"/>
          <w:lang w:val="en-GB"/>
        </w:rPr>
        <w:t>’</w:t>
      </w:r>
      <w:r w:rsidRPr="00C80450">
        <w:rPr>
          <w:rFonts w:ascii="Gill Sans" w:hAnsi="Gill Sans" w:cs="Gill Sans"/>
          <w:noProof/>
          <w:sz w:val="22"/>
          <w:szCs w:val="22"/>
          <w:lang w:val="en-GB"/>
        </w:rPr>
        <w:t>s office developed draft amendments to the Law on Access to Public Information, particularly in regard to the oversight authority. A joint EU and Council of Europe project provided assistance during the drafting process.</w:t>
      </w:r>
      <w:r w:rsidRPr="00C80450">
        <w:rPr>
          <w:rStyle w:val="EndnoteReference"/>
          <w:rFonts w:ascii="Gill Sans" w:hAnsi="Gill Sans" w:cs="Gill Sans"/>
          <w:noProof/>
          <w:sz w:val="22"/>
          <w:szCs w:val="22"/>
          <w:lang w:val="en-GB"/>
        </w:rPr>
        <w:endnoteReference w:id="31"/>
      </w:r>
      <w:r w:rsidRPr="00C80450">
        <w:rPr>
          <w:rFonts w:ascii="Gill Sans" w:hAnsi="Gill Sans" w:cs="Gill Sans"/>
          <w:noProof/>
          <w:sz w:val="22"/>
          <w:szCs w:val="22"/>
          <w:lang w:val="en-GB"/>
        </w:rPr>
        <w:t xml:space="preserve"> </w:t>
      </w:r>
      <w:r w:rsidR="00C80450" w:rsidRPr="00C80450">
        <w:rPr>
          <w:rFonts w:ascii="Gill Sans" w:hAnsi="Gill Sans" w:cs="Gill Sans"/>
          <w:sz w:val="22"/>
          <w:szCs w:val="22"/>
          <w:lang w:val="en-GB"/>
        </w:rPr>
        <w:t xml:space="preserve">The commitment </w:t>
      </w:r>
      <w:r w:rsidR="00D7251F">
        <w:rPr>
          <w:rFonts w:ascii="Gill Sans" w:hAnsi="Gill Sans" w:cs="Gill Sans"/>
          <w:sz w:val="22"/>
          <w:szCs w:val="22"/>
          <w:lang w:val="en-GB"/>
        </w:rPr>
        <w:t>reflected</w:t>
      </w:r>
      <w:r w:rsidR="00C80450" w:rsidRPr="00C80450">
        <w:rPr>
          <w:rFonts w:ascii="Gill Sans" w:hAnsi="Gill Sans" w:cs="Gill Sans"/>
          <w:sz w:val="22"/>
          <w:szCs w:val="22"/>
          <w:lang w:val="en-GB"/>
        </w:rPr>
        <w:t xml:space="preserve"> international standards</w:t>
      </w:r>
      <w:r w:rsidR="00C80450" w:rsidRPr="00C80450">
        <w:rPr>
          <w:rStyle w:val="EndnoteReference"/>
          <w:rFonts w:ascii="Gill Sans" w:hAnsi="Gill Sans" w:cs="Gill Sans"/>
          <w:color w:val="000000" w:themeColor="text1"/>
          <w:sz w:val="22"/>
          <w:szCs w:val="22"/>
          <w:lang w:val="en-GB"/>
        </w:rPr>
        <w:endnoteReference w:id="32"/>
      </w:r>
      <w:r w:rsidR="00C80450" w:rsidRPr="00C80450">
        <w:rPr>
          <w:rFonts w:ascii="Gill Sans" w:hAnsi="Gill Sans" w:cs="Gill Sans"/>
          <w:sz w:val="22"/>
          <w:szCs w:val="22"/>
          <w:lang w:val="en-GB"/>
        </w:rPr>
        <w:t xml:space="preserve"> and Ukraine’s commitment to its international partners. In addition to the OGP action plan, </w:t>
      </w:r>
      <w:r w:rsidR="00F32056">
        <w:rPr>
          <w:rFonts w:ascii="Gill Sans" w:hAnsi="Gill Sans" w:cs="Gill Sans"/>
          <w:sz w:val="22"/>
          <w:szCs w:val="22"/>
          <w:lang w:val="en-GB"/>
        </w:rPr>
        <w:t xml:space="preserve">the </w:t>
      </w:r>
      <w:r w:rsidR="00C80450" w:rsidRPr="00C80450">
        <w:rPr>
          <w:rFonts w:ascii="Gill Sans" w:hAnsi="Gill Sans" w:cs="Gill Sans"/>
          <w:sz w:val="22"/>
          <w:szCs w:val="22"/>
          <w:lang w:val="en-GB"/>
        </w:rPr>
        <w:t xml:space="preserve">enactment of amendments </w:t>
      </w:r>
      <w:r w:rsidR="00F32056">
        <w:rPr>
          <w:rFonts w:ascii="Gill Sans" w:hAnsi="Gill Sans" w:cs="Gill Sans"/>
          <w:sz w:val="22"/>
          <w:szCs w:val="22"/>
          <w:lang w:val="en-GB"/>
        </w:rPr>
        <w:t>to</w:t>
      </w:r>
      <w:r w:rsidR="00F32056" w:rsidRPr="00C80450">
        <w:rPr>
          <w:rFonts w:ascii="Gill Sans" w:hAnsi="Gill Sans" w:cs="Gill Sans"/>
          <w:sz w:val="22"/>
          <w:szCs w:val="22"/>
          <w:lang w:val="en-GB"/>
        </w:rPr>
        <w:t xml:space="preserve"> </w:t>
      </w:r>
      <w:r w:rsidR="00F32056">
        <w:rPr>
          <w:rFonts w:ascii="Gill Sans" w:hAnsi="Gill Sans" w:cs="Gill Sans"/>
          <w:sz w:val="22"/>
          <w:szCs w:val="22"/>
          <w:lang w:val="en-GB"/>
        </w:rPr>
        <w:t>the body</w:t>
      </w:r>
      <w:r w:rsidR="00C80450" w:rsidRPr="00C80450">
        <w:rPr>
          <w:rFonts w:ascii="Gill Sans" w:hAnsi="Gill Sans" w:cs="Gill Sans"/>
          <w:sz w:val="22"/>
          <w:szCs w:val="22"/>
          <w:lang w:val="en-GB"/>
        </w:rPr>
        <w:t xml:space="preserve"> overs</w:t>
      </w:r>
      <w:r w:rsidR="00F32056">
        <w:rPr>
          <w:rFonts w:ascii="Gill Sans" w:hAnsi="Gill Sans" w:cs="Gill Sans"/>
          <w:sz w:val="22"/>
          <w:szCs w:val="22"/>
          <w:lang w:val="en-GB"/>
        </w:rPr>
        <w:t>eeing</w:t>
      </w:r>
      <w:r w:rsidR="00C80450" w:rsidRPr="00C80450">
        <w:rPr>
          <w:rFonts w:ascii="Gill Sans" w:hAnsi="Gill Sans" w:cs="Gill Sans"/>
          <w:sz w:val="22"/>
          <w:szCs w:val="22"/>
          <w:lang w:val="en-GB"/>
        </w:rPr>
        <w:t xml:space="preserve"> access to information </w:t>
      </w:r>
      <w:r w:rsidR="00B51958">
        <w:rPr>
          <w:rFonts w:ascii="Gill Sans" w:hAnsi="Gill Sans" w:cs="Gill Sans"/>
          <w:sz w:val="22"/>
          <w:szCs w:val="22"/>
          <w:lang w:val="en-GB"/>
        </w:rPr>
        <w:t>was</w:t>
      </w:r>
      <w:r w:rsidR="00B51958" w:rsidRPr="00C80450">
        <w:rPr>
          <w:rFonts w:ascii="Gill Sans" w:hAnsi="Gill Sans" w:cs="Gill Sans"/>
          <w:sz w:val="22"/>
          <w:szCs w:val="22"/>
          <w:lang w:val="en-GB"/>
        </w:rPr>
        <w:t xml:space="preserve"> </w:t>
      </w:r>
      <w:r w:rsidR="00C80450" w:rsidRPr="00C80450">
        <w:rPr>
          <w:rFonts w:ascii="Gill Sans" w:hAnsi="Gill Sans" w:cs="Gill Sans"/>
          <w:sz w:val="22"/>
          <w:szCs w:val="22"/>
          <w:lang w:val="en-GB"/>
        </w:rPr>
        <w:t xml:space="preserve">one of the conditions for EU funding </w:t>
      </w:r>
      <w:r w:rsidR="00F32056">
        <w:rPr>
          <w:rFonts w:ascii="Gill Sans" w:hAnsi="Gill Sans" w:cs="Gill Sans"/>
          <w:sz w:val="22"/>
          <w:szCs w:val="22"/>
          <w:lang w:val="en-GB"/>
        </w:rPr>
        <w:t>for</w:t>
      </w:r>
      <w:r w:rsidR="00C80450" w:rsidRPr="00C80450">
        <w:rPr>
          <w:rFonts w:ascii="Gill Sans" w:hAnsi="Gill Sans" w:cs="Gill Sans"/>
          <w:sz w:val="22"/>
          <w:szCs w:val="22"/>
          <w:lang w:val="en-GB"/>
        </w:rPr>
        <w:t xml:space="preserve"> Ukraine.</w:t>
      </w:r>
      <w:r w:rsidR="00C80450" w:rsidRPr="00C80450">
        <w:rPr>
          <w:rStyle w:val="EndnoteReference"/>
          <w:rFonts w:ascii="Gill Sans" w:hAnsi="Gill Sans" w:cs="Gill Sans"/>
          <w:sz w:val="22"/>
          <w:szCs w:val="22"/>
          <w:lang w:val="en-GB"/>
        </w:rPr>
        <w:endnoteReference w:id="33"/>
      </w:r>
    </w:p>
    <w:p w14:paraId="1E5B3F6C" w14:textId="577193BE" w:rsidR="00E366DA" w:rsidRPr="00C80450" w:rsidRDefault="00A72F53" w:rsidP="006319F4">
      <w:pPr>
        <w:spacing w:after="120"/>
        <w:rPr>
          <w:rFonts w:ascii="Gill Sans" w:hAnsi="Gill Sans" w:cs="Gill Sans"/>
          <w:color w:val="000000" w:themeColor="text1"/>
          <w:sz w:val="22"/>
          <w:szCs w:val="22"/>
          <w:lang w:val="en-GB"/>
        </w:rPr>
      </w:pPr>
      <w:r w:rsidRPr="00C80450">
        <w:rPr>
          <w:rFonts w:ascii="Gill Sans" w:hAnsi="Gill Sans" w:cs="Gill Sans"/>
          <w:noProof/>
          <w:sz w:val="22"/>
          <w:szCs w:val="22"/>
          <w:lang w:val="en-GB"/>
        </w:rPr>
        <w:t>A group of MPs submitted the draft law</w:t>
      </w:r>
      <w:r w:rsidR="00F32056">
        <w:rPr>
          <w:rFonts w:ascii="Gill Sans" w:hAnsi="Gill Sans" w:cs="Gill Sans"/>
          <w:noProof/>
          <w:sz w:val="22"/>
          <w:szCs w:val="22"/>
          <w:lang w:val="en-GB"/>
        </w:rPr>
        <w:t xml:space="preserve">, </w:t>
      </w:r>
      <w:r w:rsidRPr="00C80450">
        <w:rPr>
          <w:rFonts w:ascii="Gill Sans" w:hAnsi="Gill Sans" w:cs="Gill Sans"/>
          <w:noProof/>
          <w:sz w:val="22"/>
          <w:szCs w:val="22"/>
          <w:lang w:val="en-GB"/>
        </w:rPr>
        <w:t>developed by experts</w:t>
      </w:r>
      <w:r w:rsidR="00F32056">
        <w:rPr>
          <w:rFonts w:ascii="Gill Sans" w:hAnsi="Gill Sans" w:cs="Gill Sans"/>
          <w:noProof/>
          <w:sz w:val="22"/>
          <w:szCs w:val="22"/>
          <w:lang w:val="en-GB"/>
        </w:rPr>
        <w:t>,</w:t>
      </w:r>
      <w:r w:rsidRPr="00C80450">
        <w:rPr>
          <w:rFonts w:ascii="Gill Sans" w:hAnsi="Gill Sans" w:cs="Gill Sans"/>
          <w:noProof/>
          <w:sz w:val="22"/>
          <w:szCs w:val="22"/>
          <w:lang w:val="en-GB"/>
        </w:rPr>
        <w:t xml:space="preserve"> to </w:t>
      </w:r>
      <w:r w:rsidR="00423ED9">
        <w:rPr>
          <w:rFonts w:ascii="Gill Sans" w:hAnsi="Gill Sans" w:cs="Gill Sans"/>
          <w:noProof/>
          <w:sz w:val="22"/>
          <w:szCs w:val="22"/>
          <w:lang w:val="en-GB"/>
        </w:rPr>
        <w:t>P</w:t>
      </w:r>
      <w:r w:rsidRPr="00C80450">
        <w:rPr>
          <w:rFonts w:ascii="Gill Sans" w:hAnsi="Gill Sans" w:cs="Gill Sans"/>
          <w:noProof/>
          <w:sz w:val="22"/>
          <w:szCs w:val="22"/>
          <w:lang w:val="en-GB"/>
        </w:rPr>
        <w:t>arliament in May 2015.</w:t>
      </w:r>
      <w:r w:rsidRPr="00C80450">
        <w:rPr>
          <w:rStyle w:val="EndnoteReference"/>
          <w:rFonts w:ascii="Gill Sans" w:hAnsi="Gill Sans" w:cs="Gill Sans"/>
          <w:noProof/>
          <w:sz w:val="22"/>
          <w:szCs w:val="22"/>
          <w:lang w:val="en-GB"/>
        </w:rPr>
        <w:endnoteReference w:id="34"/>
      </w:r>
      <w:r w:rsidRPr="00C80450">
        <w:rPr>
          <w:rFonts w:ascii="Gill Sans" w:hAnsi="Gill Sans" w:cs="Gill Sans"/>
          <w:noProof/>
          <w:sz w:val="22"/>
          <w:szCs w:val="22"/>
          <w:lang w:val="en-GB"/>
        </w:rPr>
        <w:t xml:space="preserve"> The relevant committee endorsed </w:t>
      </w:r>
      <w:r w:rsidR="00B51958">
        <w:rPr>
          <w:rFonts w:ascii="Gill Sans" w:hAnsi="Gill Sans" w:cs="Gill Sans"/>
          <w:noProof/>
          <w:sz w:val="22"/>
          <w:szCs w:val="22"/>
          <w:lang w:val="en-GB"/>
        </w:rPr>
        <w:t>it, and t</w:t>
      </w:r>
      <w:r w:rsidR="00352741" w:rsidRPr="00C80450">
        <w:rPr>
          <w:rFonts w:ascii="Gill Sans" w:hAnsi="Gill Sans" w:cs="Gill Sans"/>
          <w:noProof/>
          <w:sz w:val="22"/>
          <w:szCs w:val="22"/>
          <w:lang w:val="en-GB"/>
        </w:rPr>
        <w:t>he draft law awaited</w:t>
      </w:r>
      <w:r w:rsidRPr="00C80450">
        <w:rPr>
          <w:rFonts w:ascii="Gill Sans" w:hAnsi="Gill Sans" w:cs="Gill Sans"/>
          <w:noProof/>
          <w:sz w:val="22"/>
          <w:szCs w:val="22"/>
          <w:lang w:val="en-GB"/>
        </w:rPr>
        <w:t xml:space="preserve"> its consideration in the first reading.</w:t>
      </w:r>
      <w:r w:rsidR="00352741" w:rsidRPr="00C80450">
        <w:rPr>
          <w:rFonts w:ascii="Gill Sans" w:hAnsi="Gill Sans" w:cs="Gill Sans"/>
          <w:noProof/>
          <w:sz w:val="22"/>
          <w:szCs w:val="22"/>
          <w:lang w:val="en-GB"/>
        </w:rPr>
        <w:t xml:space="preserve"> </w:t>
      </w:r>
      <w:r w:rsidR="00352741" w:rsidRPr="00C80450">
        <w:rPr>
          <w:rFonts w:ascii="Gill Sans" w:hAnsi="Gill Sans" w:cs="Gill Sans"/>
          <w:color w:val="000000" w:themeColor="text1"/>
          <w:sz w:val="22"/>
          <w:szCs w:val="22"/>
          <w:lang w:val="en-GB"/>
        </w:rPr>
        <w:t xml:space="preserve">While the commitment </w:t>
      </w:r>
      <w:r w:rsidR="00B51958">
        <w:rPr>
          <w:rFonts w:ascii="Gill Sans" w:hAnsi="Gill Sans" w:cs="Gill Sans"/>
          <w:color w:val="000000" w:themeColor="text1"/>
          <w:sz w:val="22"/>
          <w:szCs w:val="22"/>
          <w:lang w:val="en-GB"/>
        </w:rPr>
        <w:t>stated</w:t>
      </w:r>
      <w:r w:rsidR="00B51958" w:rsidRPr="00C80450">
        <w:rPr>
          <w:rFonts w:ascii="Gill Sans" w:hAnsi="Gill Sans" w:cs="Gill Sans"/>
          <w:color w:val="000000" w:themeColor="text1"/>
          <w:sz w:val="22"/>
          <w:szCs w:val="22"/>
          <w:lang w:val="en-GB"/>
        </w:rPr>
        <w:t xml:space="preserve"> </w:t>
      </w:r>
      <w:r w:rsidR="00352741" w:rsidRPr="00C80450">
        <w:rPr>
          <w:rFonts w:ascii="Gill Sans" w:hAnsi="Gill Sans" w:cs="Gill Sans"/>
          <w:color w:val="000000" w:themeColor="text1"/>
          <w:sz w:val="22"/>
          <w:szCs w:val="22"/>
          <w:lang w:val="en-GB"/>
        </w:rPr>
        <w:t xml:space="preserve">that the government had to develop a relevant draft law, it can be viewed as completed because a group of MPs submitted the draft law </w:t>
      </w:r>
      <w:r w:rsidR="00423ED9">
        <w:rPr>
          <w:rFonts w:ascii="Gill Sans" w:hAnsi="Gill Sans" w:cs="Gill Sans"/>
          <w:color w:val="000000" w:themeColor="text1"/>
          <w:sz w:val="22"/>
          <w:szCs w:val="22"/>
          <w:lang w:val="en-GB"/>
        </w:rPr>
        <w:t>to</w:t>
      </w:r>
      <w:r w:rsidR="00352741" w:rsidRPr="00C80450">
        <w:rPr>
          <w:rFonts w:ascii="Gill Sans" w:hAnsi="Gill Sans" w:cs="Gill Sans"/>
          <w:color w:val="000000" w:themeColor="text1"/>
          <w:sz w:val="22"/>
          <w:szCs w:val="22"/>
          <w:lang w:val="en-GB"/>
        </w:rPr>
        <w:t xml:space="preserve"> </w:t>
      </w:r>
      <w:r w:rsidR="00423ED9">
        <w:rPr>
          <w:rFonts w:ascii="Gill Sans" w:hAnsi="Gill Sans" w:cs="Gill Sans"/>
          <w:color w:val="000000" w:themeColor="text1"/>
          <w:sz w:val="22"/>
          <w:szCs w:val="22"/>
          <w:lang w:val="en-GB"/>
        </w:rPr>
        <w:t>P</w:t>
      </w:r>
      <w:r w:rsidR="00352741" w:rsidRPr="00C80450">
        <w:rPr>
          <w:rFonts w:ascii="Gill Sans" w:hAnsi="Gill Sans" w:cs="Gill Sans"/>
          <w:color w:val="000000" w:themeColor="text1"/>
          <w:sz w:val="22"/>
          <w:szCs w:val="22"/>
          <w:lang w:val="en-GB"/>
        </w:rPr>
        <w:t>arliament. The commitment did not require adoption or enforcement of the law.</w:t>
      </w:r>
    </w:p>
    <w:p w14:paraId="65846D3D" w14:textId="22EEC520" w:rsidR="00352741" w:rsidRPr="00352741" w:rsidRDefault="00352741" w:rsidP="006319F4">
      <w:pPr>
        <w:spacing w:after="120"/>
        <w:rPr>
          <w:rFonts w:ascii="Gill Sans" w:hAnsi="Gill Sans" w:cs="Gill Sans"/>
          <w:noProof/>
          <w:sz w:val="22"/>
          <w:szCs w:val="22"/>
          <w:lang w:val="en-GB"/>
        </w:rPr>
      </w:pPr>
      <w:r w:rsidRPr="00C80450">
        <w:rPr>
          <w:rFonts w:ascii="Gill Sans" w:hAnsi="Gill Sans" w:cs="Gill Sans"/>
          <w:color w:val="000000" w:themeColor="text1"/>
          <w:sz w:val="22"/>
          <w:szCs w:val="22"/>
          <w:lang w:val="en-GB"/>
        </w:rPr>
        <w:lastRenderedPageBreak/>
        <w:t xml:space="preserve">The draft law </w:t>
      </w:r>
      <w:r w:rsidR="00B51958">
        <w:rPr>
          <w:rFonts w:ascii="Gill Sans" w:hAnsi="Gill Sans" w:cs="Gill Sans"/>
          <w:color w:val="000000" w:themeColor="text1"/>
          <w:sz w:val="22"/>
          <w:szCs w:val="22"/>
          <w:lang w:val="en-GB"/>
        </w:rPr>
        <w:t>identifies</w:t>
      </w:r>
      <w:r w:rsidR="00B51958" w:rsidRPr="00C80450">
        <w:rPr>
          <w:rFonts w:ascii="Gill Sans" w:hAnsi="Gill Sans" w:cs="Gill Sans"/>
          <w:color w:val="000000" w:themeColor="text1"/>
          <w:sz w:val="22"/>
          <w:szCs w:val="22"/>
          <w:lang w:val="en-GB"/>
        </w:rPr>
        <w:t xml:space="preserve"> </w:t>
      </w:r>
      <w:r w:rsidRPr="00C80450">
        <w:rPr>
          <w:rFonts w:ascii="Gill Sans" w:hAnsi="Gill Sans" w:cs="Gill Sans"/>
          <w:color w:val="000000" w:themeColor="text1"/>
          <w:sz w:val="22"/>
          <w:szCs w:val="22"/>
          <w:lang w:val="en-GB"/>
        </w:rPr>
        <w:t>the ombudsman as an oversight authority for access to information</w:t>
      </w:r>
      <w:r w:rsidR="00423ED9">
        <w:rPr>
          <w:rFonts w:ascii="Gill Sans" w:hAnsi="Gill Sans" w:cs="Gill Sans"/>
          <w:color w:val="000000" w:themeColor="text1"/>
          <w:sz w:val="22"/>
          <w:szCs w:val="22"/>
          <w:lang w:val="en-GB"/>
        </w:rPr>
        <w:t>,</w:t>
      </w:r>
      <w:r w:rsidRPr="00C80450">
        <w:rPr>
          <w:rFonts w:ascii="Gill Sans" w:hAnsi="Gill Sans" w:cs="Gill Sans"/>
          <w:color w:val="000000" w:themeColor="text1"/>
          <w:sz w:val="22"/>
          <w:szCs w:val="22"/>
          <w:lang w:val="en-GB"/>
        </w:rPr>
        <w:t xml:space="preserve"> and assigns a range of powers</w:t>
      </w:r>
      <w:r w:rsidR="00423ED9">
        <w:rPr>
          <w:rFonts w:ascii="Gill Sans" w:hAnsi="Gill Sans" w:cs="Gill Sans"/>
          <w:color w:val="000000" w:themeColor="text1"/>
          <w:sz w:val="22"/>
          <w:szCs w:val="22"/>
          <w:lang w:val="en-GB"/>
        </w:rPr>
        <w:t xml:space="preserve"> to that office</w:t>
      </w:r>
      <w:r w:rsidRPr="00C80450">
        <w:rPr>
          <w:rFonts w:ascii="Gill Sans" w:hAnsi="Gill Sans" w:cs="Gill Sans"/>
          <w:color w:val="000000" w:themeColor="text1"/>
          <w:sz w:val="22"/>
          <w:szCs w:val="22"/>
          <w:lang w:val="en-GB"/>
        </w:rPr>
        <w:t xml:space="preserve">. </w:t>
      </w:r>
      <w:r w:rsidR="00423ED9">
        <w:rPr>
          <w:rFonts w:ascii="Gill Sans" w:hAnsi="Gill Sans" w:cs="Gill Sans"/>
          <w:color w:val="000000" w:themeColor="text1"/>
          <w:sz w:val="22"/>
          <w:szCs w:val="22"/>
          <w:lang w:val="en-GB"/>
        </w:rPr>
        <w:t>Those p</w:t>
      </w:r>
      <w:r w:rsidRPr="00C80450">
        <w:rPr>
          <w:rFonts w:ascii="Gill Sans" w:hAnsi="Gill Sans" w:cs="Gill Sans"/>
          <w:color w:val="000000" w:themeColor="text1"/>
          <w:sz w:val="22"/>
          <w:szCs w:val="22"/>
          <w:lang w:val="en-GB"/>
        </w:rPr>
        <w:t>owers include receiv</w:t>
      </w:r>
      <w:r w:rsidR="00423ED9">
        <w:rPr>
          <w:rFonts w:ascii="Gill Sans" w:hAnsi="Gill Sans" w:cs="Gill Sans"/>
          <w:color w:val="000000" w:themeColor="text1"/>
          <w:sz w:val="22"/>
          <w:szCs w:val="22"/>
          <w:lang w:val="en-GB"/>
        </w:rPr>
        <w:t>ing</w:t>
      </w:r>
      <w:r w:rsidRPr="00C80450">
        <w:rPr>
          <w:rFonts w:ascii="Gill Sans" w:hAnsi="Gill Sans" w:cs="Gill Sans"/>
          <w:color w:val="000000" w:themeColor="text1"/>
          <w:sz w:val="22"/>
          <w:szCs w:val="22"/>
          <w:lang w:val="en-GB"/>
        </w:rPr>
        <w:t xml:space="preserve"> and review</w:t>
      </w:r>
      <w:r w:rsidR="00423ED9">
        <w:rPr>
          <w:rFonts w:ascii="Gill Sans" w:hAnsi="Gill Sans" w:cs="Gill Sans"/>
          <w:color w:val="000000" w:themeColor="text1"/>
          <w:sz w:val="22"/>
          <w:szCs w:val="22"/>
          <w:lang w:val="en-GB"/>
        </w:rPr>
        <w:t>ing</w:t>
      </w:r>
      <w:r w:rsidRPr="00C80450">
        <w:rPr>
          <w:rFonts w:ascii="Gill Sans" w:hAnsi="Gill Sans" w:cs="Gill Sans"/>
          <w:color w:val="000000" w:themeColor="text1"/>
          <w:sz w:val="22"/>
          <w:szCs w:val="22"/>
          <w:lang w:val="en-GB"/>
        </w:rPr>
        <w:t xml:space="preserve"> complaints on access to information violations</w:t>
      </w:r>
      <w:r w:rsidR="00423ED9">
        <w:rPr>
          <w:rFonts w:ascii="Gill Sans" w:hAnsi="Gill Sans" w:cs="Gill Sans"/>
          <w:color w:val="000000" w:themeColor="text1"/>
          <w:sz w:val="22"/>
          <w:szCs w:val="22"/>
          <w:lang w:val="en-GB"/>
        </w:rPr>
        <w:t>;</w:t>
      </w:r>
      <w:r w:rsidRPr="00352741">
        <w:rPr>
          <w:rFonts w:ascii="Gill Sans" w:hAnsi="Gill Sans" w:cs="Gill Sans"/>
          <w:color w:val="000000" w:themeColor="text1"/>
          <w:sz w:val="22"/>
          <w:szCs w:val="22"/>
          <w:lang w:val="en-GB"/>
        </w:rPr>
        <w:t xml:space="preserve"> obtain</w:t>
      </w:r>
      <w:r w:rsidR="00423ED9">
        <w:rPr>
          <w:rFonts w:ascii="Gill Sans" w:hAnsi="Gill Sans" w:cs="Gill Sans"/>
          <w:color w:val="000000" w:themeColor="text1"/>
          <w:sz w:val="22"/>
          <w:szCs w:val="22"/>
          <w:lang w:val="en-GB"/>
        </w:rPr>
        <w:t>ing</w:t>
      </w:r>
      <w:r w:rsidRPr="00352741">
        <w:rPr>
          <w:rFonts w:ascii="Gill Sans" w:hAnsi="Gill Sans" w:cs="Gill Sans"/>
          <w:color w:val="000000" w:themeColor="text1"/>
          <w:sz w:val="22"/>
          <w:szCs w:val="22"/>
          <w:lang w:val="en-GB"/>
        </w:rPr>
        <w:t xml:space="preserve"> any information (documents) from any party</w:t>
      </w:r>
      <w:r w:rsidR="00423ED9">
        <w:rPr>
          <w:rFonts w:ascii="Gill Sans" w:hAnsi="Gill Sans" w:cs="Gill Sans"/>
          <w:color w:val="000000" w:themeColor="text1"/>
          <w:sz w:val="22"/>
          <w:szCs w:val="22"/>
          <w:lang w:val="en-GB"/>
        </w:rPr>
        <w:t>,</w:t>
      </w:r>
      <w:r w:rsidRPr="00352741">
        <w:rPr>
          <w:rFonts w:ascii="Gill Sans" w:hAnsi="Gill Sans" w:cs="Gill Sans"/>
          <w:color w:val="000000" w:themeColor="text1"/>
          <w:sz w:val="22"/>
          <w:szCs w:val="22"/>
          <w:lang w:val="en-GB"/>
        </w:rPr>
        <w:t xml:space="preserve"> including classified information</w:t>
      </w:r>
      <w:r w:rsidR="00423ED9">
        <w:rPr>
          <w:rFonts w:ascii="Gill Sans" w:hAnsi="Gill Sans" w:cs="Gill Sans"/>
          <w:color w:val="000000" w:themeColor="text1"/>
          <w:sz w:val="22"/>
          <w:szCs w:val="22"/>
          <w:lang w:val="en-GB"/>
        </w:rPr>
        <w:t>;</w:t>
      </w:r>
      <w:r w:rsidRPr="00352741">
        <w:rPr>
          <w:rFonts w:ascii="Gill Sans" w:hAnsi="Gill Sans" w:cs="Gill Sans"/>
          <w:color w:val="000000" w:themeColor="text1"/>
          <w:sz w:val="22"/>
          <w:szCs w:val="22"/>
          <w:lang w:val="en-GB"/>
        </w:rPr>
        <w:t xml:space="preserve"> obtain</w:t>
      </w:r>
      <w:r w:rsidR="00423ED9">
        <w:rPr>
          <w:rFonts w:ascii="Gill Sans" w:hAnsi="Gill Sans" w:cs="Gill Sans"/>
          <w:color w:val="000000" w:themeColor="text1"/>
          <w:sz w:val="22"/>
          <w:szCs w:val="22"/>
          <w:lang w:val="en-GB"/>
        </w:rPr>
        <w:t>ing</w:t>
      </w:r>
      <w:r w:rsidRPr="00352741">
        <w:rPr>
          <w:rFonts w:ascii="Gill Sans" w:hAnsi="Gill Sans" w:cs="Gill Sans"/>
          <w:color w:val="000000" w:themeColor="text1"/>
          <w:sz w:val="22"/>
          <w:szCs w:val="22"/>
          <w:lang w:val="en-GB"/>
        </w:rPr>
        <w:t xml:space="preserve"> explanation and other evidence</w:t>
      </w:r>
      <w:r w:rsidR="00423ED9">
        <w:rPr>
          <w:rFonts w:ascii="Gill Sans" w:hAnsi="Gill Sans" w:cs="Gill Sans"/>
          <w:color w:val="000000" w:themeColor="text1"/>
          <w:sz w:val="22"/>
          <w:szCs w:val="22"/>
          <w:lang w:val="en-GB"/>
        </w:rPr>
        <w:t>;</w:t>
      </w:r>
      <w:r w:rsidRPr="00352741">
        <w:rPr>
          <w:rFonts w:ascii="Gill Sans" w:hAnsi="Gill Sans" w:cs="Gill Sans"/>
          <w:color w:val="000000" w:themeColor="text1"/>
          <w:sz w:val="22"/>
          <w:szCs w:val="22"/>
          <w:lang w:val="en-GB"/>
        </w:rPr>
        <w:t xml:space="preserve"> </w:t>
      </w:r>
      <w:r w:rsidR="00423ED9">
        <w:rPr>
          <w:rFonts w:ascii="Gill Sans" w:hAnsi="Gill Sans" w:cs="Gill Sans"/>
          <w:color w:val="000000" w:themeColor="text1"/>
          <w:sz w:val="22"/>
          <w:szCs w:val="22"/>
          <w:lang w:val="en-GB"/>
        </w:rPr>
        <w:t xml:space="preserve">and </w:t>
      </w:r>
      <w:r w:rsidRPr="00352741">
        <w:rPr>
          <w:rFonts w:ascii="Gill Sans" w:hAnsi="Gill Sans" w:cs="Gill Sans"/>
          <w:color w:val="000000" w:themeColor="text1"/>
          <w:sz w:val="22"/>
          <w:szCs w:val="22"/>
          <w:lang w:val="en-GB"/>
        </w:rPr>
        <w:t>issu</w:t>
      </w:r>
      <w:r w:rsidR="00423ED9">
        <w:rPr>
          <w:rFonts w:ascii="Gill Sans" w:hAnsi="Gill Sans" w:cs="Gill Sans"/>
          <w:color w:val="000000" w:themeColor="text1"/>
          <w:sz w:val="22"/>
          <w:szCs w:val="22"/>
          <w:lang w:val="en-GB"/>
        </w:rPr>
        <w:t>ing</w:t>
      </w:r>
      <w:r w:rsidRPr="00352741">
        <w:rPr>
          <w:rFonts w:ascii="Gill Sans" w:hAnsi="Gill Sans" w:cs="Gill Sans"/>
          <w:color w:val="000000" w:themeColor="text1"/>
          <w:sz w:val="22"/>
          <w:szCs w:val="22"/>
          <w:lang w:val="en-GB"/>
        </w:rPr>
        <w:t xml:space="preserve"> binding decisions on the disclosure of requested information or on addressing any other violation of the access to information legislation. Decisions of the ombudsman in this regard will be executed by the bailiff’s service</w:t>
      </w:r>
      <w:r w:rsidR="00B51958">
        <w:rPr>
          <w:rFonts w:ascii="Gill Sans" w:hAnsi="Gill Sans" w:cs="Gill Sans"/>
          <w:color w:val="000000" w:themeColor="text1"/>
          <w:sz w:val="22"/>
          <w:szCs w:val="22"/>
          <w:lang w:val="en-GB"/>
        </w:rPr>
        <w:t>, much</w:t>
      </w:r>
      <w:r w:rsidRPr="00352741">
        <w:rPr>
          <w:rFonts w:ascii="Gill Sans" w:hAnsi="Gill Sans" w:cs="Gill Sans"/>
          <w:color w:val="000000" w:themeColor="text1"/>
          <w:sz w:val="22"/>
          <w:szCs w:val="22"/>
          <w:lang w:val="en-GB"/>
        </w:rPr>
        <w:t xml:space="preserve"> like a court decision.</w:t>
      </w:r>
    </w:p>
    <w:p w14:paraId="03951CA4" w14:textId="0BE7C6C5" w:rsidR="00352741" w:rsidRDefault="00423ED9" w:rsidP="00423ED9">
      <w:pPr>
        <w:spacing w:after="120"/>
        <w:rPr>
          <w:rFonts w:ascii="Gill Sans" w:hAnsi="Gill Sans" w:cs="Gill Sans"/>
          <w:noProof/>
          <w:sz w:val="22"/>
          <w:szCs w:val="22"/>
          <w:lang w:val="en-GB"/>
        </w:rPr>
      </w:pPr>
      <w:r>
        <w:rPr>
          <w:rFonts w:ascii="Gill Sans" w:hAnsi="Gill Sans" w:cs="Gill Sans"/>
          <w:noProof/>
          <w:sz w:val="22"/>
          <w:szCs w:val="22"/>
          <w:lang w:val="en-GB"/>
        </w:rPr>
        <w:t>As written, t</w:t>
      </w:r>
      <w:r w:rsidR="00352741">
        <w:rPr>
          <w:rFonts w:ascii="Gill Sans" w:hAnsi="Gill Sans" w:cs="Gill Sans"/>
          <w:noProof/>
          <w:sz w:val="22"/>
          <w:szCs w:val="22"/>
          <w:lang w:val="en-GB"/>
        </w:rPr>
        <w:t>he commitment</w:t>
      </w:r>
      <w:r w:rsidR="00EC0B53">
        <w:rPr>
          <w:rFonts w:ascii="Gill Sans" w:hAnsi="Gill Sans" w:cs="Gill Sans"/>
          <w:noProof/>
          <w:sz w:val="22"/>
          <w:szCs w:val="22"/>
          <w:lang w:val="en-GB"/>
        </w:rPr>
        <w:t xml:space="preserve"> was complete at the midterm</w:t>
      </w:r>
      <w:r>
        <w:rPr>
          <w:rFonts w:ascii="Gill Sans" w:hAnsi="Gill Sans" w:cs="Gill Sans"/>
          <w:noProof/>
          <w:sz w:val="22"/>
          <w:szCs w:val="22"/>
          <w:lang w:val="en-GB"/>
        </w:rPr>
        <w:t>. This is</w:t>
      </w:r>
      <w:r w:rsidR="00EC0B53">
        <w:rPr>
          <w:rFonts w:ascii="Gill Sans" w:hAnsi="Gill Sans" w:cs="Gill Sans"/>
          <w:noProof/>
          <w:sz w:val="22"/>
          <w:szCs w:val="22"/>
          <w:lang w:val="en-GB"/>
        </w:rPr>
        <w:t xml:space="preserve"> </w:t>
      </w:r>
      <w:r w:rsidR="00352741">
        <w:rPr>
          <w:rFonts w:ascii="Gill Sans" w:hAnsi="Gill Sans" w:cs="Gill Sans"/>
          <w:noProof/>
          <w:sz w:val="22"/>
          <w:szCs w:val="22"/>
          <w:lang w:val="en-GB"/>
        </w:rPr>
        <w:t xml:space="preserve">because </w:t>
      </w:r>
      <w:r w:rsidR="00EC0B53">
        <w:rPr>
          <w:rFonts w:ascii="Gill Sans" w:hAnsi="Gill Sans" w:cs="Gill Sans"/>
          <w:noProof/>
          <w:sz w:val="22"/>
          <w:szCs w:val="22"/>
          <w:lang w:val="en-GB"/>
        </w:rPr>
        <w:t>the</w:t>
      </w:r>
      <w:r w:rsidR="00352741">
        <w:rPr>
          <w:rFonts w:ascii="Gill Sans" w:hAnsi="Gill Sans" w:cs="Gill Sans"/>
          <w:noProof/>
          <w:sz w:val="22"/>
          <w:szCs w:val="22"/>
          <w:lang w:val="en-GB"/>
        </w:rPr>
        <w:t xml:space="preserve"> scope</w:t>
      </w:r>
      <w:r w:rsidR="00EC0B53">
        <w:rPr>
          <w:rFonts w:ascii="Gill Sans" w:hAnsi="Gill Sans" w:cs="Gill Sans"/>
          <w:noProof/>
          <w:sz w:val="22"/>
          <w:szCs w:val="22"/>
          <w:lang w:val="en-GB"/>
        </w:rPr>
        <w:t xml:space="preserve"> of the commitment</w:t>
      </w:r>
      <w:r w:rsidR="00352741">
        <w:rPr>
          <w:rFonts w:ascii="Gill Sans" w:hAnsi="Gill Sans" w:cs="Gill Sans"/>
          <w:noProof/>
          <w:sz w:val="22"/>
          <w:szCs w:val="22"/>
          <w:lang w:val="en-GB"/>
        </w:rPr>
        <w:t xml:space="preserve"> did not include adoption or enforcement of the law. </w:t>
      </w:r>
      <w:r w:rsidR="009B1671">
        <w:rPr>
          <w:rFonts w:ascii="Gill Sans" w:hAnsi="Gill Sans" w:cs="Gill Sans"/>
          <w:noProof/>
          <w:sz w:val="22"/>
          <w:szCs w:val="22"/>
          <w:lang w:val="en-GB"/>
        </w:rPr>
        <w:t>Since the midterm</w:t>
      </w:r>
      <w:r>
        <w:rPr>
          <w:rFonts w:ascii="Gill Sans" w:hAnsi="Gill Sans" w:cs="Gill Sans"/>
          <w:noProof/>
          <w:sz w:val="22"/>
          <w:szCs w:val="22"/>
          <w:lang w:val="en-GB"/>
        </w:rPr>
        <w:t>,</w:t>
      </w:r>
      <w:r w:rsidR="009B1671">
        <w:rPr>
          <w:rFonts w:ascii="Gill Sans" w:hAnsi="Gill Sans" w:cs="Gill Sans"/>
          <w:noProof/>
          <w:sz w:val="22"/>
          <w:szCs w:val="22"/>
          <w:lang w:val="en-GB"/>
        </w:rPr>
        <w:t xml:space="preserve"> there has been no further</w:t>
      </w:r>
      <w:r w:rsidR="00352741">
        <w:rPr>
          <w:rFonts w:ascii="Gill Sans" w:hAnsi="Gill Sans" w:cs="Gill Sans"/>
          <w:noProof/>
          <w:sz w:val="22"/>
          <w:szCs w:val="22"/>
          <w:lang w:val="en-GB"/>
        </w:rPr>
        <w:t xml:space="preserve"> progress </w:t>
      </w:r>
      <w:r w:rsidR="009B1671">
        <w:rPr>
          <w:rFonts w:ascii="Gill Sans" w:hAnsi="Gill Sans" w:cs="Gill Sans"/>
          <w:noProof/>
          <w:sz w:val="22"/>
          <w:szCs w:val="22"/>
          <w:lang w:val="en-GB"/>
        </w:rPr>
        <w:t>on</w:t>
      </w:r>
      <w:r w:rsidR="00352741">
        <w:rPr>
          <w:rFonts w:ascii="Gill Sans" w:hAnsi="Gill Sans" w:cs="Gill Sans"/>
          <w:noProof/>
          <w:sz w:val="22"/>
          <w:szCs w:val="22"/>
          <w:lang w:val="en-GB"/>
        </w:rPr>
        <w:t xml:space="preserve"> the draft law in parliament</w:t>
      </w:r>
      <w:r w:rsidR="009B1671">
        <w:rPr>
          <w:rFonts w:ascii="Gill Sans" w:hAnsi="Gill Sans" w:cs="Gill Sans"/>
          <w:noProof/>
          <w:sz w:val="22"/>
          <w:szCs w:val="22"/>
          <w:lang w:val="en-GB"/>
        </w:rPr>
        <w:t>.</w:t>
      </w:r>
      <w:r w:rsidR="00352741">
        <w:rPr>
          <w:rFonts w:ascii="Gill Sans" w:hAnsi="Gill Sans" w:cs="Gill Sans"/>
          <w:noProof/>
          <w:sz w:val="22"/>
          <w:szCs w:val="22"/>
          <w:lang w:val="en-GB"/>
        </w:rPr>
        <w:t xml:space="preserve"> </w:t>
      </w:r>
      <w:r w:rsidR="00C80450">
        <w:rPr>
          <w:rFonts w:ascii="Gill Sans" w:hAnsi="Gill Sans" w:cs="Gill Sans"/>
          <w:noProof/>
          <w:sz w:val="22"/>
          <w:szCs w:val="22"/>
          <w:lang w:val="en-GB"/>
        </w:rPr>
        <w:t xml:space="preserve"> </w:t>
      </w:r>
    </w:p>
    <w:p w14:paraId="2D4B0486" w14:textId="77777777" w:rsidR="00E366DA" w:rsidRPr="00BB3451" w:rsidRDefault="00E366DA" w:rsidP="006319F4">
      <w:pPr>
        <w:pStyle w:val="Heading3"/>
      </w:pPr>
      <w:r w:rsidRPr="00BB3451">
        <w:t>Did it open government?</w:t>
      </w:r>
    </w:p>
    <w:p w14:paraId="31F947FF" w14:textId="132F7E2D" w:rsidR="00E366DA" w:rsidRDefault="00E366DA" w:rsidP="00163080">
      <w:pPr>
        <w:rPr>
          <w:rFonts w:ascii="Gill Sans" w:hAnsi="Gill Sans" w:cs="Gill Sans"/>
          <w:b/>
          <w:color w:val="000000" w:themeColor="text1"/>
          <w:sz w:val="22"/>
          <w:szCs w:val="22"/>
          <w:lang w:val="en-GB"/>
        </w:rPr>
      </w:pPr>
      <w:r w:rsidRPr="00BB3451">
        <w:rPr>
          <w:rFonts w:ascii="Gill Sans" w:hAnsi="Gill Sans" w:cs="Gill Sans"/>
          <w:b/>
          <w:color w:val="000000" w:themeColor="text1"/>
          <w:sz w:val="22"/>
          <w:szCs w:val="22"/>
          <w:lang w:val="en-GB"/>
        </w:rPr>
        <w:t xml:space="preserve">Access to information: </w:t>
      </w:r>
      <w:r w:rsidR="00C80450">
        <w:rPr>
          <w:rFonts w:ascii="Gill Sans" w:hAnsi="Gill Sans" w:cs="Gill Sans"/>
          <w:b/>
          <w:color w:val="000000" w:themeColor="text1"/>
          <w:sz w:val="22"/>
          <w:szCs w:val="22"/>
          <w:lang w:val="en-GB"/>
        </w:rPr>
        <w:t>Did not change</w:t>
      </w:r>
    </w:p>
    <w:p w14:paraId="0D9375D5" w14:textId="112B8A5D" w:rsidR="00C80450" w:rsidRDefault="00785D88" w:rsidP="00E366DA">
      <w:pPr>
        <w:spacing w:after="120"/>
        <w:rPr>
          <w:rFonts w:ascii="Gill Sans" w:hAnsi="Gill Sans" w:cs="Gill Sans"/>
          <w:b/>
          <w:color w:val="000000" w:themeColor="text1"/>
          <w:sz w:val="22"/>
          <w:szCs w:val="22"/>
          <w:lang w:val="en-GB"/>
        </w:rPr>
      </w:pPr>
      <w:r>
        <w:rPr>
          <w:rFonts w:ascii="Gill Sans" w:hAnsi="Gill Sans" w:cs="Gill Sans"/>
          <w:b/>
          <w:color w:val="000000" w:themeColor="text1"/>
          <w:sz w:val="22"/>
          <w:szCs w:val="22"/>
          <w:lang w:val="en-GB"/>
        </w:rPr>
        <w:t>Public accountability: Did not change</w:t>
      </w:r>
    </w:p>
    <w:p w14:paraId="7C457181" w14:textId="53D563E1" w:rsidR="00881A53" w:rsidRPr="000477EF" w:rsidRDefault="00785D88" w:rsidP="00D807A4">
      <w:pPr>
        <w:spacing w:after="120"/>
        <w:rPr>
          <w:rFonts w:ascii="Gill Sans" w:hAnsi="Gill Sans" w:cs="Gill Sans"/>
          <w:sz w:val="22"/>
          <w:szCs w:val="22"/>
        </w:rPr>
      </w:pPr>
      <w:r w:rsidRPr="000477EF">
        <w:rPr>
          <w:rFonts w:ascii="Gill Sans" w:hAnsi="Gill Sans" w:cs="Gill Sans"/>
          <w:sz w:val="22"/>
          <w:szCs w:val="22"/>
        </w:rPr>
        <w:t>The law was not adopted and</w:t>
      </w:r>
      <w:r w:rsidR="00423ED9">
        <w:rPr>
          <w:rFonts w:ascii="Gill Sans" w:hAnsi="Gill Sans" w:cs="Gill Sans"/>
          <w:sz w:val="22"/>
          <w:szCs w:val="22"/>
        </w:rPr>
        <w:t>,</w:t>
      </w:r>
      <w:r w:rsidRPr="000477EF">
        <w:rPr>
          <w:rFonts w:ascii="Gill Sans" w:hAnsi="Gill Sans" w:cs="Gill Sans"/>
          <w:sz w:val="22"/>
          <w:szCs w:val="22"/>
        </w:rPr>
        <w:t xml:space="preserve"> as such</w:t>
      </w:r>
      <w:r w:rsidR="00423ED9">
        <w:rPr>
          <w:rFonts w:ascii="Gill Sans" w:hAnsi="Gill Sans" w:cs="Gill Sans"/>
          <w:sz w:val="22"/>
          <w:szCs w:val="22"/>
        </w:rPr>
        <w:t>,</w:t>
      </w:r>
      <w:r w:rsidRPr="000477EF">
        <w:rPr>
          <w:rFonts w:ascii="Gill Sans" w:hAnsi="Gill Sans" w:cs="Gill Sans"/>
          <w:sz w:val="22"/>
          <w:szCs w:val="22"/>
        </w:rPr>
        <w:t xml:space="preserve"> </w:t>
      </w:r>
      <w:r w:rsidR="00FE3A8F">
        <w:rPr>
          <w:rFonts w:ascii="Gill Sans" w:hAnsi="Gill Sans" w:cs="Gill Sans"/>
          <w:sz w:val="22"/>
          <w:szCs w:val="22"/>
        </w:rPr>
        <w:t>did</w:t>
      </w:r>
      <w:r w:rsidR="00FE3A8F" w:rsidRPr="000477EF">
        <w:rPr>
          <w:rFonts w:ascii="Gill Sans" w:hAnsi="Gill Sans" w:cs="Gill Sans"/>
          <w:sz w:val="22"/>
          <w:szCs w:val="22"/>
        </w:rPr>
        <w:t xml:space="preserve"> </w:t>
      </w:r>
      <w:r w:rsidRPr="000477EF">
        <w:rPr>
          <w:rFonts w:ascii="Gill Sans" w:hAnsi="Gill Sans" w:cs="Gill Sans"/>
          <w:sz w:val="22"/>
          <w:szCs w:val="22"/>
        </w:rPr>
        <w:t xml:space="preserve">not change the status of government practice. </w:t>
      </w:r>
      <w:r w:rsidR="00881A53" w:rsidRPr="000477EF">
        <w:rPr>
          <w:rFonts w:ascii="Gill Sans" w:hAnsi="Gill Sans" w:cs="Gill Sans"/>
          <w:sz w:val="22"/>
          <w:szCs w:val="22"/>
        </w:rPr>
        <w:t>If adopted</w:t>
      </w:r>
      <w:r w:rsidR="00423ED9">
        <w:rPr>
          <w:rFonts w:ascii="Gill Sans" w:hAnsi="Gill Sans" w:cs="Gill Sans"/>
          <w:sz w:val="22"/>
          <w:szCs w:val="22"/>
        </w:rPr>
        <w:t>,</w:t>
      </w:r>
      <w:r w:rsidR="00881A53" w:rsidRPr="000477EF">
        <w:rPr>
          <w:rFonts w:ascii="Gill Sans" w:hAnsi="Gill Sans" w:cs="Gill Sans"/>
          <w:sz w:val="22"/>
          <w:szCs w:val="22"/>
        </w:rPr>
        <w:t xml:space="preserve"> </w:t>
      </w:r>
      <w:r w:rsidR="00191326" w:rsidRPr="000477EF">
        <w:rPr>
          <w:rFonts w:ascii="Gill Sans" w:hAnsi="Gill Sans" w:cs="Gill Sans"/>
          <w:sz w:val="22"/>
          <w:szCs w:val="22"/>
        </w:rPr>
        <w:t xml:space="preserve">it </w:t>
      </w:r>
      <w:r w:rsidR="001D183B">
        <w:rPr>
          <w:rFonts w:ascii="Gill Sans" w:hAnsi="Gill Sans" w:cs="Gill Sans"/>
          <w:sz w:val="22"/>
          <w:szCs w:val="22"/>
        </w:rPr>
        <w:t>c</w:t>
      </w:r>
      <w:r w:rsidR="00191326" w:rsidRPr="000477EF">
        <w:rPr>
          <w:rFonts w:ascii="Gill Sans" w:hAnsi="Gill Sans" w:cs="Gill Sans"/>
          <w:sz w:val="22"/>
          <w:szCs w:val="22"/>
        </w:rPr>
        <w:t xml:space="preserve">ould have </w:t>
      </w:r>
      <w:r w:rsidR="00D807A4">
        <w:rPr>
          <w:rFonts w:ascii="Gill Sans" w:hAnsi="Gill Sans" w:cs="Gill Sans"/>
          <w:sz w:val="22"/>
          <w:szCs w:val="22"/>
        </w:rPr>
        <w:t>a significant impact in terms of</w:t>
      </w:r>
      <w:r w:rsidR="00191565">
        <w:rPr>
          <w:rFonts w:ascii="Gill Sans" w:hAnsi="Gill Sans" w:cs="Gill Sans"/>
          <w:sz w:val="22"/>
          <w:szCs w:val="22"/>
        </w:rPr>
        <w:t xml:space="preserve"> </w:t>
      </w:r>
      <w:r w:rsidR="00881A53" w:rsidRPr="000477EF">
        <w:rPr>
          <w:rFonts w:ascii="Gill Sans" w:hAnsi="Gill Sans" w:cs="Gill Sans"/>
          <w:sz w:val="22"/>
          <w:szCs w:val="22"/>
          <w:lang w:val="en-GB"/>
        </w:rPr>
        <w:t>strengthen</w:t>
      </w:r>
      <w:r w:rsidR="00191326" w:rsidRPr="000477EF">
        <w:rPr>
          <w:rFonts w:ascii="Gill Sans" w:hAnsi="Gill Sans" w:cs="Gill Sans"/>
          <w:sz w:val="22"/>
          <w:szCs w:val="22"/>
          <w:lang w:val="en-GB"/>
        </w:rPr>
        <w:t>ing</w:t>
      </w:r>
      <w:r w:rsidR="00881A53" w:rsidRPr="000477EF">
        <w:rPr>
          <w:rFonts w:ascii="Gill Sans" w:hAnsi="Gill Sans" w:cs="Gill Sans"/>
          <w:sz w:val="22"/>
          <w:szCs w:val="22"/>
          <w:lang w:val="en-GB"/>
        </w:rPr>
        <w:t xml:space="preserve"> enforcement of the right of access to information in Ukraine</w:t>
      </w:r>
      <w:r w:rsidR="00191326" w:rsidRPr="000477EF">
        <w:rPr>
          <w:rFonts w:ascii="Gill Sans" w:hAnsi="Gill Sans" w:cs="Gill Sans"/>
          <w:sz w:val="22"/>
          <w:szCs w:val="22"/>
          <w:lang w:val="en-GB"/>
        </w:rPr>
        <w:t>.</w:t>
      </w:r>
      <w:r w:rsidR="00881A53" w:rsidRPr="000477EF">
        <w:rPr>
          <w:rFonts w:ascii="Gill Sans" w:hAnsi="Gill Sans" w:cs="Gill Sans"/>
          <w:sz w:val="22"/>
          <w:szCs w:val="22"/>
          <w:lang w:val="en-GB"/>
        </w:rPr>
        <w:t xml:space="preserve"> </w:t>
      </w:r>
      <w:r w:rsidR="009B1671">
        <w:rPr>
          <w:rFonts w:ascii="Gill Sans" w:hAnsi="Gill Sans" w:cs="Gill Sans"/>
          <w:sz w:val="22"/>
          <w:szCs w:val="22"/>
          <w:lang w:val="en-GB"/>
        </w:rPr>
        <w:t>Citizens continue to face limited options for challenging access to information restrictions through a</w:t>
      </w:r>
      <w:r w:rsidR="00881A53" w:rsidRPr="000477EF">
        <w:rPr>
          <w:rFonts w:ascii="Gill Sans" w:hAnsi="Gill Sans" w:cs="Gill Sans"/>
          <w:sz w:val="22"/>
          <w:szCs w:val="22"/>
          <w:lang w:val="en-GB"/>
        </w:rPr>
        <w:t>dministrative appeal</w:t>
      </w:r>
      <w:r w:rsidR="009B1671">
        <w:rPr>
          <w:rFonts w:ascii="Gill Sans" w:hAnsi="Gill Sans" w:cs="Gill Sans"/>
          <w:sz w:val="22"/>
          <w:szCs w:val="22"/>
          <w:lang w:val="en-GB"/>
        </w:rPr>
        <w:t xml:space="preserve">s </w:t>
      </w:r>
      <w:r w:rsidR="00881A53" w:rsidRPr="000477EF">
        <w:rPr>
          <w:rFonts w:ascii="Gill Sans" w:hAnsi="Gill Sans" w:cs="Gill Sans"/>
          <w:sz w:val="22"/>
          <w:szCs w:val="22"/>
          <w:lang w:val="en-GB"/>
        </w:rPr>
        <w:t>to the public agency that violated the access rights</w:t>
      </w:r>
      <w:r w:rsidR="009B1671">
        <w:rPr>
          <w:rFonts w:ascii="Gill Sans" w:hAnsi="Gill Sans" w:cs="Gill Sans"/>
          <w:sz w:val="22"/>
          <w:szCs w:val="22"/>
          <w:lang w:val="en-GB"/>
        </w:rPr>
        <w:t>.</w:t>
      </w:r>
      <w:r w:rsidR="00881A53" w:rsidRPr="000477EF">
        <w:rPr>
          <w:rFonts w:ascii="Gill Sans" w:hAnsi="Gill Sans" w:cs="Gill Sans"/>
          <w:sz w:val="22"/>
          <w:szCs w:val="22"/>
          <w:lang w:val="en-GB"/>
        </w:rPr>
        <w:t xml:space="preserve"> </w:t>
      </w:r>
      <w:r w:rsidR="009B1671">
        <w:rPr>
          <w:rFonts w:ascii="Gill Sans" w:hAnsi="Gill Sans" w:cs="Gill Sans"/>
          <w:sz w:val="22"/>
          <w:szCs w:val="22"/>
          <w:lang w:val="en-GB"/>
        </w:rPr>
        <w:t>Appeals to a</w:t>
      </w:r>
      <w:r w:rsidR="00881A53" w:rsidRPr="000477EF">
        <w:rPr>
          <w:rFonts w:ascii="Gill Sans" w:hAnsi="Gill Sans" w:cs="Gill Sans"/>
          <w:sz w:val="22"/>
          <w:szCs w:val="22"/>
          <w:lang w:val="en-GB"/>
        </w:rPr>
        <w:t xml:space="preserve"> superior administrative agency ha</w:t>
      </w:r>
      <w:r w:rsidR="009B1671">
        <w:rPr>
          <w:rFonts w:ascii="Gill Sans" w:hAnsi="Gill Sans" w:cs="Gill Sans"/>
          <w:sz w:val="22"/>
          <w:szCs w:val="22"/>
          <w:lang w:val="en-GB"/>
        </w:rPr>
        <w:t>ve also</w:t>
      </w:r>
      <w:r w:rsidR="00881A53" w:rsidRPr="000477EF">
        <w:rPr>
          <w:rFonts w:ascii="Gill Sans" w:hAnsi="Gill Sans" w:cs="Gill Sans"/>
          <w:sz w:val="22"/>
          <w:szCs w:val="22"/>
          <w:lang w:val="en-GB"/>
        </w:rPr>
        <w:t xml:space="preserve"> proved ineffective, while judicial appeal</w:t>
      </w:r>
      <w:r w:rsidR="009B1671">
        <w:rPr>
          <w:rFonts w:ascii="Gill Sans" w:hAnsi="Gill Sans" w:cs="Gill Sans"/>
          <w:sz w:val="22"/>
          <w:szCs w:val="22"/>
          <w:lang w:val="en-GB"/>
        </w:rPr>
        <w:t>s</w:t>
      </w:r>
      <w:r w:rsidR="00881A53" w:rsidRPr="000477EF">
        <w:rPr>
          <w:rFonts w:ascii="Gill Sans" w:hAnsi="Gill Sans" w:cs="Gill Sans"/>
          <w:sz w:val="22"/>
          <w:szCs w:val="22"/>
          <w:lang w:val="en-GB"/>
        </w:rPr>
        <w:t xml:space="preserve"> </w:t>
      </w:r>
      <w:r w:rsidR="009B1671">
        <w:rPr>
          <w:rFonts w:ascii="Gill Sans" w:hAnsi="Gill Sans" w:cs="Gill Sans"/>
          <w:sz w:val="22"/>
          <w:szCs w:val="22"/>
          <w:lang w:val="en-GB"/>
        </w:rPr>
        <w:t>are</w:t>
      </w:r>
      <w:r w:rsidR="009B1671" w:rsidRPr="000477EF">
        <w:rPr>
          <w:rFonts w:ascii="Gill Sans" w:hAnsi="Gill Sans" w:cs="Gill Sans"/>
          <w:sz w:val="22"/>
          <w:szCs w:val="22"/>
          <w:lang w:val="en-GB"/>
        </w:rPr>
        <w:t xml:space="preserve"> </w:t>
      </w:r>
      <w:r w:rsidR="00881A53" w:rsidRPr="000477EF">
        <w:rPr>
          <w:rFonts w:ascii="Gill Sans" w:hAnsi="Gill Sans" w:cs="Gill Sans"/>
          <w:sz w:val="22"/>
          <w:szCs w:val="22"/>
          <w:lang w:val="en-GB"/>
        </w:rPr>
        <w:t xml:space="preserve">time consuming and costly. The </w:t>
      </w:r>
      <w:r w:rsidR="009B1671">
        <w:rPr>
          <w:rFonts w:ascii="Gill Sans" w:hAnsi="Gill Sans" w:cs="Gill Sans"/>
          <w:sz w:val="22"/>
          <w:szCs w:val="22"/>
          <w:lang w:val="en-GB"/>
        </w:rPr>
        <w:t>supervisory mechanism envisioned by th</w:t>
      </w:r>
      <w:r w:rsidR="00E1289A">
        <w:rPr>
          <w:rFonts w:ascii="Gill Sans" w:hAnsi="Gill Sans" w:cs="Gill Sans"/>
          <w:sz w:val="22"/>
          <w:szCs w:val="22"/>
          <w:lang w:val="en-GB"/>
        </w:rPr>
        <w:t xml:space="preserve">e draft law </w:t>
      </w:r>
      <w:r w:rsidR="00191326" w:rsidRPr="000477EF">
        <w:rPr>
          <w:rFonts w:ascii="Gill Sans" w:hAnsi="Gill Sans" w:cs="Gill Sans"/>
          <w:sz w:val="22"/>
          <w:szCs w:val="22"/>
          <w:lang w:val="en-GB"/>
        </w:rPr>
        <w:t>would</w:t>
      </w:r>
      <w:r w:rsidR="00881A53" w:rsidRPr="000477EF">
        <w:rPr>
          <w:rFonts w:ascii="Gill Sans" w:hAnsi="Gill Sans" w:cs="Gill Sans"/>
          <w:sz w:val="22"/>
          <w:szCs w:val="22"/>
          <w:lang w:val="en-GB"/>
        </w:rPr>
        <w:t xml:space="preserve"> fill this gap</w:t>
      </w:r>
      <w:r w:rsidR="00191326" w:rsidRPr="000477EF">
        <w:rPr>
          <w:rFonts w:ascii="Gill Sans" w:hAnsi="Gill Sans" w:cs="Gill Sans"/>
          <w:sz w:val="22"/>
          <w:szCs w:val="22"/>
          <w:lang w:val="en-GB"/>
        </w:rPr>
        <w:t xml:space="preserve"> </w:t>
      </w:r>
      <w:r w:rsidR="00E1289A">
        <w:rPr>
          <w:rFonts w:ascii="Gill Sans" w:hAnsi="Gill Sans" w:cs="Gill Sans"/>
          <w:sz w:val="22"/>
          <w:szCs w:val="22"/>
          <w:lang w:val="en-GB"/>
        </w:rPr>
        <w:t xml:space="preserve">if it were passed into law. </w:t>
      </w:r>
    </w:p>
    <w:p w14:paraId="4D3BAB01" w14:textId="77777777" w:rsidR="00E366DA" w:rsidRPr="000477EF" w:rsidRDefault="00E366DA" w:rsidP="006319F4">
      <w:pPr>
        <w:pStyle w:val="Heading3"/>
      </w:pPr>
      <w:r w:rsidRPr="000477EF">
        <w:t>Carried forward?</w:t>
      </w:r>
    </w:p>
    <w:p w14:paraId="447CF447" w14:textId="537D6BD4" w:rsidR="00E366DA" w:rsidRDefault="00E366DA" w:rsidP="00F00809">
      <w:pPr>
        <w:spacing w:after="120"/>
        <w:rPr>
          <w:noProof/>
          <w:lang w:val="en-GB"/>
        </w:rPr>
      </w:pPr>
      <w:r w:rsidRPr="000477EF">
        <w:rPr>
          <w:rFonts w:ascii="Gill Sans" w:hAnsi="Gill Sans" w:cs="Gill Sans"/>
          <w:sz w:val="22"/>
          <w:szCs w:val="22"/>
        </w:rPr>
        <w:t>The commitment was not carried over to the new action plan.</w:t>
      </w:r>
      <w:r w:rsidR="000477EF" w:rsidRPr="000477EF">
        <w:rPr>
          <w:rFonts w:ascii="Gill Sans" w:hAnsi="Gill Sans" w:cs="Gill Sans"/>
          <w:sz w:val="22"/>
          <w:szCs w:val="22"/>
        </w:rPr>
        <w:t xml:space="preserve"> </w:t>
      </w:r>
      <w:r w:rsidR="000477EF" w:rsidRPr="000477EF">
        <w:rPr>
          <w:rFonts w:ascii="Gill Sans" w:hAnsi="Gill Sans" w:cs="Gill Sans"/>
          <w:sz w:val="22"/>
          <w:szCs w:val="22"/>
          <w:lang w:val="en-GB"/>
        </w:rPr>
        <w:t xml:space="preserve">The IRM researcher recommends adopting as soon as possible the draft law pending in </w:t>
      </w:r>
      <w:r w:rsidR="00D807A4">
        <w:rPr>
          <w:rFonts w:ascii="Gill Sans" w:hAnsi="Gill Sans" w:cs="Gill Sans"/>
          <w:sz w:val="22"/>
          <w:szCs w:val="22"/>
          <w:lang w:val="en-GB"/>
        </w:rPr>
        <w:t>P</w:t>
      </w:r>
      <w:r w:rsidR="000477EF" w:rsidRPr="000477EF">
        <w:rPr>
          <w:rFonts w:ascii="Gill Sans" w:hAnsi="Gill Sans" w:cs="Gill Sans"/>
          <w:sz w:val="22"/>
          <w:szCs w:val="22"/>
          <w:lang w:val="en-GB"/>
        </w:rPr>
        <w:t>arliament</w:t>
      </w:r>
      <w:r w:rsidR="00D807A4">
        <w:rPr>
          <w:rFonts w:ascii="Gill Sans" w:hAnsi="Gill Sans" w:cs="Gill Sans"/>
          <w:sz w:val="22"/>
          <w:szCs w:val="22"/>
          <w:lang w:val="en-GB"/>
        </w:rPr>
        <w:t>,</w:t>
      </w:r>
      <w:r w:rsidR="000477EF" w:rsidRPr="000477EF">
        <w:rPr>
          <w:rFonts w:ascii="Gill Sans" w:hAnsi="Gill Sans" w:cs="Gill Sans"/>
          <w:sz w:val="22"/>
          <w:szCs w:val="22"/>
          <w:lang w:val="en-GB"/>
        </w:rPr>
        <w:t xml:space="preserve"> and ensuring its implementation. The draft law will vest significant additional powers and responsibilities </w:t>
      </w:r>
      <w:r w:rsidR="00B51958">
        <w:rPr>
          <w:rFonts w:ascii="Gill Sans" w:hAnsi="Gill Sans" w:cs="Gill Sans"/>
          <w:sz w:val="22"/>
          <w:szCs w:val="22"/>
          <w:lang w:val="en-GB"/>
        </w:rPr>
        <w:t>in</w:t>
      </w:r>
      <w:r w:rsidR="00B51958" w:rsidRPr="000477EF">
        <w:rPr>
          <w:rFonts w:ascii="Gill Sans" w:hAnsi="Gill Sans" w:cs="Gill Sans"/>
          <w:sz w:val="22"/>
          <w:szCs w:val="22"/>
          <w:lang w:val="en-GB"/>
        </w:rPr>
        <w:t xml:space="preserve"> </w:t>
      </w:r>
      <w:r w:rsidR="000477EF" w:rsidRPr="000477EF">
        <w:rPr>
          <w:rFonts w:ascii="Gill Sans" w:hAnsi="Gill Sans" w:cs="Gill Sans"/>
          <w:sz w:val="22"/>
          <w:szCs w:val="22"/>
          <w:lang w:val="en-GB"/>
        </w:rPr>
        <w:t>the ombudsman office, which should be matched with commensurate resources. The government will need to ensure that relevant funding is allocated in the state budget</w:t>
      </w:r>
      <w:r w:rsidR="00EC24A3">
        <w:rPr>
          <w:rFonts w:ascii="Gill Sans" w:hAnsi="Gill Sans" w:cs="Gill Sans"/>
          <w:sz w:val="22"/>
          <w:szCs w:val="22"/>
          <w:lang w:val="en-GB"/>
        </w:rPr>
        <w:t>,</w:t>
      </w:r>
      <w:r w:rsidR="000477EF" w:rsidRPr="000477EF">
        <w:rPr>
          <w:rFonts w:ascii="Gill Sans" w:hAnsi="Gill Sans" w:cs="Gill Sans"/>
          <w:sz w:val="22"/>
          <w:szCs w:val="22"/>
          <w:lang w:val="en-GB"/>
        </w:rPr>
        <w:t xml:space="preserve"> and that the ombudsman has </w:t>
      </w:r>
      <w:r w:rsidR="00EC24A3">
        <w:rPr>
          <w:rFonts w:ascii="Gill Sans" w:hAnsi="Gill Sans" w:cs="Gill Sans"/>
          <w:sz w:val="22"/>
          <w:szCs w:val="22"/>
          <w:lang w:val="en-GB"/>
        </w:rPr>
        <w:t xml:space="preserve">the </w:t>
      </w:r>
      <w:r w:rsidR="000477EF" w:rsidRPr="000477EF">
        <w:rPr>
          <w:rFonts w:ascii="Gill Sans" w:hAnsi="Gill Sans" w:cs="Gill Sans"/>
          <w:sz w:val="22"/>
          <w:szCs w:val="22"/>
          <w:lang w:val="en-GB"/>
        </w:rPr>
        <w:t xml:space="preserve">necessary human and other capacities to implement the law and process complaints related to alleged violations of </w:t>
      </w:r>
      <w:r w:rsidR="00B51958">
        <w:rPr>
          <w:rFonts w:ascii="Gill Sans" w:hAnsi="Gill Sans" w:cs="Gill Sans"/>
          <w:sz w:val="22"/>
          <w:szCs w:val="22"/>
          <w:lang w:val="en-GB"/>
        </w:rPr>
        <w:t xml:space="preserve">the </w:t>
      </w:r>
      <w:r w:rsidR="000477EF" w:rsidRPr="000477EF">
        <w:rPr>
          <w:rFonts w:ascii="Gill Sans" w:hAnsi="Gill Sans" w:cs="Gill Sans"/>
          <w:sz w:val="22"/>
          <w:szCs w:val="22"/>
          <w:lang w:val="en-GB"/>
        </w:rPr>
        <w:t>access to information legislation.</w:t>
      </w:r>
      <w:r w:rsidR="000477EF">
        <w:rPr>
          <w:rFonts w:ascii="Gill Sans" w:hAnsi="Gill Sans" w:cs="Gill Sans"/>
          <w:sz w:val="22"/>
          <w:szCs w:val="22"/>
          <w:lang w:val="en-GB"/>
        </w:rPr>
        <w:t xml:space="preserve"> </w:t>
      </w:r>
      <w:r w:rsidR="000477EF" w:rsidRPr="000477EF">
        <w:rPr>
          <w:rFonts w:ascii="Gill Sans" w:hAnsi="Gill Sans" w:cs="Gill Sans"/>
          <w:sz w:val="22"/>
          <w:szCs w:val="22"/>
          <w:lang w:val="en-GB"/>
        </w:rPr>
        <w:t>In the midterm, public authorities should</w:t>
      </w:r>
      <w:r w:rsidR="000477EF">
        <w:rPr>
          <w:rFonts w:ascii="Gill Sans" w:hAnsi="Gill Sans" w:cs="Gill Sans"/>
          <w:sz w:val="22"/>
          <w:szCs w:val="22"/>
          <w:lang w:val="en-GB"/>
        </w:rPr>
        <w:t xml:space="preserve"> </w:t>
      </w:r>
      <w:r w:rsidR="000477EF" w:rsidRPr="000477EF">
        <w:rPr>
          <w:rFonts w:ascii="Gill Sans" w:hAnsi="Gill Sans" w:cs="Gill Sans"/>
          <w:sz w:val="22"/>
          <w:szCs w:val="22"/>
          <w:lang w:val="en-GB"/>
        </w:rPr>
        <w:t>explore the possibility of amending the Constitution of Ukraine to allow the establishment of a stand-alone oversight agency with enforcement powers to relieve the ombudsman of this function. Such an agency could also oversee respect for the right of personal data protection, which is often related to access to information.</w:t>
      </w:r>
      <w:r w:rsidR="005B031B">
        <w:rPr>
          <w:noProof/>
          <w:lang w:val="en-GB"/>
        </w:rPr>
        <w:t xml:space="preserve">   </w:t>
      </w:r>
    </w:p>
    <w:p w14:paraId="3CF779CA" w14:textId="77777777" w:rsidR="0014384C" w:rsidRDefault="0014384C">
      <w:pPr>
        <w:rPr>
          <w:noProof/>
          <w:lang w:val="en-GB"/>
        </w:rPr>
        <w:sectPr w:rsidR="0014384C" w:rsidSect="002A2966">
          <w:endnotePr>
            <w:numFmt w:val="decimal"/>
            <w:numRestart w:val="eachSect"/>
          </w:endnotePr>
          <w:pgSz w:w="11907" w:h="16839" w:code="9"/>
          <w:pgMar w:top="1417" w:right="1417" w:bottom="1417" w:left="1417" w:header="0" w:footer="0" w:gutter="0"/>
          <w:cols w:space="708"/>
          <w:docGrid w:linePitch="360"/>
        </w:sectPr>
      </w:pPr>
    </w:p>
    <w:p w14:paraId="3523F719" w14:textId="4A596F11" w:rsidR="0014384C" w:rsidRPr="00BB3451" w:rsidRDefault="007C5980" w:rsidP="0014384C">
      <w:pPr>
        <w:pStyle w:val="Normalrglronly"/>
        <w:rPr>
          <w:b/>
          <w:lang w:val="en-GB"/>
        </w:rPr>
      </w:pPr>
      <w:r>
        <w:rPr>
          <w:b/>
          <w:lang w:val="en-GB"/>
        </w:rPr>
        <w:lastRenderedPageBreak/>
        <w:t>8</w:t>
      </w:r>
      <w:r w:rsidR="0014384C">
        <w:rPr>
          <w:b/>
          <w:lang w:val="en-GB"/>
        </w:rPr>
        <w:t>.</w:t>
      </w:r>
      <w:r w:rsidR="0014384C" w:rsidRPr="00BB3451">
        <w:rPr>
          <w:b/>
          <w:lang w:val="en-GB"/>
        </w:rPr>
        <w:t xml:space="preserve"> </w:t>
      </w:r>
      <w:r w:rsidRPr="007C5980">
        <w:rPr>
          <w:b/>
          <w:lang w:val="en-GB"/>
        </w:rPr>
        <w:t>EITI Compliance</w:t>
      </w:r>
    </w:p>
    <w:p w14:paraId="572216C6" w14:textId="181B472C" w:rsidR="006D5E20" w:rsidRPr="006D5E20" w:rsidRDefault="00EC24A3" w:rsidP="006D5E20">
      <w:pPr>
        <w:spacing w:after="120"/>
        <w:rPr>
          <w:rFonts w:ascii="Gill Sans" w:hAnsi="Gill Sans" w:cs="Gill Sans"/>
          <w:i/>
          <w:noProof/>
          <w:sz w:val="22"/>
          <w:szCs w:val="22"/>
          <w:lang w:val="en-GB"/>
        </w:rPr>
      </w:pPr>
      <w:r w:rsidRPr="00163080">
        <w:rPr>
          <w:rFonts w:ascii="Gill Sans" w:hAnsi="Gill Sans" w:cs="Gill Sans"/>
          <w:b/>
          <w:bCs/>
          <w:iCs/>
          <w:noProof/>
          <w:sz w:val="22"/>
          <w:szCs w:val="22"/>
          <w:lang w:val="en-GB"/>
        </w:rPr>
        <w:t>Co</w:t>
      </w:r>
      <w:r w:rsidR="00184D0F" w:rsidRPr="00163080">
        <w:rPr>
          <w:rFonts w:ascii="Gill Sans" w:hAnsi="Gill Sans" w:cs="Gill Sans"/>
          <w:b/>
          <w:bCs/>
          <w:iCs/>
          <w:noProof/>
          <w:sz w:val="22"/>
          <w:szCs w:val="22"/>
          <w:lang w:val="en-GB"/>
        </w:rPr>
        <w:t>mmitment Text:</w:t>
      </w:r>
      <w:r w:rsidR="00184D0F">
        <w:rPr>
          <w:rFonts w:ascii="Gill Sans" w:hAnsi="Gill Sans" w:cs="Gill Sans"/>
          <w:i/>
          <w:noProof/>
          <w:sz w:val="22"/>
          <w:szCs w:val="22"/>
          <w:lang w:val="en-GB"/>
        </w:rPr>
        <w:t xml:space="preserve"> </w:t>
      </w:r>
      <w:r w:rsidR="006D5E20" w:rsidRPr="006D5E20">
        <w:rPr>
          <w:rFonts w:ascii="Gill Sans" w:hAnsi="Gill Sans" w:cs="Gill Sans"/>
          <w:i/>
          <w:noProof/>
          <w:sz w:val="22"/>
          <w:szCs w:val="22"/>
          <w:lang w:val="en-GB"/>
        </w:rPr>
        <w:t>8. Taking measures for Ukraine to obtain the status of compliance with the Extractive Industries Transparency Initiative standards</w:t>
      </w:r>
      <w:r w:rsidR="00184D0F">
        <w:rPr>
          <w:rFonts w:ascii="Gill Sans" w:hAnsi="Gill Sans" w:cs="Gill Sans"/>
          <w:i/>
          <w:noProof/>
          <w:sz w:val="22"/>
          <w:szCs w:val="22"/>
          <w:lang w:val="en-GB"/>
        </w:rPr>
        <w:t>.</w:t>
      </w:r>
    </w:p>
    <w:p w14:paraId="51D0918E" w14:textId="69861542" w:rsidR="006D5E20" w:rsidRPr="006D5E20" w:rsidRDefault="006D5E20" w:rsidP="006D5E20">
      <w:pPr>
        <w:spacing w:after="120"/>
        <w:rPr>
          <w:rFonts w:ascii="Gill Sans" w:hAnsi="Gill Sans" w:cs="Gill Sans"/>
          <w:i/>
          <w:noProof/>
          <w:sz w:val="22"/>
          <w:szCs w:val="22"/>
          <w:lang w:val="en-GB"/>
        </w:rPr>
      </w:pPr>
      <w:r w:rsidRPr="006D5E20">
        <w:rPr>
          <w:rFonts w:ascii="Gill Sans" w:hAnsi="Gill Sans" w:cs="Gill Sans"/>
          <w:i/>
          <w:noProof/>
          <w:sz w:val="22"/>
          <w:szCs w:val="22"/>
          <w:lang w:val="en-GB"/>
        </w:rPr>
        <w:t xml:space="preserve">Expected result: </w:t>
      </w:r>
      <w:r w:rsidRPr="006D5E20">
        <w:rPr>
          <w:rFonts w:ascii="Gill Sans" w:hAnsi="Gill Sans" w:cs="Gill Sans"/>
          <w:i/>
          <w:sz w:val="22"/>
          <w:szCs w:val="22"/>
          <w:lang w:val="en-GB"/>
        </w:rPr>
        <w:t>national legal framework brought into conformity with the EITI standard; a report in Ukrainian and in a foreign language prepared according to the above-mentioned standard</w:t>
      </w:r>
      <w:r w:rsidR="00184D0F">
        <w:rPr>
          <w:rFonts w:ascii="Gill Sans" w:hAnsi="Gill Sans" w:cs="Gill Sans"/>
          <w:i/>
          <w:sz w:val="22"/>
          <w:szCs w:val="22"/>
          <w:lang w:val="en-GB"/>
        </w:rPr>
        <w:t>.</w:t>
      </w:r>
    </w:p>
    <w:p w14:paraId="496CD671" w14:textId="57EA809B" w:rsidR="006D5E20" w:rsidRPr="006D5E20" w:rsidRDefault="006D5E20" w:rsidP="006D5E20">
      <w:pPr>
        <w:spacing w:after="120"/>
        <w:rPr>
          <w:rFonts w:ascii="Gill Sans" w:hAnsi="Gill Sans" w:cs="Gill Sans"/>
          <w:i/>
          <w:noProof/>
          <w:sz w:val="22"/>
          <w:szCs w:val="22"/>
          <w:lang w:val="en-GB"/>
        </w:rPr>
      </w:pPr>
      <w:r w:rsidRPr="006D5E20">
        <w:rPr>
          <w:rFonts w:ascii="Gill Sans" w:hAnsi="Gill Sans" w:cs="Gill Sans"/>
          <w:sz w:val="22"/>
          <w:szCs w:val="22"/>
          <w:lang w:val="en-GB"/>
        </w:rPr>
        <w:t>Lead institution</w:t>
      </w:r>
      <w:r w:rsidR="00184D0F">
        <w:rPr>
          <w:rFonts w:ascii="Gill Sans" w:hAnsi="Gill Sans" w:cs="Gill Sans"/>
          <w:sz w:val="22"/>
          <w:szCs w:val="22"/>
          <w:lang w:val="en-GB"/>
        </w:rPr>
        <w:t>(s)</w:t>
      </w:r>
      <w:r w:rsidRPr="006D5E20">
        <w:rPr>
          <w:rFonts w:ascii="Gill Sans" w:hAnsi="Gill Sans" w:cs="Gill Sans"/>
          <w:sz w:val="22"/>
          <w:szCs w:val="22"/>
          <w:lang w:val="en-GB"/>
        </w:rPr>
        <w:t>:</w:t>
      </w:r>
      <w:r w:rsidRPr="006D5E20">
        <w:rPr>
          <w:rFonts w:ascii="Gill Sans" w:hAnsi="Gill Sans" w:cs="Gill Sans"/>
          <w:noProof/>
          <w:sz w:val="22"/>
          <w:szCs w:val="22"/>
          <w:lang w:val="en-GB"/>
        </w:rPr>
        <w:t xml:space="preserve"> Ministry of Energy</w:t>
      </w:r>
    </w:p>
    <w:p w14:paraId="6F6B8F6E" w14:textId="7DD4D8A8" w:rsidR="006D5E20" w:rsidRPr="006D5E20" w:rsidRDefault="006D5E20" w:rsidP="006D5E20">
      <w:pPr>
        <w:spacing w:after="120"/>
        <w:rPr>
          <w:rFonts w:ascii="Gill Sans" w:hAnsi="Gill Sans" w:cs="Gill Sans"/>
          <w:noProof/>
          <w:sz w:val="22"/>
          <w:szCs w:val="22"/>
          <w:lang w:val="en-GB"/>
        </w:rPr>
      </w:pPr>
      <w:r w:rsidRPr="006D5E20">
        <w:rPr>
          <w:rFonts w:ascii="Gill Sans" w:hAnsi="Gill Sans" w:cs="Gill Sans"/>
          <w:sz w:val="22"/>
          <w:szCs w:val="22"/>
          <w:lang w:val="en-GB"/>
        </w:rPr>
        <w:t>Supporting institution</w:t>
      </w:r>
      <w:r w:rsidR="00184D0F">
        <w:rPr>
          <w:rFonts w:ascii="Gill Sans" w:hAnsi="Gill Sans" w:cs="Gill Sans"/>
          <w:sz w:val="22"/>
          <w:szCs w:val="22"/>
          <w:lang w:val="en-GB"/>
        </w:rPr>
        <w:t>(</w:t>
      </w:r>
      <w:r w:rsidRPr="006D5E20">
        <w:rPr>
          <w:rFonts w:ascii="Gill Sans" w:hAnsi="Gill Sans" w:cs="Gill Sans"/>
          <w:sz w:val="22"/>
          <w:szCs w:val="22"/>
          <w:lang w:val="en-GB"/>
        </w:rPr>
        <w:t>s</w:t>
      </w:r>
      <w:r w:rsidR="00184D0F">
        <w:rPr>
          <w:rFonts w:ascii="Gill Sans" w:hAnsi="Gill Sans" w:cs="Gill Sans"/>
          <w:sz w:val="22"/>
          <w:szCs w:val="22"/>
          <w:lang w:val="en-GB"/>
        </w:rPr>
        <w:t>)</w:t>
      </w:r>
      <w:r w:rsidRPr="006D5E20">
        <w:rPr>
          <w:rFonts w:ascii="Gill Sans" w:hAnsi="Gill Sans" w:cs="Gill Sans"/>
          <w:sz w:val="22"/>
          <w:szCs w:val="22"/>
          <w:lang w:val="en-GB"/>
        </w:rPr>
        <w:t xml:space="preserve">: </w:t>
      </w:r>
      <w:r w:rsidRPr="006D5E20">
        <w:rPr>
          <w:rFonts w:ascii="Gill Sans" w:hAnsi="Gill Sans" w:cs="Gill Sans"/>
          <w:noProof/>
          <w:sz w:val="22"/>
          <w:szCs w:val="22"/>
          <w:lang w:val="en-GB"/>
        </w:rPr>
        <w:t>Ministry of Economic Development, Ministry of Finance, Ministry of Ecology and Natural Resources, International Renaissance Foundation, NGO Dixie Group, NGO Kyiv International Energy Club Q-Club, NGO Analytical Centre of Regional Cooperation, the international initiative “Publish What You Pay,” other unspecified NGOs and international organisations</w:t>
      </w:r>
    </w:p>
    <w:p w14:paraId="0C6A5BC3" w14:textId="65A79791" w:rsidR="006D5E20" w:rsidRPr="00D307EB" w:rsidRDefault="006D5E20" w:rsidP="00163080">
      <w:pPr>
        <w:rPr>
          <w:lang w:val="en-GB"/>
        </w:rPr>
      </w:pPr>
      <w:r w:rsidRPr="006D5E20">
        <w:rPr>
          <w:rFonts w:ascii="Gill Sans" w:hAnsi="Gill Sans" w:cs="Gill Sans"/>
          <w:noProof/>
          <w:sz w:val="22"/>
          <w:szCs w:val="22"/>
          <w:lang w:val="en-GB"/>
        </w:rPr>
        <w:t xml:space="preserve">Start </w:t>
      </w:r>
      <w:r w:rsidR="00184D0F">
        <w:rPr>
          <w:rFonts w:ascii="Gill Sans" w:hAnsi="Gill Sans" w:cs="Gill Sans"/>
          <w:noProof/>
          <w:sz w:val="22"/>
          <w:szCs w:val="22"/>
          <w:lang w:val="en-GB"/>
        </w:rPr>
        <w:t>D</w:t>
      </w:r>
      <w:r w:rsidRPr="006D5E20">
        <w:rPr>
          <w:rFonts w:ascii="Gill Sans" w:hAnsi="Gill Sans" w:cs="Gill Sans"/>
          <w:noProof/>
          <w:sz w:val="22"/>
          <w:szCs w:val="22"/>
          <w:lang w:val="en-GB"/>
        </w:rPr>
        <w:t xml:space="preserve">ate: Not specified </w:t>
      </w:r>
      <w:r w:rsidRPr="006D5E20">
        <w:rPr>
          <w:rFonts w:ascii="Gill Sans" w:hAnsi="Gill Sans" w:cs="Gill Sans"/>
          <w:noProof/>
          <w:sz w:val="22"/>
          <w:szCs w:val="22"/>
          <w:lang w:val="en-GB"/>
        </w:rPr>
        <w:tab/>
      </w:r>
      <w:r w:rsidRPr="006D5E20">
        <w:rPr>
          <w:rFonts w:ascii="Gill Sans" w:hAnsi="Gill Sans" w:cs="Gill Sans"/>
          <w:noProof/>
          <w:sz w:val="22"/>
          <w:szCs w:val="22"/>
          <w:lang w:val="en-GB"/>
        </w:rPr>
        <w:tab/>
      </w:r>
      <w:r w:rsidRPr="006D5E20">
        <w:rPr>
          <w:rFonts w:ascii="Gill Sans" w:hAnsi="Gill Sans" w:cs="Gill Sans"/>
          <w:noProof/>
          <w:sz w:val="22"/>
          <w:szCs w:val="22"/>
          <w:lang w:val="en-GB"/>
        </w:rPr>
        <w:tab/>
      </w:r>
      <w:r w:rsidR="0020660D">
        <w:rPr>
          <w:rFonts w:ascii="Gill Sans" w:hAnsi="Gill Sans" w:cs="Gill Sans"/>
          <w:noProof/>
          <w:sz w:val="22"/>
          <w:szCs w:val="22"/>
          <w:lang w:val="en-GB"/>
        </w:rPr>
        <w:tab/>
      </w:r>
      <w:r w:rsidR="0020660D">
        <w:rPr>
          <w:rFonts w:ascii="Gill Sans" w:hAnsi="Gill Sans" w:cs="Gill Sans"/>
          <w:noProof/>
          <w:sz w:val="22"/>
          <w:szCs w:val="22"/>
          <w:lang w:val="en-GB"/>
        </w:rPr>
        <w:tab/>
      </w:r>
      <w:r w:rsidRPr="006D5E20">
        <w:rPr>
          <w:rFonts w:ascii="Gill Sans" w:hAnsi="Gill Sans" w:cs="Gill Sans"/>
          <w:noProof/>
          <w:sz w:val="22"/>
          <w:szCs w:val="22"/>
          <w:lang w:val="en-GB"/>
        </w:rPr>
        <w:t xml:space="preserve">End </w:t>
      </w:r>
      <w:r w:rsidR="00184D0F">
        <w:rPr>
          <w:rFonts w:ascii="Gill Sans" w:hAnsi="Gill Sans" w:cs="Gill Sans"/>
          <w:noProof/>
          <w:sz w:val="22"/>
          <w:szCs w:val="22"/>
          <w:lang w:val="en-GB"/>
        </w:rPr>
        <w:t>D</w:t>
      </w:r>
      <w:r w:rsidRPr="006D5E20">
        <w:rPr>
          <w:rFonts w:ascii="Gill Sans" w:hAnsi="Gill Sans" w:cs="Gill Sans"/>
          <w:noProof/>
          <w:sz w:val="22"/>
          <w:szCs w:val="22"/>
          <w:lang w:val="en-GB"/>
        </w:rPr>
        <w:t>ate: 31 December 2015</w:t>
      </w:r>
    </w:p>
    <w:p w14:paraId="2F29890E" w14:textId="1420359C" w:rsidR="0014384C" w:rsidRPr="00C04A67" w:rsidRDefault="0014384C" w:rsidP="0014384C">
      <w:pPr>
        <w:spacing w:after="120"/>
        <w:rPr>
          <w:rFonts w:ascii="Gill Sans" w:hAnsi="Gill Sans" w:cs="Gill Sans"/>
          <w:noProof/>
          <w:sz w:val="22"/>
          <w:szCs w:val="22"/>
          <w:lang w:val="en-GB"/>
        </w:rPr>
      </w:pPr>
    </w:p>
    <w:tbl>
      <w:tblPr>
        <w:tblpPr w:leftFromText="180" w:rightFromText="180" w:vertAnchor="page" w:horzAnchor="page" w:tblpX="1270" w:tblpY="540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57"/>
        <w:gridCol w:w="356"/>
        <w:gridCol w:w="356"/>
        <w:gridCol w:w="444"/>
        <w:gridCol w:w="444"/>
        <w:gridCol w:w="356"/>
        <w:gridCol w:w="356"/>
        <w:gridCol w:w="880"/>
        <w:gridCol w:w="356"/>
        <w:gridCol w:w="356"/>
        <w:gridCol w:w="356"/>
        <w:gridCol w:w="356"/>
        <w:gridCol w:w="531"/>
        <w:gridCol w:w="531"/>
        <w:gridCol w:w="444"/>
        <w:gridCol w:w="531"/>
        <w:gridCol w:w="356"/>
        <w:gridCol w:w="356"/>
        <w:gridCol w:w="444"/>
        <w:gridCol w:w="356"/>
        <w:gridCol w:w="444"/>
      </w:tblGrid>
      <w:tr w:rsidR="0020660D" w:rsidRPr="009651AC" w14:paraId="739BE6D7" w14:textId="77777777" w:rsidTr="00B017F8">
        <w:trPr>
          <w:trHeight w:val="405"/>
        </w:trPr>
        <w:tc>
          <w:tcPr>
            <w:tcW w:w="1437" w:type="dxa"/>
            <w:vMerge w:val="restart"/>
            <w:tcBorders>
              <w:top w:val="single" w:sz="18" w:space="0" w:color="FFFFFF"/>
              <w:left w:val="single" w:sz="4" w:space="0" w:color="FFFFFF"/>
              <w:right w:val="single" w:sz="18" w:space="0" w:color="FFFFFF"/>
            </w:tcBorders>
            <w:shd w:val="clear" w:color="auto" w:fill="000000"/>
          </w:tcPr>
          <w:p w14:paraId="3E4924A8" w14:textId="77777777" w:rsidR="0020660D" w:rsidRPr="009651AC" w:rsidRDefault="0020660D" w:rsidP="00BF1742">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677BA856" w14:textId="2346F843" w:rsidR="0020660D" w:rsidRPr="009651AC" w:rsidRDefault="0020660D" w:rsidP="009B0529">
            <w:pPr>
              <w:rPr>
                <w:rFonts w:ascii="Gill Sans" w:hAnsi="Gill Sans" w:cs="Gill Sans"/>
                <w:color w:val="FFFFFF" w:themeColor="background1"/>
                <w:sz w:val="22"/>
                <w:szCs w:val="22"/>
                <w:lang w:val="en-GB"/>
              </w:rPr>
            </w:pPr>
          </w:p>
        </w:tc>
        <w:tc>
          <w:tcPr>
            <w:tcW w:w="1530" w:type="dxa"/>
            <w:gridSpan w:val="4"/>
            <w:vMerge w:val="restart"/>
            <w:tcBorders>
              <w:top w:val="single" w:sz="18" w:space="0" w:color="FFFFFF"/>
              <w:left w:val="single" w:sz="18" w:space="0" w:color="FFFFFF"/>
              <w:right w:val="single" w:sz="18" w:space="0" w:color="FFFFFF"/>
            </w:tcBorders>
            <w:shd w:val="clear" w:color="auto" w:fill="D6E3BC"/>
          </w:tcPr>
          <w:p w14:paraId="0DF5EBAC"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Specificity</w:t>
            </w:r>
          </w:p>
        </w:tc>
        <w:tc>
          <w:tcPr>
            <w:tcW w:w="2070" w:type="dxa"/>
            <w:gridSpan w:val="4"/>
            <w:vMerge w:val="restart"/>
            <w:tcBorders>
              <w:top w:val="single" w:sz="18" w:space="0" w:color="FFFFFF"/>
              <w:left w:val="single" w:sz="18" w:space="0" w:color="FFFFFF"/>
              <w:right w:val="single" w:sz="18" w:space="0" w:color="FFFFFF"/>
            </w:tcBorders>
            <w:shd w:val="clear" w:color="auto" w:fill="FBD4B4"/>
          </w:tcPr>
          <w:p w14:paraId="2E5EE5B3" w14:textId="6AD9590F"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440" w:type="dxa"/>
            <w:gridSpan w:val="4"/>
            <w:vMerge w:val="restart"/>
            <w:tcBorders>
              <w:top w:val="single" w:sz="18" w:space="0" w:color="FFFFFF"/>
              <w:left w:val="single" w:sz="18" w:space="0" w:color="FFFFFF"/>
              <w:right w:val="single" w:sz="18" w:space="0" w:color="FFFFFF"/>
            </w:tcBorders>
            <w:shd w:val="clear" w:color="auto" w:fill="CCC0D9"/>
          </w:tcPr>
          <w:p w14:paraId="099ED10F"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80" w:type="dxa"/>
            <w:gridSpan w:val="2"/>
            <w:vMerge w:val="restart"/>
            <w:tcBorders>
              <w:top w:val="single" w:sz="18" w:space="0" w:color="FFFFFF"/>
              <w:left w:val="single" w:sz="18" w:space="0" w:color="FFFFFF"/>
              <w:right w:val="single" w:sz="2" w:space="0" w:color="FFFFFF"/>
            </w:tcBorders>
            <w:shd w:val="clear" w:color="auto" w:fill="B8CCE4"/>
          </w:tcPr>
          <w:p w14:paraId="30664BED" w14:textId="77777777" w:rsidR="0020660D" w:rsidRDefault="0020660D" w:rsidP="00BF1742">
            <w:pPr>
              <w:rPr>
                <w:rFonts w:ascii="Gill Sans" w:hAnsi="Gill Sans" w:cs="Gill Sans"/>
                <w:sz w:val="22"/>
                <w:szCs w:val="22"/>
                <w:lang w:val="en-GB"/>
              </w:rPr>
            </w:pPr>
            <w:proofErr w:type="spellStart"/>
            <w:r w:rsidRPr="009651AC">
              <w:rPr>
                <w:rFonts w:ascii="Gill Sans" w:hAnsi="Gill Sans" w:cs="Gill Sans"/>
                <w:sz w:val="22"/>
                <w:szCs w:val="22"/>
                <w:lang w:val="en-GB"/>
              </w:rPr>
              <w:t>Comple</w:t>
            </w:r>
            <w:proofErr w:type="spellEnd"/>
            <w:r>
              <w:rPr>
                <w:rFonts w:ascii="Gill Sans" w:hAnsi="Gill Sans" w:cs="Gill Sans"/>
                <w:sz w:val="22"/>
                <w:szCs w:val="22"/>
                <w:lang w:val="en-GB"/>
              </w:rPr>
              <w:t>-</w:t>
            </w:r>
          </w:p>
          <w:p w14:paraId="2CC6D570" w14:textId="77777777" w:rsidR="0020660D" w:rsidRPr="009651AC" w:rsidRDefault="0020660D" w:rsidP="00BF1742">
            <w:pPr>
              <w:rPr>
                <w:rFonts w:ascii="Gill Sans" w:hAnsi="Gill Sans" w:cs="Gill Sans"/>
                <w:sz w:val="22"/>
                <w:szCs w:val="22"/>
                <w:lang w:val="en-GB"/>
              </w:rPr>
            </w:pPr>
            <w:proofErr w:type="spellStart"/>
            <w:r w:rsidRPr="009651AC">
              <w:rPr>
                <w:rFonts w:ascii="Gill Sans" w:hAnsi="Gill Sans" w:cs="Gill Sans"/>
                <w:sz w:val="22"/>
                <w:szCs w:val="22"/>
                <w:lang w:val="en-GB"/>
              </w:rPr>
              <w:t>tion</w:t>
            </w:r>
            <w:proofErr w:type="spellEnd"/>
          </w:p>
        </w:tc>
        <w:tc>
          <w:tcPr>
            <w:tcW w:w="990"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62F6EAE0"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Midterm</w:t>
            </w:r>
          </w:p>
        </w:tc>
        <w:tc>
          <w:tcPr>
            <w:tcW w:w="1980" w:type="dxa"/>
            <w:gridSpan w:val="5"/>
            <w:vMerge w:val="restart"/>
            <w:tcBorders>
              <w:top w:val="single" w:sz="18" w:space="0" w:color="FFFFFF"/>
              <w:left w:val="single" w:sz="18" w:space="0" w:color="FFFFFF"/>
              <w:right w:val="single" w:sz="18" w:space="0" w:color="FFFFFF"/>
            </w:tcBorders>
            <w:shd w:val="clear" w:color="auto" w:fill="D99594"/>
          </w:tcPr>
          <w:p w14:paraId="359D6E44" w14:textId="7434EA1F"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20660D" w:rsidRPr="009651AC" w14:paraId="1F8C3F58" w14:textId="77777777" w:rsidTr="00B017F8">
        <w:trPr>
          <w:trHeight w:val="373"/>
        </w:trPr>
        <w:tc>
          <w:tcPr>
            <w:tcW w:w="1437" w:type="dxa"/>
            <w:vMerge/>
            <w:tcBorders>
              <w:left w:val="single" w:sz="4" w:space="0" w:color="FFFFFF"/>
              <w:right w:val="single" w:sz="18" w:space="0" w:color="FFFFFF"/>
            </w:tcBorders>
            <w:shd w:val="clear" w:color="auto" w:fill="000000"/>
          </w:tcPr>
          <w:p w14:paraId="3EF3B287" w14:textId="64BCE925" w:rsidR="0020660D" w:rsidRPr="009651AC" w:rsidRDefault="0020660D" w:rsidP="009B0529">
            <w:pPr>
              <w:rPr>
                <w:rFonts w:ascii="Gill Sans" w:hAnsi="Gill Sans" w:cs="Gill Sans"/>
                <w:color w:val="FFFFFF" w:themeColor="background1"/>
                <w:sz w:val="22"/>
                <w:szCs w:val="22"/>
                <w:lang w:val="en-GB"/>
              </w:rPr>
            </w:pPr>
          </w:p>
        </w:tc>
        <w:tc>
          <w:tcPr>
            <w:tcW w:w="1530" w:type="dxa"/>
            <w:gridSpan w:val="4"/>
            <w:vMerge/>
            <w:tcBorders>
              <w:left w:val="single" w:sz="18" w:space="0" w:color="FFFFFF"/>
              <w:bottom w:val="single" w:sz="18" w:space="0" w:color="FFFFFF"/>
              <w:right w:val="single" w:sz="18" w:space="0" w:color="FFFFFF"/>
            </w:tcBorders>
            <w:shd w:val="clear" w:color="auto" w:fill="D6E3BC"/>
          </w:tcPr>
          <w:p w14:paraId="2614B897" w14:textId="77777777" w:rsidR="0020660D" w:rsidRPr="009651AC" w:rsidRDefault="0020660D" w:rsidP="00BF1742">
            <w:pPr>
              <w:rPr>
                <w:rFonts w:ascii="Gill Sans" w:hAnsi="Gill Sans" w:cs="Gill Sans"/>
                <w:sz w:val="22"/>
                <w:szCs w:val="22"/>
                <w:lang w:val="en-GB"/>
              </w:rPr>
            </w:pPr>
          </w:p>
        </w:tc>
        <w:tc>
          <w:tcPr>
            <w:tcW w:w="2070" w:type="dxa"/>
            <w:gridSpan w:val="4"/>
            <w:vMerge/>
            <w:tcBorders>
              <w:left w:val="single" w:sz="18" w:space="0" w:color="FFFFFF"/>
              <w:bottom w:val="single" w:sz="18" w:space="0" w:color="FFFFFF"/>
              <w:right w:val="single" w:sz="18" w:space="0" w:color="FFFFFF"/>
            </w:tcBorders>
            <w:shd w:val="clear" w:color="auto" w:fill="FBD4B4"/>
          </w:tcPr>
          <w:p w14:paraId="03FA40A4" w14:textId="77777777" w:rsidR="0020660D" w:rsidRPr="009651AC" w:rsidRDefault="0020660D" w:rsidP="00BF1742">
            <w:pPr>
              <w:rPr>
                <w:rFonts w:ascii="Gill Sans" w:hAnsi="Gill Sans" w:cs="Gill Sans"/>
                <w:sz w:val="22"/>
                <w:szCs w:val="22"/>
                <w:lang w:val="en-GB"/>
              </w:rPr>
            </w:pPr>
          </w:p>
        </w:tc>
        <w:tc>
          <w:tcPr>
            <w:tcW w:w="1440" w:type="dxa"/>
            <w:gridSpan w:val="4"/>
            <w:vMerge/>
            <w:tcBorders>
              <w:left w:val="single" w:sz="18" w:space="0" w:color="FFFFFF"/>
              <w:bottom w:val="single" w:sz="18" w:space="0" w:color="FFFFFF"/>
              <w:right w:val="single" w:sz="18" w:space="0" w:color="FFFFFF"/>
            </w:tcBorders>
            <w:shd w:val="clear" w:color="auto" w:fill="CCC0D9"/>
          </w:tcPr>
          <w:p w14:paraId="328E8781" w14:textId="77777777" w:rsidR="0020660D" w:rsidRPr="009651AC" w:rsidRDefault="0020660D" w:rsidP="00BF1742">
            <w:pPr>
              <w:rPr>
                <w:rFonts w:ascii="Gill Sans" w:hAnsi="Gill Sans" w:cs="Gill Sans"/>
                <w:sz w:val="22"/>
                <w:szCs w:val="22"/>
                <w:lang w:val="en-GB"/>
              </w:rPr>
            </w:pPr>
          </w:p>
        </w:tc>
        <w:tc>
          <w:tcPr>
            <w:tcW w:w="1080" w:type="dxa"/>
            <w:gridSpan w:val="2"/>
            <w:vMerge/>
            <w:tcBorders>
              <w:left w:val="single" w:sz="18" w:space="0" w:color="FFFFFF"/>
              <w:bottom w:val="single" w:sz="18" w:space="0" w:color="FFFFFF"/>
              <w:right w:val="single" w:sz="2" w:space="0" w:color="FFFFFF"/>
            </w:tcBorders>
            <w:shd w:val="clear" w:color="auto" w:fill="B8CCE4"/>
          </w:tcPr>
          <w:p w14:paraId="20F134FC" w14:textId="77777777" w:rsidR="0020660D" w:rsidRPr="009651AC" w:rsidRDefault="0020660D" w:rsidP="00BF1742">
            <w:pPr>
              <w:rPr>
                <w:rFonts w:ascii="Gill Sans" w:hAnsi="Gill Sans" w:cs="Gill Sans"/>
                <w:sz w:val="22"/>
                <w:szCs w:val="22"/>
                <w:lang w:val="en-GB"/>
              </w:rPr>
            </w:pPr>
          </w:p>
        </w:tc>
        <w:tc>
          <w:tcPr>
            <w:tcW w:w="990"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608A6835" w14:textId="2D069675"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1980" w:type="dxa"/>
            <w:gridSpan w:val="5"/>
            <w:vMerge/>
            <w:tcBorders>
              <w:left w:val="single" w:sz="18" w:space="0" w:color="FFFFFF"/>
              <w:bottom w:val="single" w:sz="18" w:space="0" w:color="FFFFFF"/>
              <w:right w:val="single" w:sz="18" w:space="0" w:color="FFFFFF"/>
            </w:tcBorders>
            <w:shd w:val="clear" w:color="auto" w:fill="D99594"/>
          </w:tcPr>
          <w:p w14:paraId="38CCB017" w14:textId="77777777" w:rsidR="0020660D" w:rsidRPr="009651AC" w:rsidRDefault="0020660D" w:rsidP="00BF1742">
            <w:pPr>
              <w:rPr>
                <w:rFonts w:ascii="Gill Sans" w:hAnsi="Gill Sans" w:cs="Gill Sans"/>
                <w:sz w:val="22"/>
                <w:szCs w:val="22"/>
                <w:lang w:val="en-GB"/>
              </w:rPr>
            </w:pPr>
          </w:p>
        </w:tc>
      </w:tr>
      <w:tr w:rsidR="0020660D" w:rsidRPr="009651AC" w14:paraId="58F3C39A" w14:textId="77777777" w:rsidTr="00B017F8">
        <w:trPr>
          <w:cantSplit/>
          <w:trHeight w:val="2336"/>
        </w:trPr>
        <w:tc>
          <w:tcPr>
            <w:tcW w:w="1437" w:type="dxa"/>
            <w:vMerge/>
            <w:tcBorders>
              <w:left w:val="single" w:sz="4" w:space="0" w:color="FFFFFF"/>
              <w:right w:val="single" w:sz="18" w:space="0" w:color="FFFFFF"/>
            </w:tcBorders>
            <w:shd w:val="clear" w:color="auto" w:fill="000000"/>
          </w:tcPr>
          <w:p w14:paraId="6266D667" w14:textId="0BC99C7B" w:rsidR="0020660D" w:rsidRPr="009651AC" w:rsidRDefault="0020660D" w:rsidP="009B0529">
            <w:pPr>
              <w:rPr>
                <w:rFonts w:ascii="Gill Sans" w:hAnsi="Gill Sans" w:cs="Gill Sans"/>
                <w:color w:val="FFFFFF" w:themeColor="background1"/>
                <w:sz w:val="22"/>
                <w:szCs w:val="22"/>
                <w:lang w:val="en-GB"/>
              </w:rPr>
            </w:pPr>
          </w:p>
        </w:tc>
        <w:tc>
          <w:tcPr>
            <w:tcW w:w="360"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1E3C198B"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02ACA119"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Low</w:t>
            </w:r>
          </w:p>
        </w:tc>
        <w:tc>
          <w:tcPr>
            <w:tcW w:w="360"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33ACE704"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Medium</w:t>
            </w:r>
          </w:p>
        </w:tc>
        <w:tc>
          <w:tcPr>
            <w:tcW w:w="450"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0B27615F"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High</w:t>
            </w:r>
          </w:p>
        </w:tc>
        <w:tc>
          <w:tcPr>
            <w:tcW w:w="45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00CF269F"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6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26096294"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6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51177FD0"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900"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0D8F2ED0"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49038E12"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286E1E55"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Minor</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238E7BE5"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2C33D1F1"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540"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5B09C48B" w14:textId="70C6CF42"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54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20C5F8F7"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Limited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65ECE7DB"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Substantial</w:t>
            </w:r>
          </w:p>
        </w:tc>
        <w:tc>
          <w:tcPr>
            <w:tcW w:w="540"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4C87AB61"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0BC67485" w14:textId="6AB2594F"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770C258" w14:textId="188D5B0D"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4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BDC945F"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Marginal</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834B149"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50"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1882473E" w14:textId="77777777" w:rsidR="0020660D" w:rsidRPr="009651AC" w:rsidRDefault="0020660D" w:rsidP="00BF1742">
            <w:pPr>
              <w:rPr>
                <w:rFonts w:ascii="Gill Sans" w:hAnsi="Gill Sans" w:cs="Gill Sans"/>
                <w:sz w:val="22"/>
                <w:szCs w:val="22"/>
                <w:lang w:val="en-GB"/>
              </w:rPr>
            </w:pPr>
            <w:r w:rsidRPr="009651AC">
              <w:rPr>
                <w:rFonts w:ascii="Gill Sans" w:hAnsi="Gill Sans" w:cs="Gill Sans"/>
                <w:sz w:val="22"/>
                <w:szCs w:val="22"/>
                <w:lang w:val="en-GB"/>
              </w:rPr>
              <w:t>Outstanding</w:t>
            </w:r>
          </w:p>
        </w:tc>
      </w:tr>
      <w:tr w:rsidR="0020660D" w:rsidRPr="009651AC" w14:paraId="731D42D0" w14:textId="77777777" w:rsidTr="00B017F8">
        <w:trPr>
          <w:trHeight w:val="340"/>
        </w:trPr>
        <w:tc>
          <w:tcPr>
            <w:tcW w:w="1437" w:type="dxa"/>
            <w:vMerge/>
            <w:tcBorders>
              <w:left w:val="single" w:sz="4" w:space="0" w:color="FFFFFF"/>
              <w:right w:val="single" w:sz="18" w:space="0" w:color="FFFFFF"/>
            </w:tcBorders>
            <w:shd w:val="clear" w:color="auto" w:fill="000000"/>
          </w:tcPr>
          <w:p w14:paraId="1AA3DFFC" w14:textId="2D8BEF75" w:rsidR="0020660D" w:rsidRPr="009651AC" w:rsidRDefault="0020660D" w:rsidP="00475D8F">
            <w:pPr>
              <w:rPr>
                <w:rFonts w:ascii="Gill Sans" w:hAnsi="Gill Sans" w:cs="Gill Sans"/>
                <w:noProof/>
                <w:color w:val="FFFFFF" w:themeColor="background1"/>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6E3BC"/>
          </w:tcPr>
          <w:p w14:paraId="1BD495C0" w14:textId="77777777" w:rsidR="0020660D" w:rsidRPr="009651AC" w:rsidRDefault="0020660D" w:rsidP="00BF1742">
            <w:pPr>
              <w:rPr>
                <w:rFonts w:ascii="Gill Sans" w:hAnsi="Gill San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6E3BC"/>
          </w:tcPr>
          <w:p w14:paraId="45819A00" w14:textId="77777777" w:rsidR="0020660D" w:rsidRPr="00DF1741" w:rsidRDefault="0020660D" w:rsidP="00BF1742">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6E3BC"/>
          </w:tcPr>
          <w:p w14:paraId="17FDD522" w14:textId="6A1DEF22" w:rsidR="0020660D" w:rsidRPr="00DF1741" w:rsidRDefault="0020660D" w:rsidP="00BF1742">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18" w:space="0" w:color="FFFFFF"/>
            </w:tcBorders>
            <w:shd w:val="clear" w:color="auto" w:fill="D6E3BC"/>
          </w:tcPr>
          <w:p w14:paraId="7FE638BD" w14:textId="05FD8682" w:rsidR="0020660D" w:rsidRPr="00DF1741" w:rsidRDefault="0020660D" w:rsidP="00BF1742">
            <w:pPr>
              <w:rPr>
                <w:rFonts w:ascii="Zapf Dingbats" w:hAnsi="Zapf Dingbats" w:cs="Gill Sans"/>
                <w:noProof/>
                <w:sz w:val="22"/>
                <w:szCs w:val="22"/>
                <w:lang w:val="en-GB"/>
              </w:rPr>
            </w:pPr>
          </w:p>
        </w:tc>
        <w:tc>
          <w:tcPr>
            <w:tcW w:w="450" w:type="dxa"/>
            <w:vMerge w:val="restart"/>
            <w:tcBorders>
              <w:top w:val="single" w:sz="18" w:space="0" w:color="FFFFFF"/>
              <w:left w:val="single" w:sz="2" w:space="0" w:color="FFFFFF"/>
              <w:right w:val="single" w:sz="2" w:space="0" w:color="FFFFFF"/>
            </w:tcBorders>
            <w:shd w:val="clear" w:color="auto" w:fill="FBD4B4"/>
          </w:tcPr>
          <w:p w14:paraId="3E1B9E20" w14:textId="77777777" w:rsidR="0020660D" w:rsidRPr="00DF1741" w:rsidRDefault="0020660D" w:rsidP="00BF1742">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2" w:space="0" w:color="FFFFFF"/>
            </w:tcBorders>
            <w:shd w:val="clear" w:color="auto" w:fill="FBD4B4"/>
          </w:tcPr>
          <w:p w14:paraId="448E0804" w14:textId="196BD740" w:rsidR="0020660D" w:rsidRPr="00DF1741" w:rsidRDefault="0020660D" w:rsidP="00BF1742">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2" w:space="0" w:color="FFFFFF"/>
            </w:tcBorders>
            <w:shd w:val="clear" w:color="auto" w:fill="FBD4B4"/>
          </w:tcPr>
          <w:p w14:paraId="17D66BDB" w14:textId="77777777" w:rsidR="0020660D" w:rsidRPr="00DF1741" w:rsidRDefault="0020660D" w:rsidP="00BF1742">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900" w:type="dxa"/>
            <w:vMerge w:val="restart"/>
            <w:tcBorders>
              <w:top w:val="single" w:sz="18" w:space="0" w:color="FFFFFF"/>
              <w:left w:val="single" w:sz="2" w:space="0" w:color="FFFFFF"/>
              <w:right w:val="single" w:sz="18" w:space="0" w:color="FFFFFF"/>
            </w:tcBorders>
            <w:shd w:val="clear" w:color="auto" w:fill="FBD4B4"/>
          </w:tcPr>
          <w:p w14:paraId="17F46157" w14:textId="77777777" w:rsidR="0020660D" w:rsidRPr="00DF1741" w:rsidRDefault="0020660D" w:rsidP="00BF1742">
            <w:pPr>
              <w:rPr>
                <w:rFonts w:ascii="Zapf Dingbats" w:hAnsi="Zapf Dingbats" w:cs="Gill Sans"/>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CCC0D9"/>
          </w:tcPr>
          <w:p w14:paraId="1547039A" w14:textId="77777777" w:rsidR="0020660D" w:rsidRPr="00DF1741" w:rsidRDefault="0020660D" w:rsidP="00BF1742">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6061D8E0" w14:textId="77777777" w:rsidR="0020660D" w:rsidRPr="00DF1741" w:rsidRDefault="0020660D" w:rsidP="00BF1742">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24C9F07A" w14:textId="709FCEA2" w:rsidR="0020660D" w:rsidRPr="00DF1741" w:rsidRDefault="0020660D" w:rsidP="00BF1742">
            <w:pPr>
              <w:rPr>
                <w:rFonts w:ascii="Zapf Dingbats" w:hAnsi="Zapf Dingbats" w:cs="Gill Sans"/>
                <w:noProof/>
                <w:sz w:val="22"/>
                <w:szCs w:val="22"/>
                <w:lang w:val="en-GB"/>
              </w:rPr>
            </w:pPr>
            <w:r w:rsidRPr="00DF1741">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18" w:space="0" w:color="FFFFFF"/>
            </w:tcBorders>
            <w:shd w:val="clear" w:color="auto" w:fill="CCC0D9"/>
          </w:tcPr>
          <w:p w14:paraId="721B4FC2" w14:textId="3DC707DA" w:rsidR="0020660D" w:rsidRPr="00DF1741" w:rsidRDefault="0020660D" w:rsidP="00BF1742">
            <w:pPr>
              <w:rPr>
                <w:rFonts w:ascii="Zapf Dingbats" w:hAnsi="Zapf Dingbats" w:cs="Gill Sans"/>
                <w:sz w:val="22"/>
                <w:szCs w:val="22"/>
                <w:lang w:val="en-GB"/>
              </w:rPr>
            </w:pPr>
          </w:p>
        </w:tc>
        <w:tc>
          <w:tcPr>
            <w:tcW w:w="540"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CCFC4B5" w14:textId="77777777" w:rsidR="0020660D" w:rsidRPr="00DF1741" w:rsidRDefault="0020660D" w:rsidP="00BF1742">
            <w:pPr>
              <w:rPr>
                <w:rFonts w:ascii="Zapf Dingbats" w:hAnsi="Zapf Dingbats" w:cs="Gill Sans"/>
                <w:sz w:val="22"/>
                <w:szCs w:val="22"/>
                <w:lang w:val="en-GB"/>
              </w:rPr>
            </w:pPr>
          </w:p>
        </w:tc>
        <w:tc>
          <w:tcPr>
            <w:tcW w:w="54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69BA17B6" w14:textId="77777777" w:rsidR="0020660D" w:rsidRPr="00DF1741" w:rsidRDefault="0020660D" w:rsidP="00BF1742">
            <w:pPr>
              <w:rPr>
                <w:rFonts w:ascii="Zapf Dingbats" w:hAnsi="Zapf Dingbats" w:cs="Gill Sans"/>
                <w:sz w:val="22"/>
                <w:szCs w:val="22"/>
                <w:lang w:val="en-GB"/>
              </w:rPr>
            </w:pPr>
          </w:p>
        </w:tc>
        <w:tc>
          <w:tcPr>
            <w:tcW w:w="45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32C97A8" w14:textId="1784F85C" w:rsidR="0020660D" w:rsidRPr="00DF1741" w:rsidRDefault="0020660D" w:rsidP="00BF1742">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540"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00C2C926" w14:textId="6338A3CE" w:rsidR="0020660D" w:rsidRPr="009651AC" w:rsidRDefault="0020660D" w:rsidP="00BF1742">
            <w:pPr>
              <w:rPr>
                <w:rFonts w:ascii="Gill Sans" w:hAnsi="Gill Sans" w:cs="Gill Sans"/>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99594"/>
          </w:tcPr>
          <w:p w14:paraId="4BAB645C" w14:textId="77777777" w:rsidR="0020660D" w:rsidRPr="009651AC" w:rsidRDefault="0020660D" w:rsidP="00BF1742">
            <w:pPr>
              <w:rPr>
                <w:rFonts w:ascii="Gill Sans" w:hAnsi="Gill San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99594"/>
          </w:tcPr>
          <w:p w14:paraId="0936080D" w14:textId="518593B3" w:rsidR="0020660D" w:rsidRPr="009651AC" w:rsidRDefault="0020660D" w:rsidP="00BF1742">
            <w:pPr>
              <w:rPr>
                <w:rFonts w:ascii="Gill Sans" w:hAnsi="Gill Sans" w:cs="Gill Sans"/>
                <w:sz w:val="22"/>
                <w:szCs w:val="22"/>
                <w:lang w:val="en-GB"/>
              </w:rPr>
            </w:pPr>
          </w:p>
        </w:tc>
        <w:tc>
          <w:tcPr>
            <w:tcW w:w="450" w:type="dxa"/>
            <w:vMerge w:val="restart"/>
            <w:tcBorders>
              <w:top w:val="single" w:sz="18" w:space="0" w:color="FFFFFF"/>
              <w:left w:val="single" w:sz="2" w:space="0" w:color="FFFFFF"/>
              <w:right w:val="single" w:sz="2" w:space="0" w:color="FFFFFF"/>
            </w:tcBorders>
            <w:shd w:val="clear" w:color="auto" w:fill="D99594"/>
          </w:tcPr>
          <w:p w14:paraId="78DF8581" w14:textId="77777777" w:rsidR="0020660D" w:rsidRPr="009651AC" w:rsidRDefault="0020660D" w:rsidP="00BF1742">
            <w:pPr>
              <w:rPr>
                <w:rFonts w:ascii="Gill Sans" w:hAnsi="Gill Sans" w:cs="Gill Sans"/>
                <w:sz w:val="22"/>
                <w:szCs w:val="22"/>
                <w:lang w:val="uk-UA"/>
              </w:rPr>
            </w:pPr>
          </w:p>
        </w:tc>
        <w:tc>
          <w:tcPr>
            <w:tcW w:w="360" w:type="dxa"/>
            <w:vMerge w:val="restart"/>
            <w:tcBorders>
              <w:top w:val="single" w:sz="18" w:space="0" w:color="FFFFFF"/>
              <w:left w:val="single" w:sz="2" w:space="0" w:color="FFFFFF"/>
              <w:right w:val="single" w:sz="2" w:space="0" w:color="FFFFFF"/>
            </w:tcBorders>
            <w:shd w:val="clear" w:color="auto" w:fill="D99594"/>
          </w:tcPr>
          <w:p w14:paraId="32119B34" w14:textId="0C802C72" w:rsidR="0020660D" w:rsidRPr="00DF1741" w:rsidRDefault="0020660D" w:rsidP="00BF1742">
            <w:pPr>
              <w:rPr>
                <w:rFonts w:ascii="Zapf Dingbats" w:hAnsi="Zapf Dingbats" w:cs="Gill Sans"/>
                <w:noProof/>
                <w:sz w:val="22"/>
                <w:szCs w:val="22"/>
              </w:rPr>
            </w:pPr>
            <w:r w:rsidRPr="00DF1741">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18" w:space="0" w:color="FFFFFF"/>
            </w:tcBorders>
            <w:shd w:val="clear" w:color="auto" w:fill="D99594"/>
          </w:tcPr>
          <w:p w14:paraId="687BDEBF" w14:textId="77777777" w:rsidR="0020660D" w:rsidRPr="009651AC" w:rsidRDefault="0020660D" w:rsidP="00BF1742">
            <w:pPr>
              <w:rPr>
                <w:rFonts w:ascii="Gill Sans" w:hAnsi="Gill Sans" w:cs="Gill Sans"/>
                <w:sz w:val="22"/>
                <w:szCs w:val="22"/>
                <w:lang w:val="en-GB"/>
              </w:rPr>
            </w:pPr>
          </w:p>
        </w:tc>
      </w:tr>
      <w:tr w:rsidR="0020660D" w:rsidRPr="009651AC" w14:paraId="4486F89F" w14:textId="77777777" w:rsidTr="00B017F8">
        <w:trPr>
          <w:trHeight w:val="340"/>
        </w:trPr>
        <w:tc>
          <w:tcPr>
            <w:tcW w:w="1437" w:type="dxa"/>
            <w:vMerge/>
            <w:tcBorders>
              <w:left w:val="single" w:sz="4" w:space="0" w:color="FFFFFF"/>
              <w:right w:val="single" w:sz="18" w:space="0" w:color="FFFFFF"/>
            </w:tcBorders>
            <w:shd w:val="clear" w:color="auto" w:fill="000000"/>
          </w:tcPr>
          <w:p w14:paraId="44992850" w14:textId="77777777" w:rsidR="0020660D" w:rsidRPr="009651AC" w:rsidRDefault="0020660D" w:rsidP="00BF1742">
            <w:pPr>
              <w:rPr>
                <w:rFonts w:ascii="Gill Sans" w:hAnsi="Gill Sans" w:cs="Gill Sans"/>
                <w:color w:val="FFFFFF" w:themeColor="background1"/>
                <w:sz w:val="22"/>
                <w:szCs w:val="22"/>
                <w:lang w:val="en-GB"/>
              </w:rPr>
            </w:pPr>
          </w:p>
        </w:tc>
        <w:tc>
          <w:tcPr>
            <w:tcW w:w="360" w:type="dxa"/>
            <w:vMerge/>
            <w:tcBorders>
              <w:left w:val="single" w:sz="18" w:space="0" w:color="FFFFFF"/>
              <w:right w:val="single" w:sz="2" w:space="0" w:color="FFFFFF"/>
            </w:tcBorders>
            <w:shd w:val="clear" w:color="auto" w:fill="D6E3BC"/>
          </w:tcPr>
          <w:p w14:paraId="42AC5D8E" w14:textId="77777777" w:rsidR="0020660D" w:rsidRPr="009651AC" w:rsidRDefault="0020660D" w:rsidP="00BF1742">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6E3BC"/>
          </w:tcPr>
          <w:p w14:paraId="698DD7EA" w14:textId="77777777" w:rsidR="0020660D" w:rsidRPr="00DF1741" w:rsidRDefault="0020660D" w:rsidP="00BF1742">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D6E3BC"/>
          </w:tcPr>
          <w:p w14:paraId="01A12938" w14:textId="77777777" w:rsidR="0020660D" w:rsidRPr="00DF1741" w:rsidRDefault="0020660D" w:rsidP="00BF1742">
            <w:pPr>
              <w:rPr>
                <w:rFonts w:ascii="Zapf Dingbats" w:hAnsi="Zapf Dingbats" w:cs="Gill Sans"/>
                <w:sz w:val="22"/>
                <w:szCs w:val="22"/>
                <w:lang w:val="en-GB"/>
              </w:rPr>
            </w:pPr>
          </w:p>
        </w:tc>
        <w:tc>
          <w:tcPr>
            <w:tcW w:w="450" w:type="dxa"/>
            <w:vMerge/>
            <w:tcBorders>
              <w:left w:val="single" w:sz="2" w:space="0" w:color="FFFFFF"/>
              <w:right w:val="single" w:sz="18" w:space="0" w:color="FFFFFF"/>
            </w:tcBorders>
            <w:shd w:val="clear" w:color="auto" w:fill="D6E3BC"/>
          </w:tcPr>
          <w:p w14:paraId="1EB6EA77" w14:textId="77777777" w:rsidR="0020660D" w:rsidRPr="00DF1741" w:rsidRDefault="0020660D" w:rsidP="00BF1742">
            <w:pPr>
              <w:rPr>
                <w:rFonts w:ascii="Zapf Dingbats" w:hAnsi="Zapf Dingbats" w:cs="Gill Sans"/>
                <w:noProof/>
                <w:sz w:val="22"/>
                <w:szCs w:val="22"/>
                <w:lang w:val="en-GB"/>
              </w:rPr>
            </w:pPr>
          </w:p>
        </w:tc>
        <w:tc>
          <w:tcPr>
            <w:tcW w:w="450" w:type="dxa"/>
            <w:vMerge/>
            <w:tcBorders>
              <w:left w:val="single" w:sz="2" w:space="0" w:color="FFFFFF"/>
              <w:right w:val="single" w:sz="2" w:space="0" w:color="FFFFFF"/>
            </w:tcBorders>
            <w:shd w:val="clear" w:color="auto" w:fill="FBD4B4"/>
          </w:tcPr>
          <w:p w14:paraId="6A4D95A5" w14:textId="77777777" w:rsidR="0020660D" w:rsidRPr="00DF1741" w:rsidRDefault="0020660D" w:rsidP="00BF1742">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FBD4B4"/>
          </w:tcPr>
          <w:p w14:paraId="3D72CC0C" w14:textId="77777777" w:rsidR="0020660D" w:rsidRPr="00DF1741" w:rsidRDefault="0020660D" w:rsidP="00BF1742">
            <w:pPr>
              <w:rPr>
                <w:rFonts w:ascii="Zapf Dingbats" w:hAnsi="Zapf Dingbats" w:cs="Gill Sans"/>
                <w:noProof/>
                <w:sz w:val="22"/>
                <w:szCs w:val="22"/>
                <w:lang w:val="en-GB"/>
              </w:rPr>
            </w:pPr>
          </w:p>
        </w:tc>
        <w:tc>
          <w:tcPr>
            <w:tcW w:w="360" w:type="dxa"/>
            <w:vMerge/>
            <w:tcBorders>
              <w:left w:val="single" w:sz="2" w:space="0" w:color="FFFFFF"/>
              <w:right w:val="single" w:sz="2" w:space="0" w:color="FFFFFF"/>
            </w:tcBorders>
            <w:shd w:val="clear" w:color="auto" w:fill="FBD4B4"/>
          </w:tcPr>
          <w:p w14:paraId="780AB622" w14:textId="77777777" w:rsidR="0020660D" w:rsidRPr="00DF1741" w:rsidRDefault="0020660D" w:rsidP="00BF1742">
            <w:pPr>
              <w:rPr>
                <w:rFonts w:ascii="Zapf Dingbats" w:hAnsi="Zapf Dingbats" w:cs="Gill Sans"/>
                <w:noProof/>
                <w:sz w:val="22"/>
                <w:szCs w:val="22"/>
                <w:lang w:val="en-GB"/>
              </w:rPr>
            </w:pPr>
          </w:p>
        </w:tc>
        <w:tc>
          <w:tcPr>
            <w:tcW w:w="900" w:type="dxa"/>
            <w:vMerge/>
            <w:tcBorders>
              <w:left w:val="single" w:sz="2" w:space="0" w:color="FFFFFF"/>
              <w:right w:val="single" w:sz="18" w:space="0" w:color="FFFFFF"/>
            </w:tcBorders>
            <w:shd w:val="clear" w:color="auto" w:fill="FBD4B4"/>
          </w:tcPr>
          <w:p w14:paraId="4DFA2505" w14:textId="77777777" w:rsidR="0020660D" w:rsidRPr="00DF1741" w:rsidRDefault="0020660D" w:rsidP="00BF1742">
            <w:pPr>
              <w:rPr>
                <w:rFonts w:ascii="Zapf Dingbats" w:hAnsi="Zapf Dingbats" w:cs="Gill Sans"/>
                <w:sz w:val="22"/>
                <w:szCs w:val="22"/>
                <w:lang w:val="en-GB"/>
              </w:rPr>
            </w:pPr>
          </w:p>
        </w:tc>
        <w:tc>
          <w:tcPr>
            <w:tcW w:w="360" w:type="dxa"/>
            <w:vMerge/>
            <w:tcBorders>
              <w:left w:val="single" w:sz="18" w:space="0" w:color="FFFFFF"/>
              <w:right w:val="single" w:sz="2" w:space="0" w:color="FFFFFF"/>
            </w:tcBorders>
            <w:shd w:val="clear" w:color="auto" w:fill="CCC0D9"/>
          </w:tcPr>
          <w:p w14:paraId="106B1599" w14:textId="77777777" w:rsidR="0020660D" w:rsidRPr="00DF1741" w:rsidRDefault="0020660D" w:rsidP="00BF1742">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CCC0D9"/>
          </w:tcPr>
          <w:p w14:paraId="77284DD2" w14:textId="77777777" w:rsidR="0020660D" w:rsidRPr="00DF1741" w:rsidRDefault="0020660D" w:rsidP="00BF1742">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CCC0D9"/>
          </w:tcPr>
          <w:p w14:paraId="603E56D1" w14:textId="77777777" w:rsidR="0020660D" w:rsidRPr="00DF1741" w:rsidRDefault="0020660D" w:rsidP="00BF1742">
            <w:pPr>
              <w:rPr>
                <w:rFonts w:ascii="Zapf Dingbats" w:hAnsi="Zapf Dingbats" w:cs="Gill Sans"/>
                <w:noProof/>
                <w:sz w:val="22"/>
                <w:szCs w:val="22"/>
                <w:lang w:val="en-GB"/>
              </w:rPr>
            </w:pPr>
          </w:p>
        </w:tc>
        <w:tc>
          <w:tcPr>
            <w:tcW w:w="360" w:type="dxa"/>
            <w:vMerge/>
            <w:tcBorders>
              <w:left w:val="single" w:sz="2" w:space="0" w:color="FFFFFF"/>
              <w:right w:val="single" w:sz="18" w:space="0" w:color="FFFFFF"/>
            </w:tcBorders>
            <w:shd w:val="clear" w:color="auto" w:fill="CCC0D9"/>
          </w:tcPr>
          <w:p w14:paraId="52956E8F" w14:textId="77777777" w:rsidR="0020660D" w:rsidRPr="00DF1741" w:rsidRDefault="0020660D" w:rsidP="00BF1742">
            <w:pPr>
              <w:rPr>
                <w:rFonts w:ascii="Zapf Dingbats" w:hAnsi="Zapf Dingbats" w:cs="Gill Sans"/>
                <w:sz w:val="22"/>
                <w:szCs w:val="22"/>
                <w:lang w:val="en-GB"/>
              </w:rPr>
            </w:pPr>
          </w:p>
        </w:tc>
        <w:tc>
          <w:tcPr>
            <w:tcW w:w="540"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49BF4D99" w14:textId="77777777" w:rsidR="0020660D" w:rsidRPr="00DF1741" w:rsidRDefault="0020660D" w:rsidP="00BF1742">
            <w:pPr>
              <w:rPr>
                <w:rFonts w:ascii="Zapf Dingbats" w:hAnsi="Zapf Dingbats" w:cs="Gill Sans"/>
                <w:sz w:val="22"/>
                <w:szCs w:val="22"/>
                <w:lang w:val="en-GB"/>
              </w:rPr>
            </w:pPr>
          </w:p>
        </w:tc>
        <w:tc>
          <w:tcPr>
            <w:tcW w:w="54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4B10C4C4" w14:textId="77777777" w:rsidR="0020660D" w:rsidRPr="00DF1741" w:rsidRDefault="0020660D" w:rsidP="00BF1742">
            <w:pPr>
              <w:rPr>
                <w:rFonts w:ascii="Zapf Dingbats" w:hAnsi="Zapf Dingbats" w:cs="Gill Sans"/>
                <w:sz w:val="22"/>
                <w:szCs w:val="22"/>
                <w:lang w:val="en-GB"/>
              </w:rPr>
            </w:pPr>
          </w:p>
        </w:tc>
        <w:tc>
          <w:tcPr>
            <w:tcW w:w="45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5D597967" w14:textId="167B4D21" w:rsidR="0020660D" w:rsidRPr="00DF1741" w:rsidRDefault="0020660D" w:rsidP="00BF1742">
            <w:pPr>
              <w:rPr>
                <w:rFonts w:ascii="Zapf Dingbats" w:hAnsi="Zapf Dingbats" w:cs="Gill Sans"/>
                <w:sz w:val="22"/>
                <w:szCs w:val="22"/>
                <w:lang w:val="en-GB"/>
              </w:rPr>
            </w:pPr>
            <w:r w:rsidRPr="00DF1741">
              <w:rPr>
                <w:rFonts w:ascii="Zapf Dingbats" w:eastAsia="MS Mincho" w:hAnsi="Zapf Dingbats" w:cs="MS Mincho"/>
                <w:noProof/>
                <w:sz w:val="22"/>
                <w:szCs w:val="22"/>
                <w:lang w:val="en-GB"/>
              </w:rPr>
              <w:t>✔</w:t>
            </w:r>
          </w:p>
        </w:tc>
        <w:tc>
          <w:tcPr>
            <w:tcW w:w="540"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4C935B54" w14:textId="0EF1137E" w:rsidR="0020660D" w:rsidRPr="009651AC" w:rsidRDefault="0020660D" w:rsidP="00BF1742">
            <w:pPr>
              <w:jc w:val="center"/>
              <w:rPr>
                <w:rFonts w:ascii="Gill Sans" w:hAnsi="Gill Sans" w:cs="Gill Sans"/>
                <w:sz w:val="22"/>
                <w:szCs w:val="22"/>
                <w:lang w:val="en-GB"/>
              </w:rPr>
            </w:pPr>
          </w:p>
        </w:tc>
        <w:tc>
          <w:tcPr>
            <w:tcW w:w="360" w:type="dxa"/>
            <w:vMerge/>
            <w:tcBorders>
              <w:left w:val="single" w:sz="18" w:space="0" w:color="FFFFFF"/>
              <w:right w:val="single" w:sz="2" w:space="0" w:color="FFFFFF"/>
            </w:tcBorders>
            <w:shd w:val="clear" w:color="auto" w:fill="D99594"/>
          </w:tcPr>
          <w:p w14:paraId="4C238978" w14:textId="77777777" w:rsidR="0020660D" w:rsidRPr="009651AC" w:rsidRDefault="0020660D" w:rsidP="00BF1742">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0A5DA646" w14:textId="77777777" w:rsidR="0020660D" w:rsidRPr="009651AC" w:rsidRDefault="0020660D" w:rsidP="00BF1742">
            <w:pPr>
              <w:rPr>
                <w:rFonts w:ascii="Gill Sans" w:hAnsi="Gill Sans" w:cs="Gill Sans"/>
                <w:sz w:val="22"/>
                <w:szCs w:val="22"/>
                <w:lang w:val="en-GB"/>
              </w:rPr>
            </w:pPr>
          </w:p>
        </w:tc>
        <w:tc>
          <w:tcPr>
            <w:tcW w:w="450" w:type="dxa"/>
            <w:vMerge/>
            <w:tcBorders>
              <w:left w:val="single" w:sz="2" w:space="0" w:color="FFFFFF"/>
              <w:right w:val="single" w:sz="2" w:space="0" w:color="FFFFFF"/>
            </w:tcBorders>
            <w:shd w:val="clear" w:color="auto" w:fill="D99594"/>
          </w:tcPr>
          <w:p w14:paraId="45C09190" w14:textId="77777777" w:rsidR="0020660D" w:rsidRPr="009651AC" w:rsidRDefault="0020660D" w:rsidP="00BF1742">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079D1BC1" w14:textId="77777777" w:rsidR="0020660D" w:rsidRPr="009651AC" w:rsidRDefault="0020660D" w:rsidP="00BF1742">
            <w:pPr>
              <w:rPr>
                <w:rFonts w:ascii="Gill Sans" w:hAnsi="Gill Sans" w:cs="Gill Sans"/>
                <w:noProof/>
                <w:sz w:val="22"/>
                <w:szCs w:val="22"/>
                <w:lang w:val="en-GB"/>
              </w:rPr>
            </w:pPr>
          </w:p>
        </w:tc>
        <w:tc>
          <w:tcPr>
            <w:tcW w:w="450" w:type="dxa"/>
            <w:vMerge/>
            <w:tcBorders>
              <w:left w:val="single" w:sz="2" w:space="0" w:color="FFFFFF"/>
              <w:right w:val="single" w:sz="18" w:space="0" w:color="FFFFFF"/>
            </w:tcBorders>
            <w:shd w:val="clear" w:color="auto" w:fill="D99594"/>
          </w:tcPr>
          <w:p w14:paraId="313E77CE" w14:textId="77777777" w:rsidR="0020660D" w:rsidRPr="009651AC" w:rsidRDefault="0020660D" w:rsidP="00BF1742">
            <w:pPr>
              <w:rPr>
                <w:rFonts w:ascii="Gill Sans" w:hAnsi="Gill Sans" w:cs="Gill Sans"/>
                <w:sz w:val="22"/>
                <w:szCs w:val="22"/>
                <w:lang w:val="en-GB"/>
              </w:rPr>
            </w:pPr>
          </w:p>
        </w:tc>
      </w:tr>
    </w:tbl>
    <w:p w14:paraId="5B07CB9E" w14:textId="77777777" w:rsidR="00B51958" w:rsidRDefault="00B51958" w:rsidP="006319F4">
      <w:pPr>
        <w:pStyle w:val="Heading3"/>
      </w:pPr>
    </w:p>
    <w:p w14:paraId="6872D35C" w14:textId="2341E232" w:rsidR="0014384C" w:rsidRPr="00352741" w:rsidRDefault="0014384C" w:rsidP="00163080">
      <w:pPr>
        <w:pStyle w:val="Heading3"/>
      </w:pPr>
      <w:r w:rsidRPr="00352741">
        <w:t xml:space="preserve">Commitment </w:t>
      </w:r>
      <w:r w:rsidR="00B51958">
        <w:t>a</w:t>
      </w:r>
      <w:r w:rsidRPr="00352741">
        <w:t>im</w:t>
      </w:r>
    </w:p>
    <w:p w14:paraId="4EA69235" w14:textId="3B49A368" w:rsidR="00536DEE" w:rsidRDefault="00184D0F" w:rsidP="00184D0F">
      <w:pPr>
        <w:spacing w:after="120"/>
        <w:rPr>
          <w:rFonts w:ascii="Gill Sans" w:hAnsi="Gill Sans" w:cs="Gill Sans"/>
          <w:sz w:val="22"/>
          <w:szCs w:val="22"/>
          <w:lang w:val="en-GB"/>
        </w:rPr>
      </w:pPr>
      <w:r>
        <w:rPr>
          <w:rFonts w:ascii="Gill Sans" w:hAnsi="Gill Sans" w:cs="Gill Sans"/>
          <w:sz w:val="22"/>
          <w:szCs w:val="22"/>
          <w:lang w:val="en-GB"/>
        </w:rPr>
        <w:t xml:space="preserve">In </w:t>
      </w:r>
      <w:r w:rsidRPr="00FE3A8F">
        <w:rPr>
          <w:rFonts w:ascii="Gill Sans" w:hAnsi="Gill Sans" w:cs="Gill Sans"/>
          <w:sz w:val="22"/>
          <w:szCs w:val="22"/>
          <w:lang w:val="en-GB"/>
        </w:rPr>
        <w:t>October 2013</w:t>
      </w:r>
      <w:r>
        <w:rPr>
          <w:rFonts w:ascii="Gill Sans" w:hAnsi="Gill Sans" w:cs="Gill Sans"/>
          <w:sz w:val="22"/>
          <w:szCs w:val="22"/>
          <w:lang w:val="en-GB"/>
        </w:rPr>
        <w:t>, p</w:t>
      </w:r>
      <w:r w:rsidR="00FE3A8F">
        <w:rPr>
          <w:rFonts w:ascii="Gill Sans" w:hAnsi="Gill Sans" w:cs="Gill Sans"/>
          <w:sz w:val="22"/>
          <w:szCs w:val="22"/>
          <w:lang w:val="en-GB"/>
        </w:rPr>
        <w:t>rior to the commitment period,</w:t>
      </w:r>
      <w:r w:rsidR="00FE3A8F" w:rsidRPr="00FE3A8F">
        <w:rPr>
          <w:rFonts w:ascii="Gill Sans" w:hAnsi="Gill Sans" w:cs="Gill Sans"/>
          <w:sz w:val="22"/>
          <w:szCs w:val="22"/>
          <w:lang w:val="en-GB"/>
        </w:rPr>
        <w:t xml:space="preserve"> Ukraine was accepted as an Extractive Industries Transparency Initiative (EITI) candidate country. </w:t>
      </w:r>
      <w:r w:rsidR="00FE3A8F">
        <w:rPr>
          <w:rFonts w:ascii="Gill Sans" w:hAnsi="Gill Sans" w:cs="Gill Sans"/>
          <w:sz w:val="22"/>
          <w:szCs w:val="22"/>
          <w:lang w:val="en-GB"/>
        </w:rPr>
        <w:t>This</w:t>
      </w:r>
      <w:r w:rsidR="00FE3A8F" w:rsidRPr="00180227">
        <w:rPr>
          <w:rFonts w:ascii="Gill Sans" w:hAnsi="Gill Sans" w:cs="Gill Sans"/>
          <w:sz w:val="22"/>
          <w:szCs w:val="22"/>
          <w:lang w:val="en-GB"/>
        </w:rPr>
        <w:t xml:space="preserve"> commitment aimed to advance Ukraine</w:t>
      </w:r>
      <w:r w:rsidR="00B51958">
        <w:rPr>
          <w:rFonts w:ascii="Gill Sans" w:hAnsi="Gill Sans" w:cs="Gill Sans"/>
          <w:sz w:val="22"/>
          <w:szCs w:val="22"/>
          <w:lang w:val="en-GB"/>
        </w:rPr>
        <w:t>’s</w:t>
      </w:r>
      <w:r w:rsidR="00FE3A8F" w:rsidRPr="00180227">
        <w:rPr>
          <w:rFonts w:ascii="Gill Sans" w:hAnsi="Gill Sans" w:cs="Gill Sans"/>
          <w:sz w:val="22"/>
          <w:szCs w:val="22"/>
          <w:lang w:val="en-GB"/>
        </w:rPr>
        <w:t xml:space="preserve"> compliance with EITI</w:t>
      </w:r>
      <w:r w:rsidR="00FE3A8F">
        <w:rPr>
          <w:rFonts w:ascii="Gill Sans" w:hAnsi="Gill Sans" w:cs="Gill Sans"/>
          <w:sz w:val="22"/>
          <w:szCs w:val="22"/>
          <w:lang w:val="en-GB"/>
        </w:rPr>
        <w:t xml:space="preserve"> standards, </w:t>
      </w:r>
      <w:r>
        <w:rPr>
          <w:rFonts w:ascii="Gill Sans" w:hAnsi="Gill Sans" w:cs="Gill Sans"/>
          <w:sz w:val="22"/>
          <w:szCs w:val="22"/>
          <w:lang w:val="en-GB"/>
        </w:rPr>
        <w:t xml:space="preserve">which was </w:t>
      </w:r>
      <w:r w:rsidR="00FE3A8F">
        <w:rPr>
          <w:rFonts w:ascii="Gill Sans" w:hAnsi="Gill Sans" w:cs="Gill Sans"/>
          <w:sz w:val="22"/>
          <w:szCs w:val="22"/>
          <w:lang w:val="en-GB"/>
        </w:rPr>
        <w:t>an</w:t>
      </w:r>
      <w:r w:rsidR="00B247EC" w:rsidRPr="00180227">
        <w:rPr>
          <w:rFonts w:ascii="Gill Sans" w:hAnsi="Gill Sans" w:cs="Gill Sans"/>
          <w:sz w:val="22"/>
          <w:szCs w:val="22"/>
          <w:lang w:val="en-GB"/>
        </w:rPr>
        <w:t xml:space="preserve"> </w:t>
      </w:r>
      <w:r w:rsidR="00BA78C8" w:rsidRPr="00180227">
        <w:rPr>
          <w:rFonts w:ascii="Gill Sans" w:hAnsi="Gill Sans" w:cs="Gill Sans"/>
          <w:sz w:val="22"/>
          <w:szCs w:val="22"/>
          <w:lang w:val="en-GB"/>
        </w:rPr>
        <w:t>important</w:t>
      </w:r>
      <w:r w:rsidR="00FE3A8F">
        <w:rPr>
          <w:rFonts w:ascii="Gill Sans" w:hAnsi="Gill Sans" w:cs="Gill Sans"/>
          <w:sz w:val="22"/>
          <w:szCs w:val="22"/>
          <w:lang w:val="en-GB"/>
        </w:rPr>
        <w:t xml:space="preserve"> step</w:t>
      </w:r>
      <w:r w:rsidR="00BA78C8" w:rsidRPr="00180227">
        <w:rPr>
          <w:rFonts w:ascii="Gill Sans" w:hAnsi="Gill Sans" w:cs="Gill Sans"/>
          <w:sz w:val="22"/>
          <w:szCs w:val="22"/>
          <w:lang w:val="en-GB"/>
        </w:rPr>
        <w:t xml:space="preserve"> </w:t>
      </w:r>
      <w:r w:rsidR="00B247EC" w:rsidRPr="00180227">
        <w:rPr>
          <w:rFonts w:ascii="Gill Sans" w:hAnsi="Gill Sans" w:cs="Gill Sans"/>
          <w:sz w:val="22"/>
          <w:szCs w:val="22"/>
          <w:lang w:val="en-GB"/>
        </w:rPr>
        <w:t>for ensuring</w:t>
      </w:r>
      <w:r w:rsidR="00BA78C8" w:rsidRPr="00180227">
        <w:rPr>
          <w:rFonts w:ascii="Gill Sans" w:hAnsi="Gill Sans" w:cs="Gill Sans"/>
          <w:sz w:val="22"/>
          <w:szCs w:val="22"/>
          <w:lang w:val="en-GB"/>
        </w:rPr>
        <w:t xml:space="preserve"> transparency and prevent</w:t>
      </w:r>
      <w:r w:rsidR="00B247EC" w:rsidRPr="00180227">
        <w:rPr>
          <w:rFonts w:ascii="Gill Sans" w:hAnsi="Gill Sans" w:cs="Gill Sans"/>
          <w:sz w:val="22"/>
          <w:szCs w:val="22"/>
          <w:lang w:val="en-GB"/>
        </w:rPr>
        <w:t>ing</w:t>
      </w:r>
      <w:r w:rsidR="00BA78C8" w:rsidRPr="00180227">
        <w:rPr>
          <w:rFonts w:ascii="Gill Sans" w:hAnsi="Gill Sans" w:cs="Gill Sans"/>
          <w:sz w:val="22"/>
          <w:szCs w:val="22"/>
          <w:lang w:val="en-GB"/>
        </w:rPr>
        <w:t xml:space="preserve"> embezzlement of revenues received from the extractive industry.</w:t>
      </w:r>
      <w:r w:rsidR="00180227" w:rsidRPr="00180227">
        <w:rPr>
          <w:rFonts w:ascii="Gill Sans" w:hAnsi="Gill Sans" w:cs="Gill Sans"/>
          <w:sz w:val="22"/>
          <w:szCs w:val="22"/>
          <w:lang w:val="en-GB"/>
        </w:rPr>
        <w:t xml:space="preserve"> While the title of the commitment (“taking measures”) was too broad, the expected outputs included bringing national law into compliance with EITI standards</w:t>
      </w:r>
      <w:r>
        <w:rPr>
          <w:rFonts w:ascii="Gill Sans" w:hAnsi="Gill Sans" w:cs="Gill Sans"/>
          <w:sz w:val="22"/>
          <w:szCs w:val="22"/>
          <w:lang w:val="en-GB"/>
        </w:rPr>
        <w:t>,</w:t>
      </w:r>
      <w:r w:rsidR="00180227" w:rsidRPr="00180227">
        <w:rPr>
          <w:rFonts w:ascii="Gill Sans" w:hAnsi="Gill Sans" w:cs="Gill Sans"/>
          <w:sz w:val="22"/>
          <w:szCs w:val="22"/>
          <w:lang w:val="en-GB"/>
        </w:rPr>
        <w:t xml:space="preserve"> and preparing </w:t>
      </w:r>
      <w:r w:rsidR="00FE3A8F">
        <w:rPr>
          <w:rFonts w:ascii="Gill Sans" w:hAnsi="Gill Sans" w:cs="Gill Sans"/>
          <w:sz w:val="22"/>
          <w:szCs w:val="22"/>
          <w:lang w:val="en-GB"/>
        </w:rPr>
        <w:t>a</w:t>
      </w:r>
      <w:r w:rsidR="00FE3A8F" w:rsidRPr="00180227">
        <w:rPr>
          <w:rFonts w:ascii="Gill Sans" w:hAnsi="Gill Sans" w:cs="Gill Sans"/>
          <w:sz w:val="22"/>
          <w:szCs w:val="22"/>
          <w:lang w:val="en-GB"/>
        </w:rPr>
        <w:t xml:space="preserve"> </w:t>
      </w:r>
      <w:r w:rsidR="00180227" w:rsidRPr="00180227">
        <w:rPr>
          <w:rFonts w:ascii="Gill Sans" w:hAnsi="Gill Sans" w:cs="Gill Sans"/>
          <w:sz w:val="22"/>
          <w:szCs w:val="22"/>
          <w:lang w:val="en-GB"/>
        </w:rPr>
        <w:t>report in line with those standards.</w:t>
      </w:r>
      <w:r w:rsidR="00FE3A8F">
        <w:rPr>
          <w:rFonts w:ascii="Gill Sans" w:hAnsi="Gill Sans" w:cs="Gill Sans"/>
          <w:sz w:val="22"/>
          <w:szCs w:val="22"/>
          <w:lang w:val="en-GB"/>
        </w:rPr>
        <w:t xml:space="preserve"> A s</w:t>
      </w:r>
      <w:r w:rsidR="00180227" w:rsidRPr="00180227">
        <w:rPr>
          <w:rFonts w:ascii="Gill Sans" w:hAnsi="Gill Sans" w:cs="Gill Sans"/>
          <w:sz w:val="22"/>
          <w:szCs w:val="22"/>
          <w:lang w:val="en-GB"/>
        </w:rPr>
        <w:t>imilar</w:t>
      </w:r>
      <w:r w:rsidR="00FE3A8F">
        <w:rPr>
          <w:rFonts w:ascii="Gill Sans" w:hAnsi="Gill Sans" w:cs="Gill Sans"/>
          <w:sz w:val="22"/>
          <w:szCs w:val="22"/>
          <w:lang w:val="en-GB"/>
        </w:rPr>
        <w:t xml:space="preserve"> </w:t>
      </w:r>
      <w:r w:rsidR="00180227" w:rsidRPr="00180227">
        <w:rPr>
          <w:rFonts w:ascii="Gill Sans" w:hAnsi="Gill Sans" w:cs="Gill Sans"/>
          <w:sz w:val="22"/>
          <w:szCs w:val="22"/>
          <w:lang w:val="en-GB"/>
        </w:rPr>
        <w:t>commitment was included in the previous OGP action plan.</w:t>
      </w:r>
      <w:r w:rsidR="00536DEE">
        <w:rPr>
          <w:rFonts w:ascii="Gill Sans" w:hAnsi="Gill Sans" w:cs="Gill Sans"/>
          <w:sz w:val="22"/>
          <w:szCs w:val="22"/>
          <w:lang w:val="en-GB"/>
        </w:rPr>
        <w:t xml:space="preserve"> </w:t>
      </w:r>
      <w:r w:rsidR="00536DEE" w:rsidRPr="00536DEE">
        <w:rPr>
          <w:rFonts w:ascii="Gill Sans" w:hAnsi="Gill Sans" w:cs="Gill Sans"/>
          <w:sz w:val="22"/>
          <w:szCs w:val="22"/>
          <w:lang w:val="en-GB"/>
        </w:rPr>
        <w:t>According to the State Statistics Service, the oil and gas sector</w:t>
      </w:r>
      <w:r>
        <w:rPr>
          <w:rFonts w:ascii="Gill Sans" w:hAnsi="Gill Sans" w:cs="Gill Sans"/>
          <w:sz w:val="22"/>
          <w:szCs w:val="22"/>
          <w:lang w:val="en-GB"/>
        </w:rPr>
        <w:t>’s</w:t>
      </w:r>
      <w:r w:rsidR="00536DEE" w:rsidRPr="00536DEE">
        <w:rPr>
          <w:rFonts w:ascii="Gill Sans" w:hAnsi="Gill Sans" w:cs="Gill Sans"/>
          <w:sz w:val="22"/>
          <w:szCs w:val="22"/>
          <w:lang w:val="en-GB"/>
        </w:rPr>
        <w:t xml:space="preserve"> </w:t>
      </w:r>
      <w:r>
        <w:rPr>
          <w:rFonts w:ascii="Gill Sans" w:hAnsi="Gill Sans" w:cs="Gill Sans"/>
          <w:sz w:val="22"/>
          <w:szCs w:val="22"/>
          <w:lang w:val="en-GB"/>
        </w:rPr>
        <w:t>contribution</w:t>
      </w:r>
      <w:r w:rsidRPr="00536DEE">
        <w:rPr>
          <w:rFonts w:ascii="Gill Sans" w:hAnsi="Gill Sans" w:cs="Gill Sans"/>
          <w:sz w:val="22"/>
          <w:szCs w:val="22"/>
          <w:lang w:val="en-GB"/>
        </w:rPr>
        <w:t xml:space="preserve"> </w:t>
      </w:r>
      <w:r>
        <w:rPr>
          <w:rFonts w:ascii="Gill Sans" w:hAnsi="Gill Sans" w:cs="Gill Sans"/>
          <w:sz w:val="22"/>
          <w:szCs w:val="22"/>
          <w:lang w:val="en-GB"/>
        </w:rPr>
        <w:t xml:space="preserve">to </w:t>
      </w:r>
      <w:r w:rsidRPr="00536DEE">
        <w:rPr>
          <w:rFonts w:ascii="Gill Sans" w:hAnsi="Gill Sans" w:cs="Gill Sans"/>
          <w:sz w:val="22"/>
          <w:szCs w:val="22"/>
          <w:lang w:val="en-GB"/>
        </w:rPr>
        <w:t xml:space="preserve">Ukraine’s GDP </w:t>
      </w:r>
      <w:r>
        <w:rPr>
          <w:rFonts w:ascii="Gill Sans" w:hAnsi="Gill Sans" w:cs="Gill Sans"/>
          <w:sz w:val="22"/>
          <w:szCs w:val="22"/>
          <w:lang w:val="en-GB"/>
        </w:rPr>
        <w:t xml:space="preserve">is </w:t>
      </w:r>
      <w:r w:rsidR="00536DEE" w:rsidRPr="00536DEE">
        <w:rPr>
          <w:rFonts w:ascii="Gill Sans" w:hAnsi="Gill Sans" w:cs="Gill Sans"/>
          <w:sz w:val="22"/>
          <w:szCs w:val="22"/>
          <w:lang w:val="en-GB"/>
        </w:rPr>
        <w:t>about 1.3%. </w:t>
      </w:r>
      <w:r w:rsidR="00536DEE">
        <w:rPr>
          <w:rFonts w:ascii="Gill Sans" w:hAnsi="Gill Sans" w:cs="Gill Sans"/>
          <w:sz w:val="22"/>
          <w:szCs w:val="22"/>
          <w:lang w:val="en-GB"/>
        </w:rPr>
        <w:t>The 2013 EITI report documented</w:t>
      </w:r>
      <w:r w:rsidR="00536DEE" w:rsidRPr="00536DEE">
        <w:rPr>
          <w:rFonts w:ascii="Gill Sans" w:hAnsi="Gill Sans" w:cs="Gill Sans"/>
          <w:sz w:val="22"/>
          <w:szCs w:val="22"/>
          <w:lang w:val="en-GB"/>
        </w:rPr>
        <w:t xml:space="preserve"> USD 3.3 billion of payments by oil and gas companies (including oil and gas transportation companies).</w:t>
      </w:r>
      <w:r w:rsidR="00090F51">
        <w:rPr>
          <w:rStyle w:val="EndnoteReference"/>
          <w:rFonts w:ascii="Gill Sans" w:hAnsi="Gill Sans" w:cs="Gill Sans"/>
          <w:sz w:val="22"/>
          <w:szCs w:val="22"/>
          <w:lang w:val="en-GB"/>
        </w:rPr>
        <w:endnoteReference w:id="35"/>
      </w:r>
    </w:p>
    <w:p w14:paraId="2031D7FE" w14:textId="130EB11D" w:rsidR="0014384C" w:rsidRPr="00352741" w:rsidRDefault="0014384C" w:rsidP="006319F4">
      <w:pPr>
        <w:pStyle w:val="Heading3"/>
      </w:pPr>
      <w:r w:rsidRPr="00352741">
        <w:t>Status</w:t>
      </w:r>
    </w:p>
    <w:p w14:paraId="3337EE56" w14:textId="35AD6154" w:rsidR="0014384C" w:rsidRDefault="0014384C" w:rsidP="0014384C">
      <w:pPr>
        <w:pStyle w:val="Normalrglronly"/>
        <w:rPr>
          <w:b/>
          <w:lang w:val="en-GB"/>
        </w:rPr>
      </w:pPr>
      <w:r w:rsidRPr="00352741">
        <w:rPr>
          <w:b/>
          <w:lang w:val="en-GB"/>
        </w:rPr>
        <w:t xml:space="preserve">Midterm: </w:t>
      </w:r>
      <w:r w:rsidR="00BC258F">
        <w:rPr>
          <w:b/>
          <w:lang w:val="en-GB"/>
        </w:rPr>
        <w:t>Substantial</w:t>
      </w:r>
    </w:p>
    <w:p w14:paraId="55A2C828" w14:textId="40C354C3" w:rsidR="00782911" w:rsidRPr="00782911" w:rsidRDefault="00782911" w:rsidP="00F00809">
      <w:pPr>
        <w:pStyle w:val="Normalrglronly"/>
        <w:rPr>
          <w:b/>
          <w:lang w:val="en-GB"/>
        </w:rPr>
      </w:pPr>
      <w:r w:rsidRPr="00D307EB">
        <w:rPr>
          <w:noProof/>
          <w:lang w:val="en-GB"/>
        </w:rPr>
        <w:t xml:space="preserve">The national multi-stakeholder group (MSG) developed </w:t>
      </w:r>
      <w:r w:rsidR="00A00494">
        <w:rPr>
          <w:noProof/>
          <w:lang w:val="en-GB"/>
        </w:rPr>
        <w:t xml:space="preserve">the </w:t>
      </w:r>
      <w:r w:rsidRPr="00D307EB">
        <w:rPr>
          <w:noProof/>
          <w:lang w:val="en-GB"/>
        </w:rPr>
        <w:t>terms of reference for the independent administrator for Ukraine’s first EITI report</w:t>
      </w:r>
      <w:r w:rsidR="009B5FF2">
        <w:rPr>
          <w:noProof/>
          <w:lang w:val="en-GB"/>
        </w:rPr>
        <w:t>. The report was</w:t>
      </w:r>
      <w:r w:rsidRPr="00D307EB">
        <w:rPr>
          <w:noProof/>
          <w:lang w:val="en-GB"/>
        </w:rPr>
        <w:t xml:space="preserve"> to include the oil and gas sectors. The first country EITI report was scheduled to be prepared by the end of 2015.</w:t>
      </w:r>
      <w:r w:rsidRPr="00D307EB">
        <w:rPr>
          <w:rStyle w:val="EndnoteReference"/>
          <w:noProof/>
          <w:lang w:val="en-GB"/>
        </w:rPr>
        <w:endnoteReference w:id="36"/>
      </w:r>
      <w:r>
        <w:rPr>
          <w:noProof/>
          <w:lang w:val="en-GB"/>
        </w:rPr>
        <w:t xml:space="preserve"> </w:t>
      </w:r>
      <w:r w:rsidRPr="00D307EB">
        <w:rPr>
          <w:noProof/>
          <w:lang w:val="en-GB"/>
        </w:rPr>
        <w:t>In August 2015, the MSG selected the</w:t>
      </w:r>
      <w:r w:rsidR="002167AE">
        <w:rPr>
          <w:noProof/>
          <w:lang w:val="en-GB"/>
        </w:rPr>
        <w:t xml:space="preserve"> company,</w:t>
      </w:r>
      <w:r w:rsidRPr="00D307EB">
        <w:rPr>
          <w:noProof/>
          <w:lang w:val="en-GB"/>
        </w:rPr>
        <w:t xml:space="preserve"> </w:t>
      </w:r>
      <w:r w:rsidRPr="00782911">
        <w:rPr>
          <w:noProof/>
          <w:lang w:val="en-GB"/>
        </w:rPr>
        <w:t>Ernst</w:t>
      </w:r>
      <w:r w:rsidR="00184D0F">
        <w:rPr>
          <w:noProof/>
          <w:lang w:val="en-GB"/>
        </w:rPr>
        <w:t xml:space="preserve"> </w:t>
      </w:r>
      <w:r w:rsidRPr="00782911">
        <w:rPr>
          <w:noProof/>
          <w:lang w:val="en-GB"/>
        </w:rPr>
        <w:t>&amp;</w:t>
      </w:r>
      <w:r w:rsidR="002167AE">
        <w:rPr>
          <w:noProof/>
          <w:lang w:val="en-GB"/>
        </w:rPr>
        <w:t xml:space="preserve"> </w:t>
      </w:r>
      <w:r w:rsidRPr="00782911">
        <w:rPr>
          <w:noProof/>
          <w:lang w:val="en-GB"/>
        </w:rPr>
        <w:t>Young</w:t>
      </w:r>
      <w:r w:rsidR="002167AE">
        <w:rPr>
          <w:noProof/>
          <w:lang w:val="en-GB"/>
        </w:rPr>
        <w:t xml:space="preserve">, </w:t>
      </w:r>
      <w:r w:rsidR="00D33739">
        <w:rPr>
          <w:noProof/>
          <w:lang w:val="en-GB"/>
        </w:rPr>
        <w:t xml:space="preserve">to </w:t>
      </w:r>
      <w:r w:rsidRPr="00782911">
        <w:rPr>
          <w:noProof/>
          <w:lang w:val="en-GB"/>
        </w:rPr>
        <w:t>independent</w:t>
      </w:r>
      <w:r w:rsidR="00D33739">
        <w:rPr>
          <w:noProof/>
          <w:lang w:val="en-GB"/>
        </w:rPr>
        <w:t>ly</w:t>
      </w:r>
      <w:r w:rsidRPr="00782911">
        <w:rPr>
          <w:noProof/>
          <w:lang w:val="en-GB"/>
        </w:rPr>
        <w:t xml:space="preserve"> </w:t>
      </w:r>
      <w:r w:rsidR="009B5FF2">
        <w:rPr>
          <w:noProof/>
          <w:lang w:val="en-GB"/>
        </w:rPr>
        <w:t>develop</w:t>
      </w:r>
      <w:r w:rsidRPr="00782911">
        <w:rPr>
          <w:noProof/>
          <w:lang w:val="en-GB"/>
        </w:rPr>
        <w:t xml:space="preserve"> the EITI report. It also selected the national secretariat for the MSG through an open competition.</w:t>
      </w:r>
      <w:r w:rsidRPr="00782911">
        <w:rPr>
          <w:rStyle w:val="EndnoteReference"/>
          <w:noProof/>
          <w:lang w:val="en-GB"/>
        </w:rPr>
        <w:endnoteReference w:id="37"/>
      </w:r>
      <w:r w:rsidRPr="00782911">
        <w:rPr>
          <w:noProof/>
          <w:lang w:val="en-GB"/>
        </w:rPr>
        <w:t xml:space="preserve"> </w:t>
      </w:r>
      <w:r w:rsidR="009B5FF2">
        <w:rPr>
          <w:noProof/>
          <w:lang w:val="en-GB"/>
        </w:rPr>
        <w:t>T</w:t>
      </w:r>
      <w:r w:rsidRPr="00782911">
        <w:rPr>
          <w:noProof/>
          <w:lang w:val="en-GB"/>
        </w:rPr>
        <w:t>he report was eventually delayed due to the failure of the Ukranafta company (majority stake owned by the state) and the State Fiscal Service to provide information required for the report.</w:t>
      </w:r>
      <w:r w:rsidRPr="00782911">
        <w:rPr>
          <w:rStyle w:val="EndnoteReference"/>
          <w:noProof/>
          <w:lang w:val="en-GB"/>
        </w:rPr>
        <w:endnoteReference w:id="38"/>
      </w:r>
    </w:p>
    <w:p w14:paraId="5F44B938" w14:textId="70E7151D" w:rsidR="00782911" w:rsidRPr="00782911" w:rsidRDefault="00782911" w:rsidP="00F00809">
      <w:pPr>
        <w:spacing w:after="120"/>
        <w:rPr>
          <w:rFonts w:ascii="Gill Sans" w:hAnsi="Gill Sans" w:cs="Gill Sans"/>
          <w:sz w:val="22"/>
          <w:szCs w:val="22"/>
          <w:lang w:val="en-GB"/>
        </w:rPr>
      </w:pPr>
      <w:r w:rsidRPr="00782911">
        <w:rPr>
          <w:rFonts w:ascii="Gill Sans" w:hAnsi="Gill Sans" w:cs="Gill Sans"/>
          <w:noProof/>
          <w:sz w:val="22"/>
          <w:szCs w:val="22"/>
          <w:lang w:val="en-GB"/>
        </w:rPr>
        <w:lastRenderedPageBreak/>
        <w:t xml:space="preserve">In addition, </w:t>
      </w:r>
      <w:r w:rsidRPr="00782911">
        <w:rPr>
          <w:rFonts w:ascii="Gill Sans" w:hAnsi="Gill Sans" w:cs="Gill Sans"/>
          <w:sz w:val="22"/>
          <w:szCs w:val="22"/>
          <w:lang w:val="en-GB"/>
        </w:rPr>
        <w:t>in June 2015</w:t>
      </w:r>
      <w:r w:rsidR="006309C6">
        <w:rPr>
          <w:rFonts w:ascii="Gill Sans" w:hAnsi="Gill Sans" w:cs="Gill Sans"/>
          <w:sz w:val="22"/>
          <w:szCs w:val="22"/>
          <w:lang w:val="en-GB"/>
        </w:rPr>
        <w:t>,</w:t>
      </w:r>
      <w:r w:rsidRPr="00782911">
        <w:rPr>
          <w:rFonts w:ascii="Gill Sans" w:hAnsi="Gill Sans" w:cs="Gill Sans"/>
          <w:sz w:val="22"/>
          <w:szCs w:val="22"/>
          <w:lang w:val="en-GB"/>
        </w:rPr>
        <w:t xml:space="preserve"> </w:t>
      </w:r>
      <w:r w:rsidR="006309C6">
        <w:rPr>
          <w:rFonts w:ascii="Gill Sans" w:hAnsi="Gill Sans" w:cs="Gill Sans"/>
          <w:sz w:val="22"/>
          <w:szCs w:val="22"/>
          <w:lang w:val="en-GB"/>
        </w:rPr>
        <w:t>P</w:t>
      </w:r>
      <w:r w:rsidRPr="00782911">
        <w:rPr>
          <w:rFonts w:ascii="Gill Sans" w:hAnsi="Gill Sans" w:cs="Gill Sans"/>
          <w:sz w:val="22"/>
          <w:szCs w:val="22"/>
          <w:lang w:val="en-GB"/>
        </w:rPr>
        <w:t>arliament adopted the Law on Amendments in the Legislation to Ensure Transparency in the Extractive Industries. The draft law was prepared by MSG members and civil society experts. In its preamble, the law directly refers to the OGP plan. It includes important changes in the Subsoil Code within the Law on Oil and Gas. It also instructs the government to develop procedures for ensuring transparency in the extractive industries</w:t>
      </w:r>
      <w:r w:rsidR="009B5FF2">
        <w:rPr>
          <w:rFonts w:ascii="Gill Sans" w:hAnsi="Gill Sans" w:cs="Gill Sans"/>
          <w:sz w:val="22"/>
          <w:szCs w:val="22"/>
          <w:lang w:val="en-GB"/>
        </w:rPr>
        <w:t>,</w:t>
      </w:r>
      <w:r w:rsidRPr="00782911">
        <w:rPr>
          <w:rFonts w:ascii="Gill Sans" w:hAnsi="Gill Sans" w:cs="Gill Sans"/>
          <w:sz w:val="22"/>
          <w:szCs w:val="22"/>
          <w:lang w:val="en-GB"/>
        </w:rPr>
        <w:t xml:space="preserve"> and to adopt the international reporting standards by users of subsoil resources. The amendments of June 2015 </w:t>
      </w:r>
      <w:r>
        <w:rPr>
          <w:rFonts w:ascii="Gill Sans" w:hAnsi="Gill Sans" w:cs="Gill Sans"/>
          <w:sz w:val="22"/>
          <w:szCs w:val="22"/>
          <w:lang w:val="en-GB"/>
        </w:rPr>
        <w:t>were</w:t>
      </w:r>
      <w:r w:rsidRPr="00782911">
        <w:rPr>
          <w:rFonts w:ascii="Gill Sans" w:hAnsi="Gill Sans" w:cs="Gill Sans"/>
          <w:sz w:val="22"/>
          <w:szCs w:val="22"/>
          <w:lang w:val="en-GB"/>
        </w:rPr>
        <w:t xml:space="preserve"> seen as an interim measure. The MSG started working on a new comprehensive draft law on the transparency of extractive industries.</w:t>
      </w:r>
      <w:r w:rsidRPr="00782911">
        <w:rPr>
          <w:rStyle w:val="EndnoteReference"/>
          <w:rFonts w:ascii="Gill Sans" w:hAnsi="Gill Sans" w:cs="Gill Sans"/>
          <w:sz w:val="22"/>
          <w:szCs w:val="22"/>
          <w:lang w:val="en-GB"/>
        </w:rPr>
        <w:endnoteReference w:id="39"/>
      </w:r>
    </w:p>
    <w:p w14:paraId="063F6634" w14:textId="1777F4B5" w:rsidR="0014384C" w:rsidRPr="00782911" w:rsidRDefault="0014384C" w:rsidP="00782911">
      <w:pPr>
        <w:pStyle w:val="Normalrglronly"/>
        <w:rPr>
          <w:b/>
          <w:lang w:val="en-US"/>
        </w:rPr>
      </w:pPr>
      <w:r w:rsidRPr="00782911">
        <w:rPr>
          <w:b/>
          <w:lang w:val="en-GB"/>
        </w:rPr>
        <w:t xml:space="preserve">End of term: </w:t>
      </w:r>
      <w:r w:rsidR="00DE39CF">
        <w:rPr>
          <w:b/>
          <w:lang w:val="en-GB"/>
        </w:rPr>
        <w:t>Substantial</w:t>
      </w:r>
    </w:p>
    <w:p w14:paraId="7D48143D" w14:textId="6A04E444" w:rsidR="00747956" w:rsidRDefault="009251C8" w:rsidP="00F00809">
      <w:pPr>
        <w:spacing w:after="120"/>
        <w:rPr>
          <w:rFonts w:ascii="Gill Sans" w:hAnsi="Gill Sans" w:cs="Gill Sans"/>
          <w:noProof/>
          <w:sz w:val="22"/>
          <w:szCs w:val="22"/>
          <w:lang w:val="en-GB"/>
        </w:rPr>
      </w:pPr>
      <w:r w:rsidRPr="00326248">
        <w:rPr>
          <w:rFonts w:ascii="Gill Sans" w:hAnsi="Gill Sans" w:cs="Gill Sans"/>
          <w:noProof/>
          <w:sz w:val="22"/>
          <w:szCs w:val="22"/>
          <w:lang w:val="en-GB"/>
        </w:rPr>
        <w:t xml:space="preserve">Ukraine’s </w:t>
      </w:r>
      <w:r w:rsidR="006309C6">
        <w:rPr>
          <w:rFonts w:ascii="Gill Sans" w:hAnsi="Gill Sans" w:cs="Gill Sans"/>
          <w:noProof/>
          <w:sz w:val="22"/>
          <w:szCs w:val="22"/>
          <w:lang w:val="en-GB"/>
        </w:rPr>
        <w:t xml:space="preserve">first </w:t>
      </w:r>
      <w:r w:rsidRPr="00326248">
        <w:rPr>
          <w:rFonts w:ascii="Gill Sans" w:hAnsi="Gill Sans" w:cs="Gill Sans"/>
          <w:noProof/>
          <w:sz w:val="22"/>
          <w:szCs w:val="22"/>
          <w:lang w:val="en-GB"/>
        </w:rPr>
        <w:t xml:space="preserve">EITI report </w:t>
      </w:r>
      <w:r w:rsidR="006309C6">
        <w:rPr>
          <w:rFonts w:ascii="Gill Sans" w:hAnsi="Gill Sans" w:cs="Gill Sans"/>
          <w:noProof/>
          <w:sz w:val="22"/>
          <w:szCs w:val="22"/>
          <w:lang w:val="en-GB"/>
        </w:rPr>
        <w:t>for</w:t>
      </w:r>
      <w:r w:rsidR="006309C6" w:rsidRPr="00326248">
        <w:rPr>
          <w:rFonts w:ascii="Gill Sans" w:hAnsi="Gill Sans" w:cs="Gill Sans"/>
          <w:noProof/>
          <w:sz w:val="22"/>
          <w:szCs w:val="22"/>
          <w:lang w:val="en-GB"/>
        </w:rPr>
        <w:t xml:space="preserve"> </w:t>
      </w:r>
      <w:r w:rsidR="00ED518B" w:rsidRPr="00326248">
        <w:rPr>
          <w:rFonts w:ascii="Gill Sans" w:hAnsi="Gill Sans" w:cs="Gill Sans"/>
          <w:noProof/>
          <w:sz w:val="22"/>
          <w:szCs w:val="22"/>
          <w:lang w:val="en-GB"/>
        </w:rPr>
        <w:t xml:space="preserve">2013 </w:t>
      </w:r>
      <w:r w:rsidRPr="00326248">
        <w:rPr>
          <w:rFonts w:ascii="Gill Sans" w:hAnsi="Gill Sans" w:cs="Gill Sans"/>
          <w:noProof/>
          <w:sz w:val="22"/>
          <w:szCs w:val="22"/>
          <w:lang w:val="en-GB"/>
        </w:rPr>
        <w:t xml:space="preserve">was published in November 2015. </w:t>
      </w:r>
      <w:r w:rsidR="009B5FF2">
        <w:rPr>
          <w:rFonts w:ascii="Gill Sans" w:hAnsi="Gill Sans" w:cs="Gill Sans"/>
          <w:noProof/>
          <w:sz w:val="22"/>
          <w:szCs w:val="22"/>
          <w:lang w:val="en-GB"/>
        </w:rPr>
        <w:t>The country’s</w:t>
      </w:r>
      <w:r w:rsidR="009B5FF2" w:rsidRPr="00326248">
        <w:rPr>
          <w:rFonts w:ascii="Gill Sans" w:hAnsi="Gill Sans" w:cs="Gill Sans"/>
          <w:noProof/>
          <w:sz w:val="22"/>
          <w:szCs w:val="22"/>
          <w:lang w:val="en-GB"/>
        </w:rPr>
        <w:t xml:space="preserve"> </w:t>
      </w:r>
      <w:r w:rsidRPr="00326248">
        <w:rPr>
          <w:rFonts w:ascii="Gill Sans" w:hAnsi="Gill Sans" w:cs="Gill Sans"/>
          <w:noProof/>
          <w:sz w:val="22"/>
          <w:szCs w:val="22"/>
          <w:lang w:val="en-GB"/>
        </w:rPr>
        <w:t>validation against the EITI Standard will commence on 1 July 2017.</w:t>
      </w:r>
      <w:r w:rsidR="00D45E12" w:rsidRPr="00326248">
        <w:rPr>
          <w:rStyle w:val="EndnoteReference"/>
          <w:rFonts w:ascii="Gill Sans" w:hAnsi="Gill Sans" w:cs="Gill Sans"/>
          <w:noProof/>
          <w:sz w:val="22"/>
          <w:szCs w:val="22"/>
          <w:lang w:val="en-GB"/>
        </w:rPr>
        <w:endnoteReference w:id="40"/>
      </w:r>
      <w:r w:rsidR="00326248" w:rsidRPr="00326248">
        <w:rPr>
          <w:rFonts w:ascii="Gill Sans" w:hAnsi="Gill Sans" w:cs="Gill Sans"/>
          <w:noProof/>
          <w:sz w:val="22"/>
          <w:szCs w:val="22"/>
          <w:lang w:val="en-GB"/>
        </w:rPr>
        <w:t xml:space="preserve"> According to the </w:t>
      </w:r>
      <w:r w:rsidR="006309C6">
        <w:rPr>
          <w:rFonts w:ascii="Gill Sans" w:hAnsi="Gill Sans" w:cs="Gill Sans"/>
          <w:noProof/>
          <w:sz w:val="22"/>
          <w:szCs w:val="22"/>
          <w:lang w:val="en-GB"/>
        </w:rPr>
        <w:t>g</w:t>
      </w:r>
      <w:r w:rsidR="00326248" w:rsidRPr="00326248">
        <w:rPr>
          <w:rFonts w:ascii="Gill Sans" w:hAnsi="Gill Sans" w:cs="Gill Sans"/>
          <w:noProof/>
          <w:sz w:val="22"/>
          <w:szCs w:val="22"/>
          <w:lang w:val="en-GB"/>
        </w:rPr>
        <w:t>overnment</w:t>
      </w:r>
      <w:r w:rsidR="006309C6">
        <w:rPr>
          <w:rFonts w:ascii="Gill Sans" w:hAnsi="Gill Sans" w:cs="Gill Sans"/>
          <w:noProof/>
          <w:sz w:val="22"/>
          <w:szCs w:val="22"/>
          <w:lang w:val="en-GB"/>
        </w:rPr>
        <w:t>’s</w:t>
      </w:r>
      <w:r w:rsidR="00326248" w:rsidRPr="00326248">
        <w:rPr>
          <w:rFonts w:ascii="Gill Sans" w:hAnsi="Gill Sans" w:cs="Gill Sans"/>
          <w:noProof/>
          <w:sz w:val="22"/>
          <w:szCs w:val="22"/>
          <w:lang w:val="en-GB"/>
        </w:rPr>
        <w:t xml:space="preserve"> self-assessment report, the preparation of the second national report has </w:t>
      </w:r>
      <w:r w:rsidR="006309C6">
        <w:rPr>
          <w:rFonts w:ascii="Gill Sans" w:hAnsi="Gill Sans" w:cs="Gill Sans"/>
          <w:noProof/>
          <w:sz w:val="22"/>
          <w:szCs w:val="22"/>
          <w:lang w:val="en-GB"/>
        </w:rPr>
        <w:t>begun;</w:t>
      </w:r>
      <w:r w:rsidR="00326248" w:rsidRPr="00326248">
        <w:rPr>
          <w:rFonts w:ascii="Gill Sans" w:hAnsi="Gill Sans" w:cs="Gill Sans"/>
          <w:noProof/>
          <w:sz w:val="22"/>
          <w:szCs w:val="22"/>
          <w:lang w:val="en-GB"/>
        </w:rPr>
        <w:t xml:space="preserve"> based on the tender</w:t>
      </w:r>
      <w:r w:rsidR="006309C6">
        <w:rPr>
          <w:rFonts w:ascii="Gill Sans" w:hAnsi="Gill Sans" w:cs="Gill Sans"/>
          <w:noProof/>
          <w:sz w:val="22"/>
          <w:szCs w:val="22"/>
          <w:lang w:val="en-GB"/>
        </w:rPr>
        <w:t>,</w:t>
      </w:r>
      <w:r w:rsidR="00326248" w:rsidRPr="00326248">
        <w:rPr>
          <w:rFonts w:ascii="Gill Sans" w:hAnsi="Gill Sans" w:cs="Gill Sans"/>
          <w:noProof/>
          <w:sz w:val="22"/>
          <w:szCs w:val="22"/>
          <w:lang w:val="en-GB"/>
        </w:rPr>
        <w:t xml:space="preserve"> the </w:t>
      </w:r>
      <w:r w:rsidR="006309C6">
        <w:rPr>
          <w:rFonts w:ascii="Gill Sans" w:hAnsi="Gill Sans" w:cs="Gill Sans"/>
          <w:noProof/>
          <w:sz w:val="22"/>
          <w:szCs w:val="22"/>
          <w:lang w:val="en-GB"/>
        </w:rPr>
        <w:t>g</w:t>
      </w:r>
      <w:r w:rsidR="00326248" w:rsidRPr="00326248">
        <w:rPr>
          <w:rFonts w:ascii="Gill Sans" w:hAnsi="Gill Sans" w:cs="Gill Sans"/>
          <w:noProof/>
          <w:sz w:val="22"/>
          <w:szCs w:val="22"/>
          <w:lang w:val="en-GB"/>
        </w:rPr>
        <w:t>overnment selected an independent administrator to prepare the report</w:t>
      </w:r>
      <w:r w:rsidR="006309C6">
        <w:rPr>
          <w:rFonts w:ascii="Gill Sans" w:hAnsi="Gill Sans" w:cs="Gill Sans"/>
          <w:noProof/>
          <w:sz w:val="22"/>
          <w:szCs w:val="22"/>
          <w:lang w:val="en-GB"/>
        </w:rPr>
        <w:t>, which was</w:t>
      </w:r>
      <w:r w:rsidR="00326248" w:rsidRPr="00326248">
        <w:rPr>
          <w:rFonts w:ascii="Gill Sans" w:hAnsi="Gill Sans" w:cs="Gill Sans"/>
          <w:noProof/>
          <w:sz w:val="22"/>
          <w:szCs w:val="22"/>
          <w:lang w:val="en-GB"/>
        </w:rPr>
        <w:t xml:space="preserve"> due in December 2016.</w:t>
      </w:r>
      <w:r w:rsidR="0048026D">
        <w:rPr>
          <w:rStyle w:val="EndnoteReference"/>
          <w:rFonts w:ascii="Gill Sans" w:hAnsi="Gill Sans" w:cs="Gill Sans"/>
          <w:noProof/>
          <w:sz w:val="22"/>
          <w:szCs w:val="22"/>
          <w:lang w:val="en-GB"/>
        </w:rPr>
        <w:endnoteReference w:id="41"/>
      </w:r>
      <w:r w:rsidR="00326248" w:rsidRPr="00326248">
        <w:rPr>
          <w:rFonts w:ascii="Gill Sans" w:hAnsi="Gill Sans" w:cs="Gill Sans"/>
          <w:noProof/>
          <w:sz w:val="22"/>
          <w:szCs w:val="22"/>
          <w:lang w:val="en-GB"/>
        </w:rPr>
        <w:t xml:space="preserve"> The country</w:t>
      </w:r>
      <w:r w:rsidR="006309C6">
        <w:rPr>
          <w:rFonts w:ascii="Gill Sans" w:hAnsi="Gill Sans" w:cs="Gill Sans"/>
          <w:noProof/>
          <w:sz w:val="22"/>
          <w:szCs w:val="22"/>
          <w:lang w:val="en-GB"/>
        </w:rPr>
        <w:t>’</w:t>
      </w:r>
      <w:r w:rsidR="00326248" w:rsidRPr="00326248">
        <w:rPr>
          <w:rFonts w:ascii="Gill Sans" w:hAnsi="Gill Sans" w:cs="Gill Sans"/>
          <w:noProof/>
          <w:sz w:val="22"/>
          <w:szCs w:val="22"/>
          <w:lang w:val="en-GB"/>
        </w:rPr>
        <w:t xml:space="preserve">s second report will include the coal and iron ore sectors. </w:t>
      </w:r>
      <w:r w:rsidR="006309C6">
        <w:rPr>
          <w:rFonts w:ascii="Gill Sans" w:hAnsi="Gill Sans" w:cs="Gill Sans"/>
          <w:noProof/>
          <w:sz w:val="22"/>
          <w:szCs w:val="22"/>
          <w:lang w:val="en-GB"/>
        </w:rPr>
        <w:t>I</w:t>
      </w:r>
      <w:r w:rsidR="00326248" w:rsidRPr="00326248">
        <w:rPr>
          <w:rFonts w:ascii="Gill Sans" w:hAnsi="Gill Sans" w:cs="Gill Sans"/>
          <w:noProof/>
          <w:sz w:val="22"/>
          <w:szCs w:val="22"/>
          <w:lang w:val="en-GB"/>
        </w:rPr>
        <w:t>n December 2015</w:t>
      </w:r>
      <w:r w:rsidR="006309C6">
        <w:rPr>
          <w:rFonts w:ascii="Gill Sans" w:hAnsi="Gill Sans" w:cs="Gill Sans"/>
          <w:noProof/>
          <w:sz w:val="22"/>
          <w:szCs w:val="22"/>
          <w:lang w:val="en-GB"/>
        </w:rPr>
        <w:t>,</w:t>
      </w:r>
      <w:r w:rsidR="00326248" w:rsidRPr="00326248">
        <w:rPr>
          <w:rFonts w:ascii="Gill Sans" w:hAnsi="Gill Sans" w:cs="Gill Sans"/>
          <w:noProof/>
          <w:sz w:val="22"/>
          <w:szCs w:val="22"/>
          <w:lang w:val="en-GB"/>
        </w:rPr>
        <w:t xml:space="preserve"> the </w:t>
      </w:r>
      <w:r w:rsidR="006309C6">
        <w:rPr>
          <w:rFonts w:ascii="Gill Sans" w:hAnsi="Gill Sans" w:cs="Gill Sans"/>
          <w:noProof/>
          <w:sz w:val="22"/>
          <w:szCs w:val="22"/>
          <w:lang w:val="en-GB"/>
        </w:rPr>
        <w:t>g</w:t>
      </w:r>
      <w:r w:rsidR="00326248" w:rsidRPr="00326248">
        <w:rPr>
          <w:rFonts w:ascii="Gill Sans" w:hAnsi="Gill Sans" w:cs="Gill Sans"/>
          <w:noProof/>
          <w:sz w:val="22"/>
          <w:szCs w:val="22"/>
          <w:lang w:val="en-GB"/>
        </w:rPr>
        <w:t xml:space="preserve">overnment adopted regulations on ensuring transparency </w:t>
      </w:r>
      <w:r w:rsidR="009B5FF2">
        <w:rPr>
          <w:rFonts w:ascii="Gill Sans" w:hAnsi="Gill Sans" w:cs="Gill Sans"/>
          <w:noProof/>
          <w:sz w:val="22"/>
          <w:szCs w:val="22"/>
          <w:lang w:val="en-GB"/>
        </w:rPr>
        <w:t>in</w:t>
      </w:r>
      <w:r w:rsidR="009B5FF2" w:rsidRPr="00326248">
        <w:rPr>
          <w:rFonts w:ascii="Gill Sans" w:hAnsi="Gill Sans" w:cs="Gill Sans"/>
          <w:noProof/>
          <w:sz w:val="22"/>
          <w:szCs w:val="22"/>
          <w:lang w:val="en-GB"/>
        </w:rPr>
        <w:t xml:space="preserve"> </w:t>
      </w:r>
      <w:r w:rsidR="00326248" w:rsidRPr="00326248">
        <w:rPr>
          <w:rFonts w:ascii="Gill Sans" w:hAnsi="Gill Sans" w:cs="Gill Sans"/>
          <w:noProof/>
          <w:sz w:val="22"/>
          <w:szCs w:val="22"/>
          <w:lang w:val="en-GB"/>
        </w:rPr>
        <w:t xml:space="preserve">the extractive industries in accordance with the 2015 law. </w:t>
      </w:r>
      <w:r w:rsidR="006309C6">
        <w:rPr>
          <w:rFonts w:ascii="Gill Sans" w:hAnsi="Gill Sans" w:cs="Gill Sans"/>
          <w:noProof/>
          <w:sz w:val="22"/>
          <w:szCs w:val="22"/>
          <w:lang w:val="en-GB"/>
        </w:rPr>
        <w:t>It</w:t>
      </w:r>
      <w:r w:rsidR="00326248">
        <w:rPr>
          <w:rFonts w:ascii="Gill Sans" w:hAnsi="Gill Sans" w:cs="Gill Sans"/>
          <w:noProof/>
          <w:sz w:val="22"/>
          <w:szCs w:val="22"/>
          <w:lang w:val="en-GB"/>
        </w:rPr>
        <w:t xml:space="preserve"> also reported </w:t>
      </w:r>
      <w:r w:rsidR="006309C6">
        <w:rPr>
          <w:rFonts w:ascii="Gill Sans" w:hAnsi="Gill Sans" w:cs="Gill Sans"/>
          <w:noProof/>
          <w:sz w:val="22"/>
          <w:szCs w:val="22"/>
          <w:lang w:val="en-GB"/>
        </w:rPr>
        <w:t xml:space="preserve">on </w:t>
      </w:r>
      <w:r w:rsidR="00326248">
        <w:rPr>
          <w:rFonts w:ascii="Gill Sans" w:hAnsi="Gill Sans" w:cs="Gill Sans"/>
          <w:noProof/>
          <w:sz w:val="22"/>
          <w:szCs w:val="22"/>
          <w:lang w:val="en-GB"/>
        </w:rPr>
        <w:t>a number of awareness</w:t>
      </w:r>
      <w:r w:rsidR="009B5FF2">
        <w:rPr>
          <w:rFonts w:ascii="Gill Sans" w:hAnsi="Gill Sans" w:cs="Gill Sans"/>
          <w:noProof/>
          <w:sz w:val="22"/>
          <w:szCs w:val="22"/>
          <w:lang w:val="en-GB"/>
        </w:rPr>
        <w:t>-</w:t>
      </w:r>
      <w:r w:rsidR="00326248">
        <w:rPr>
          <w:rFonts w:ascii="Gill Sans" w:hAnsi="Gill Sans" w:cs="Gill Sans"/>
          <w:noProof/>
          <w:sz w:val="22"/>
          <w:szCs w:val="22"/>
          <w:lang w:val="en-GB"/>
        </w:rPr>
        <w:t>raising activities with civil society</w:t>
      </w:r>
      <w:r w:rsidR="009B5FF2">
        <w:rPr>
          <w:rFonts w:ascii="Gill Sans" w:hAnsi="Gill Sans" w:cs="Gill Sans"/>
          <w:noProof/>
          <w:sz w:val="22"/>
          <w:szCs w:val="22"/>
          <w:lang w:val="en-GB"/>
        </w:rPr>
        <w:t xml:space="preserve"> involvement</w:t>
      </w:r>
      <w:r w:rsidR="00326248">
        <w:rPr>
          <w:rFonts w:ascii="Gill Sans" w:hAnsi="Gill Sans" w:cs="Gill Sans"/>
          <w:noProof/>
          <w:sz w:val="22"/>
          <w:szCs w:val="22"/>
          <w:lang w:val="en-GB"/>
        </w:rPr>
        <w:t>.</w:t>
      </w:r>
      <w:r w:rsidR="006E4D79">
        <w:rPr>
          <w:rFonts w:ascii="Gill Sans" w:hAnsi="Gill Sans" w:cs="Gill Sans"/>
          <w:noProof/>
          <w:sz w:val="22"/>
          <w:szCs w:val="22"/>
          <w:lang w:val="en-GB"/>
        </w:rPr>
        <w:t xml:space="preserve"> </w:t>
      </w:r>
    </w:p>
    <w:p w14:paraId="76185B09" w14:textId="0BE90770" w:rsidR="006E4D79" w:rsidRPr="00536DEE" w:rsidRDefault="006E4D79" w:rsidP="006319F4">
      <w:pPr>
        <w:spacing w:after="120"/>
        <w:rPr>
          <w:rFonts w:ascii="Gill Sans" w:hAnsi="Gill Sans" w:cs="Gill Sans"/>
          <w:noProof/>
          <w:sz w:val="22"/>
          <w:szCs w:val="22"/>
          <w:lang w:val="en-GB"/>
        </w:rPr>
      </w:pPr>
      <w:r>
        <w:rPr>
          <w:rFonts w:ascii="Gill Sans" w:hAnsi="Gill Sans" w:cs="Gill Sans"/>
          <w:noProof/>
          <w:sz w:val="22"/>
          <w:szCs w:val="22"/>
          <w:lang w:val="en-GB"/>
        </w:rPr>
        <w:t>In June 2016</w:t>
      </w:r>
      <w:r w:rsidR="006309C6">
        <w:rPr>
          <w:rFonts w:ascii="Gill Sans" w:hAnsi="Gill Sans" w:cs="Gill Sans"/>
          <w:noProof/>
          <w:sz w:val="22"/>
          <w:szCs w:val="22"/>
          <w:lang w:val="en-GB"/>
        </w:rPr>
        <w:t>,</w:t>
      </w:r>
      <w:r w:rsidR="00747956">
        <w:rPr>
          <w:rFonts w:ascii="Gill Sans" w:hAnsi="Gill Sans" w:cs="Gill Sans"/>
          <w:noProof/>
          <w:sz w:val="22"/>
          <w:szCs w:val="22"/>
          <w:lang w:val="en-GB"/>
        </w:rPr>
        <w:t xml:space="preserve"> a group of MPs submitted </w:t>
      </w:r>
      <w:r w:rsidR="006309C6">
        <w:rPr>
          <w:rFonts w:ascii="Gill Sans" w:hAnsi="Gill Sans" w:cs="Gill Sans"/>
          <w:noProof/>
          <w:sz w:val="22"/>
          <w:szCs w:val="22"/>
          <w:lang w:val="en-GB"/>
        </w:rPr>
        <w:t>to</w:t>
      </w:r>
      <w:r w:rsidR="00747956">
        <w:rPr>
          <w:rFonts w:ascii="Gill Sans" w:hAnsi="Gill Sans" w:cs="Gill Sans"/>
          <w:noProof/>
          <w:sz w:val="22"/>
          <w:szCs w:val="22"/>
          <w:lang w:val="en-GB"/>
        </w:rPr>
        <w:t xml:space="preserve"> </w:t>
      </w:r>
      <w:r w:rsidR="006309C6">
        <w:rPr>
          <w:rFonts w:ascii="Gill Sans" w:hAnsi="Gill Sans" w:cs="Gill Sans"/>
          <w:noProof/>
          <w:sz w:val="22"/>
          <w:szCs w:val="22"/>
          <w:lang w:val="en-GB"/>
        </w:rPr>
        <w:t>P</w:t>
      </w:r>
      <w:r w:rsidR="00747956">
        <w:rPr>
          <w:rFonts w:ascii="Gill Sans" w:hAnsi="Gill Sans" w:cs="Gill Sans"/>
          <w:noProof/>
          <w:sz w:val="22"/>
          <w:szCs w:val="22"/>
          <w:lang w:val="en-GB"/>
        </w:rPr>
        <w:t>arliament a draft law on the disclosure of information in extractive industries. The draft law builds on the 2015 amendments</w:t>
      </w:r>
      <w:r w:rsidR="006309C6">
        <w:rPr>
          <w:rFonts w:ascii="Gill Sans" w:hAnsi="Gill Sans" w:cs="Gill Sans"/>
          <w:noProof/>
          <w:sz w:val="22"/>
          <w:szCs w:val="22"/>
          <w:lang w:val="en-GB"/>
        </w:rPr>
        <w:t>,</w:t>
      </w:r>
      <w:r w:rsidR="00747956">
        <w:rPr>
          <w:rFonts w:ascii="Gill Sans" w:hAnsi="Gill Sans" w:cs="Gill Sans"/>
          <w:noProof/>
          <w:sz w:val="22"/>
          <w:szCs w:val="22"/>
          <w:lang w:val="en-GB"/>
        </w:rPr>
        <w:t xml:space="preserve"> and suggests a comprehensive framework for transparency in the sector</w:t>
      </w:r>
      <w:r w:rsidR="007B3BF3">
        <w:rPr>
          <w:rFonts w:ascii="Gill Sans" w:hAnsi="Gill Sans" w:cs="Gill Sans"/>
          <w:noProof/>
          <w:sz w:val="22"/>
          <w:szCs w:val="22"/>
          <w:lang w:val="en-GB"/>
        </w:rPr>
        <w:t xml:space="preserve">. It was developed by </w:t>
      </w:r>
      <w:r w:rsidR="006309C6">
        <w:rPr>
          <w:rFonts w:ascii="Gill Sans" w:hAnsi="Gill Sans" w:cs="Gill Sans"/>
          <w:noProof/>
          <w:sz w:val="22"/>
          <w:szCs w:val="22"/>
          <w:lang w:val="en-GB"/>
        </w:rPr>
        <w:t xml:space="preserve">the </w:t>
      </w:r>
      <w:r w:rsidR="007B3BF3" w:rsidRPr="007B3BF3">
        <w:rPr>
          <w:rFonts w:ascii="Gill Sans" w:hAnsi="Gill Sans" w:cs="Gill Sans"/>
          <w:noProof/>
          <w:sz w:val="22"/>
          <w:szCs w:val="22"/>
          <w:lang w:val="en-GB"/>
        </w:rPr>
        <w:t>Ukrainian multi-stakeholder group</w:t>
      </w:r>
      <w:r w:rsidR="006309C6">
        <w:rPr>
          <w:rFonts w:ascii="Gill Sans" w:hAnsi="Gill Sans" w:cs="Gill Sans"/>
          <w:noProof/>
          <w:sz w:val="22"/>
          <w:szCs w:val="22"/>
          <w:lang w:val="en-GB"/>
        </w:rPr>
        <w:t>,</w:t>
      </w:r>
      <w:r w:rsidR="007B3BF3" w:rsidRPr="007B3BF3">
        <w:rPr>
          <w:rFonts w:ascii="Gill Sans" w:hAnsi="Gill Sans" w:cs="Gill Sans"/>
          <w:noProof/>
          <w:sz w:val="22"/>
          <w:szCs w:val="22"/>
          <w:lang w:val="en-GB"/>
        </w:rPr>
        <w:t xml:space="preserve"> together with external experts and Members of Parliament</w:t>
      </w:r>
      <w:r w:rsidR="006309C6">
        <w:rPr>
          <w:rFonts w:ascii="Gill Sans" w:hAnsi="Gill Sans" w:cs="Gill Sans"/>
          <w:noProof/>
          <w:sz w:val="22"/>
          <w:szCs w:val="22"/>
          <w:lang w:val="en-GB"/>
        </w:rPr>
        <w:t>,</w:t>
      </w:r>
      <w:r w:rsidR="00536DEE">
        <w:rPr>
          <w:rFonts w:ascii="Gill Sans" w:hAnsi="Gill Sans" w:cs="Gill Sans"/>
          <w:noProof/>
          <w:sz w:val="22"/>
          <w:szCs w:val="22"/>
          <w:lang w:val="en-GB"/>
        </w:rPr>
        <w:t xml:space="preserve"> </w:t>
      </w:r>
      <w:r w:rsidR="006309C6">
        <w:rPr>
          <w:rFonts w:ascii="Gill Sans" w:hAnsi="Gill Sans" w:cs="Gill Sans"/>
          <w:noProof/>
          <w:sz w:val="22"/>
          <w:szCs w:val="22"/>
          <w:lang w:val="en-GB"/>
        </w:rPr>
        <w:t xml:space="preserve">in line with </w:t>
      </w:r>
      <w:r w:rsidR="002836BB" w:rsidRPr="007B3BF3">
        <w:rPr>
          <w:rFonts w:ascii="Gill Sans" w:hAnsi="Gill Sans" w:cs="Gill Sans"/>
          <w:noProof/>
          <w:sz w:val="22"/>
          <w:szCs w:val="22"/>
          <w:lang w:val="en-GB"/>
        </w:rPr>
        <w:t>recommendations from the first EITI Report</w:t>
      </w:r>
      <w:r w:rsidR="00747956">
        <w:rPr>
          <w:rFonts w:ascii="Gill Sans" w:hAnsi="Gill Sans" w:cs="Gill Sans"/>
          <w:noProof/>
          <w:sz w:val="22"/>
          <w:szCs w:val="22"/>
          <w:lang w:val="en-GB"/>
        </w:rPr>
        <w:t xml:space="preserve">. </w:t>
      </w:r>
      <w:r w:rsidR="00F16FE3">
        <w:rPr>
          <w:rFonts w:ascii="Gill Sans" w:hAnsi="Gill Sans" w:cs="Gill Sans"/>
          <w:noProof/>
          <w:sz w:val="22"/>
          <w:szCs w:val="22"/>
          <w:lang w:val="en-GB"/>
        </w:rPr>
        <w:t>It institutionalises the EITI national coordination and reporting mechanism</w:t>
      </w:r>
      <w:r w:rsidR="00AC7E21">
        <w:rPr>
          <w:rFonts w:ascii="Gill Sans" w:hAnsi="Gill Sans" w:cs="Gill Sans"/>
          <w:noProof/>
          <w:sz w:val="22"/>
          <w:szCs w:val="22"/>
          <w:lang w:val="en-GB"/>
        </w:rPr>
        <w:t>, aligns Ukrainian legislation with the relevant EU law</w:t>
      </w:r>
      <w:r w:rsidR="006309C6">
        <w:rPr>
          <w:rFonts w:ascii="Gill Sans" w:hAnsi="Gill Sans" w:cs="Gill Sans"/>
          <w:noProof/>
          <w:sz w:val="22"/>
          <w:szCs w:val="22"/>
          <w:lang w:val="en-GB"/>
        </w:rPr>
        <w:t>,</w:t>
      </w:r>
      <w:r w:rsidR="00AC7E21">
        <w:rPr>
          <w:rFonts w:ascii="Gill Sans" w:hAnsi="Gill Sans" w:cs="Gill Sans"/>
          <w:noProof/>
          <w:sz w:val="22"/>
          <w:szCs w:val="22"/>
          <w:lang w:val="en-GB"/>
        </w:rPr>
        <w:t xml:space="preserve"> and establishes detailed requirements on disclosure of information in the sector</w:t>
      </w:r>
      <w:r w:rsidR="00AC7E21">
        <w:rPr>
          <w:rFonts w:ascii="Gill Sans" w:hAnsi="Gill Sans" w:cs="Gill Sans"/>
          <w:noProof/>
          <w:sz w:val="22"/>
          <w:szCs w:val="22"/>
        </w:rPr>
        <w:t>, including beneficial ownership.</w:t>
      </w:r>
    </w:p>
    <w:p w14:paraId="4BDFE91F" w14:textId="77777777" w:rsidR="0014384C" w:rsidRPr="00BB3451" w:rsidRDefault="0014384C" w:rsidP="00163080">
      <w:pPr>
        <w:pStyle w:val="Heading3"/>
      </w:pPr>
      <w:r w:rsidRPr="00BB3451">
        <w:t>Did it open government?</w:t>
      </w:r>
    </w:p>
    <w:p w14:paraId="67FF3329" w14:textId="11D7CCEF" w:rsidR="0014384C" w:rsidRDefault="0014384C" w:rsidP="00163080">
      <w:pPr>
        <w:rPr>
          <w:rFonts w:ascii="Gill Sans" w:hAnsi="Gill Sans" w:cs="Gill Sans"/>
          <w:b/>
          <w:color w:val="000000" w:themeColor="text1"/>
          <w:sz w:val="22"/>
          <w:szCs w:val="22"/>
          <w:lang w:val="en-GB"/>
        </w:rPr>
      </w:pPr>
      <w:r w:rsidRPr="00BB3451">
        <w:rPr>
          <w:rFonts w:ascii="Gill Sans" w:hAnsi="Gill Sans" w:cs="Gill Sans"/>
          <w:b/>
          <w:color w:val="000000" w:themeColor="text1"/>
          <w:sz w:val="22"/>
          <w:szCs w:val="22"/>
          <w:lang w:val="en-GB"/>
        </w:rPr>
        <w:t xml:space="preserve">Access to information: </w:t>
      </w:r>
      <w:r w:rsidR="00326248">
        <w:rPr>
          <w:rFonts w:ascii="Gill Sans" w:hAnsi="Gill Sans" w:cs="Gill Sans"/>
          <w:b/>
          <w:color w:val="000000" w:themeColor="text1"/>
          <w:sz w:val="22"/>
          <w:szCs w:val="22"/>
          <w:lang w:val="en-GB"/>
        </w:rPr>
        <w:t>Major</w:t>
      </w:r>
    </w:p>
    <w:p w14:paraId="708A8078" w14:textId="1EDD973C" w:rsidR="00326248" w:rsidRDefault="00326248" w:rsidP="00163080">
      <w:pPr>
        <w:rPr>
          <w:rFonts w:ascii="Gill Sans" w:hAnsi="Gill Sans" w:cs="Gill Sans"/>
          <w:b/>
          <w:color w:val="000000" w:themeColor="text1"/>
          <w:sz w:val="22"/>
          <w:szCs w:val="22"/>
          <w:lang w:val="en-GB"/>
        </w:rPr>
      </w:pPr>
      <w:r>
        <w:rPr>
          <w:rFonts w:ascii="Gill Sans" w:hAnsi="Gill Sans" w:cs="Gill Sans"/>
          <w:b/>
          <w:color w:val="000000" w:themeColor="text1"/>
          <w:sz w:val="22"/>
          <w:szCs w:val="22"/>
          <w:lang w:val="en-GB"/>
        </w:rPr>
        <w:t>Civic Participation: Major</w:t>
      </w:r>
    </w:p>
    <w:p w14:paraId="445A911F" w14:textId="5DB13BB0" w:rsidR="0014384C" w:rsidRDefault="0014384C" w:rsidP="00503F0F">
      <w:pPr>
        <w:spacing w:after="120"/>
        <w:rPr>
          <w:rFonts w:ascii="Gill Sans" w:hAnsi="Gill Sans" w:cs="Gill Sans"/>
          <w:b/>
          <w:color w:val="000000" w:themeColor="text1"/>
          <w:sz w:val="22"/>
          <w:szCs w:val="22"/>
          <w:lang w:val="en-GB"/>
        </w:rPr>
      </w:pPr>
      <w:r>
        <w:rPr>
          <w:rFonts w:ascii="Gill Sans" w:hAnsi="Gill Sans" w:cs="Gill Sans"/>
          <w:b/>
          <w:color w:val="000000" w:themeColor="text1"/>
          <w:sz w:val="22"/>
          <w:szCs w:val="22"/>
          <w:lang w:val="en-GB"/>
        </w:rPr>
        <w:t xml:space="preserve">Public accountability: </w:t>
      </w:r>
      <w:r w:rsidR="005A2415">
        <w:rPr>
          <w:rFonts w:ascii="Gill Sans" w:hAnsi="Gill Sans" w:cs="Gill Sans"/>
          <w:b/>
          <w:color w:val="000000" w:themeColor="text1"/>
          <w:sz w:val="22"/>
          <w:szCs w:val="22"/>
          <w:lang w:val="en-GB"/>
        </w:rPr>
        <w:t>No change</w:t>
      </w:r>
    </w:p>
    <w:p w14:paraId="4547DA40" w14:textId="694015B5" w:rsidR="006C0E09" w:rsidRDefault="006D365D" w:rsidP="00F00809">
      <w:pPr>
        <w:rPr>
          <w:rFonts w:eastAsia="Times New Roman"/>
        </w:rPr>
      </w:pPr>
      <w:r w:rsidRPr="00503F0F">
        <w:rPr>
          <w:rFonts w:ascii="Gill Sans" w:hAnsi="Gill Sans" w:cs="Gill Sans"/>
          <w:noProof/>
          <w:sz w:val="22"/>
          <w:szCs w:val="22"/>
          <w:lang w:val="en-GB"/>
        </w:rPr>
        <w:t xml:space="preserve">The commitment </w:t>
      </w:r>
      <w:r w:rsidR="00063F75">
        <w:rPr>
          <w:rFonts w:ascii="Gill Sans" w:hAnsi="Gill Sans" w:cs="Gill Sans"/>
          <w:noProof/>
          <w:sz w:val="22"/>
          <w:szCs w:val="22"/>
          <w:lang w:val="en-GB"/>
        </w:rPr>
        <w:t>sought</w:t>
      </w:r>
      <w:r w:rsidR="00063F75" w:rsidRPr="00503F0F">
        <w:rPr>
          <w:rFonts w:ascii="Gill Sans" w:hAnsi="Gill Sans" w:cs="Gill Sans"/>
          <w:noProof/>
          <w:sz w:val="22"/>
          <w:szCs w:val="22"/>
          <w:lang w:val="en-GB"/>
        </w:rPr>
        <w:t xml:space="preserve"> </w:t>
      </w:r>
      <w:r w:rsidRPr="00503F0F">
        <w:rPr>
          <w:rFonts w:ascii="Gill Sans" w:hAnsi="Gill Sans" w:cs="Gill Sans"/>
          <w:noProof/>
          <w:sz w:val="22"/>
          <w:szCs w:val="22"/>
          <w:lang w:val="en-GB"/>
        </w:rPr>
        <w:t>to continue work</w:t>
      </w:r>
      <w:r w:rsidR="00063F75">
        <w:rPr>
          <w:rFonts w:ascii="Gill Sans" w:hAnsi="Gill Sans" w:cs="Gill Sans"/>
          <w:noProof/>
          <w:sz w:val="22"/>
          <w:szCs w:val="22"/>
          <w:lang w:val="en-GB"/>
        </w:rPr>
        <w:t>ing</w:t>
      </w:r>
      <w:r w:rsidRPr="00503F0F">
        <w:rPr>
          <w:rFonts w:ascii="Gill Sans" w:hAnsi="Gill Sans" w:cs="Gill Sans"/>
          <w:noProof/>
          <w:sz w:val="22"/>
          <w:szCs w:val="22"/>
          <w:lang w:val="en-GB"/>
        </w:rPr>
        <w:t xml:space="preserve"> toward compliance with international standards on</w:t>
      </w:r>
      <w:r w:rsidR="002F4B2C">
        <w:rPr>
          <w:rFonts w:ascii="Gill Sans" w:hAnsi="Gill Sans" w:cs="Gill Sans"/>
          <w:noProof/>
          <w:sz w:val="22"/>
          <w:szCs w:val="22"/>
          <w:lang w:val="en-GB"/>
        </w:rPr>
        <w:t xml:space="preserve"> </w:t>
      </w:r>
      <w:r w:rsidR="002F4B2C" w:rsidRPr="00503F0F">
        <w:rPr>
          <w:rFonts w:ascii="Gill Sans" w:hAnsi="Gill Sans" w:cs="Gill Sans"/>
          <w:noProof/>
          <w:sz w:val="22"/>
          <w:szCs w:val="22"/>
          <w:lang w:val="en-GB"/>
        </w:rPr>
        <w:t>transparency</w:t>
      </w:r>
      <w:r w:rsidR="002F4B2C">
        <w:rPr>
          <w:rFonts w:ascii="Gill Sans" w:hAnsi="Gill Sans" w:cs="Gill Sans"/>
          <w:noProof/>
          <w:sz w:val="22"/>
          <w:szCs w:val="22"/>
          <w:lang w:val="en-GB"/>
        </w:rPr>
        <w:t xml:space="preserve"> in</w:t>
      </w:r>
      <w:r w:rsidRPr="00503F0F">
        <w:rPr>
          <w:rFonts w:ascii="Gill Sans" w:hAnsi="Gill Sans" w:cs="Gill Sans"/>
          <w:noProof/>
          <w:sz w:val="22"/>
          <w:szCs w:val="22"/>
          <w:lang w:val="en-GB"/>
        </w:rPr>
        <w:t xml:space="preserve"> extractive industries. If the overall goal of the commitment (</w:t>
      </w:r>
      <w:r w:rsidR="00063F75">
        <w:rPr>
          <w:rFonts w:ascii="Gill Sans" w:hAnsi="Gill Sans" w:cs="Gill Sans"/>
          <w:noProof/>
          <w:sz w:val="22"/>
          <w:szCs w:val="22"/>
          <w:lang w:val="en-GB"/>
        </w:rPr>
        <w:t xml:space="preserve">i.e., </w:t>
      </w:r>
      <w:r w:rsidRPr="00503F0F">
        <w:rPr>
          <w:rFonts w:ascii="Gill Sans" w:hAnsi="Gill Sans" w:cs="Gill Sans"/>
          <w:noProof/>
          <w:sz w:val="22"/>
          <w:szCs w:val="22"/>
          <w:lang w:val="en-GB"/>
        </w:rPr>
        <w:t xml:space="preserve">obtain status of compliance) </w:t>
      </w:r>
      <w:r w:rsidR="00D6714A">
        <w:rPr>
          <w:rFonts w:ascii="Gill Sans" w:hAnsi="Gill Sans" w:cs="Gill Sans"/>
          <w:noProof/>
          <w:sz w:val="22"/>
          <w:szCs w:val="22"/>
          <w:lang w:val="en-GB"/>
        </w:rPr>
        <w:t>is</w:t>
      </w:r>
      <w:r w:rsidR="00D6714A" w:rsidRPr="00503F0F">
        <w:rPr>
          <w:rFonts w:ascii="Gill Sans" w:hAnsi="Gill Sans" w:cs="Gill Sans"/>
          <w:noProof/>
          <w:sz w:val="22"/>
          <w:szCs w:val="22"/>
          <w:lang w:val="en-GB"/>
        </w:rPr>
        <w:t xml:space="preserve"> </w:t>
      </w:r>
      <w:r w:rsidRPr="00503F0F">
        <w:rPr>
          <w:rFonts w:ascii="Gill Sans" w:hAnsi="Gill Sans" w:cs="Gill Sans"/>
          <w:noProof/>
          <w:sz w:val="22"/>
          <w:szCs w:val="22"/>
          <w:lang w:val="en-GB"/>
        </w:rPr>
        <w:t>achieved</w:t>
      </w:r>
      <w:r w:rsidR="00D6714A">
        <w:rPr>
          <w:rFonts w:ascii="Gill Sans" w:hAnsi="Gill Sans" w:cs="Gill Sans"/>
          <w:noProof/>
          <w:sz w:val="22"/>
          <w:szCs w:val="22"/>
          <w:lang w:val="en-GB"/>
        </w:rPr>
        <w:t>,</w:t>
      </w:r>
      <w:r w:rsidRPr="00503F0F">
        <w:rPr>
          <w:rFonts w:ascii="Gill Sans" w:hAnsi="Gill Sans" w:cs="Gill Sans"/>
          <w:noProof/>
          <w:sz w:val="22"/>
          <w:szCs w:val="22"/>
          <w:lang w:val="en-GB"/>
        </w:rPr>
        <w:t xml:space="preserve"> it could have a transformative effect. </w:t>
      </w:r>
      <w:r w:rsidR="00063F75">
        <w:rPr>
          <w:rFonts w:ascii="Gill Sans" w:hAnsi="Gill Sans" w:cs="Gill Sans"/>
          <w:noProof/>
          <w:sz w:val="22"/>
          <w:szCs w:val="22"/>
          <w:lang w:val="en-GB"/>
        </w:rPr>
        <w:t xml:space="preserve">Following </w:t>
      </w:r>
      <w:r w:rsidR="007105F1">
        <w:rPr>
          <w:rFonts w:ascii="Gill Sans" w:hAnsi="Gill Sans" w:cs="Gill Sans"/>
          <w:noProof/>
          <w:sz w:val="22"/>
          <w:szCs w:val="22"/>
          <w:lang w:val="en-GB"/>
        </w:rPr>
        <w:t xml:space="preserve">a </w:t>
      </w:r>
      <w:r w:rsidRPr="00503F0F">
        <w:rPr>
          <w:rFonts w:ascii="Gill Sans" w:hAnsi="Gill Sans" w:cs="Gill Sans"/>
          <w:noProof/>
          <w:sz w:val="22"/>
          <w:szCs w:val="22"/>
          <w:lang w:val="en-GB"/>
        </w:rPr>
        <w:t>delay</w:t>
      </w:r>
      <w:r w:rsidR="00063F75">
        <w:rPr>
          <w:rFonts w:ascii="Gill Sans" w:hAnsi="Gill Sans" w:cs="Gill Sans"/>
          <w:noProof/>
          <w:sz w:val="22"/>
          <w:szCs w:val="22"/>
          <w:lang w:val="en-GB"/>
        </w:rPr>
        <w:t>,</w:t>
      </w:r>
      <w:r w:rsidRPr="00503F0F">
        <w:rPr>
          <w:rFonts w:ascii="Gill Sans" w:hAnsi="Gill Sans" w:cs="Gill Sans"/>
          <w:noProof/>
          <w:sz w:val="22"/>
          <w:szCs w:val="22"/>
          <w:lang w:val="en-GB"/>
        </w:rPr>
        <w:t xml:space="preserve"> the </w:t>
      </w:r>
      <w:r w:rsidR="00063F75">
        <w:rPr>
          <w:rFonts w:ascii="Gill Sans" w:hAnsi="Gill Sans" w:cs="Gill Sans"/>
          <w:noProof/>
          <w:sz w:val="22"/>
          <w:szCs w:val="22"/>
          <w:lang w:val="en-GB"/>
        </w:rPr>
        <w:t>g</w:t>
      </w:r>
      <w:r w:rsidRPr="00503F0F">
        <w:rPr>
          <w:rFonts w:ascii="Gill Sans" w:hAnsi="Gill Sans" w:cs="Gill Sans"/>
          <w:noProof/>
          <w:sz w:val="22"/>
          <w:szCs w:val="22"/>
          <w:lang w:val="en-GB"/>
        </w:rPr>
        <w:t>overnment publish</w:t>
      </w:r>
      <w:r w:rsidR="007105F1">
        <w:rPr>
          <w:rFonts w:ascii="Gill Sans" w:hAnsi="Gill Sans" w:cs="Gill Sans"/>
          <w:noProof/>
          <w:sz w:val="22"/>
          <w:szCs w:val="22"/>
          <w:lang w:val="en-GB"/>
        </w:rPr>
        <w:t>ed</w:t>
      </w:r>
      <w:r w:rsidRPr="00503F0F">
        <w:rPr>
          <w:rFonts w:ascii="Gill Sans" w:hAnsi="Gill Sans" w:cs="Gill Sans"/>
          <w:noProof/>
          <w:sz w:val="22"/>
          <w:szCs w:val="22"/>
          <w:lang w:val="en-GB"/>
        </w:rPr>
        <w:t xml:space="preserve"> </w:t>
      </w:r>
      <w:r w:rsidR="00063F75">
        <w:rPr>
          <w:rFonts w:ascii="Gill Sans" w:hAnsi="Gill Sans" w:cs="Gill Sans"/>
          <w:noProof/>
          <w:sz w:val="22"/>
          <w:szCs w:val="22"/>
          <w:lang w:val="en-GB"/>
        </w:rPr>
        <w:t>its</w:t>
      </w:r>
      <w:r w:rsidR="00063F75" w:rsidRPr="00503F0F">
        <w:rPr>
          <w:rFonts w:ascii="Gill Sans" w:hAnsi="Gill Sans" w:cs="Gill Sans"/>
          <w:noProof/>
          <w:sz w:val="22"/>
          <w:szCs w:val="22"/>
          <w:lang w:val="en-GB"/>
        </w:rPr>
        <w:t xml:space="preserve"> </w:t>
      </w:r>
      <w:r w:rsidRPr="00503F0F">
        <w:rPr>
          <w:rFonts w:ascii="Gill Sans" w:hAnsi="Gill Sans" w:cs="Gill Sans"/>
          <w:noProof/>
          <w:sz w:val="22"/>
          <w:szCs w:val="22"/>
          <w:lang w:val="en-GB"/>
        </w:rPr>
        <w:t>first national EITI report</w:t>
      </w:r>
      <w:r w:rsidR="00063F75">
        <w:rPr>
          <w:rFonts w:ascii="Gill Sans" w:hAnsi="Gill Sans" w:cs="Gill Sans"/>
          <w:noProof/>
          <w:sz w:val="22"/>
          <w:szCs w:val="22"/>
          <w:lang w:val="en-GB"/>
        </w:rPr>
        <w:t xml:space="preserve">, which </w:t>
      </w:r>
      <w:r w:rsidRPr="00503F0F">
        <w:rPr>
          <w:rFonts w:ascii="Gill Sans" w:hAnsi="Gill Sans" w:cs="Gill Sans"/>
          <w:noProof/>
          <w:sz w:val="22"/>
          <w:szCs w:val="22"/>
          <w:lang w:val="en-GB"/>
        </w:rPr>
        <w:t xml:space="preserve">has become an important milestone. </w:t>
      </w:r>
      <w:r w:rsidR="00635B53">
        <w:rPr>
          <w:rFonts w:ascii="Gill Sans" w:hAnsi="Gill Sans" w:cs="Gill Sans"/>
          <w:noProof/>
          <w:sz w:val="22"/>
          <w:szCs w:val="22"/>
          <w:lang w:val="en-GB"/>
        </w:rPr>
        <w:t>The report discloses information about key Ukrainian oil and gas fields, license holders, production volumes, as well as the payments companies made to budgets of all levels.</w:t>
      </w:r>
    </w:p>
    <w:p w14:paraId="22D3EAAD" w14:textId="77777777" w:rsidR="00254401" w:rsidRDefault="00254401" w:rsidP="00254401">
      <w:pPr>
        <w:rPr>
          <w:rFonts w:ascii="Gill Sans" w:hAnsi="Gill Sans" w:cs="Gill Sans"/>
          <w:noProof/>
          <w:sz w:val="22"/>
          <w:szCs w:val="22"/>
          <w:lang w:val="en-GB"/>
        </w:rPr>
      </w:pPr>
    </w:p>
    <w:p w14:paraId="38DF9070" w14:textId="08BD38DD" w:rsidR="00F13978" w:rsidRDefault="00635B53" w:rsidP="00F00809">
      <w:pPr>
        <w:rPr>
          <w:rFonts w:ascii="Gill Sans" w:hAnsi="Gill Sans" w:cs="Gill Sans"/>
          <w:noProof/>
          <w:sz w:val="22"/>
          <w:szCs w:val="22"/>
          <w:lang w:val="en-GB"/>
        </w:rPr>
      </w:pPr>
      <w:r>
        <w:rPr>
          <w:rFonts w:ascii="Gill Sans" w:hAnsi="Gill Sans" w:cs="Gill Sans"/>
          <w:noProof/>
          <w:sz w:val="22"/>
          <w:szCs w:val="22"/>
          <w:lang w:val="en-GB"/>
        </w:rPr>
        <w:t xml:space="preserve">The government </w:t>
      </w:r>
      <w:r w:rsidR="006D365D" w:rsidRPr="00503F0F">
        <w:rPr>
          <w:rFonts w:ascii="Gill Sans" w:hAnsi="Gill Sans" w:cs="Gill Sans"/>
          <w:noProof/>
          <w:sz w:val="22"/>
          <w:szCs w:val="22"/>
          <w:lang w:val="en-GB"/>
        </w:rPr>
        <w:t xml:space="preserve">also </w:t>
      </w:r>
      <w:r w:rsidR="00063F75">
        <w:rPr>
          <w:rFonts w:ascii="Gill Sans" w:hAnsi="Gill Sans" w:cs="Gill Sans"/>
          <w:noProof/>
          <w:sz w:val="22"/>
          <w:szCs w:val="22"/>
          <w:lang w:val="en-GB"/>
        </w:rPr>
        <w:t>began preparing</w:t>
      </w:r>
      <w:r w:rsidR="006D365D" w:rsidRPr="00503F0F">
        <w:rPr>
          <w:rFonts w:ascii="Gill Sans" w:hAnsi="Gill Sans" w:cs="Gill Sans"/>
          <w:noProof/>
          <w:sz w:val="22"/>
          <w:szCs w:val="22"/>
          <w:lang w:val="en-GB"/>
        </w:rPr>
        <w:t xml:space="preserve"> the second national report. Additionally, </w:t>
      </w:r>
      <w:r w:rsidR="00063F75">
        <w:rPr>
          <w:rFonts w:ascii="Gill Sans" w:hAnsi="Gill Sans" w:cs="Gill Sans"/>
          <w:noProof/>
          <w:sz w:val="22"/>
          <w:szCs w:val="22"/>
          <w:lang w:val="en-GB"/>
        </w:rPr>
        <w:t>P</w:t>
      </w:r>
      <w:r w:rsidR="006D365D" w:rsidRPr="00503F0F">
        <w:rPr>
          <w:rFonts w:ascii="Gill Sans" w:hAnsi="Gill Sans" w:cs="Gill Sans"/>
          <w:noProof/>
          <w:sz w:val="22"/>
          <w:szCs w:val="22"/>
          <w:lang w:val="en-GB"/>
        </w:rPr>
        <w:t xml:space="preserve">arliament passed important amendments in the legislation to introduce transparency instruments in the extractive industries and government policy. A comprehensive law on </w:t>
      </w:r>
      <w:r w:rsidR="00811EA9">
        <w:rPr>
          <w:rFonts w:ascii="Gill Sans" w:hAnsi="Gill Sans" w:cs="Gill Sans"/>
          <w:noProof/>
          <w:sz w:val="22"/>
          <w:szCs w:val="22"/>
          <w:lang w:val="en-GB"/>
        </w:rPr>
        <w:t xml:space="preserve">transparency in the </w:t>
      </w:r>
      <w:r w:rsidR="00984DCC">
        <w:rPr>
          <w:rFonts w:ascii="Gill Sans" w:hAnsi="Gill Sans" w:cs="Gill Sans"/>
          <w:noProof/>
          <w:sz w:val="22"/>
          <w:szCs w:val="22"/>
          <w:lang w:val="en-GB"/>
        </w:rPr>
        <w:t xml:space="preserve">extractives </w:t>
      </w:r>
      <w:r w:rsidR="006D365D" w:rsidRPr="00503F0F">
        <w:rPr>
          <w:rFonts w:ascii="Gill Sans" w:hAnsi="Gill Sans" w:cs="Gill Sans"/>
          <w:noProof/>
          <w:sz w:val="22"/>
          <w:szCs w:val="22"/>
          <w:lang w:val="en-GB"/>
        </w:rPr>
        <w:t>sector has been developed</w:t>
      </w:r>
      <w:r w:rsidR="002F4B2C">
        <w:rPr>
          <w:rFonts w:ascii="Gill Sans" w:hAnsi="Gill Sans" w:cs="Gill Sans"/>
          <w:noProof/>
          <w:sz w:val="22"/>
          <w:szCs w:val="22"/>
          <w:lang w:val="en-GB"/>
        </w:rPr>
        <w:t>,</w:t>
      </w:r>
      <w:r w:rsidR="006D365D" w:rsidRPr="00503F0F">
        <w:rPr>
          <w:rFonts w:ascii="Gill Sans" w:hAnsi="Gill Sans" w:cs="Gill Sans"/>
          <w:noProof/>
          <w:sz w:val="22"/>
          <w:szCs w:val="22"/>
          <w:lang w:val="en-GB"/>
        </w:rPr>
        <w:t xml:space="preserve"> and is pending in </w:t>
      </w:r>
      <w:r w:rsidR="00811EA9">
        <w:rPr>
          <w:rFonts w:ascii="Gill Sans" w:hAnsi="Gill Sans" w:cs="Gill Sans"/>
          <w:noProof/>
          <w:sz w:val="22"/>
          <w:szCs w:val="22"/>
          <w:lang w:val="en-GB"/>
        </w:rPr>
        <w:t>P</w:t>
      </w:r>
      <w:r w:rsidR="006D365D" w:rsidRPr="00503F0F">
        <w:rPr>
          <w:rFonts w:ascii="Gill Sans" w:hAnsi="Gill Sans" w:cs="Gill Sans"/>
          <w:noProof/>
          <w:sz w:val="22"/>
          <w:szCs w:val="22"/>
          <w:lang w:val="en-GB"/>
        </w:rPr>
        <w:t xml:space="preserve">arliament. The EITI process in Ukraine </w:t>
      </w:r>
      <w:r w:rsidR="00FD5891">
        <w:rPr>
          <w:rFonts w:ascii="Gill Sans" w:hAnsi="Gill Sans" w:cs="Gill Sans"/>
          <w:noProof/>
          <w:sz w:val="22"/>
          <w:szCs w:val="22"/>
          <w:lang w:val="en-GB"/>
        </w:rPr>
        <w:t xml:space="preserve">was the first to involve </w:t>
      </w:r>
      <w:r w:rsidR="006D365D" w:rsidRPr="00503F0F">
        <w:rPr>
          <w:rFonts w:ascii="Gill Sans" w:hAnsi="Gill Sans" w:cs="Gill Sans"/>
          <w:noProof/>
          <w:sz w:val="22"/>
          <w:szCs w:val="22"/>
          <w:lang w:val="en-GB"/>
        </w:rPr>
        <w:t xml:space="preserve">genuine multi-stakeholder dialogue within the MSG, including </w:t>
      </w:r>
      <w:r w:rsidR="00811EA9">
        <w:rPr>
          <w:rFonts w:ascii="Gill Sans" w:hAnsi="Gill Sans" w:cs="Gill Sans"/>
          <w:noProof/>
          <w:sz w:val="22"/>
          <w:szCs w:val="22"/>
          <w:lang w:val="en-GB"/>
        </w:rPr>
        <w:t xml:space="preserve">with </w:t>
      </w:r>
      <w:r w:rsidR="006D365D" w:rsidRPr="00503F0F">
        <w:rPr>
          <w:rFonts w:ascii="Gill Sans" w:hAnsi="Gill Sans" w:cs="Gill Sans"/>
          <w:noProof/>
          <w:sz w:val="22"/>
          <w:szCs w:val="22"/>
          <w:lang w:val="en-GB"/>
        </w:rPr>
        <w:t>a number of NGOs and experts.</w:t>
      </w:r>
      <w:r w:rsidR="00984DCC">
        <w:rPr>
          <w:rFonts w:ascii="Gill Sans" w:hAnsi="Gill Sans" w:cs="Gill Sans"/>
          <w:noProof/>
          <w:sz w:val="22"/>
          <w:szCs w:val="22"/>
          <w:lang w:val="en-GB"/>
        </w:rPr>
        <w:t xml:space="preserve"> </w:t>
      </w:r>
    </w:p>
    <w:p w14:paraId="7D75F17B" w14:textId="77777777" w:rsidR="00F13978" w:rsidRDefault="00F13978" w:rsidP="00254401">
      <w:pPr>
        <w:rPr>
          <w:rFonts w:ascii="Gill Sans" w:hAnsi="Gill Sans" w:cs="Gill Sans"/>
          <w:noProof/>
          <w:sz w:val="22"/>
          <w:szCs w:val="22"/>
          <w:lang w:val="en-GB"/>
        </w:rPr>
      </w:pPr>
    </w:p>
    <w:p w14:paraId="4771E95B" w14:textId="0F3773AE" w:rsidR="00F13978" w:rsidRDefault="00F13978" w:rsidP="00F00809">
      <w:pPr>
        <w:rPr>
          <w:rFonts w:eastAsia="Times New Roman"/>
        </w:rPr>
      </w:pPr>
      <w:r>
        <w:rPr>
          <w:rFonts w:ascii="Gill Sans" w:hAnsi="Gill Sans" w:cs="Gill Sans"/>
          <w:noProof/>
          <w:sz w:val="22"/>
          <w:szCs w:val="22"/>
          <w:lang w:val="en-GB"/>
        </w:rPr>
        <w:t>The Multi</w:t>
      </w:r>
      <w:r w:rsidR="002F4B2C">
        <w:rPr>
          <w:rFonts w:ascii="Gill Sans" w:hAnsi="Gill Sans" w:cs="Gill Sans"/>
          <w:noProof/>
          <w:sz w:val="22"/>
          <w:szCs w:val="22"/>
          <w:lang w:val="en-GB"/>
        </w:rPr>
        <w:t>-S</w:t>
      </w:r>
      <w:r>
        <w:rPr>
          <w:rFonts w:ascii="Gill Sans" w:hAnsi="Gill Sans" w:cs="Gill Sans"/>
          <w:noProof/>
          <w:sz w:val="22"/>
          <w:szCs w:val="22"/>
          <w:lang w:val="en-GB"/>
        </w:rPr>
        <w:t>takeholder Group is composed of six CSOs (</w:t>
      </w:r>
      <w:r w:rsidRPr="00AD4820">
        <w:rPr>
          <w:rFonts w:ascii="Gill Sans" w:hAnsi="Gill Sans" w:cs="Gill Sans"/>
          <w:noProof/>
          <w:sz w:val="22"/>
          <w:szCs w:val="22"/>
        </w:rPr>
        <w:t xml:space="preserve">International Renaissance Foundation; </w:t>
      </w:r>
      <w:r w:rsidR="00811EA9">
        <w:rPr>
          <w:rFonts w:ascii="Gill Sans" w:hAnsi="Gill Sans" w:cs="Gill Sans"/>
          <w:noProof/>
          <w:sz w:val="22"/>
          <w:szCs w:val="22"/>
        </w:rPr>
        <w:t>“</w:t>
      </w:r>
      <w:r w:rsidRPr="00AD4820">
        <w:rPr>
          <w:rFonts w:ascii="Gill Sans" w:hAnsi="Gill Sans" w:cs="Gill Sans"/>
          <w:noProof/>
          <w:sz w:val="22"/>
          <w:szCs w:val="22"/>
        </w:rPr>
        <w:t>Centre of Globalistics Strategy XXI</w:t>
      </w:r>
      <w:r w:rsidR="00811EA9">
        <w:rPr>
          <w:rFonts w:ascii="Gill Sans" w:hAnsi="Gill Sans" w:cs="Gill Sans"/>
          <w:noProof/>
          <w:sz w:val="22"/>
          <w:szCs w:val="22"/>
        </w:rPr>
        <w:t>,”</w:t>
      </w:r>
      <w:r w:rsidRPr="00AD4820">
        <w:rPr>
          <w:rFonts w:ascii="Gill Sans" w:hAnsi="Gill Sans" w:cs="Gill Sans"/>
          <w:noProof/>
          <w:sz w:val="22"/>
          <w:szCs w:val="22"/>
        </w:rPr>
        <w:t xml:space="preserve"> DIXI Group, Sustainable Development Institute, Analytical Centre of Regional Cooperation, Chapter in Donestk Oblast of the NGO </w:t>
      </w:r>
      <w:r w:rsidR="00811EA9">
        <w:rPr>
          <w:rFonts w:ascii="Gill Sans" w:hAnsi="Gill Sans" w:cs="Gill Sans"/>
          <w:noProof/>
          <w:sz w:val="22"/>
          <w:szCs w:val="22"/>
        </w:rPr>
        <w:t>“</w:t>
      </w:r>
      <w:r>
        <w:rPr>
          <w:rFonts w:ascii="Gill Sans" w:hAnsi="Gill Sans" w:cs="Gill Sans"/>
          <w:noProof/>
          <w:sz w:val="22"/>
          <w:szCs w:val="22"/>
        </w:rPr>
        <w:t>All-Ukrainian People</w:t>
      </w:r>
      <w:r w:rsidR="00811EA9">
        <w:rPr>
          <w:rFonts w:ascii="Gill Sans" w:hAnsi="Gill Sans" w:cs="Gill Sans"/>
          <w:noProof/>
          <w:sz w:val="22"/>
          <w:szCs w:val="22"/>
        </w:rPr>
        <w:t>’</w:t>
      </w:r>
      <w:r>
        <w:rPr>
          <w:rFonts w:ascii="Gill Sans" w:hAnsi="Gill Sans" w:cs="Gill Sans"/>
          <w:noProof/>
          <w:sz w:val="22"/>
          <w:szCs w:val="22"/>
        </w:rPr>
        <w:t>s Control</w:t>
      </w:r>
      <w:r w:rsidR="00811EA9">
        <w:rPr>
          <w:rFonts w:ascii="Gill Sans" w:hAnsi="Gill Sans" w:cs="Gill Sans"/>
          <w:noProof/>
          <w:sz w:val="22"/>
          <w:szCs w:val="22"/>
        </w:rPr>
        <w:t>”</w:t>
      </w:r>
      <w:r>
        <w:rPr>
          <w:rFonts w:ascii="Gill Sans" w:hAnsi="Gill Sans" w:cs="Gill Sans"/>
          <w:noProof/>
          <w:sz w:val="22"/>
          <w:szCs w:val="22"/>
        </w:rPr>
        <w:t>), six private enterprises, and six government ministries</w:t>
      </w:r>
      <w:r w:rsidRPr="00AD4820">
        <w:rPr>
          <w:rFonts w:ascii="Gill Sans" w:hAnsi="Gill Sans" w:cs="Gill Sans"/>
          <w:noProof/>
          <w:sz w:val="22"/>
          <w:szCs w:val="22"/>
        </w:rPr>
        <w:t>.</w:t>
      </w:r>
      <w:r>
        <w:rPr>
          <w:rFonts w:ascii="Gill Sans" w:hAnsi="Gill Sans" w:cs="Gill Sans"/>
          <w:noProof/>
          <w:sz w:val="22"/>
          <w:szCs w:val="22"/>
        </w:rPr>
        <w:t xml:space="preserve"> As members of the MSG, civil society groups play an active role in monitoring and evaluating EITI compliance. The MSG oversees EITI reporting, including selecting and managing the Independent Administrator in charge of carrying out evaluations. CSOs share an equal level of decsion</w:t>
      </w:r>
      <w:r w:rsidR="002F4B2C">
        <w:rPr>
          <w:rFonts w:ascii="Gill Sans" w:hAnsi="Gill Sans" w:cs="Gill Sans"/>
          <w:noProof/>
          <w:sz w:val="22"/>
          <w:szCs w:val="22"/>
        </w:rPr>
        <w:t>-</w:t>
      </w:r>
      <w:r>
        <w:rPr>
          <w:rFonts w:ascii="Gill Sans" w:hAnsi="Gill Sans" w:cs="Gill Sans"/>
          <w:noProof/>
          <w:sz w:val="22"/>
          <w:szCs w:val="22"/>
        </w:rPr>
        <w:t>making power as all other MSG members, and directly influence and decide policies related to EITI activities.</w:t>
      </w:r>
      <w:r>
        <w:rPr>
          <w:rStyle w:val="EndnoteReference"/>
          <w:rFonts w:ascii="Gill Sans" w:hAnsi="Gill Sans" w:cs="Gill Sans"/>
          <w:noProof/>
          <w:sz w:val="22"/>
          <w:szCs w:val="22"/>
        </w:rPr>
        <w:endnoteReference w:id="42"/>
      </w:r>
      <w:r>
        <w:rPr>
          <w:rFonts w:ascii="Gill Sans" w:hAnsi="Gill Sans" w:cs="Gill Sans"/>
          <w:noProof/>
          <w:sz w:val="22"/>
          <w:szCs w:val="22"/>
        </w:rPr>
        <w:t xml:space="preserve"> </w:t>
      </w:r>
      <w:r w:rsidRPr="00163080">
        <w:rPr>
          <w:rFonts w:ascii="Gill Sans" w:eastAsia="Times New Roman" w:hAnsi="Gill Sans" w:cs="Gill Sans"/>
          <w:color w:val="2C3134"/>
          <w:sz w:val="22"/>
          <w:szCs w:val="22"/>
          <w:shd w:val="clear" w:color="auto" w:fill="FFFFFF"/>
        </w:rPr>
        <w:t xml:space="preserve">During its meeting in November 2016, the MSG decided to train </w:t>
      </w:r>
      <w:r w:rsidR="00811EA9">
        <w:rPr>
          <w:rFonts w:ascii="Gill Sans" w:eastAsia="Times New Roman" w:hAnsi="Gill Sans" w:cs="Gill Sans"/>
          <w:color w:val="2C3134"/>
          <w:sz w:val="22"/>
          <w:szCs w:val="22"/>
          <w:shd w:val="clear" w:color="auto" w:fill="FFFFFF"/>
        </w:rPr>
        <w:t xml:space="preserve">local NGO </w:t>
      </w:r>
      <w:r w:rsidRPr="00163080">
        <w:rPr>
          <w:rFonts w:ascii="Gill Sans" w:eastAsia="Times New Roman" w:hAnsi="Gill Sans" w:cs="Gill Sans"/>
          <w:color w:val="2C3134"/>
          <w:sz w:val="22"/>
          <w:szCs w:val="22"/>
          <w:shd w:val="clear" w:color="auto" w:fill="FFFFFF"/>
        </w:rPr>
        <w:t xml:space="preserve">representatives on </w:t>
      </w:r>
      <w:r w:rsidR="00811EA9">
        <w:rPr>
          <w:rFonts w:ascii="Gill Sans" w:eastAsia="Times New Roman" w:hAnsi="Gill Sans" w:cs="Gill Sans"/>
          <w:color w:val="2C3134"/>
          <w:sz w:val="22"/>
          <w:szCs w:val="22"/>
          <w:shd w:val="clear" w:color="auto" w:fill="FFFFFF"/>
        </w:rPr>
        <w:t xml:space="preserve">how to </w:t>
      </w:r>
      <w:r w:rsidRPr="00163080">
        <w:rPr>
          <w:rFonts w:ascii="Gill Sans" w:eastAsia="Times New Roman" w:hAnsi="Gill Sans" w:cs="Gill Sans"/>
          <w:color w:val="2C3134"/>
          <w:sz w:val="22"/>
          <w:szCs w:val="22"/>
          <w:shd w:val="clear" w:color="auto" w:fill="FFFFFF"/>
        </w:rPr>
        <w:t>us</w:t>
      </w:r>
      <w:r w:rsidR="00811EA9">
        <w:rPr>
          <w:rFonts w:ascii="Gill Sans" w:eastAsia="Times New Roman" w:hAnsi="Gill Sans" w:cs="Gill Sans"/>
          <w:color w:val="2C3134"/>
          <w:sz w:val="22"/>
          <w:szCs w:val="22"/>
          <w:shd w:val="clear" w:color="auto" w:fill="FFFFFF"/>
        </w:rPr>
        <w:t>e</w:t>
      </w:r>
      <w:r w:rsidRPr="00163080">
        <w:rPr>
          <w:rFonts w:ascii="Gill Sans" w:eastAsia="Times New Roman" w:hAnsi="Gill Sans" w:cs="Gill Sans"/>
          <w:color w:val="2C3134"/>
          <w:sz w:val="22"/>
          <w:szCs w:val="22"/>
          <w:shd w:val="clear" w:color="auto" w:fill="FFFFFF"/>
        </w:rPr>
        <w:t xml:space="preserve"> the EITI report data and monitor implementation of recommendations.</w:t>
      </w:r>
      <w:r w:rsidRPr="00163080">
        <w:rPr>
          <w:rStyle w:val="EndnoteReference"/>
          <w:rFonts w:ascii="Gill Sans" w:eastAsia="Times New Roman" w:hAnsi="Gill Sans" w:cs="Gill Sans"/>
          <w:color w:val="2C3134"/>
          <w:sz w:val="22"/>
          <w:szCs w:val="22"/>
          <w:shd w:val="clear" w:color="auto" w:fill="FFFFFF"/>
        </w:rPr>
        <w:endnoteReference w:id="43"/>
      </w:r>
    </w:p>
    <w:p w14:paraId="0D7DD1F2" w14:textId="4FD17AD3" w:rsidR="00AC7E21" w:rsidRPr="00503F0F" w:rsidRDefault="00984DCC" w:rsidP="00811EA9">
      <w:pPr>
        <w:spacing w:after="120"/>
        <w:rPr>
          <w:rFonts w:ascii="Gill Sans" w:hAnsi="Gill Sans" w:cs="Gill Sans"/>
          <w:noProof/>
          <w:sz w:val="22"/>
          <w:szCs w:val="22"/>
          <w:lang w:val="en-GB"/>
        </w:rPr>
      </w:pPr>
      <w:r>
        <w:rPr>
          <w:rFonts w:ascii="Gill Sans" w:hAnsi="Gill Sans" w:cs="Gill Sans"/>
          <w:noProof/>
          <w:sz w:val="22"/>
          <w:szCs w:val="22"/>
          <w:lang w:val="en-GB"/>
        </w:rPr>
        <w:lastRenderedPageBreak/>
        <w:t>All these activities have strongly improved progress toward full EITI compliance as envisioned by the commitment</w:t>
      </w:r>
      <w:r w:rsidR="00F00809">
        <w:rPr>
          <w:rFonts w:ascii="Gill Sans" w:hAnsi="Gill Sans" w:cs="Gill Sans"/>
          <w:noProof/>
          <w:sz w:val="22"/>
          <w:szCs w:val="22"/>
          <w:lang w:val="en-GB"/>
        </w:rPr>
        <w:t>. The</w:t>
      </w:r>
      <w:r>
        <w:rPr>
          <w:rFonts w:ascii="Gill Sans" w:hAnsi="Gill Sans" w:cs="Gill Sans"/>
          <w:noProof/>
          <w:sz w:val="22"/>
          <w:szCs w:val="22"/>
          <w:lang w:val="en-GB"/>
        </w:rPr>
        <w:t xml:space="preserve"> cooperative process has </w:t>
      </w:r>
      <w:r w:rsidR="00F00809">
        <w:rPr>
          <w:rFonts w:ascii="Gill Sans" w:hAnsi="Gill Sans" w:cs="Gill Sans"/>
          <w:noProof/>
          <w:sz w:val="22"/>
          <w:szCs w:val="22"/>
          <w:lang w:val="en-GB"/>
        </w:rPr>
        <w:t xml:space="preserve">also </w:t>
      </w:r>
      <w:r>
        <w:rPr>
          <w:rFonts w:ascii="Gill Sans" w:hAnsi="Gill Sans" w:cs="Gill Sans"/>
          <w:noProof/>
          <w:sz w:val="22"/>
          <w:szCs w:val="22"/>
          <w:lang w:val="en-GB"/>
        </w:rPr>
        <w:t>increased access to information</w:t>
      </w:r>
      <w:r w:rsidR="005A2415">
        <w:rPr>
          <w:rFonts w:ascii="Gill Sans" w:hAnsi="Gill Sans" w:cs="Gill Sans"/>
          <w:noProof/>
          <w:sz w:val="22"/>
          <w:szCs w:val="22"/>
          <w:lang w:val="en-GB"/>
        </w:rPr>
        <w:t xml:space="preserve"> and</w:t>
      </w:r>
      <w:r>
        <w:rPr>
          <w:rFonts w:ascii="Gill Sans" w:hAnsi="Gill Sans" w:cs="Gill Sans"/>
          <w:noProof/>
          <w:sz w:val="22"/>
          <w:szCs w:val="22"/>
          <w:lang w:val="en-GB"/>
        </w:rPr>
        <w:t xml:space="preserve"> civic participation in a major way.  </w:t>
      </w:r>
    </w:p>
    <w:p w14:paraId="42B638DD" w14:textId="77777777" w:rsidR="0014384C" w:rsidRPr="000477EF" w:rsidRDefault="0014384C" w:rsidP="006319F4">
      <w:pPr>
        <w:pStyle w:val="Heading3"/>
      </w:pPr>
      <w:r w:rsidRPr="000477EF">
        <w:t>Carried forward?</w:t>
      </w:r>
    </w:p>
    <w:p w14:paraId="0E2A1BE8" w14:textId="665B3E64" w:rsidR="00782911" w:rsidRDefault="0014384C" w:rsidP="00811EA9">
      <w:pPr>
        <w:spacing w:after="120"/>
        <w:rPr>
          <w:noProof/>
          <w:lang w:val="en-GB"/>
        </w:rPr>
      </w:pPr>
      <w:r w:rsidRPr="000477EF">
        <w:rPr>
          <w:rFonts w:ascii="Gill Sans" w:hAnsi="Gill Sans" w:cs="Gill Sans"/>
          <w:sz w:val="22"/>
          <w:szCs w:val="22"/>
        </w:rPr>
        <w:t xml:space="preserve">The commitment was carried over to the new action plan. </w:t>
      </w:r>
      <w:r w:rsidR="004C7E1A">
        <w:rPr>
          <w:rFonts w:ascii="Gill Sans" w:hAnsi="Gill Sans" w:cs="Gill Sans"/>
          <w:sz w:val="22"/>
          <w:szCs w:val="22"/>
        </w:rPr>
        <w:t xml:space="preserve">It provides for the adoption of the law </w:t>
      </w:r>
      <w:r w:rsidR="004C7E1A">
        <w:rPr>
          <w:rFonts w:ascii="Gill Sans" w:hAnsi="Gill Sans" w:cs="Gill Sans"/>
          <w:noProof/>
          <w:sz w:val="22"/>
          <w:szCs w:val="22"/>
          <w:lang w:val="en-GB"/>
        </w:rPr>
        <w:t>on the disclosure of information in extractive industries</w:t>
      </w:r>
      <w:r w:rsidR="00811EA9">
        <w:rPr>
          <w:rFonts w:ascii="Gill Sans" w:hAnsi="Gill Sans" w:cs="Gill Sans"/>
          <w:noProof/>
          <w:sz w:val="22"/>
          <w:szCs w:val="22"/>
          <w:lang w:val="en-GB"/>
        </w:rPr>
        <w:t>,</w:t>
      </w:r>
      <w:r w:rsidR="004C7E1A">
        <w:rPr>
          <w:rFonts w:ascii="Gill Sans" w:hAnsi="Gill Sans" w:cs="Gill Sans"/>
          <w:noProof/>
          <w:sz w:val="22"/>
          <w:szCs w:val="22"/>
          <w:lang w:val="en-GB"/>
        </w:rPr>
        <w:t xml:space="preserve"> and publication of the second and </w:t>
      </w:r>
      <w:r w:rsidR="00F4457B">
        <w:rPr>
          <w:rFonts w:ascii="Gill Sans" w:hAnsi="Gill Sans" w:cs="Gill Sans"/>
          <w:noProof/>
          <w:sz w:val="22"/>
          <w:szCs w:val="22"/>
          <w:lang w:val="en-GB"/>
        </w:rPr>
        <w:t>third national reports (in December 2016 and December 2017</w:t>
      </w:r>
      <w:r w:rsidR="00811EA9">
        <w:rPr>
          <w:rFonts w:ascii="Gill Sans" w:hAnsi="Gill Sans" w:cs="Gill Sans"/>
          <w:noProof/>
          <w:sz w:val="22"/>
          <w:szCs w:val="22"/>
          <w:lang w:val="en-GB"/>
        </w:rPr>
        <w:t>,</w:t>
      </w:r>
      <w:r w:rsidR="00F4457B">
        <w:rPr>
          <w:rFonts w:ascii="Gill Sans" w:hAnsi="Gill Sans" w:cs="Gill Sans"/>
          <w:noProof/>
          <w:sz w:val="22"/>
          <w:szCs w:val="22"/>
          <w:lang w:val="en-GB"/>
        </w:rPr>
        <w:t xml:space="preserve"> respectively). The commitment no longer aims to achi</w:t>
      </w:r>
      <w:r w:rsidR="007105F1">
        <w:rPr>
          <w:rFonts w:ascii="Gill Sans" w:hAnsi="Gill Sans" w:cs="Gill Sans"/>
          <w:noProof/>
          <w:sz w:val="22"/>
          <w:szCs w:val="22"/>
          <w:lang w:val="en-GB"/>
        </w:rPr>
        <w:t>e</w:t>
      </w:r>
      <w:r w:rsidR="00F4457B">
        <w:rPr>
          <w:rFonts w:ascii="Gill Sans" w:hAnsi="Gill Sans" w:cs="Gill Sans"/>
          <w:noProof/>
          <w:sz w:val="22"/>
          <w:szCs w:val="22"/>
          <w:lang w:val="en-GB"/>
        </w:rPr>
        <w:t xml:space="preserve">ve </w:t>
      </w:r>
      <w:r w:rsidR="00811EA9">
        <w:rPr>
          <w:rFonts w:ascii="Gill Sans" w:hAnsi="Gill Sans" w:cs="Gill Sans"/>
          <w:noProof/>
          <w:sz w:val="22"/>
          <w:szCs w:val="22"/>
          <w:lang w:val="en-GB"/>
        </w:rPr>
        <w:t xml:space="preserve">Ukraine’s </w:t>
      </w:r>
      <w:r w:rsidR="00F4457B">
        <w:rPr>
          <w:rFonts w:ascii="Gill Sans" w:hAnsi="Gill Sans" w:cs="Gill Sans"/>
          <w:noProof/>
          <w:sz w:val="22"/>
          <w:szCs w:val="22"/>
          <w:lang w:val="en-GB"/>
        </w:rPr>
        <w:t xml:space="preserve">compliance with the EITI Standard, </w:t>
      </w:r>
      <w:r w:rsidR="00F00809">
        <w:rPr>
          <w:rFonts w:ascii="Gill Sans" w:hAnsi="Gill Sans" w:cs="Gill Sans"/>
          <w:noProof/>
          <w:sz w:val="22"/>
          <w:szCs w:val="22"/>
          <w:lang w:val="en-GB"/>
        </w:rPr>
        <w:t>a factor that</w:t>
      </w:r>
      <w:r w:rsidR="00F4457B">
        <w:rPr>
          <w:rFonts w:ascii="Gill Sans" w:hAnsi="Gill Sans" w:cs="Gill Sans"/>
          <w:noProof/>
          <w:sz w:val="22"/>
          <w:szCs w:val="22"/>
          <w:lang w:val="en-GB"/>
        </w:rPr>
        <w:t xml:space="preserve"> diminishes </w:t>
      </w:r>
      <w:r w:rsidR="00F00809">
        <w:rPr>
          <w:rFonts w:ascii="Gill Sans" w:hAnsi="Gill Sans" w:cs="Gill Sans"/>
          <w:noProof/>
          <w:sz w:val="22"/>
          <w:szCs w:val="22"/>
          <w:lang w:val="en-GB"/>
        </w:rPr>
        <w:t>the commitment’s</w:t>
      </w:r>
      <w:r w:rsidR="00F4457B">
        <w:rPr>
          <w:rFonts w:ascii="Gill Sans" w:hAnsi="Gill Sans" w:cs="Gill Sans"/>
          <w:noProof/>
          <w:sz w:val="22"/>
          <w:szCs w:val="22"/>
          <w:lang w:val="en-GB"/>
        </w:rPr>
        <w:t xml:space="preserve"> ambition.</w:t>
      </w:r>
    </w:p>
    <w:p w14:paraId="71378530" w14:textId="77777777" w:rsidR="003A6622" w:rsidRDefault="003A6622">
      <w:pPr>
        <w:rPr>
          <w:noProof/>
          <w:lang w:val="en-GB"/>
        </w:rPr>
        <w:sectPr w:rsidR="003A6622" w:rsidSect="002A2966">
          <w:endnotePr>
            <w:numFmt w:val="decimal"/>
            <w:numRestart w:val="eachSect"/>
          </w:endnotePr>
          <w:pgSz w:w="11907" w:h="16839" w:code="9"/>
          <w:pgMar w:top="1417" w:right="1417" w:bottom="1417" w:left="1417" w:header="0" w:footer="0" w:gutter="0"/>
          <w:cols w:space="708"/>
          <w:docGrid w:linePitch="360"/>
        </w:sectPr>
      </w:pPr>
    </w:p>
    <w:p w14:paraId="3A0B4611" w14:textId="5661EC53" w:rsidR="003A6622" w:rsidRPr="00D307EB" w:rsidRDefault="003A6622" w:rsidP="00163080">
      <w:pPr>
        <w:pStyle w:val="Heading2"/>
        <w:spacing w:before="0" w:after="120"/>
        <w:rPr>
          <w:noProof/>
          <w:lang w:val="en-GB"/>
        </w:rPr>
      </w:pPr>
      <w:bookmarkStart w:id="2" w:name="_Toc437543866"/>
      <w:r w:rsidRPr="00D307EB">
        <w:rPr>
          <w:noProof/>
          <w:lang w:val="en-GB"/>
        </w:rPr>
        <w:lastRenderedPageBreak/>
        <w:t xml:space="preserve">Theme </w:t>
      </w:r>
      <w:r w:rsidR="0020660D">
        <w:rPr>
          <w:noProof/>
          <w:lang w:val="en-GB"/>
        </w:rPr>
        <w:t>III</w:t>
      </w:r>
      <w:r w:rsidRPr="00D307EB">
        <w:rPr>
          <w:noProof/>
          <w:lang w:val="en-GB"/>
        </w:rPr>
        <w:t>. Prevent and combat corruption</w:t>
      </w:r>
      <w:bookmarkEnd w:id="2"/>
    </w:p>
    <w:p w14:paraId="79FD7CCB" w14:textId="5391BE2E" w:rsidR="003A6622" w:rsidRPr="00475D8F" w:rsidRDefault="003A6622" w:rsidP="00475D8F">
      <w:pPr>
        <w:pStyle w:val="Normalrglronly"/>
        <w:rPr>
          <w:b/>
          <w:lang w:val="en-GB"/>
        </w:rPr>
      </w:pPr>
      <w:r w:rsidRPr="00475D8F">
        <w:rPr>
          <w:b/>
          <w:lang w:val="en-GB"/>
        </w:rPr>
        <w:t>9. Monitor infrastructure projects</w:t>
      </w:r>
    </w:p>
    <w:p w14:paraId="61752997" w14:textId="24FB0223" w:rsidR="00475D8F" w:rsidRPr="00475D8F" w:rsidRDefault="00221040" w:rsidP="00475D8F">
      <w:pPr>
        <w:spacing w:after="120"/>
        <w:rPr>
          <w:rFonts w:ascii="Gill Sans" w:hAnsi="Gill Sans" w:cs="Gill Sans"/>
          <w:i/>
          <w:noProof/>
          <w:sz w:val="22"/>
          <w:szCs w:val="22"/>
          <w:lang w:val="en-GB"/>
        </w:rPr>
      </w:pPr>
      <w:r w:rsidRPr="0016308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475D8F" w:rsidRPr="00475D8F">
        <w:rPr>
          <w:rFonts w:ascii="Gill Sans" w:hAnsi="Gill Sans" w:cs="Gill Sans"/>
          <w:i/>
          <w:noProof/>
          <w:sz w:val="22"/>
          <w:szCs w:val="22"/>
          <w:lang w:val="en-GB"/>
        </w:rPr>
        <w:t>9. Preparing and submitting to the Cabinet of Ministers of Ukraine in due course a draft Model Regulation on a Monitoring Committee of Infrastructure Projects, which would envisage the procedures for establishment of supervisory boards for the implementation of infrastructure projects of national and regional levels</w:t>
      </w:r>
      <w:r>
        <w:rPr>
          <w:rFonts w:ascii="Gill Sans" w:hAnsi="Gill Sans" w:cs="Gill Sans"/>
          <w:i/>
          <w:noProof/>
          <w:sz w:val="22"/>
          <w:szCs w:val="22"/>
          <w:lang w:val="en-GB"/>
        </w:rPr>
        <w:t>.</w:t>
      </w:r>
    </w:p>
    <w:p w14:paraId="66C97C2A" w14:textId="4C8DB6FB" w:rsidR="00475D8F" w:rsidRPr="00475D8F" w:rsidRDefault="00475D8F" w:rsidP="00475D8F">
      <w:pPr>
        <w:spacing w:after="120"/>
        <w:rPr>
          <w:rFonts w:ascii="Gill Sans" w:hAnsi="Gill Sans" w:cs="Gill Sans"/>
          <w:i/>
          <w:noProof/>
          <w:sz w:val="22"/>
          <w:szCs w:val="22"/>
          <w:lang w:val="en-GB"/>
        </w:rPr>
      </w:pPr>
      <w:r w:rsidRPr="00475D8F">
        <w:rPr>
          <w:rFonts w:ascii="Gill Sans" w:hAnsi="Gill Sans" w:cs="Gill Sans"/>
          <w:i/>
          <w:noProof/>
          <w:sz w:val="22"/>
          <w:szCs w:val="22"/>
          <w:lang w:val="en-GB"/>
        </w:rPr>
        <w:t xml:space="preserve">Expected result: </w:t>
      </w:r>
      <w:r w:rsidRPr="00475D8F">
        <w:rPr>
          <w:rFonts w:ascii="Gill Sans" w:hAnsi="Gill Sans" w:cs="Gill Sans"/>
          <w:i/>
          <w:sz w:val="22"/>
          <w:szCs w:val="22"/>
          <w:lang w:val="en-GB"/>
        </w:rPr>
        <w:t>relevant resolution adopted by the Cabinet of Ministers of Ukraine</w:t>
      </w:r>
      <w:r w:rsidR="00221040">
        <w:rPr>
          <w:rFonts w:ascii="Gill Sans" w:hAnsi="Gill Sans" w:cs="Gill Sans"/>
          <w:i/>
          <w:sz w:val="22"/>
          <w:szCs w:val="22"/>
          <w:lang w:val="en-GB"/>
        </w:rPr>
        <w:t>.</w:t>
      </w:r>
    </w:p>
    <w:p w14:paraId="5AAD5031" w14:textId="73B192D9" w:rsidR="00475D8F" w:rsidRPr="00475D8F" w:rsidRDefault="00475D8F" w:rsidP="00475D8F">
      <w:pPr>
        <w:spacing w:after="120"/>
        <w:rPr>
          <w:rFonts w:ascii="Gill Sans" w:hAnsi="Gill Sans" w:cs="Gill Sans"/>
          <w:noProof/>
          <w:sz w:val="22"/>
          <w:szCs w:val="22"/>
          <w:lang w:val="en-GB"/>
        </w:rPr>
      </w:pPr>
      <w:r w:rsidRPr="00475D8F">
        <w:rPr>
          <w:rFonts w:ascii="Gill Sans" w:hAnsi="Gill Sans" w:cs="Gill Sans"/>
          <w:sz w:val="22"/>
          <w:szCs w:val="22"/>
          <w:lang w:val="en-GB"/>
        </w:rPr>
        <w:t>Lead institution</w:t>
      </w:r>
      <w:r w:rsidR="00221040">
        <w:rPr>
          <w:rFonts w:ascii="Gill Sans" w:hAnsi="Gill Sans" w:cs="Gill Sans"/>
          <w:sz w:val="22"/>
          <w:szCs w:val="22"/>
          <w:lang w:val="en-GB"/>
        </w:rPr>
        <w:t>(s)</w:t>
      </w:r>
      <w:r w:rsidRPr="00475D8F">
        <w:rPr>
          <w:rFonts w:ascii="Gill Sans" w:hAnsi="Gill Sans" w:cs="Gill Sans"/>
          <w:sz w:val="22"/>
          <w:szCs w:val="22"/>
          <w:lang w:val="en-GB"/>
        </w:rPr>
        <w:t>:</w:t>
      </w:r>
      <w:r w:rsidRPr="00475D8F">
        <w:rPr>
          <w:rFonts w:ascii="Gill Sans" w:hAnsi="Gill Sans" w:cs="Gill Sans"/>
          <w:noProof/>
          <w:sz w:val="22"/>
          <w:szCs w:val="22"/>
          <w:lang w:val="en-GB"/>
        </w:rPr>
        <w:t xml:space="preserve"> Ministry of Infrastructure</w:t>
      </w:r>
    </w:p>
    <w:p w14:paraId="45EA4815" w14:textId="16C7FDD5" w:rsidR="00475D8F" w:rsidRPr="00475D8F" w:rsidRDefault="00475D8F" w:rsidP="00475D8F">
      <w:pPr>
        <w:spacing w:after="120"/>
        <w:rPr>
          <w:rFonts w:ascii="Gill Sans" w:hAnsi="Gill Sans" w:cs="Gill Sans"/>
          <w:noProof/>
          <w:sz w:val="22"/>
          <w:szCs w:val="22"/>
          <w:lang w:val="en-GB"/>
        </w:rPr>
      </w:pPr>
      <w:r w:rsidRPr="00475D8F">
        <w:rPr>
          <w:rFonts w:ascii="Gill Sans" w:hAnsi="Gill Sans" w:cs="Gill Sans"/>
          <w:sz w:val="22"/>
          <w:szCs w:val="22"/>
          <w:lang w:val="en-GB"/>
        </w:rPr>
        <w:t>Supporting institution</w:t>
      </w:r>
      <w:r w:rsidR="00221040">
        <w:rPr>
          <w:rFonts w:ascii="Gill Sans" w:hAnsi="Gill Sans" w:cs="Gill Sans"/>
          <w:sz w:val="22"/>
          <w:szCs w:val="22"/>
          <w:lang w:val="en-GB"/>
        </w:rPr>
        <w:t>(</w:t>
      </w:r>
      <w:r w:rsidRPr="00475D8F">
        <w:rPr>
          <w:rFonts w:ascii="Gill Sans" w:hAnsi="Gill Sans" w:cs="Gill Sans"/>
          <w:sz w:val="22"/>
          <w:szCs w:val="22"/>
          <w:lang w:val="en-GB"/>
        </w:rPr>
        <w:t>s</w:t>
      </w:r>
      <w:r w:rsidR="00221040">
        <w:rPr>
          <w:rFonts w:ascii="Gill Sans" w:hAnsi="Gill Sans" w:cs="Gill Sans"/>
          <w:sz w:val="22"/>
          <w:szCs w:val="22"/>
          <w:lang w:val="en-GB"/>
        </w:rPr>
        <w:t>)</w:t>
      </w:r>
      <w:r w:rsidRPr="00475D8F">
        <w:rPr>
          <w:rFonts w:ascii="Gill Sans" w:hAnsi="Gill Sans" w:cs="Gill Sans"/>
          <w:sz w:val="22"/>
          <w:szCs w:val="22"/>
          <w:lang w:val="en-GB"/>
        </w:rPr>
        <w:t xml:space="preserve">: </w:t>
      </w:r>
      <w:r w:rsidRPr="00475D8F">
        <w:rPr>
          <w:rFonts w:ascii="Gill Sans" w:hAnsi="Gill Sans" w:cs="Gill Sans"/>
          <w:noProof/>
          <w:sz w:val="22"/>
          <w:szCs w:val="22"/>
          <w:lang w:val="en-GB"/>
        </w:rPr>
        <w:t>Ministry of Economic Development, Ministry of Finance, Ministry of Ecology and Natural Resources, NGO Transparency International Ukraine, other unspecified NGOs and international organisations</w:t>
      </w:r>
    </w:p>
    <w:p w14:paraId="6DA2987D" w14:textId="05B41FD8" w:rsidR="003A6622" w:rsidRPr="00C04A67" w:rsidRDefault="00475D8F" w:rsidP="00E00469">
      <w:pPr>
        <w:spacing w:after="120"/>
        <w:rPr>
          <w:rFonts w:ascii="Gill Sans" w:hAnsi="Gill Sans" w:cs="Gill Sans"/>
          <w:noProof/>
          <w:sz w:val="22"/>
          <w:szCs w:val="22"/>
          <w:lang w:val="en-GB"/>
        </w:rPr>
      </w:pPr>
      <w:r w:rsidRPr="00475D8F">
        <w:rPr>
          <w:rFonts w:ascii="Gill Sans" w:hAnsi="Gill Sans" w:cs="Gill Sans"/>
          <w:noProof/>
          <w:sz w:val="22"/>
          <w:szCs w:val="22"/>
          <w:lang w:val="en-GB"/>
        </w:rPr>
        <w:t xml:space="preserve">Start </w:t>
      </w:r>
      <w:r w:rsidR="00221040">
        <w:rPr>
          <w:rFonts w:ascii="Gill Sans" w:hAnsi="Gill Sans" w:cs="Gill Sans"/>
          <w:noProof/>
          <w:sz w:val="22"/>
          <w:szCs w:val="22"/>
          <w:lang w:val="en-GB"/>
        </w:rPr>
        <w:t>D</w:t>
      </w:r>
      <w:r w:rsidRPr="00475D8F">
        <w:rPr>
          <w:rFonts w:ascii="Gill Sans" w:hAnsi="Gill Sans" w:cs="Gill Sans"/>
          <w:noProof/>
          <w:sz w:val="22"/>
          <w:szCs w:val="22"/>
          <w:lang w:val="en-GB"/>
        </w:rPr>
        <w:t>ate: Not specified</w:t>
      </w:r>
      <w:r w:rsidRPr="00475D8F">
        <w:rPr>
          <w:rFonts w:ascii="Gill Sans" w:hAnsi="Gill Sans" w:cs="Gill Sans"/>
          <w:noProof/>
          <w:sz w:val="22"/>
          <w:szCs w:val="22"/>
          <w:lang w:val="en-GB"/>
        </w:rPr>
        <w:tab/>
      </w:r>
      <w:r w:rsidRPr="00475D8F">
        <w:rPr>
          <w:rFonts w:ascii="Gill Sans" w:hAnsi="Gill Sans" w:cs="Gill Sans"/>
          <w:noProof/>
          <w:sz w:val="22"/>
          <w:szCs w:val="22"/>
          <w:lang w:val="en-GB"/>
        </w:rPr>
        <w:tab/>
      </w:r>
      <w:r w:rsidRPr="00475D8F">
        <w:rPr>
          <w:rFonts w:ascii="Gill Sans" w:hAnsi="Gill Sans" w:cs="Gill Sans"/>
          <w:noProof/>
          <w:sz w:val="22"/>
          <w:szCs w:val="22"/>
          <w:lang w:val="en-GB"/>
        </w:rPr>
        <w:tab/>
      </w:r>
      <w:r w:rsidR="0020660D">
        <w:rPr>
          <w:rFonts w:ascii="Gill Sans" w:hAnsi="Gill Sans" w:cs="Gill Sans"/>
          <w:noProof/>
          <w:sz w:val="22"/>
          <w:szCs w:val="22"/>
          <w:lang w:val="en-GB"/>
        </w:rPr>
        <w:tab/>
      </w:r>
      <w:r w:rsidRPr="00475D8F">
        <w:rPr>
          <w:rFonts w:ascii="Gill Sans" w:hAnsi="Gill Sans" w:cs="Gill Sans"/>
          <w:noProof/>
          <w:sz w:val="22"/>
          <w:szCs w:val="22"/>
          <w:lang w:val="en-GB"/>
        </w:rPr>
        <w:t xml:space="preserve">End </w:t>
      </w:r>
      <w:r w:rsidR="00221040">
        <w:rPr>
          <w:rFonts w:ascii="Gill Sans" w:hAnsi="Gill Sans" w:cs="Gill Sans"/>
          <w:noProof/>
          <w:sz w:val="22"/>
          <w:szCs w:val="22"/>
          <w:lang w:val="en-GB"/>
        </w:rPr>
        <w:t>D</w:t>
      </w:r>
      <w:r w:rsidRPr="00475D8F">
        <w:rPr>
          <w:rFonts w:ascii="Gill Sans" w:hAnsi="Gill Sans" w:cs="Gill Sans"/>
          <w:noProof/>
          <w:sz w:val="22"/>
          <w:szCs w:val="22"/>
          <w:lang w:val="en-GB"/>
        </w:rPr>
        <w:t>ate: 31 December 2014</w:t>
      </w:r>
    </w:p>
    <w:tbl>
      <w:tblPr>
        <w:tblpPr w:leftFromText="180" w:rightFromText="180" w:vertAnchor="page" w:horzAnchor="page" w:tblpX="1270" w:tblpY="54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347"/>
        <w:gridCol w:w="343"/>
        <w:gridCol w:w="343"/>
        <w:gridCol w:w="343"/>
        <w:gridCol w:w="420"/>
        <w:gridCol w:w="343"/>
        <w:gridCol w:w="420"/>
        <w:gridCol w:w="808"/>
        <w:gridCol w:w="343"/>
        <w:gridCol w:w="343"/>
        <w:gridCol w:w="343"/>
        <w:gridCol w:w="343"/>
        <w:gridCol w:w="420"/>
        <w:gridCol w:w="576"/>
        <w:gridCol w:w="498"/>
        <w:gridCol w:w="420"/>
        <w:gridCol w:w="343"/>
        <w:gridCol w:w="343"/>
        <w:gridCol w:w="343"/>
        <w:gridCol w:w="343"/>
        <w:gridCol w:w="711"/>
      </w:tblGrid>
      <w:tr w:rsidR="0020660D" w:rsidRPr="009651AC" w14:paraId="468AE1D0" w14:textId="77777777" w:rsidTr="00B017F8">
        <w:trPr>
          <w:trHeight w:val="405"/>
        </w:trPr>
        <w:tc>
          <w:tcPr>
            <w:tcW w:w="1522" w:type="dxa"/>
            <w:vMerge w:val="restart"/>
            <w:tcBorders>
              <w:top w:val="single" w:sz="18" w:space="0" w:color="FFFFFF"/>
              <w:left w:val="single" w:sz="4" w:space="0" w:color="FFFFFF"/>
              <w:right w:val="single" w:sz="18" w:space="0" w:color="FFFFFF"/>
            </w:tcBorders>
            <w:shd w:val="clear" w:color="auto" w:fill="000000"/>
          </w:tcPr>
          <w:p w14:paraId="3D0E9697" w14:textId="77777777" w:rsidR="0020660D" w:rsidRPr="009651AC" w:rsidRDefault="0020660D" w:rsidP="00C25C76">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11C0D3EC" w14:textId="53B3EA96" w:rsidR="0020660D" w:rsidRPr="009651AC" w:rsidRDefault="0020660D" w:rsidP="009B0529">
            <w:pPr>
              <w:rPr>
                <w:rFonts w:ascii="Gill Sans" w:hAnsi="Gill Sans" w:cs="Gill Sans"/>
                <w:color w:val="FFFFFF" w:themeColor="background1"/>
                <w:sz w:val="22"/>
                <w:szCs w:val="22"/>
                <w:lang w:val="en-GB"/>
              </w:rPr>
            </w:pPr>
          </w:p>
        </w:tc>
        <w:tc>
          <w:tcPr>
            <w:tcW w:w="1445" w:type="dxa"/>
            <w:gridSpan w:val="4"/>
            <w:vMerge w:val="restart"/>
            <w:tcBorders>
              <w:top w:val="single" w:sz="18" w:space="0" w:color="FFFFFF"/>
              <w:left w:val="single" w:sz="18" w:space="0" w:color="FFFFFF"/>
              <w:right w:val="single" w:sz="18" w:space="0" w:color="FFFFFF"/>
            </w:tcBorders>
            <w:shd w:val="clear" w:color="auto" w:fill="D6E3BC"/>
          </w:tcPr>
          <w:p w14:paraId="2D8EB66A"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Specificity</w:t>
            </w:r>
          </w:p>
        </w:tc>
        <w:tc>
          <w:tcPr>
            <w:tcW w:w="2160" w:type="dxa"/>
            <w:gridSpan w:val="4"/>
            <w:vMerge w:val="restart"/>
            <w:tcBorders>
              <w:top w:val="single" w:sz="18" w:space="0" w:color="FFFFFF"/>
              <w:left w:val="single" w:sz="18" w:space="0" w:color="FFFFFF"/>
              <w:right w:val="single" w:sz="18" w:space="0" w:color="FFFFFF"/>
            </w:tcBorders>
            <w:shd w:val="clear" w:color="auto" w:fill="FBD4B4"/>
          </w:tcPr>
          <w:p w14:paraId="56F8C464" w14:textId="3E09D6D1"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440" w:type="dxa"/>
            <w:gridSpan w:val="4"/>
            <w:vMerge w:val="restart"/>
            <w:tcBorders>
              <w:top w:val="single" w:sz="18" w:space="0" w:color="FFFFFF"/>
              <w:left w:val="single" w:sz="18" w:space="0" w:color="FFFFFF"/>
              <w:right w:val="single" w:sz="18" w:space="0" w:color="FFFFFF"/>
            </w:tcBorders>
            <w:shd w:val="clear" w:color="auto" w:fill="CCC0D9"/>
          </w:tcPr>
          <w:p w14:paraId="20931FE6"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80" w:type="dxa"/>
            <w:gridSpan w:val="2"/>
            <w:vMerge w:val="restart"/>
            <w:tcBorders>
              <w:top w:val="single" w:sz="18" w:space="0" w:color="FFFFFF"/>
              <w:left w:val="single" w:sz="18" w:space="0" w:color="FFFFFF"/>
              <w:right w:val="single" w:sz="2" w:space="0" w:color="FFFFFF"/>
            </w:tcBorders>
            <w:shd w:val="clear" w:color="auto" w:fill="B8CCE4"/>
          </w:tcPr>
          <w:p w14:paraId="473B7FCA" w14:textId="7044795D" w:rsidR="0020660D" w:rsidRPr="009651AC" w:rsidRDefault="0020660D" w:rsidP="00C25C76">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90"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50A23BED"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Midterm</w:t>
            </w:r>
          </w:p>
        </w:tc>
        <w:tc>
          <w:tcPr>
            <w:tcW w:w="2227" w:type="dxa"/>
            <w:gridSpan w:val="5"/>
            <w:vMerge w:val="restart"/>
            <w:tcBorders>
              <w:top w:val="single" w:sz="18" w:space="0" w:color="FFFFFF"/>
              <w:left w:val="single" w:sz="18" w:space="0" w:color="FFFFFF"/>
              <w:right w:val="single" w:sz="18" w:space="0" w:color="FFFFFF"/>
            </w:tcBorders>
            <w:shd w:val="clear" w:color="auto" w:fill="D99594"/>
          </w:tcPr>
          <w:p w14:paraId="7AE1E13D" w14:textId="2812FB1F"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20660D" w:rsidRPr="009651AC" w14:paraId="731B079F" w14:textId="77777777" w:rsidTr="00B017F8">
        <w:trPr>
          <w:trHeight w:val="373"/>
        </w:trPr>
        <w:tc>
          <w:tcPr>
            <w:tcW w:w="1522" w:type="dxa"/>
            <w:vMerge/>
            <w:tcBorders>
              <w:left w:val="single" w:sz="4" w:space="0" w:color="FFFFFF"/>
              <w:right w:val="single" w:sz="18" w:space="0" w:color="FFFFFF"/>
            </w:tcBorders>
            <w:shd w:val="clear" w:color="auto" w:fill="000000"/>
          </w:tcPr>
          <w:p w14:paraId="5905BDC1" w14:textId="7AC04471" w:rsidR="0020660D" w:rsidRPr="009651AC" w:rsidRDefault="0020660D" w:rsidP="009B0529">
            <w:pPr>
              <w:rPr>
                <w:rFonts w:ascii="Gill Sans" w:hAnsi="Gill Sans" w:cs="Gill Sans"/>
                <w:color w:val="FFFFFF" w:themeColor="background1"/>
                <w:sz w:val="22"/>
                <w:szCs w:val="22"/>
                <w:lang w:val="en-GB"/>
              </w:rPr>
            </w:pPr>
          </w:p>
        </w:tc>
        <w:tc>
          <w:tcPr>
            <w:tcW w:w="1445" w:type="dxa"/>
            <w:gridSpan w:val="4"/>
            <w:vMerge/>
            <w:tcBorders>
              <w:left w:val="single" w:sz="18" w:space="0" w:color="FFFFFF"/>
              <w:bottom w:val="single" w:sz="18" w:space="0" w:color="FFFFFF"/>
              <w:right w:val="single" w:sz="18" w:space="0" w:color="FFFFFF"/>
            </w:tcBorders>
            <w:shd w:val="clear" w:color="auto" w:fill="D6E3BC"/>
          </w:tcPr>
          <w:p w14:paraId="4C4D831C" w14:textId="77777777" w:rsidR="0020660D" w:rsidRPr="009651AC" w:rsidRDefault="0020660D" w:rsidP="00C25C76">
            <w:pPr>
              <w:rPr>
                <w:rFonts w:ascii="Gill Sans" w:hAnsi="Gill Sans" w:cs="Gill Sans"/>
                <w:sz w:val="22"/>
                <w:szCs w:val="22"/>
                <w:lang w:val="en-GB"/>
              </w:rPr>
            </w:pPr>
          </w:p>
        </w:tc>
        <w:tc>
          <w:tcPr>
            <w:tcW w:w="2160" w:type="dxa"/>
            <w:gridSpan w:val="4"/>
            <w:vMerge/>
            <w:tcBorders>
              <w:left w:val="single" w:sz="18" w:space="0" w:color="FFFFFF"/>
              <w:bottom w:val="single" w:sz="18" w:space="0" w:color="FFFFFF"/>
              <w:right w:val="single" w:sz="18" w:space="0" w:color="FFFFFF"/>
            </w:tcBorders>
            <w:shd w:val="clear" w:color="auto" w:fill="FBD4B4"/>
          </w:tcPr>
          <w:p w14:paraId="54AB9586" w14:textId="77777777" w:rsidR="0020660D" w:rsidRPr="009651AC" w:rsidRDefault="0020660D" w:rsidP="00C25C76">
            <w:pPr>
              <w:rPr>
                <w:rFonts w:ascii="Gill Sans" w:hAnsi="Gill Sans" w:cs="Gill Sans"/>
                <w:sz w:val="22"/>
                <w:szCs w:val="22"/>
                <w:lang w:val="en-GB"/>
              </w:rPr>
            </w:pPr>
          </w:p>
        </w:tc>
        <w:tc>
          <w:tcPr>
            <w:tcW w:w="1440" w:type="dxa"/>
            <w:gridSpan w:val="4"/>
            <w:vMerge/>
            <w:tcBorders>
              <w:left w:val="single" w:sz="18" w:space="0" w:color="FFFFFF"/>
              <w:bottom w:val="single" w:sz="18" w:space="0" w:color="FFFFFF"/>
              <w:right w:val="single" w:sz="18" w:space="0" w:color="FFFFFF"/>
            </w:tcBorders>
            <w:shd w:val="clear" w:color="auto" w:fill="CCC0D9"/>
          </w:tcPr>
          <w:p w14:paraId="5594130A" w14:textId="77777777" w:rsidR="0020660D" w:rsidRPr="009651AC" w:rsidRDefault="0020660D" w:rsidP="00C25C76">
            <w:pPr>
              <w:rPr>
                <w:rFonts w:ascii="Gill Sans" w:hAnsi="Gill Sans" w:cs="Gill Sans"/>
                <w:sz w:val="22"/>
                <w:szCs w:val="22"/>
                <w:lang w:val="en-GB"/>
              </w:rPr>
            </w:pPr>
          </w:p>
        </w:tc>
        <w:tc>
          <w:tcPr>
            <w:tcW w:w="1080" w:type="dxa"/>
            <w:gridSpan w:val="2"/>
            <w:vMerge/>
            <w:tcBorders>
              <w:left w:val="single" w:sz="18" w:space="0" w:color="FFFFFF"/>
              <w:bottom w:val="single" w:sz="18" w:space="0" w:color="FFFFFF"/>
              <w:right w:val="single" w:sz="2" w:space="0" w:color="FFFFFF"/>
            </w:tcBorders>
            <w:shd w:val="clear" w:color="auto" w:fill="B8CCE4"/>
          </w:tcPr>
          <w:p w14:paraId="2CAB4CE9" w14:textId="77777777" w:rsidR="0020660D" w:rsidRPr="009651AC" w:rsidRDefault="0020660D" w:rsidP="00C25C76">
            <w:pPr>
              <w:rPr>
                <w:rFonts w:ascii="Gill Sans" w:hAnsi="Gill Sans" w:cs="Gill Sans"/>
                <w:sz w:val="22"/>
                <w:szCs w:val="22"/>
                <w:lang w:val="en-GB"/>
              </w:rPr>
            </w:pPr>
          </w:p>
        </w:tc>
        <w:tc>
          <w:tcPr>
            <w:tcW w:w="990"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42B25E29" w14:textId="7B38AB40"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2227" w:type="dxa"/>
            <w:gridSpan w:val="5"/>
            <w:vMerge/>
            <w:tcBorders>
              <w:left w:val="single" w:sz="18" w:space="0" w:color="FFFFFF"/>
              <w:bottom w:val="single" w:sz="18" w:space="0" w:color="FFFFFF"/>
              <w:right w:val="single" w:sz="18" w:space="0" w:color="FFFFFF"/>
            </w:tcBorders>
            <w:shd w:val="clear" w:color="auto" w:fill="D99594"/>
          </w:tcPr>
          <w:p w14:paraId="4FD32ABA" w14:textId="77777777" w:rsidR="0020660D" w:rsidRPr="009651AC" w:rsidRDefault="0020660D" w:rsidP="00C25C76">
            <w:pPr>
              <w:rPr>
                <w:rFonts w:ascii="Gill Sans" w:hAnsi="Gill Sans" w:cs="Gill Sans"/>
                <w:sz w:val="22"/>
                <w:szCs w:val="22"/>
                <w:lang w:val="en-GB"/>
              </w:rPr>
            </w:pPr>
          </w:p>
        </w:tc>
      </w:tr>
      <w:tr w:rsidR="0020660D" w:rsidRPr="009651AC" w14:paraId="15B25EB4" w14:textId="77777777" w:rsidTr="00B017F8">
        <w:trPr>
          <w:cantSplit/>
          <w:trHeight w:val="2336"/>
        </w:trPr>
        <w:tc>
          <w:tcPr>
            <w:tcW w:w="1522" w:type="dxa"/>
            <w:vMerge/>
            <w:tcBorders>
              <w:left w:val="single" w:sz="4" w:space="0" w:color="FFFFFF"/>
              <w:right w:val="single" w:sz="18" w:space="0" w:color="FFFFFF"/>
            </w:tcBorders>
            <w:shd w:val="clear" w:color="auto" w:fill="000000"/>
          </w:tcPr>
          <w:p w14:paraId="6F0047BC" w14:textId="01083043" w:rsidR="0020660D" w:rsidRPr="009651AC" w:rsidRDefault="0020660D" w:rsidP="009B0529">
            <w:pPr>
              <w:rPr>
                <w:rFonts w:ascii="Gill Sans" w:hAnsi="Gill Sans" w:cs="Gill Sans"/>
                <w:color w:val="FFFFFF" w:themeColor="background1"/>
                <w:sz w:val="22"/>
                <w:szCs w:val="22"/>
                <w:lang w:val="en-GB"/>
              </w:rPr>
            </w:pPr>
          </w:p>
        </w:tc>
        <w:tc>
          <w:tcPr>
            <w:tcW w:w="365"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78CCE391"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67431DA5"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Low</w:t>
            </w:r>
          </w:p>
        </w:tc>
        <w:tc>
          <w:tcPr>
            <w:tcW w:w="360"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14D53968"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Medium</w:t>
            </w:r>
          </w:p>
        </w:tc>
        <w:tc>
          <w:tcPr>
            <w:tcW w:w="360"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530804ED"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High</w:t>
            </w:r>
          </w:p>
        </w:tc>
        <w:tc>
          <w:tcPr>
            <w:tcW w:w="45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75B1D023"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6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418AB8F7"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450"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01E6A517"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900"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0858102B"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3570E690"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474A01D6"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Minor</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7D354FFF"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014AE100"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450"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30A67E1D" w14:textId="480EB208"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63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7E40F274"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Limited</w:t>
            </w:r>
          </w:p>
        </w:tc>
        <w:tc>
          <w:tcPr>
            <w:tcW w:w="54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1CA24244"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Substantial</w:t>
            </w:r>
          </w:p>
        </w:tc>
        <w:tc>
          <w:tcPr>
            <w:tcW w:w="450"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17D4FF26"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614D237A" w14:textId="5DD82D8F"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756F4E1" w14:textId="76D0B971"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ot change</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DFD5BB8"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Marginal</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BB45E9C"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787"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619E6C6C" w14:textId="77777777" w:rsidR="0020660D" w:rsidRPr="009651AC" w:rsidRDefault="0020660D" w:rsidP="00C25C76">
            <w:pPr>
              <w:rPr>
                <w:rFonts w:ascii="Gill Sans" w:hAnsi="Gill Sans" w:cs="Gill Sans"/>
                <w:sz w:val="22"/>
                <w:szCs w:val="22"/>
                <w:lang w:val="en-GB"/>
              </w:rPr>
            </w:pPr>
            <w:r w:rsidRPr="009651AC">
              <w:rPr>
                <w:rFonts w:ascii="Gill Sans" w:hAnsi="Gill Sans" w:cs="Gill Sans"/>
                <w:sz w:val="22"/>
                <w:szCs w:val="22"/>
                <w:lang w:val="en-GB"/>
              </w:rPr>
              <w:t>Outstanding</w:t>
            </w:r>
          </w:p>
        </w:tc>
      </w:tr>
      <w:tr w:rsidR="0020660D" w:rsidRPr="009651AC" w14:paraId="692C7B11" w14:textId="77777777" w:rsidTr="00B017F8">
        <w:trPr>
          <w:trHeight w:val="340"/>
        </w:trPr>
        <w:tc>
          <w:tcPr>
            <w:tcW w:w="1522" w:type="dxa"/>
            <w:vMerge/>
            <w:tcBorders>
              <w:left w:val="single" w:sz="4" w:space="0" w:color="FFFFFF"/>
              <w:right w:val="single" w:sz="18" w:space="0" w:color="FFFFFF"/>
            </w:tcBorders>
            <w:shd w:val="clear" w:color="auto" w:fill="000000"/>
          </w:tcPr>
          <w:p w14:paraId="76E7CF57" w14:textId="34AE17DD" w:rsidR="0020660D" w:rsidRPr="009651AC" w:rsidRDefault="0020660D" w:rsidP="00D61BD0">
            <w:pPr>
              <w:rPr>
                <w:rFonts w:ascii="Gill Sans" w:hAnsi="Gill Sans" w:cs="Gill Sans"/>
                <w:noProof/>
                <w:color w:val="FFFFFF" w:themeColor="background1"/>
                <w:sz w:val="22"/>
                <w:szCs w:val="22"/>
                <w:lang w:val="en-GB"/>
              </w:rPr>
            </w:pPr>
          </w:p>
        </w:tc>
        <w:tc>
          <w:tcPr>
            <w:tcW w:w="365" w:type="dxa"/>
            <w:vMerge w:val="restart"/>
            <w:tcBorders>
              <w:top w:val="single" w:sz="18" w:space="0" w:color="FFFFFF"/>
              <w:left w:val="single" w:sz="18" w:space="0" w:color="FFFFFF"/>
              <w:right w:val="single" w:sz="2" w:space="0" w:color="FFFFFF"/>
            </w:tcBorders>
            <w:shd w:val="clear" w:color="auto" w:fill="D6E3BC"/>
          </w:tcPr>
          <w:p w14:paraId="360A4666" w14:textId="77777777" w:rsidR="0020660D" w:rsidRPr="009651AC" w:rsidRDefault="0020660D" w:rsidP="00C25C76">
            <w:pPr>
              <w:rPr>
                <w:rFonts w:ascii="Gill Sans" w:hAnsi="Gill San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6E3BC"/>
          </w:tcPr>
          <w:p w14:paraId="433B9264" w14:textId="77777777" w:rsidR="0020660D" w:rsidRPr="00466E44" w:rsidRDefault="0020660D" w:rsidP="00C25C76">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6E3BC"/>
          </w:tcPr>
          <w:p w14:paraId="5F6BF046" w14:textId="77777777" w:rsidR="0020660D" w:rsidRPr="00466E44" w:rsidRDefault="0020660D" w:rsidP="00C25C76">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18" w:space="0" w:color="FFFFFF"/>
            </w:tcBorders>
            <w:shd w:val="clear" w:color="auto" w:fill="D6E3BC"/>
          </w:tcPr>
          <w:p w14:paraId="4AEDA77D" w14:textId="77777777" w:rsidR="0020660D" w:rsidRPr="00466E44" w:rsidRDefault="0020660D" w:rsidP="00C25C76">
            <w:pPr>
              <w:rPr>
                <w:rFonts w:ascii="Zapf Dingbats" w:hAnsi="Zapf Dingbats" w:cs="Gill Sans"/>
                <w:noProof/>
                <w:sz w:val="22"/>
                <w:szCs w:val="22"/>
                <w:lang w:val="en-GB"/>
              </w:rPr>
            </w:pPr>
          </w:p>
        </w:tc>
        <w:tc>
          <w:tcPr>
            <w:tcW w:w="450" w:type="dxa"/>
            <w:vMerge w:val="restart"/>
            <w:tcBorders>
              <w:top w:val="single" w:sz="18" w:space="0" w:color="FFFFFF"/>
              <w:left w:val="single" w:sz="2" w:space="0" w:color="FFFFFF"/>
              <w:right w:val="single" w:sz="2" w:space="0" w:color="FFFFFF"/>
            </w:tcBorders>
            <w:shd w:val="clear" w:color="auto" w:fill="FBD4B4"/>
          </w:tcPr>
          <w:p w14:paraId="1A3F3C21" w14:textId="134A9C72" w:rsidR="0020660D" w:rsidRPr="00466E44" w:rsidRDefault="0020660D" w:rsidP="00C25C76">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FBD4B4"/>
          </w:tcPr>
          <w:p w14:paraId="06F2900A" w14:textId="77777777" w:rsidR="0020660D" w:rsidRPr="00466E44" w:rsidRDefault="0020660D" w:rsidP="00C25C76">
            <w:pP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FBD4B4"/>
          </w:tcPr>
          <w:p w14:paraId="228C7F24" w14:textId="77777777" w:rsidR="0020660D" w:rsidRPr="00466E44" w:rsidRDefault="0020660D" w:rsidP="00C25C76">
            <w:pP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900" w:type="dxa"/>
            <w:vMerge w:val="restart"/>
            <w:tcBorders>
              <w:top w:val="single" w:sz="18" w:space="0" w:color="FFFFFF"/>
              <w:left w:val="single" w:sz="2" w:space="0" w:color="FFFFFF"/>
              <w:right w:val="single" w:sz="18" w:space="0" w:color="FFFFFF"/>
            </w:tcBorders>
            <w:shd w:val="clear" w:color="auto" w:fill="FBD4B4"/>
          </w:tcPr>
          <w:p w14:paraId="02F641B4" w14:textId="77777777" w:rsidR="0020660D" w:rsidRPr="00466E44" w:rsidRDefault="0020660D" w:rsidP="00C25C76">
            <w:pPr>
              <w:rPr>
                <w:rFonts w:ascii="Zapf Dingbats" w:hAnsi="Zapf Dingbats" w:cs="Gill Sans"/>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CCC0D9"/>
          </w:tcPr>
          <w:p w14:paraId="3C433DA7" w14:textId="77777777" w:rsidR="0020660D" w:rsidRPr="00466E44" w:rsidRDefault="0020660D" w:rsidP="00C25C76">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7AA11066" w14:textId="77777777" w:rsidR="0020660D" w:rsidRPr="00466E44" w:rsidRDefault="0020660D" w:rsidP="00C25C76">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0FFF1D02" w14:textId="77777777" w:rsidR="0020660D" w:rsidRPr="00466E44" w:rsidRDefault="0020660D" w:rsidP="00C25C76">
            <w:pP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18" w:space="0" w:color="FFFFFF"/>
            </w:tcBorders>
            <w:shd w:val="clear" w:color="auto" w:fill="CCC0D9"/>
          </w:tcPr>
          <w:p w14:paraId="49088442" w14:textId="77777777" w:rsidR="0020660D" w:rsidRPr="00466E44" w:rsidRDefault="0020660D" w:rsidP="00C25C76">
            <w:pPr>
              <w:rPr>
                <w:rFonts w:ascii="Zapf Dingbats" w:hAnsi="Zapf Dingbats" w:cs="Gill Sans"/>
                <w:sz w:val="22"/>
                <w:szCs w:val="22"/>
                <w:lang w:val="en-GB"/>
              </w:rPr>
            </w:pPr>
          </w:p>
        </w:tc>
        <w:tc>
          <w:tcPr>
            <w:tcW w:w="450"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66C6AA19" w14:textId="77777777" w:rsidR="0020660D" w:rsidRPr="00466E44" w:rsidRDefault="0020660D" w:rsidP="00C25C76">
            <w:pPr>
              <w:rPr>
                <w:rFonts w:ascii="Zapf Dingbats" w:hAnsi="Zapf Dingbats" w:cs="Gill Sans"/>
                <w:sz w:val="22"/>
                <w:szCs w:val="22"/>
                <w:lang w:val="en-GB"/>
              </w:rPr>
            </w:pPr>
          </w:p>
        </w:tc>
        <w:tc>
          <w:tcPr>
            <w:tcW w:w="63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6E785DEA" w14:textId="77777777" w:rsidR="0020660D" w:rsidRPr="00466E44" w:rsidRDefault="0020660D" w:rsidP="00C25C76">
            <w:pPr>
              <w:rPr>
                <w:rFonts w:ascii="Zapf Dingbats" w:hAnsi="Zapf Dingbats" w:cs="Gill Sans"/>
                <w:sz w:val="22"/>
                <w:szCs w:val="22"/>
                <w:lang w:val="en-GB"/>
              </w:rPr>
            </w:pPr>
          </w:p>
        </w:tc>
        <w:tc>
          <w:tcPr>
            <w:tcW w:w="54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AB7DC3C" w14:textId="77777777" w:rsidR="0020660D" w:rsidRPr="00466E44" w:rsidRDefault="0020660D" w:rsidP="00C25C76">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450"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1A88B7F3" w14:textId="77777777" w:rsidR="0020660D" w:rsidRPr="00466E44" w:rsidRDefault="0020660D" w:rsidP="00C25C76">
            <w:pPr>
              <w:rPr>
                <w:rFonts w:ascii="Zapf Dingbats" w:hAnsi="Zapf Dingbats" w:cs="Gill Sans"/>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99594"/>
          </w:tcPr>
          <w:p w14:paraId="0A05AA11" w14:textId="77777777" w:rsidR="0020660D" w:rsidRPr="00466E44" w:rsidRDefault="0020660D" w:rsidP="00C25C76">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99594"/>
          </w:tcPr>
          <w:p w14:paraId="1659F7EA" w14:textId="7EC4A842" w:rsidR="0020660D" w:rsidRPr="00466E44" w:rsidRDefault="0020660D" w:rsidP="00C25C76">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360" w:type="dxa"/>
            <w:vMerge w:val="restart"/>
            <w:tcBorders>
              <w:top w:val="single" w:sz="18" w:space="0" w:color="FFFFFF"/>
              <w:left w:val="single" w:sz="2" w:space="0" w:color="FFFFFF"/>
              <w:right w:val="single" w:sz="2" w:space="0" w:color="FFFFFF"/>
            </w:tcBorders>
            <w:shd w:val="clear" w:color="auto" w:fill="D99594"/>
          </w:tcPr>
          <w:p w14:paraId="14888628" w14:textId="77777777" w:rsidR="0020660D" w:rsidRPr="009651AC" w:rsidRDefault="0020660D" w:rsidP="00C25C76">
            <w:pPr>
              <w:rPr>
                <w:rFonts w:ascii="Gill Sans" w:hAnsi="Gill Sans" w:cs="Gill Sans"/>
                <w:sz w:val="22"/>
                <w:szCs w:val="22"/>
                <w:lang w:val="uk-UA"/>
              </w:rPr>
            </w:pPr>
          </w:p>
        </w:tc>
        <w:tc>
          <w:tcPr>
            <w:tcW w:w="360" w:type="dxa"/>
            <w:vMerge w:val="restart"/>
            <w:tcBorders>
              <w:top w:val="single" w:sz="18" w:space="0" w:color="FFFFFF"/>
              <w:left w:val="single" w:sz="2" w:space="0" w:color="FFFFFF"/>
              <w:right w:val="single" w:sz="2" w:space="0" w:color="FFFFFF"/>
            </w:tcBorders>
            <w:shd w:val="clear" w:color="auto" w:fill="D99594"/>
          </w:tcPr>
          <w:p w14:paraId="548F5E35" w14:textId="5977D673" w:rsidR="0020660D" w:rsidRPr="008E2D1E" w:rsidRDefault="0020660D" w:rsidP="00C25C76">
            <w:pPr>
              <w:rPr>
                <w:rFonts w:ascii="Gill Sans" w:hAnsi="Gill Sans" w:cs="Gill Sans"/>
                <w:noProof/>
                <w:sz w:val="22"/>
                <w:szCs w:val="22"/>
              </w:rPr>
            </w:pPr>
          </w:p>
        </w:tc>
        <w:tc>
          <w:tcPr>
            <w:tcW w:w="787" w:type="dxa"/>
            <w:vMerge w:val="restart"/>
            <w:tcBorders>
              <w:top w:val="single" w:sz="18" w:space="0" w:color="FFFFFF"/>
              <w:left w:val="single" w:sz="2" w:space="0" w:color="FFFFFF"/>
              <w:right w:val="single" w:sz="18" w:space="0" w:color="FFFFFF"/>
            </w:tcBorders>
            <w:shd w:val="clear" w:color="auto" w:fill="D99594"/>
          </w:tcPr>
          <w:p w14:paraId="1B1E0181" w14:textId="77777777" w:rsidR="0020660D" w:rsidRPr="009651AC" w:rsidRDefault="0020660D" w:rsidP="00C25C76">
            <w:pPr>
              <w:rPr>
                <w:rFonts w:ascii="Gill Sans" w:hAnsi="Gill Sans" w:cs="Gill Sans"/>
                <w:sz w:val="22"/>
                <w:szCs w:val="22"/>
                <w:lang w:val="en-GB"/>
              </w:rPr>
            </w:pPr>
          </w:p>
        </w:tc>
      </w:tr>
      <w:tr w:rsidR="0020660D" w:rsidRPr="009651AC" w14:paraId="4CAEFF61" w14:textId="77777777" w:rsidTr="00B017F8">
        <w:trPr>
          <w:trHeight w:val="340"/>
        </w:trPr>
        <w:tc>
          <w:tcPr>
            <w:tcW w:w="1522" w:type="dxa"/>
            <w:vMerge/>
            <w:tcBorders>
              <w:left w:val="single" w:sz="4" w:space="0" w:color="FFFFFF"/>
              <w:right w:val="single" w:sz="18" w:space="0" w:color="FFFFFF"/>
            </w:tcBorders>
            <w:shd w:val="clear" w:color="auto" w:fill="000000"/>
          </w:tcPr>
          <w:p w14:paraId="6A7A26C5" w14:textId="77777777" w:rsidR="0020660D" w:rsidRPr="009651AC" w:rsidRDefault="0020660D" w:rsidP="00C25C76">
            <w:pPr>
              <w:rPr>
                <w:rFonts w:ascii="Gill Sans" w:hAnsi="Gill Sans" w:cs="Gill Sans"/>
                <w:color w:val="FFFFFF" w:themeColor="background1"/>
                <w:sz w:val="22"/>
                <w:szCs w:val="22"/>
                <w:lang w:val="en-GB"/>
              </w:rPr>
            </w:pPr>
          </w:p>
        </w:tc>
        <w:tc>
          <w:tcPr>
            <w:tcW w:w="365" w:type="dxa"/>
            <w:vMerge/>
            <w:tcBorders>
              <w:left w:val="single" w:sz="18" w:space="0" w:color="FFFFFF"/>
              <w:right w:val="single" w:sz="2" w:space="0" w:color="FFFFFF"/>
            </w:tcBorders>
            <w:shd w:val="clear" w:color="auto" w:fill="D6E3BC"/>
          </w:tcPr>
          <w:p w14:paraId="6B2E4D79" w14:textId="77777777" w:rsidR="0020660D" w:rsidRPr="009651AC" w:rsidRDefault="0020660D" w:rsidP="00C25C76">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6E3BC"/>
          </w:tcPr>
          <w:p w14:paraId="6A5F0919" w14:textId="77777777" w:rsidR="0020660D" w:rsidRPr="009651AC" w:rsidRDefault="0020660D" w:rsidP="00C25C76">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6E3BC"/>
          </w:tcPr>
          <w:p w14:paraId="5AED04E2" w14:textId="77777777" w:rsidR="0020660D" w:rsidRPr="009651AC" w:rsidRDefault="0020660D" w:rsidP="00C25C76">
            <w:pPr>
              <w:rPr>
                <w:rFonts w:ascii="Gill Sans" w:hAnsi="Gill Sans" w:cs="Gill Sans"/>
                <w:sz w:val="22"/>
                <w:szCs w:val="22"/>
                <w:lang w:val="en-GB"/>
              </w:rPr>
            </w:pPr>
          </w:p>
        </w:tc>
        <w:tc>
          <w:tcPr>
            <w:tcW w:w="360" w:type="dxa"/>
            <w:vMerge/>
            <w:tcBorders>
              <w:left w:val="single" w:sz="2" w:space="0" w:color="FFFFFF"/>
              <w:right w:val="single" w:sz="18" w:space="0" w:color="FFFFFF"/>
            </w:tcBorders>
            <w:shd w:val="clear" w:color="auto" w:fill="D6E3BC"/>
          </w:tcPr>
          <w:p w14:paraId="51E13528" w14:textId="77777777" w:rsidR="0020660D" w:rsidRPr="009651AC" w:rsidRDefault="0020660D" w:rsidP="00C25C76">
            <w:pPr>
              <w:rPr>
                <w:rFonts w:ascii="Gill Sans" w:hAnsi="Gill Sans" w:cs="Gill Sans"/>
                <w:noProof/>
                <w:sz w:val="22"/>
                <w:szCs w:val="22"/>
                <w:lang w:val="en-GB"/>
              </w:rPr>
            </w:pPr>
          </w:p>
        </w:tc>
        <w:tc>
          <w:tcPr>
            <w:tcW w:w="450" w:type="dxa"/>
            <w:vMerge/>
            <w:tcBorders>
              <w:left w:val="single" w:sz="2" w:space="0" w:color="FFFFFF"/>
              <w:right w:val="single" w:sz="2" w:space="0" w:color="FFFFFF"/>
            </w:tcBorders>
            <w:shd w:val="clear" w:color="auto" w:fill="FBD4B4"/>
          </w:tcPr>
          <w:p w14:paraId="47C11E51" w14:textId="77777777" w:rsidR="0020660D" w:rsidRPr="009651AC" w:rsidRDefault="0020660D" w:rsidP="00C25C76">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FBD4B4"/>
          </w:tcPr>
          <w:p w14:paraId="56B4DAA6" w14:textId="77777777" w:rsidR="0020660D" w:rsidRPr="009651AC" w:rsidRDefault="0020660D" w:rsidP="00C25C76">
            <w:pPr>
              <w:rPr>
                <w:rFonts w:ascii="Gill Sans" w:hAnsi="Gill Sans" w:cs="Gill Sans"/>
                <w:noProof/>
                <w:sz w:val="22"/>
                <w:szCs w:val="22"/>
                <w:lang w:val="en-GB"/>
              </w:rPr>
            </w:pPr>
          </w:p>
        </w:tc>
        <w:tc>
          <w:tcPr>
            <w:tcW w:w="450" w:type="dxa"/>
            <w:vMerge/>
            <w:tcBorders>
              <w:left w:val="single" w:sz="2" w:space="0" w:color="FFFFFF"/>
              <w:right w:val="single" w:sz="2" w:space="0" w:color="FFFFFF"/>
            </w:tcBorders>
            <w:shd w:val="clear" w:color="auto" w:fill="FBD4B4"/>
          </w:tcPr>
          <w:p w14:paraId="7334E83F" w14:textId="77777777" w:rsidR="0020660D" w:rsidRPr="009651AC" w:rsidRDefault="0020660D" w:rsidP="00C25C76">
            <w:pPr>
              <w:rPr>
                <w:rFonts w:ascii="Gill Sans" w:hAnsi="Gill Sans" w:cs="Gill Sans"/>
                <w:noProof/>
                <w:sz w:val="22"/>
                <w:szCs w:val="22"/>
                <w:lang w:val="en-GB"/>
              </w:rPr>
            </w:pPr>
          </w:p>
        </w:tc>
        <w:tc>
          <w:tcPr>
            <w:tcW w:w="900" w:type="dxa"/>
            <w:vMerge/>
            <w:tcBorders>
              <w:left w:val="single" w:sz="2" w:space="0" w:color="FFFFFF"/>
              <w:right w:val="single" w:sz="18" w:space="0" w:color="FFFFFF"/>
            </w:tcBorders>
            <w:shd w:val="clear" w:color="auto" w:fill="FBD4B4"/>
          </w:tcPr>
          <w:p w14:paraId="4FBE9FD6" w14:textId="77777777" w:rsidR="0020660D" w:rsidRPr="009651AC" w:rsidRDefault="0020660D" w:rsidP="00C25C76">
            <w:pPr>
              <w:rPr>
                <w:rFonts w:ascii="Gill Sans" w:hAnsi="Gill Sans" w:cs="Gill Sans"/>
                <w:sz w:val="22"/>
                <w:szCs w:val="22"/>
                <w:lang w:val="en-GB"/>
              </w:rPr>
            </w:pPr>
          </w:p>
        </w:tc>
        <w:tc>
          <w:tcPr>
            <w:tcW w:w="360" w:type="dxa"/>
            <w:vMerge/>
            <w:tcBorders>
              <w:left w:val="single" w:sz="18" w:space="0" w:color="FFFFFF"/>
              <w:right w:val="single" w:sz="2" w:space="0" w:color="FFFFFF"/>
            </w:tcBorders>
            <w:shd w:val="clear" w:color="auto" w:fill="CCC0D9"/>
          </w:tcPr>
          <w:p w14:paraId="5F06C4C2" w14:textId="77777777" w:rsidR="0020660D" w:rsidRPr="009651AC" w:rsidRDefault="0020660D" w:rsidP="00C25C76">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CCC0D9"/>
          </w:tcPr>
          <w:p w14:paraId="21B73586" w14:textId="77777777" w:rsidR="0020660D" w:rsidRPr="009651AC" w:rsidRDefault="0020660D" w:rsidP="00C25C76">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CCC0D9"/>
          </w:tcPr>
          <w:p w14:paraId="0C8D1080" w14:textId="77777777" w:rsidR="0020660D" w:rsidRPr="009651AC" w:rsidRDefault="0020660D" w:rsidP="00C25C76">
            <w:pPr>
              <w:rPr>
                <w:rFonts w:ascii="Gill Sans" w:hAnsi="Gill Sans" w:cs="Gill Sans"/>
                <w:noProof/>
                <w:sz w:val="22"/>
                <w:szCs w:val="22"/>
                <w:lang w:val="en-GB"/>
              </w:rPr>
            </w:pPr>
          </w:p>
        </w:tc>
        <w:tc>
          <w:tcPr>
            <w:tcW w:w="360" w:type="dxa"/>
            <w:vMerge/>
            <w:tcBorders>
              <w:left w:val="single" w:sz="2" w:space="0" w:color="FFFFFF"/>
              <w:right w:val="single" w:sz="18" w:space="0" w:color="FFFFFF"/>
            </w:tcBorders>
            <w:shd w:val="clear" w:color="auto" w:fill="CCC0D9"/>
          </w:tcPr>
          <w:p w14:paraId="1ABEC888" w14:textId="77777777" w:rsidR="0020660D" w:rsidRPr="009651AC" w:rsidRDefault="0020660D" w:rsidP="00C25C76">
            <w:pPr>
              <w:rPr>
                <w:rFonts w:ascii="Gill Sans" w:hAnsi="Gill Sans" w:cs="Gill Sans"/>
                <w:sz w:val="22"/>
                <w:szCs w:val="22"/>
                <w:lang w:val="en-GB"/>
              </w:rPr>
            </w:pPr>
          </w:p>
        </w:tc>
        <w:tc>
          <w:tcPr>
            <w:tcW w:w="450"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241FCE91" w14:textId="77777777" w:rsidR="0020660D" w:rsidRPr="009651AC" w:rsidRDefault="0020660D" w:rsidP="00C25C76">
            <w:pPr>
              <w:rPr>
                <w:rFonts w:ascii="Gill Sans" w:hAnsi="Gill Sans" w:cs="Gill Sans"/>
                <w:sz w:val="22"/>
                <w:szCs w:val="22"/>
                <w:lang w:val="en-GB"/>
              </w:rPr>
            </w:pPr>
          </w:p>
        </w:tc>
        <w:tc>
          <w:tcPr>
            <w:tcW w:w="63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73445D40" w14:textId="13C837DA" w:rsidR="0020660D" w:rsidRPr="00466E44" w:rsidRDefault="0020660D" w:rsidP="00C25C76">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54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20BA5285" w14:textId="031374F3" w:rsidR="0020660D" w:rsidRPr="009651AC" w:rsidRDefault="0020660D" w:rsidP="00C25C76">
            <w:pPr>
              <w:rPr>
                <w:rFonts w:ascii="Gill Sans" w:hAnsi="Gill Sans" w:cs="Gill Sans"/>
                <w:sz w:val="22"/>
                <w:szCs w:val="22"/>
                <w:lang w:val="en-GB"/>
              </w:rPr>
            </w:pPr>
          </w:p>
        </w:tc>
        <w:tc>
          <w:tcPr>
            <w:tcW w:w="450"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26FC6BF2" w14:textId="77777777" w:rsidR="0020660D" w:rsidRPr="009651AC" w:rsidRDefault="0020660D" w:rsidP="00C25C76">
            <w:pPr>
              <w:jc w:val="center"/>
              <w:rPr>
                <w:rFonts w:ascii="Gill Sans" w:hAnsi="Gill Sans" w:cs="Gill Sans"/>
                <w:sz w:val="22"/>
                <w:szCs w:val="22"/>
                <w:lang w:val="en-GB"/>
              </w:rPr>
            </w:pPr>
          </w:p>
        </w:tc>
        <w:tc>
          <w:tcPr>
            <w:tcW w:w="360" w:type="dxa"/>
            <w:vMerge/>
            <w:tcBorders>
              <w:left w:val="single" w:sz="18" w:space="0" w:color="FFFFFF"/>
              <w:right w:val="single" w:sz="2" w:space="0" w:color="FFFFFF"/>
            </w:tcBorders>
            <w:shd w:val="clear" w:color="auto" w:fill="D99594"/>
          </w:tcPr>
          <w:p w14:paraId="3CC5DC29" w14:textId="77777777" w:rsidR="0020660D" w:rsidRPr="009651AC" w:rsidRDefault="0020660D" w:rsidP="00C25C76">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0D9BE20C" w14:textId="77777777" w:rsidR="0020660D" w:rsidRPr="009651AC" w:rsidRDefault="0020660D" w:rsidP="00C25C76">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303B8EF9" w14:textId="77777777" w:rsidR="0020660D" w:rsidRPr="009651AC" w:rsidRDefault="0020660D" w:rsidP="00C25C76">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77E8AB2A" w14:textId="77777777" w:rsidR="0020660D" w:rsidRPr="009651AC" w:rsidRDefault="0020660D" w:rsidP="00C25C76">
            <w:pPr>
              <w:rPr>
                <w:rFonts w:ascii="Gill Sans" w:hAnsi="Gill Sans" w:cs="Gill Sans"/>
                <w:noProof/>
                <w:sz w:val="22"/>
                <w:szCs w:val="22"/>
                <w:lang w:val="en-GB"/>
              </w:rPr>
            </w:pPr>
          </w:p>
        </w:tc>
        <w:tc>
          <w:tcPr>
            <w:tcW w:w="787" w:type="dxa"/>
            <w:vMerge/>
            <w:tcBorders>
              <w:left w:val="single" w:sz="2" w:space="0" w:color="FFFFFF"/>
              <w:right w:val="single" w:sz="18" w:space="0" w:color="FFFFFF"/>
            </w:tcBorders>
            <w:shd w:val="clear" w:color="auto" w:fill="D99594"/>
          </w:tcPr>
          <w:p w14:paraId="33FB59C1" w14:textId="77777777" w:rsidR="0020660D" w:rsidRPr="009651AC" w:rsidRDefault="0020660D" w:rsidP="00C25C76">
            <w:pPr>
              <w:rPr>
                <w:rFonts w:ascii="Gill Sans" w:hAnsi="Gill Sans" w:cs="Gill Sans"/>
                <w:sz w:val="22"/>
                <w:szCs w:val="22"/>
                <w:lang w:val="en-GB"/>
              </w:rPr>
            </w:pPr>
          </w:p>
        </w:tc>
      </w:tr>
    </w:tbl>
    <w:p w14:paraId="6915AF62" w14:textId="77777777" w:rsidR="00F00809" w:rsidRDefault="00F00809" w:rsidP="006319F4">
      <w:pPr>
        <w:pStyle w:val="Heading3"/>
      </w:pPr>
    </w:p>
    <w:p w14:paraId="708803E7" w14:textId="4C06F00D" w:rsidR="003A6622" w:rsidRPr="00352741" w:rsidRDefault="003A6622" w:rsidP="00163080">
      <w:pPr>
        <w:pStyle w:val="Heading3"/>
      </w:pPr>
      <w:r w:rsidRPr="000912E0">
        <w:t>Commitment</w:t>
      </w:r>
      <w:r w:rsidRPr="00352741">
        <w:t xml:space="preserve"> </w:t>
      </w:r>
      <w:r w:rsidR="00F00809">
        <w:t>a</w:t>
      </w:r>
      <w:r w:rsidRPr="00352741">
        <w:t>im</w:t>
      </w:r>
    </w:p>
    <w:p w14:paraId="7585C28D" w14:textId="16F4F31F" w:rsidR="00956856" w:rsidRDefault="003A6622">
      <w:pPr>
        <w:spacing w:after="120"/>
        <w:rPr>
          <w:rFonts w:ascii="Gill Sans" w:hAnsi="Gill Sans" w:cs="Gill Sans"/>
          <w:sz w:val="22"/>
          <w:szCs w:val="22"/>
          <w:lang w:val="en-GB"/>
        </w:rPr>
      </w:pPr>
      <w:r w:rsidRPr="00180227">
        <w:rPr>
          <w:rFonts w:ascii="Gill Sans" w:hAnsi="Gill Sans" w:cs="Gill Sans"/>
          <w:sz w:val="22"/>
          <w:szCs w:val="22"/>
          <w:lang w:val="en-GB"/>
        </w:rPr>
        <w:t>Th</w:t>
      </w:r>
      <w:r w:rsidR="00113A3A">
        <w:rPr>
          <w:rFonts w:ascii="Gill Sans" w:hAnsi="Gill Sans" w:cs="Gill Sans"/>
          <w:sz w:val="22"/>
          <w:szCs w:val="22"/>
          <w:lang w:val="en-GB"/>
        </w:rPr>
        <w:t>is</w:t>
      </w:r>
      <w:r w:rsidRPr="00180227">
        <w:rPr>
          <w:rFonts w:ascii="Gill Sans" w:hAnsi="Gill Sans" w:cs="Gill Sans"/>
          <w:sz w:val="22"/>
          <w:szCs w:val="22"/>
          <w:lang w:val="en-GB"/>
        </w:rPr>
        <w:t xml:space="preserve"> commitment aimed to</w:t>
      </w:r>
      <w:r w:rsidR="00956856">
        <w:rPr>
          <w:rFonts w:ascii="Gill Sans" w:hAnsi="Gill Sans" w:cs="Gill Sans"/>
          <w:sz w:val="22"/>
          <w:szCs w:val="22"/>
          <w:lang w:val="en-GB"/>
        </w:rPr>
        <w:t xml:space="preserve"> enhance transparency, civic oversight</w:t>
      </w:r>
      <w:r w:rsidR="00460638">
        <w:rPr>
          <w:rFonts w:ascii="Gill Sans" w:hAnsi="Gill Sans" w:cs="Gill Sans"/>
          <w:sz w:val="22"/>
          <w:szCs w:val="22"/>
          <w:lang w:val="en-GB"/>
        </w:rPr>
        <w:t>,</w:t>
      </w:r>
      <w:r w:rsidR="00956856">
        <w:rPr>
          <w:rFonts w:ascii="Gill Sans" w:hAnsi="Gill Sans" w:cs="Gill Sans"/>
          <w:sz w:val="22"/>
          <w:szCs w:val="22"/>
          <w:lang w:val="en-GB"/>
        </w:rPr>
        <w:t xml:space="preserve"> and public accountability in national and regional infrastructure projects. Such projects often use significant public funds</w:t>
      </w:r>
      <w:r w:rsidR="00F00809">
        <w:rPr>
          <w:rFonts w:ascii="Gill Sans" w:hAnsi="Gill Sans" w:cs="Gill Sans"/>
          <w:sz w:val="22"/>
          <w:szCs w:val="22"/>
          <w:lang w:val="en-GB"/>
        </w:rPr>
        <w:t>,</w:t>
      </w:r>
      <w:r w:rsidR="00956856">
        <w:rPr>
          <w:rFonts w:ascii="Gill Sans" w:hAnsi="Gill Sans" w:cs="Gill Sans"/>
          <w:sz w:val="22"/>
          <w:szCs w:val="22"/>
          <w:lang w:val="en-GB"/>
        </w:rPr>
        <w:t xml:space="preserve"> and lack transparency at the design and implementation stages. </w:t>
      </w:r>
      <w:r w:rsidR="007105F1">
        <w:rPr>
          <w:rFonts w:ascii="Gill Sans" w:hAnsi="Gill Sans" w:cs="Gill Sans"/>
          <w:sz w:val="22"/>
          <w:szCs w:val="22"/>
          <w:lang w:val="en-GB"/>
        </w:rPr>
        <w:t>As t</w:t>
      </w:r>
      <w:r w:rsidR="00956856">
        <w:rPr>
          <w:rFonts w:ascii="Gill Sans" w:hAnsi="Gill Sans" w:cs="Gill Sans"/>
          <w:sz w:val="22"/>
          <w:szCs w:val="22"/>
          <w:lang w:val="en-GB"/>
        </w:rPr>
        <w:t xml:space="preserve">his is also an area </w:t>
      </w:r>
      <w:r w:rsidR="005D5C8C">
        <w:rPr>
          <w:rFonts w:ascii="Gill Sans" w:hAnsi="Gill Sans" w:cs="Gill Sans"/>
          <w:sz w:val="22"/>
          <w:szCs w:val="22"/>
          <w:lang w:val="en-GB"/>
        </w:rPr>
        <w:t xml:space="preserve">in which there is </w:t>
      </w:r>
      <w:r w:rsidR="00956856">
        <w:rPr>
          <w:rFonts w:ascii="Gill Sans" w:hAnsi="Gill Sans" w:cs="Gill Sans"/>
          <w:sz w:val="22"/>
          <w:szCs w:val="22"/>
          <w:lang w:val="en-GB"/>
        </w:rPr>
        <w:t>widespread corruption</w:t>
      </w:r>
      <w:r w:rsidR="007105F1">
        <w:rPr>
          <w:rFonts w:ascii="Gill Sans" w:hAnsi="Gill Sans" w:cs="Gill Sans"/>
          <w:sz w:val="22"/>
          <w:szCs w:val="22"/>
          <w:lang w:val="en-GB"/>
        </w:rPr>
        <w:t>,</w:t>
      </w:r>
      <w:r w:rsidR="00956856">
        <w:rPr>
          <w:rFonts w:ascii="Gill Sans" w:hAnsi="Gill Sans" w:cs="Gill Sans"/>
          <w:sz w:val="22"/>
          <w:szCs w:val="22"/>
          <w:lang w:val="en-GB"/>
        </w:rPr>
        <w:t xml:space="preserve"> a monitoring mechanism with civil society involvement would help reduce </w:t>
      </w:r>
      <w:r w:rsidR="00F00809">
        <w:rPr>
          <w:rFonts w:ascii="Gill Sans" w:hAnsi="Gill Sans" w:cs="Gill Sans"/>
          <w:sz w:val="22"/>
          <w:szCs w:val="22"/>
          <w:lang w:val="en-GB"/>
        </w:rPr>
        <w:t>corruption</w:t>
      </w:r>
      <w:r w:rsidR="00956856">
        <w:rPr>
          <w:rFonts w:ascii="Gill Sans" w:hAnsi="Gill Sans" w:cs="Gill Sans"/>
          <w:sz w:val="22"/>
          <w:szCs w:val="22"/>
          <w:lang w:val="en-GB"/>
        </w:rPr>
        <w:t>.</w:t>
      </w:r>
    </w:p>
    <w:p w14:paraId="0C1017D3" w14:textId="4E1FAB93" w:rsidR="003A6622" w:rsidRPr="00352741" w:rsidRDefault="003A6622" w:rsidP="00163080">
      <w:pPr>
        <w:pStyle w:val="Heading3"/>
      </w:pPr>
      <w:r w:rsidRPr="00352741">
        <w:t>Status</w:t>
      </w:r>
    </w:p>
    <w:p w14:paraId="606EC3FB" w14:textId="300612E6" w:rsidR="003A6622" w:rsidRPr="00AA4602" w:rsidRDefault="003A6622" w:rsidP="003A6622">
      <w:pPr>
        <w:pStyle w:val="Normalrglronly"/>
        <w:rPr>
          <w:b/>
          <w:lang w:val="en-GB"/>
        </w:rPr>
      </w:pPr>
      <w:r w:rsidRPr="00AA4602">
        <w:rPr>
          <w:b/>
          <w:lang w:val="en-GB"/>
        </w:rPr>
        <w:t>Midterm: Substantial</w:t>
      </w:r>
    </w:p>
    <w:p w14:paraId="750F016F" w14:textId="15CADDCA" w:rsidR="003A6622" w:rsidRDefault="00AA4602" w:rsidP="006319F4">
      <w:pPr>
        <w:rPr>
          <w:rFonts w:ascii="Gill Sans" w:hAnsi="Gill Sans" w:cs="Gill Sans"/>
          <w:sz w:val="22"/>
          <w:szCs w:val="22"/>
          <w:lang w:val="en-GB"/>
        </w:rPr>
      </w:pPr>
      <w:r w:rsidRPr="00AA4602">
        <w:rPr>
          <w:rFonts w:ascii="Gill Sans" w:hAnsi="Gill Sans" w:cs="Gill Sans"/>
          <w:noProof/>
          <w:sz w:val="22"/>
          <w:szCs w:val="22"/>
          <w:lang w:val="en-GB"/>
        </w:rPr>
        <w:t xml:space="preserve">The </w:t>
      </w:r>
      <w:r w:rsidR="007105F1">
        <w:rPr>
          <w:rFonts w:ascii="Gill Sans" w:hAnsi="Gill Sans" w:cs="Gill Sans"/>
          <w:noProof/>
          <w:sz w:val="22"/>
          <w:szCs w:val="22"/>
          <w:lang w:val="en-GB"/>
        </w:rPr>
        <w:t xml:space="preserve">2014 Law on </w:t>
      </w:r>
      <w:r w:rsidRPr="00AA4602">
        <w:rPr>
          <w:rFonts w:ascii="Gill Sans" w:hAnsi="Gill Sans" w:cs="Gill Sans"/>
          <w:noProof/>
          <w:sz w:val="22"/>
          <w:szCs w:val="22"/>
          <w:lang w:val="en-GB"/>
        </w:rPr>
        <w:t>Anti-Corruption Strategy of Ukraine for 2014-2017</w:t>
      </w:r>
      <w:r w:rsidRPr="00AA4602">
        <w:rPr>
          <w:rStyle w:val="EndnoteReference"/>
          <w:rFonts w:ascii="Gill Sans" w:hAnsi="Gill Sans" w:cs="Gill Sans"/>
          <w:noProof/>
          <w:sz w:val="22"/>
          <w:szCs w:val="22"/>
          <w:lang w:val="en-GB"/>
        </w:rPr>
        <w:endnoteReference w:id="44"/>
      </w:r>
      <w:r w:rsidRPr="00AA4602">
        <w:rPr>
          <w:rFonts w:ascii="Gill Sans" w:hAnsi="Gill Sans" w:cs="Gill Sans"/>
          <w:noProof/>
          <w:sz w:val="22"/>
          <w:szCs w:val="22"/>
          <w:lang w:val="en-GB"/>
        </w:rPr>
        <w:t xml:space="preserve"> provided</w:t>
      </w:r>
      <w:r w:rsidR="005170CE">
        <w:rPr>
          <w:rFonts w:ascii="Gill Sans" w:hAnsi="Gill Sans" w:cs="Gill Sans"/>
          <w:noProof/>
          <w:sz w:val="22"/>
          <w:szCs w:val="22"/>
          <w:lang w:val="en-GB"/>
        </w:rPr>
        <w:t>,</w:t>
      </w:r>
      <w:r w:rsidRPr="00AA4602">
        <w:rPr>
          <w:rFonts w:ascii="Gill Sans" w:hAnsi="Gill Sans" w:cs="Gill Sans"/>
          <w:noProof/>
          <w:sz w:val="22"/>
          <w:szCs w:val="22"/>
          <w:lang w:val="en-GB"/>
        </w:rPr>
        <w:t xml:space="preserve"> as one of the measures to be taken</w:t>
      </w:r>
      <w:r w:rsidR="005170CE">
        <w:rPr>
          <w:rFonts w:ascii="Gill Sans" w:hAnsi="Gill Sans" w:cs="Gill Sans"/>
          <w:noProof/>
          <w:sz w:val="22"/>
          <w:szCs w:val="22"/>
          <w:lang w:val="en-GB"/>
        </w:rPr>
        <w:t>,</w:t>
      </w:r>
      <w:r w:rsidRPr="00AA4602">
        <w:rPr>
          <w:rFonts w:ascii="Gill Sans" w:hAnsi="Gill Sans" w:cs="Gill Sans"/>
          <w:noProof/>
          <w:sz w:val="22"/>
          <w:szCs w:val="22"/>
          <w:lang w:val="en-GB"/>
        </w:rPr>
        <w:t xml:space="preserve"> the implementation of </w:t>
      </w:r>
      <w:r w:rsidR="00B35AD4">
        <w:rPr>
          <w:rFonts w:ascii="Gill Sans" w:hAnsi="Gill Sans" w:cs="Gill Sans"/>
          <w:noProof/>
          <w:sz w:val="22"/>
          <w:szCs w:val="22"/>
          <w:lang w:val="en-GB"/>
        </w:rPr>
        <w:t>“</w:t>
      </w:r>
      <w:r w:rsidRPr="00AA4602">
        <w:rPr>
          <w:rFonts w:ascii="Gill Sans" w:hAnsi="Gill Sans" w:cs="Gill Sans"/>
          <w:noProof/>
          <w:sz w:val="22"/>
          <w:szCs w:val="22"/>
          <w:lang w:val="en-GB"/>
        </w:rPr>
        <w:t>pilot projects of integrity pacts in infrastructure projects or other projects, which include significant budget expenses, by forming tripartite (government-business-civil society) mechanism of control over design and implementation of such projects, targeted and efficient use of relevant funds.</w:t>
      </w:r>
      <w:r w:rsidR="00B35AD4">
        <w:rPr>
          <w:rFonts w:ascii="Gill Sans" w:hAnsi="Gill Sans" w:cs="Gill Sans"/>
          <w:noProof/>
          <w:sz w:val="22"/>
          <w:szCs w:val="22"/>
          <w:lang w:val="en-GB"/>
        </w:rPr>
        <w:t>”</w:t>
      </w:r>
      <w:r w:rsidRPr="00AA4602">
        <w:rPr>
          <w:rFonts w:ascii="Gill Sans" w:hAnsi="Gill Sans" w:cs="Gill Sans"/>
          <w:noProof/>
          <w:sz w:val="22"/>
          <w:szCs w:val="22"/>
          <w:lang w:val="en-GB"/>
        </w:rPr>
        <w:t xml:space="preserve"> The monitoring of infrastructure projects </w:t>
      </w:r>
      <w:r w:rsidR="006826C6">
        <w:rPr>
          <w:rFonts w:ascii="Gill Sans" w:hAnsi="Gill Sans" w:cs="Gill Sans"/>
          <w:noProof/>
          <w:sz w:val="22"/>
          <w:szCs w:val="22"/>
          <w:lang w:val="en-GB"/>
        </w:rPr>
        <w:t>can</w:t>
      </w:r>
      <w:r w:rsidR="006826C6" w:rsidRPr="00AA4602">
        <w:rPr>
          <w:rFonts w:ascii="Gill Sans" w:hAnsi="Gill Sans" w:cs="Gill Sans"/>
          <w:noProof/>
          <w:sz w:val="22"/>
          <w:szCs w:val="22"/>
          <w:lang w:val="en-GB"/>
        </w:rPr>
        <w:t xml:space="preserve"> </w:t>
      </w:r>
      <w:r w:rsidRPr="00AA4602">
        <w:rPr>
          <w:rFonts w:ascii="Gill Sans" w:hAnsi="Gill Sans" w:cs="Gill Sans"/>
          <w:noProof/>
          <w:sz w:val="22"/>
          <w:szCs w:val="22"/>
          <w:lang w:val="en-GB"/>
        </w:rPr>
        <w:t>be seen as implementation of this measure.</w:t>
      </w:r>
      <w:r>
        <w:rPr>
          <w:rFonts w:ascii="Gill Sans" w:hAnsi="Gill Sans" w:cs="Gill Sans"/>
          <w:noProof/>
          <w:sz w:val="22"/>
          <w:szCs w:val="22"/>
          <w:lang w:val="en-GB"/>
        </w:rPr>
        <w:t xml:space="preserve"> </w:t>
      </w:r>
      <w:r w:rsidRPr="00AA4602">
        <w:rPr>
          <w:rFonts w:ascii="Gill Sans" w:hAnsi="Gill Sans" w:cs="Gill Sans"/>
          <w:noProof/>
          <w:sz w:val="22"/>
          <w:szCs w:val="22"/>
          <w:lang w:val="en-GB"/>
        </w:rPr>
        <w:t xml:space="preserve">The Ministry of Infrastructure developed </w:t>
      </w:r>
      <w:r>
        <w:rPr>
          <w:rFonts w:ascii="Gill Sans" w:hAnsi="Gill Sans" w:cs="Gill Sans"/>
          <w:noProof/>
          <w:sz w:val="22"/>
          <w:szCs w:val="22"/>
          <w:lang w:val="en-GB"/>
        </w:rPr>
        <w:t xml:space="preserve">several versions of the </w:t>
      </w:r>
      <w:r w:rsidRPr="00AA4602">
        <w:rPr>
          <w:rFonts w:ascii="Gill Sans" w:hAnsi="Gill Sans" w:cs="Gill Sans"/>
          <w:noProof/>
          <w:sz w:val="22"/>
          <w:szCs w:val="22"/>
          <w:lang w:val="en-GB"/>
        </w:rPr>
        <w:t xml:space="preserve">draft regulations in 2015, but </w:t>
      </w:r>
      <w:r w:rsidR="00D814EC">
        <w:rPr>
          <w:rFonts w:ascii="Gill Sans" w:hAnsi="Gill Sans" w:cs="Gill Sans"/>
          <w:noProof/>
          <w:sz w:val="22"/>
          <w:szCs w:val="22"/>
          <w:lang w:val="en-GB"/>
        </w:rPr>
        <w:t>CSOs</w:t>
      </w:r>
      <w:r w:rsidRPr="00AA4602">
        <w:rPr>
          <w:rFonts w:ascii="Gill Sans" w:hAnsi="Gill Sans" w:cs="Gill Sans"/>
          <w:noProof/>
          <w:sz w:val="22"/>
          <w:szCs w:val="22"/>
          <w:lang w:val="en-GB"/>
        </w:rPr>
        <w:t xml:space="preserve"> criticised the draft</w:t>
      </w:r>
      <w:r>
        <w:rPr>
          <w:rFonts w:ascii="Gill Sans" w:hAnsi="Gill Sans" w:cs="Gill Sans"/>
          <w:noProof/>
          <w:sz w:val="22"/>
          <w:szCs w:val="22"/>
          <w:lang w:val="en-GB"/>
        </w:rPr>
        <w:t>s</w:t>
      </w:r>
      <w:r w:rsidR="00205A72">
        <w:rPr>
          <w:rFonts w:ascii="Gill Sans" w:hAnsi="Gill Sans" w:cs="Gill Sans"/>
          <w:noProof/>
          <w:sz w:val="22"/>
          <w:szCs w:val="22"/>
          <w:lang w:val="en-GB"/>
        </w:rPr>
        <w:t xml:space="preserve"> because they did not </w:t>
      </w:r>
      <w:r w:rsidR="005170CE">
        <w:rPr>
          <w:rFonts w:ascii="Gill Sans" w:hAnsi="Gill Sans" w:cs="Gill Sans"/>
          <w:noProof/>
          <w:sz w:val="22"/>
          <w:szCs w:val="22"/>
          <w:lang w:val="en-GB"/>
        </w:rPr>
        <w:t xml:space="preserve">grant </w:t>
      </w:r>
      <w:r w:rsidR="00205A72">
        <w:rPr>
          <w:rFonts w:ascii="Gill Sans" w:hAnsi="Gill Sans" w:cs="Gill Sans"/>
          <w:noProof/>
          <w:sz w:val="22"/>
          <w:szCs w:val="22"/>
          <w:lang w:val="en-GB"/>
        </w:rPr>
        <w:t>sufficient power to the monitoring structures</w:t>
      </w:r>
      <w:r w:rsidRPr="00AA4602">
        <w:rPr>
          <w:rFonts w:ascii="Gill Sans" w:hAnsi="Gill Sans" w:cs="Gill Sans"/>
          <w:noProof/>
          <w:sz w:val="22"/>
          <w:szCs w:val="22"/>
          <w:lang w:val="en-GB"/>
        </w:rPr>
        <w:t xml:space="preserve">. The draft regulations </w:t>
      </w:r>
      <w:r w:rsidR="005170CE">
        <w:rPr>
          <w:rFonts w:ascii="Gill Sans" w:hAnsi="Gill Sans" w:cs="Gill Sans"/>
          <w:noProof/>
          <w:sz w:val="22"/>
          <w:szCs w:val="22"/>
          <w:lang w:val="en-GB"/>
        </w:rPr>
        <w:t>allowed</w:t>
      </w:r>
      <w:r w:rsidRPr="00AA4602">
        <w:rPr>
          <w:rFonts w:ascii="Gill Sans" w:hAnsi="Gill Sans" w:cs="Gill Sans"/>
          <w:noProof/>
          <w:sz w:val="22"/>
          <w:szCs w:val="22"/>
          <w:lang w:val="en-GB"/>
        </w:rPr>
        <w:t xml:space="preserve"> </w:t>
      </w:r>
      <w:r w:rsidR="006826C6">
        <w:rPr>
          <w:rFonts w:ascii="Gill Sans" w:hAnsi="Gill Sans" w:cs="Gill Sans"/>
          <w:noProof/>
          <w:sz w:val="22"/>
          <w:szCs w:val="22"/>
          <w:lang w:val="en-GB"/>
        </w:rPr>
        <w:t xml:space="preserve">the </w:t>
      </w:r>
      <w:r w:rsidRPr="00AA4602">
        <w:rPr>
          <w:rFonts w:ascii="Gill Sans" w:hAnsi="Gill Sans" w:cs="Gill Sans"/>
          <w:noProof/>
          <w:sz w:val="22"/>
          <w:szCs w:val="22"/>
          <w:lang w:val="en-GB"/>
        </w:rPr>
        <w:t xml:space="preserve">setting up </w:t>
      </w:r>
      <w:r w:rsidR="006826C6">
        <w:rPr>
          <w:rFonts w:ascii="Gill Sans" w:hAnsi="Gill Sans" w:cs="Gill Sans"/>
          <w:noProof/>
          <w:sz w:val="22"/>
          <w:szCs w:val="22"/>
          <w:lang w:val="en-GB"/>
        </w:rPr>
        <w:t xml:space="preserve">of </w:t>
      </w:r>
      <w:r w:rsidRPr="00AA4602">
        <w:rPr>
          <w:rFonts w:ascii="Gill Sans" w:hAnsi="Gill Sans" w:cs="Gill Sans"/>
          <w:noProof/>
          <w:sz w:val="22"/>
          <w:szCs w:val="22"/>
          <w:lang w:val="en-GB"/>
        </w:rPr>
        <w:t xml:space="preserve">permanent </w:t>
      </w:r>
      <w:r w:rsidR="006826C6" w:rsidRPr="00AA4602">
        <w:rPr>
          <w:rFonts w:ascii="Gill Sans" w:hAnsi="Gill Sans" w:cs="Gill Sans"/>
          <w:noProof/>
          <w:sz w:val="22"/>
          <w:szCs w:val="22"/>
          <w:lang w:val="en-GB"/>
        </w:rPr>
        <w:t xml:space="preserve">monitoring panels (committees) </w:t>
      </w:r>
      <w:r w:rsidR="006826C6">
        <w:rPr>
          <w:rFonts w:ascii="Gill Sans" w:hAnsi="Gill Sans" w:cs="Gill Sans"/>
          <w:noProof/>
          <w:sz w:val="22"/>
          <w:szCs w:val="22"/>
          <w:lang w:val="en-GB"/>
        </w:rPr>
        <w:t xml:space="preserve">for </w:t>
      </w:r>
      <w:r w:rsidRPr="00AA4602">
        <w:rPr>
          <w:rFonts w:ascii="Gill Sans" w:hAnsi="Gill Sans" w:cs="Gill Sans"/>
          <w:noProof/>
          <w:sz w:val="22"/>
          <w:szCs w:val="22"/>
          <w:lang w:val="en-GB"/>
        </w:rPr>
        <w:t xml:space="preserve">infrastructure projects at the central and local executive authority levels. The panels </w:t>
      </w:r>
      <w:r>
        <w:rPr>
          <w:rFonts w:ascii="Gill Sans" w:hAnsi="Gill Sans" w:cs="Gill Sans"/>
          <w:noProof/>
          <w:sz w:val="22"/>
          <w:szCs w:val="22"/>
          <w:lang w:val="en-GB"/>
        </w:rPr>
        <w:t xml:space="preserve">would </w:t>
      </w:r>
      <w:r w:rsidRPr="00AA4602">
        <w:rPr>
          <w:rFonts w:ascii="Gill Sans" w:hAnsi="Gill Sans" w:cs="Gill Sans"/>
          <w:noProof/>
          <w:sz w:val="22"/>
          <w:szCs w:val="22"/>
          <w:lang w:val="en-GB"/>
        </w:rPr>
        <w:t xml:space="preserve">comprise representatives from </w:t>
      </w:r>
      <w:r w:rsidR="00D814EC">
        <w:rPr>
          <w:rFonts w:ascii="Gill Sans" w:hAnsi="Gill Sans" w:cs="Gill Sans"/>
          <w:noProof/>
          <w:sz w:val="22"/>
          <w:szCs w:val="22"/>
          <w:lang w:val="en-GB"/>
        </w:rPr>
        <w:t>CSO</w:t>
      </w:r>
      <w:r w:rsidR="007729D3">
        <w:rPr>
          <w:rFonts w:ascii="Gill Sans" w:hAnsi="Gill Sans" w:cs="Gill Sans"/>
          <w:noProof/>
          <w:sz w:val="22"/>
          <w:szCs w:val="22"/>
          <w:lang w:val="en-GB"/>
        </w:rPr>
        <w:t>s</w:t>
      </w:r>
      <w:r w:rsidRPr="00AA4602">
        <w:rPr>
          <w:rFonts w:ascii="Gill Sans" w:hAnsi="Gill Sans" w:cs="Gill Sans"/>
          <w:noProof/>
          <w:sz w:val="22"/>
          <w:szCs w:val="22"/>
          <w:lang w:val="en-GB"/>
        </w:rPr>
        <w:t xml:space="preserve"> and other non</w:t>
      </w:r>
      <w:r w:rsidR="005170CE">
        <w:rPr>
          <w:rFonts w:ascii="Gill Sans" w:hAnsi="Gill Sans" w:cs="Gill Sans"/>
          <w:noProof/>
          <w:sz w:val="22"/>
          <w:szCs w:val="22"/>
          <w:lang w:val="en-GB"/>
        </w:rPr>
        <w:t>-</w:t>
      </w:r>
      <w:r w:rsidRPr="00AA4602">
        <w:rPr>
          <w:rFonts w:ascii="Gill Sans" w:hAnsi="Gill Sans" w:cs="Gill Sans"/>
          <w:noProof/>
          <w:sz w:val="22"/>
          <w:szCs w:val="22"/>
          <w:lang w:val="en-GB"/>
        </w:rPr>
        <w:t>governmental stakeholders selected through an open competition.</w:t>
      </w:r>
      <w:r>
        <w:rPr>
          <w:rFonts w:ascii="Gill Sans" w:hAnsi="Gill Sans" w:cs="Gill Sans"/>
          <w:noProof/>
          <w:sz w:val="22"/>
          <w:szCs w:val="22"/>
          <w:lang w:val="en-GB"/>
        </w:rPr>
        <w:t xml:space="preserve"> Despite much effort to develop the regulations</w:t>
      </w:r>
      <w:r w:rsidR="006826C6">
        <w:rPr>
          <w:rFonts w:ascii="Gill Sans" w:hAnsi="Gill Sans" w:cs="Gill Sans"/>
          <w:noProof/>
          <w:sz w:val="22"/>
          <w:szCs w:val="22"/>
          <w:lang w:val="en-GB"/>
        </w:rPr>
        <w:t>,</w:t>
      </w:r>
      <w:r>
        <w:rPr>
          <w:rFonts w:ascii="Gill Sans" w:hAnsi="Gill Sans" w:cs="Gill Sans"/>
          <w:noProof/>
          <w:sz w:val="22"/>
          <w:szCs w:val="22"/>
          <w:lang w:val="en-GB"/>
        </w:rPr>
        <w:t xml:space="preserve"> none of its version</w:t>
      </w:r>
      <w:r w:rsidR="007105F1">
        <w:rPr>
          <w:rFonts w:ascii="Gill Sans" w:hAnsi="Gill Sans" w:cs="Gill Sans"/>
          <w:noProof/>
          <w:sz w:val="22"/>
          <w:szCs w:val="22"/>
          <w:lang w:val="en-GB"/>
        </w:rPr>
        <w:t>s</w:t>
      </w:r>
      <w:r>
        <w:rPr>
          <w:rFonts w:ascii="Gill Sans" w:hAnsi="Gill Sans" w:cs="Gill Sans"/>
          <w:noProof/>
          <w:sz w:val="22"/>
          <w:szCs w:val="22"/>
          <w:lang w:val="en-GB"/>
        </w:rPr>
        <w:t xml:space="preserve"> reached the </w:t>
      </w:r>
      <w:r w:rsidR="006826C6">
        <w:rPr>
          <w:rFonts w:ascii="Gill Sans" w:hAnsi="Gill Sans" w:cs="Gill Sans"/>
          <w:noProof/>
          <w:sz w:val="22"/>
          <w:szCs w:val="22"/>
          <w:lang w:val="en-GB"/>
        </w:rPr>
        <w:t>g</w:t>
      </w:r>
      <w:r>
        <w:rPr>
          <w:rFonts w:ascii="Gill Sans" w:hAnsi="Gill Sans" w:cs="Gill Sans"/>
          <w:noProof/>
          <w:sz w:val="22"/>
          <w:szCs w:val="22"/>
          <w:lang w:val="en-GB"/>
        </w:rPr>
        <w:t>overnment meeting</w:t>
      </w:r>
      <w:r w:rsidR="003A6622" w:rsidRPr="00AA4602">
        <w:rPr>
          <w:rFonts w:ascii="Gill Sans" w:hAnsi="Gill Sans" w:cs="Gill Sans"/>
          <w:sz w:val="22"/>
          <w:szCs w:val="22"/>
          <w:lang w:val="en-GB"/>
        </w:rPr>
        <w:t>.</w:t>
      </w:r>
      <w:r w:rsidR="003A6622" w:rsidRPr="00AA4602">
        <w:rPr>
          <w:rStyle w:val="EndnoteReference"/>
          <w:rFonts w:ascii="Gill Sans" w:hAnsi="Gill Sans" w:cs="Gill Sans"/>
          <w:sz w:val="22"/>
          <w:szCs w:val="22"/>
          <w:lang w:val="en-GB"/>
        </w:rPr>
        <w:endnoteReference w:id="45"/>
      </w:r>
    </w:p>
    <w:p w14:paraId="5BB6F316" w14:textId="5EB07E17" w:rsidR="003A6622" w:rsidRPr="00782911" w:rsidRDefault="003A6622" w:rsidP="00163080">
      <w:pPr>
        <w:pStyle w:val="Normalrglronly"/>
        <w:spacing w:before="120"/>
        <w:rPr>
          <w:b/>
          <w:lang w:val="en-US"/>
        </w:rPr>
      </w:pPr>
      <w:r w:rsidRPr="00782911">
        <w:rPr>
          <w:b/>
          <w:lang w:val="en-GB"/>
        </w:rPr>
        <w:lastRenderedPageBreak/>
        <w:t xml:space="preserve">End of term: </w:t>
      </w:r>
      <w:r w:rsidR="00630FA4">
        <w:rPr>
          <w:b/>
          <w:lang w:val="en-GB"/>
        </w:rPr>
        <w:t>Limited</w:t>
      </w:r>
    </w:p>
    <w:p w14:paraId="0D8099E6" w14:textId="0738A9AE" w:rsidR="00651709" w:rsidRDefault="005170CE" w:rsidP="006319F4">
      <w:pPr>
        <w:spacing w:after="120"/>
        <w:rPr>
          <w:rFonts w:ascii="Gill Sans" w:hAnsi="Gill Sans" w:cs="Gill Sans"/>
          <w:noProof/>
          <w:sz w:val="22"/>
          <w:szCs w:val="22"/>
          <w:lang w:val="en-GB"/>
        </w:rPr>
      </w:pPr>
      <w:r>
        <w:rPr>
          <w:rFonts w:ascii="Gill Sans" w:hAnsi="Gill Sans" w:cs="Gill Sans"/>
          <w:noProof/>
          <w:sz w:val="22"/>
          <w:szCs w:val="22"/>
          <w:lang w:val="en-GB"/>
        </w:rPr>
        <w:t>Since the midterm report, n</w:t>
      </w:r>
      <w:r w:rsidR="00630FA4">
        <w:rPr>
          <w:rFonts w:ascii="Gill Sans" w:hAnsi="Gill Sans" w:cs="Gill Sans"/>
          <w:noProof/>
          <w:sz w:val="22"/>
          <w:szCs w:val="22"/>
          <w:lang w:val="en-GB"/>
        </w:rPr>
        <w:t xml:space="preserve">o progress has been made to adopt the regulations. On the contrary, from the </w:t>
      </w:r>
      <w:r w:rsidR="006826C6">
        <w:rPr>
          <w:rFonts w:ascii="Gill Sans" w:hAnsi="Gill Sans" w:cs="Gill Sans"/>
          <w:noProof/>
          <w:sz w:val="22"/>
          <w:szCs w:val="22"/>
          <w:lang w:val="en-GB"/>
        </w:rPr>
        <w:t>g</w:t>
      </w:r>
      <w:r w:rsidR="00630FA4">
        <w:rPr>
          <w:rFonts w:ascii="Gill Sans" w:hAnsi="Gill Sans" w:cs="Gill Sans"/>
          <w:noProof/>
          <w:sz w:val="22"/>
          <w:szCs w:val="22"/>
          <w:lang w:val="en-GB"/>
        </w:rPr>
        <w:t>overnment self-assessment report</w:t>
      </w:r>
      <w:r w:rsidR="006826C6">
        <w:rPr>
          <w:rFonts w:ascii="Gill Sans" w:hAnsi="Gill Sans" w:cs="Gill Sans"/>
          <w:noProof/>
          <w:sz w:val="22"/>
          <w:szCs w:val="22"/>
          <w:lang w:val="en-GB"/>
        </w:rPr>
        <w:t>,</w:t>
      </w:r>
      <w:r w:rsidR="00630FA4">
        <w:rPr>
          <w:rFonts w:ascii="Gill Sans" w:hAnsi="Gill Sans" w:cs="Gill Sans"/>
          <w:noProof/>
          <w:sz w:val="22"/>
          <w:szCs w:val="22"/>
          <w:lang w:val="en-GB"/>
        </w:rPr>
        <w:t xml:space="preserve"> it appears </w:t>
      </w:r>
      <w:r w:rsidR="00902B00">
        <w:rPr>
          <w:rFonts w:ascii="Gill Sans" w:hAnsi="Gill Sans" w:cs="Gill Sans"/>
          <w:noProof/>
          <w:sz w:val="22"/>
          <w:szCs w:val="22"/>
          <w:lang w:val="en-GB"/>
        </w:rPr>
        <w:t>that the commitment’s implementation has been halted</w:t>
      </w:r>
      <w:r w:rsidR="006826C6">
        <w:rPr>
          <w:rFonts w:ascii="Gill Sans" w:hAnsi="Gill Sans" w:cs="Gill Sans"/>
          <w:noProof/>
          <w:sz w:val="22"/>
          <w:szCs w:val="22"/>
          <w:lang w:val="en-GB"/>
        </w:rPr>
        <w:t>,</w:t>
      </w:r>
      <w:r w:rsidR="00902B00">
        <w:rPr>
          <w:rFonts w:ascii="Gill Sans" w:hAnsi="Gill Sans" w:cs="Gill Sans"/>
          <w:noProof/>
          <w:sz w:val="22"/>
          <w:szCs w:val="22"/>
          <w:lang w:val="en-GB"/>
        </w:rPr>
        <w:t xml:space="preserve"> and no further attempts to finalise and adopt relevant regulations have been made. The </w:t>
      </w:r>
      <w:r w:rsidR="006826C6">
        <w:rPr>
          <w:rFonts w:ascii="Gill Sans" w:hAnsi="Gill Sans" w:cs="Gill Sans"/>
          <w:noProof/>
          <w:sz w:val="22"/>
          <w:szCs w:val="22"/>
          <w:lang w:val="en-GB"/>
        </w:rPr>
        <w:t>g</w:t>
      </w:r>
      <w:r w:rsidR="00382C96">
        <w:rPr>
          <w:rFonts w:ascii="Gill Sans" w:hAnsi="Gill Sans" w:cs="Gill Sans"/>
          <w:noProof/>
          <w:sz w:val="22"/>
          <w:szCs w:val="22"/>
          <w:lang w:val="en-GB"/>
        </w:rPr>
        <w:t xml:space="preserve">overnment reported that the Ministry of Infrastructure is </w:t>
      </w:r>
      <w:r w:rsidR="005F49F7">
        <w:rPr>
          <w:rFonts w:ascii="Gill Sans" w:hAnsi="Gill Sans" w:cs="Gill Sans"/>
          <w:noProof/>
          <w:sz w:val="22"/>
          <w:szCs w:val="22"/>
          <w:lang w:val="en-GB"/>
        </w:rPr>
        <w:t>reviewing whether</w:t>
      </w:r>
      <w:r w:rsidR="00651709">
        <w:rPr>
          <w:rFonts w:ascii="Gill Sans" w:hAnsi="Gill Sans" w:cs="Gill Sans"/>
          <w:noProof/>
          <w:sz w:val="22"/>
          <w:szCs w:val="22"/>
          <w:lang w:val="en-GB"/>
        </w:rPr>
        <w:t xml:space="preserve"> they should continue</w:t>
      </w:r>
      <w:r>
        <w:rPr>
          <w:rFonts w:ascii="Gill Sans" w:hAnsi="Gill Sans" w:cs="Gill Sans"/>
          <w:noProof/>
          <w:sz w:val="22"/>
          <w:szCs w:val="22"/>
          <w:lang w:val="en-GB"/>
        </w:rPr>
        <w:t xml:space="preserve"> to</w:t>
      </w:r>
      <w:r w:rsidR="00651709">
        <w:rPr>
          <w:rFonts w:ascii="Gill Sans" w:hAnsi="Gill Sans" w:cs="Gill Sans"/>
          <w:noProof/>
          <w:sz w:val="22"/>
          <w:szCs w:val="22"/>
          <w:lang w:val="en-GB"/>
        </w:rPr>
        <w:t xml:space="preserve"> implement </w:t>
      </w:r>
      <w:r w:rsidR="005F49F7">
        <w:rPr>
          <w:rFonts w:ascii="Gill Sans" w:hAnsi="Gill Sans" w:cs="Gill Sans"/>
          <w:noProof/>
          <w:sz w:val="22"/>
          <w:szCs w:val="22"/>
          <w:lang w:val="en-GB"/>
        </w:rPr>
        <w:t>this commitment.</w:t>
      </w:r>
      <w:r w:rsidR="00902B00">
        <w:rPr>
          <w:rFonts w:ascii="Gill Sans" w:hAnsi="Gill Sans" w:cs="Gill Sans"/>
          <w:noProof/>
          <w:sz w:val="22"/>
          <w:szCs w:val="22"/>
          <w:lang w:val="en-GB"/>
        </w:rPr>
        <w:t xml:space="preserve"> </w:t>
      </w:r>
    </w:p>
    <w:p w14:paraId="1741E2AB" w14:textId="5EA3E19D" w:rsidR="00651709" w:rsidRPr="00747956" w:rsidRDefault="00651709">
      <w:pPr>
        <w:spacing w:after="120"/>
        <w:rPr>
          <w:rFonts w:ascii="Gill Sans" w:hAnsi="Gill Sans" w:cs="Gill Sans"/>
          <w:noProof/>
          <w:sz w:val="22"/>
          <w:szCs w:val="22"/>
          <w:lang w:val="uk-UA"/>
        </w:rPr>
      </w:pPr>
      <w:r w:rsidRPr="007105F1">
        <w:rPr>
          <w:rFonts w:ascii="Gill Sans" w:hAnsi="Gill Sans" w:cs="Gill Sans"/>
          <w:noProof/>
          <w:sz w:val="22"/>
          <w:szCs w:val="22"/>
          <w:lang w:val="en-GB"/>
        </w:rPr>
        <w:t>The Ministry of Infrastructure developed draft regulations in cooperation with NGOs (in particular, TI-Ukraine and the Centre for Political Studies and Analysis)</w:t>
      </w:r>
      <w:r w:rsidR="006826C6">
        <w:rPr>
          <w:rFonts w:ascii="Gill Sans" w:hAnsi="Gill Sans" w:cs="Gill Sans"/>
          <w:noProof/>
          <w:sz w:val="22"/>
          <w:szCs w:val="22"/>
          <w:lang w:val="en-GB"/>
        </w:rPr>
        <w:t>. H</w:t>
      </w:r>
      <w:r w:rsidRPr="007105F1">
        <w:rPr>
          <w:rFonts w:ascii="Gill Sans" w:hAnsi="Gill Sans" w:cs="Gill Sans"/>
          <w:noProof/>
          <w:sz w:val="22"/>
          <w:szCs w:val="22"/>
          <w:lang w:val="en-GB"/>
        </w:rPr>
        <w:t>owever, the draft text had to be revised twice</w:t>
      </w:r>
      <w:r w:rsidR="006826C6">
        <w:rPr>
          <w:rFonts w:ascii="Gill Sans" w:hAnsi="Gill Sans" w:cs="Gill Sans"/>
          <w:noProof/>
          <w:sz w:val="22"/>
          <w:szCs w:val="22"/>
          <w:lang w:val="en-GB"/>
        </w:rPr>
        <w:t>,</w:t>
      </w:r>
      <w:r w:rsidRPr="007105F1">
        <w:rPr>
          <w:rFonts w:ascii="Gill Sans" w:hAnsi="Gill Sans" w:cs="Gill Sans"/>
          <w:noProof/>
          <w:sz w:val="22"/>
          <w:szCs w:val="22"/>
          <w:lang w:val="en-GB"/>
        </w:rPr>
        <w:t xml:space="preserve"> </w:t>
      </w:r>
      <w:r>
        <w:rPr>
          <w:rFonts w:ascii="Gill Sans" w:hAnsi="Gill Sans" w:cs="Gill Sans"/>
          <w:noProof/>
          <w:sz w:val="22"/>
          <w:szCs w:val="22"/>
          <w:lang w:val="en-GB"/>
        </w:rPr>
        <w:t>and</w:t>
      </w:r>
      <w:r w:rsidRPr="007105F1">
        <w:rPr>
          <w:rFonts w:ascii="Gill Sans" w:hAnsi="Gill Sans" w:cs="Gill Sans"/>
          <w:noProof/>
          <w:sz w:val="22"/>
          <w:szCs w:val="22"/>
          <w:lang w:val="en-GB"/>
        </w:rPr>
        <w:t xml:space="preserve"> the original text was weakened after the approval process </w:t>
      </w:r>
      <w:r w:rsidR="006826C6">
        <w:rPr>
          <w:rFonts w:ascii="Gill Sans" w:hAnsi="Gill Sans" w:cs="Gill Sans"/>
          <w:noProof/>
          <w:sz w:val="22"/>
          <w:szCs w:val="22"/>
          <w:lang w:val="en-GB"/>
        </w:rPr>
        <w:t xml:space="preserve">was </w:t>
      </w:r>
      <w:r w:rsidRPr="007105F1">
        <w:rPr>
          <w:rFonts w:ascii="Gill Sans" w:hAnsi="Gill Sans" w:cs="Gill Sans"/>
          <w:noProof/>
          <w:sz w:val="22"/>
          <w:szCs w:val="22"/>
          <w:lang w:val="en-GB"/>
        </w:rPr>
        <w:t xml:space="preserve">conducted among ministries and other government agencies. Due to </w:t>
      </w:r>
      <w:r w:rsidR="006826C6">
        <w:rPr>
          <w:rFonts w:ascii="Gill Sans" w:hAnsi="Gill Sans" w:cs="Gill Sans"/>
          <w:noProof/>
          <w:sz w:val="22"/>
          <w:szCs w:val="22"/>
          <w:lang w:val="en-GB"/>
        </w:rPr>
        <w:t xml:space="preserve">ministry and agency </w:t>
      </w:r>
      <w:r w:rsidRPr="007105F1">
        <w:rPr>
          <w:rFonts w:ascii="Gill Sans" w:hAnsi="Gill Sans" w:cs="Gill Sans"/>
          <w:noProof/>
          <w:sz w:val="22"/>
          <w:szCs w:val="22"/>
          <w:lang w:val="en-GB"/>
        </w:rPr>
        <w:t xml:space="preserve">reluctance to endorse the regulations </w:t>
      </w:r>
      <w:r w:rsidR="006826C6">
        <w:rPr>
          <w:rFonts w:ascii="Gill Sans" w:hAnsi="Gill Sans" w:cs="Gill Sans"/>
          <w:noProof/>
          <w:sz w:val="22"/>
          <w:szCs w:val="22"/>
          <w:lang w:val="en-GB"/>
        </w:rPr>
        <w:t>to</w:t>
      </w:r>
      <w:r w:rsidRPr="007105F1">
        <w:rPr>
          <w:rFonts w:ascii="Gill Sans" w:hAnsi="Gill Sans" w:cs="Gill Sans"/>
          <w:noProof/>
          <w:sz w:val="22"/>
          <w:szCs w:val="22"/>
          <w:lang w:val="en-GB"/>
        </w:rPr>
        <w:t xml:space="preserve"> provide </w:t>
      </w:r>
      <w:r>
        <w:rPr>
          <w:rFonts w:ascii="Gill Sans" w:hAnsi="Gill Sans" w:cs="Gill Sans"/>
          <w:noProof/>
          <w:sz w:val="22"/>
          <w:szCs w:val="22"/>
          <w:lang w:val="en-GB"/>
        </w:rPr>
        <w:t xml:space="preserve">citizens with </w:t>
      </w:r>
      <w:r w:rsidRPr="007105F1">
        <w:rPr>
          <w:rFonts w:ascii="Gill Sans" w:hAnsi="Gill Sans" w:cs="Gill Sans"/>
          <w:noProof/>
          <w:sz w:val="22"/>
          <w:szCs w:val="22"/>
          <w:lang w:val="en-GB"/>
        </w:rPr>
        <w:t>meaningful oversight instruments</w:t>
      </w:r>
      <w:r>
        <w:rPr>
          <w:rFonts w:ascii="Gill Sans" w:hAnsi="Gill Sans" w:cs="Gill Sans"/>
          <w:noProof/>
          <w:sz w:val="22"/>
          <w:szCs w:val="22"/>
          <w:lang w:val="en-GB"/>
        </w:rPr>
        <w:t>,</w:t>
      </w:r>
      <w:r w:rsidRPr="007105F1">
        <w:rPr>
          <w:rFonts w:ascii="Gill Sans" w:hAnsi="Gill Sans" w:cs="Gill Sans"/>
          <w:noProof/>
          <w:sz w:val="22"/>
          <w:szCs w:val="22"/>
          <w:lang w:val="en-GB"/>
        </w:rPr>
        <w:t xml:space="preserve"> the draft regulation </w:t>
      </w:r>
      <w:r w:rsidR="006826C6">
        <w:rPr>
          <w:rFonts w:ascii="Gill Sans" w:hAnsi="Gill Sans" w:cs="Gill Sans"/>
          <w:noProof/>
          <w:sz w:val="22"/>
          <w:szCs w:val="22"/>
          <w:lang w:val="en-GB"/>
        </w:rPr>
        <w:t>was</w:t>
      </w:r>
      <w:r w:rsidRPr="007105F1">
        <w:rPr>
          <w:rFonts w:ascii="Gill Sans" w:hAnsi="Gill Sans" w:cs="Gill Sans"/>
          <w:noProof/>
          <w:sz w:val="22"/>
          <w:szCs w:val="22"/>
          <w:lang w:val="en-GB"/>
        </w:rPr>
        <w:t xml:space="preserve"> stopped. </w:t>
      </w:r>
    </w:p>
    <w:p w14:paraId="53711978" w14:textId="77777777" w:rsidR="003A6622" w:rsidRPr="00BB3451" w:rsidRDefault="003A6622" w:rsidP="00163080">
      <w:pPr>
        <w:pStyle w:val="Heading3"/>
      </w:pPr>
      <w:r w:rsidRPr="00BB3451">
        <w:t>Did it open government?</w:t>
      </w:r>
    </w:p>
    <w:p w14:paraId="32811DE3" w14:textId="2DA5072B" w:rsidR="003A6622" w:rsidRDefault="003A6622" w:rsidP="00163080">
      <w:pPr>
        <w:rPr>
          <w:rFonts w:ascii="Gill Sans" w:hAnsi="Gill Sans" w:cs="Gill Sans"/>
          <w:b/>
          <w:color w:val="000000" w:themeColor="text1"/>
          <w:sz w:val="22"/>
          <w:szCs w:val="22"/>
          <w:lang w:val="en-GB"/>
        </w:rPr>
      </w:pPr>
      <w:r>
        <w:rPr>
          <w:rFonts w:ascii="Gill Sans" w:hAnsi="Gill Sans" w:cs="Gill Sans"/>
          <w:b/>
          <w:color w:val="000000" w:themeColor="text1"/>
          <w:sz w:val="22"/>
          <w:szCs w:val="22"/>
          <w:lang w:val="en-GB"/>
        </w:rPr>
        <w:t xml:space="preserve">Civic Participation: </w:t>
      </w:r>
      <w:r w:rsidR="0073097B">
        <w:rPr>
          <w:rFonts w:ascii="Gill Sans" w:hAnsi="Gill Sans" w:cs="Gill Sans"/>
          <w:b/>
          <w:color w:val="000000" w:themeColor="text1"/>
          <w:sz w:val="22"/>
          <w:szCs w:val="22"/>
          <w:lang w:val="en-GB"/>
        </w:rPr>
        <w:t>Did not change</w:t>
      </w:r>
    </w:p>
    <w:p w14:paraId="1E6455B3" w14:textId="1AA70567" w:rsidR="003A6622" w:rsidRDefault="003A6622" w:rsidP="003A6622">
      <w:pPr>
        <w:spacing w:after="120"/>
        <w:rPr>
          <w:rFonts w:ascii="Gill Sans" w:hAnsi="Gill Sans" w:cs="Gill Sans"/>
          <w:b/>
          <w:color w:val="000000" w:themeColor="text1"/>
          <w:sz w:val="22"/>
          <w:szCs w:val="22"/>
          <w:lang w:val="en-GB"/>
        </w:rPr>
      </w:pPr>
      <w:r>
        <w:rPr>
          <w:rFonts w:ascii="Gill Sans" w:hAnsi="Gill Sans" w:cs="Gill Sans"/>
          <w:b/>
          <w:color w:val="000000" w:themeColor="text1"/>
          <w:sz w:val="22"/>
          <w:szCs w:val="22"/>
          <w:lang w:val="en-GB"/>
        </w:rPr>
        <w:t xml:space="preserve">Public accountability: </w:t>
      </w:r>
      <w:r w:rsidR="0073097B">
        <w:rPr>
          <w:rFonts w:ascii="Gill Sans" w:hAnsi="Gill Sans" w:cs="Gill Sans"/>
          <w:b/>
          <w:color w:val="000000" w:themeColor="text1"/>
          <w:sz w:val="22"/>
          <w:szCs w:val="22"/>
          <w:lang w:val="en-GB"/>
        </w:rPr>
        <w:t>Did not change</w:t>
      </w:r>
    </w:p>
    <w:p w14:paraId="6F5DA344" w14:textId="719748DD" w:rsidR="0073097B" w:rsidRPr="007105F1" w:rsidRDefault="003A6622" w:rsidP="006319F4">
      <w:pPr>
        <w:spacing w:after="120"/>
        <w:rPr>
          <w:rFonts w:ascii="Gill Sans" w:hAnsi="Gill Sans" w:cs="Gill Sans"/>
          <w:noProof/>
          <w:sz w:val="22"/>
          <w:szCs w:val="22"/>
          <w:lang w:val="en-GB"/>
        </w:rPr>
      </w:pPr>
      <w:r w:rsidRPr="007105F1">
        <w:rPr>
          <w:rFonts w:ascii="Gill Sans" w:hAnsi="Gill Sans" w:cs="Gill Sans"/>
          <w:noProof/>
          <w:sz w:val="22"/>
          <w:szCs w:val="22"/>
          <w:lang w:val="en-GB"/>
        </w:rPr>
        <w:t xml:space="preserve">The commitment </w:t>
      </w:r>
      <w:r w:rsidR="0073097B" w:rsidRPr="007105F1">
        <w:rPr>
          <w:rFonts w:ascii="Gill Sans" w:hAnsi="Gill Sans" w:cs="Gill Sans"/>
          <w:noProof/>
          <w:sz w:val="22"/>
          <w:szCs w:val="22"/>
          <w:lang w:val="en-GB"/>
        </w:rPr>
        <w:t xml:space="preserve">set an ambitious aim of direct involvement </w:t>
      </w:r>
      <w:r w:rsidR="006826C6">
        <w:rPr>
          <w:rFonts w:ascii="Gill Sans" w:hAnsi="Gill Sans" w:cs="Gill Sans"/>
          <w:noProof/>
          <w:sz w:val="22"/>
          <w:szCs w:val="22"/>
          <w:lang w:val="en-GB"/>
        </w:rPr>
        <w:t>of</w:t>
      </w:r>
      <w:r w:rsidR="006826C6" w:rsidRPr="007105F1">
        <w:rPr>
          <w:rFonts w:ascii="Gill Sans" w:hAnsi="Gill Sans" w:cs="Gill Sans"/>
          <w:noProof/>
          <w:sz w:val="22"/>
          <w:szCs w:val="22"/>
          <w:lang w:val="en-GB"/>
        </w:rPr>
        <w:t xml:space="preserve"> </w:t>
      </w:r>
      <w:r w:rsidR="0073097B" w:rsidRPr="007105F1">
        <w:rPr>
          <w:rFonts w:ascii="Gill Sans" w:hAnsi="Gill Sans" w:cs="Gill Sans"/>
          <w:noProof/>
          <w:sz w:val="22"/>
          <w:szCs w:val="22"/>
          <w:lang w:val="en-GB"/>
        </w:rPr>
        <w:t xml:space="preserve">non-governmental stakeholders in the process of designing and implementing infrastructure projects with the use of public funds. Such oversight would be conducted via special panels (monitoring committees) </w:t>
      </w:r>
      <w:r w:rsidR="006826C6">
        <w:rPr>
          <w:rFonts w:ascii="Gill Sans" w:hAnsi="Gill Sans" w:cs="Gill Sans"/>
          <w:noProof/>
          <w:sz w:val="22"/>
          <w:szCs w:val="22"/>
          <w:lang w:val="en-GB"/>
        </w:rPr>
        <w:t>to</w:t>
      </w:r>
      <w:r w:rsidR="0073097B" w:rsidRPr="007105F1">
        <w:rPr>
          <w:rFonts w:ascii="Gill Sans" w:hAnsi="Gill Sans" w:cs="Gill Sans"/>
          <w:noProof/>
          <w:sz w:val="22"/>
          <w:szCs w:val="22"/>
          <w:lang w:val="en-GB"/>
        </w:rPr>
        <w:t xml:space="preserve"> review budgets and designs of the projects, procedures for selection of contractors, procurement and other related contracts, and disbursement and use of public funds. </w:t>
      </w:r>
      <w:r w:rsidR="0008409D">
        <w:rPr>
          <w:rFonts w:ascii="Gill Sans" w:hAnsi="Gill Sans" w:cs="Gill Sans"/>
          <w:noProof/>
          <w:sz w:val="22"/>
          <w:szCs w:val="22"/>
          <w:lang w:val="en-GB"/>
        </w:rPr>
        <w:t xml:space="preserve">However, as implemented, this commitment did not lead to any change in government practice. </w:t>
      </w:r>
    </w:p>
    <w:p w14:paraId="317D0AD0" w14:textId="77777777" w:rsidR="003A6622" w:rsidRPr="0073097B" w:rsidRDefault="003A6622" w:rsidP="00163080">
      <w:pPr>
        <w:pStyle w:val="Heading3"/>
      </w:pPr>
      <w:r w:rsidRPr="0073097B">
        <w:t>Carried forward?</w:t>
      </w:r>
    </w:p>
    <w:p w14:paraId="236FC8AB" w14:textId="22EDF697" w:rsidR="00BC4CF9" w:rsidRPr="006A4117" w:rsidRDefault="003A6622">
      <w:pPr>
        <w:spacing w:after="120"/>
        <w:rPr>
          <w:rFonts w:ascii="Gill Sans" w:hAnsi="Gill Sans" w:cs="Gill Sans"/>
          <w:noProof/>
          <w:sz w:val="22"/>
          <w:szCs w:val="22"/>
          <w:lang w:val="en-GB"/>
        </w:rPr>
      </w:pPr>
      <w:r w:rsidRPr="006A4117">
        <w:rPr>
          <w:rFonts w:ascii="Gill Sans" w:hAnsi="Gill Sans" w:cs="Gill Sans"/>
          <w:sz w:val="22"/>
          <w:szCs w:val="22"/>
        </w:rPr>
        <w:t xml:space="preserve">The commitment was </w:t>
      </w:r>
      <w:r w:rsidR="00BC4CF9" w:rsidRPr="006A4117">
        <w:rPr>
          <w:rFonts w:ascii="Gill Sans" w:hAnsi="Gill Sans" w:cs="Gill Sans"/>
          <w:sz w:val="22"/>
          <w:szCs w:val="22"/>
        </w:rPr>
        <w:t xml:space="preserve">not </w:t>
      </w:r>
      <w:r w:rsidRPr="006A4117">
        <w:rPr>
          <w:rFonts w:ascii="Gill Sans" w:hAnsi="Gill Sans" w:cs="Gill Sans"/>
          <w:sz w:val="22"/>
          <w:szCs w:val="22"/>
        </w:rPr>
        <w:t xml:space="preserve">carried over to the new action plan. </w:t>
      </w:r>
      <w:r w:rsidR="00BC4CF9" w:rsidRPr="006A4117">
        <w:rPr>
          <w:rFonts w:ascii="Gill Sans" w:hAnsi="Gill Sans" w:cs="Gill Sans"/>
          <w:sz w:val="22"/>
          <w:szCs w:val="22"/>
        </w:rPr>
        <w:t>The new plan contains a commitment on implementation of</w:t>
      </w:r>
      <w:r w:rsidR="008E1A57" w:rsidRPr="006A4117">
        <w:rPr>
          <w:rFonts w:ascii="Gill Sans" w:hAnsi="Gill Sans" w:cs="Gill Sans"/>
          <w:sz w:val="22"/>
          <w:szCs w:val="22"/>
        </w:rPr>
        <w:t xml:space="preserve"> the Construction Sector Transparency Initiative (COST), but </w:t>
      </w:r>
      <w:r w:rsidR="007105F1">
        <w:rPr>
          <w:rFonts w:ascii="Gill Sans" w:hAnsi="Gill Sans" w:cs="Gill Sans"/>
          <w:sz w:val="22"/>
          <w:szCs w:val="22"/>
        </w:rPr>
        <w:t>the latter</w:t>
      </w:r>
      <w:r w:rsidR="008E1A57" w:rsidRPr="006A4117">
        <w:rPr>
          <w:rFonts w:ascii="Gill Sans" w:hAnsi="Gill Sans" w:cs="Gill Sans"/>
          <w:sz w:val="22"/>
          <w:szCs w:val="22"/>
        </w:rPr>
        <w:t xml:space="preserve"> focuses</w:t>
      </w:r>
      <w:r w:rsidR="00BC4CF9" w:rsidRPr="006A4117">
        <w:rPr>
          <w:rFonts w:ascii="Gill Sans" w:hAnsi="Gill Sans" w:cs="Gill Sans"/>
          <w:sz w:val="22"/>
          <w:szCs w:val="22"/>
        </w:rPr>
        <w:t xml:space="preserve"> </w:t>
      </w:r>
      <w:r w:rsidR="008E1A57" w:rsidRPr="006A4117">
        <w:rPr>
          <w:rFonts w:ascii="Gill Sans" w:hAnsi="Gill Sans" w:cs="Gill Sans"/>
          <w:sz w:val="22"/>
          <w:szCs w:val="22"/>
        </w:rPr>
        <w:t>on disclosure of information</w:t>
      </w:r>
      <w:r w:rsidR="00664000">
        <w:rPr>
          <w:rFonts w:ascii="Gill Sans" w:hAnsi="Gill Sans" w:cs="Gill Sans"/>
          <w:sz w:val="22"/>
          <w:szCs w:val="22"/>
        </w:rPr>
        <w:t>,</w:t>
      </w:r>
      <w:r w:rsidR="008E1A57" w:rsidRPr="006A4117">
        <w:rPr>
          <w:rFonts w:ascii="Gill Sans" w:hAnsi="Gill Sans" w:cs="Gill Sans"/>
          <w:sz w:val="22"/>
          <w:szCs w:val="22"/>
        </w:rPr>
        <w:t xml:space="preserve"> and does not include instrument</w:t>
      </w:r>
      <w:r w:rsidR="006A4117" w:rsidRPr="006A4117">
        <w:rPr>
          <w:rFonts w:ascii="Gill Sans" w:hAnsi="Gill Sans" w:cs="Gill Sans"/>
          <w:sz w:val="22"/>
          <w:szCs w:val="22"/>
        </w:rPr>
        <w:t>s</w:t>
      </w:r>
      <w:r w:rsidR="008E1A57" w:rsidRPr="006A4117">
        <w:rPr>
          <w:rFonts w:ascii="Gill Sans" w:hAnsi="Gill Sans" w:cs="Gill Sans"/>
          <w:sz w:val="22"/>
          <w:szCs w:val="22"/>
        </w:rPr>
        <w:t xml:space="preserve"> for civic oversight </w:t>
      </w:r>
      <w:r w:rsidR="006A4117" w:rsidRPr="006A4117">
        <w:rPr>
          <w:rFonts w:ascii="Gill Sans" w:hAnsi="Gill Sans" w:cs="Gill Sans"/>
          <w:sz w:val="22"/>
          <w:szCs w:val="22"/>
        </w:rPr>
        <w:t>in specific projects</w:t>
      </w:r>
      <w:r w:rsidR="00DA586C" w:rsidRPr="006A4117">
        <w:rPr>
          <w:rFonts w:ascii="Gill Sans" w:hAnsi="Gill Sans" w:cs="Gill Sans"/>
          <w:sz w:val="22"/>
          <w:szCs w:val="22"/>
        </w:rPr>
        <w:t>.</w:t>
      </w:r>
      <w:r w:rsidR="006A4117" w:rsidRPr="006A4117">
        <w:rPr>
          <w:rFonts w:ascii="Gill Sans" w:hAnsi="Gill Sans" w:cs="Gill Sans"/>
          <w:sz w:val="22"/>
          <w:szCs w:val="22"/>
        </w:rPr>
        <w:t xml:space="preserve"> </w:t>
      </w:r>
      <w:r w:rsidR="00BC4CF9" w:rsidRPr="006A4117">
        <w:rPr>
          <w:rFonts w:ascii="Gill Sans" w:hAnsi="Gill Sans" w:cs="Gill Sans"/>
          <w:sz w:val="22"/>
          <w:szCs w:val="22"/>
          <w:lang w:val="en-GB"/>
        </w:rPr>
        <w:t xml:space="preserve">The IRM researcher recommends that the government adopt, without further delay, regulations that provide a robust mechanism of civic oversight for the implementation of large </w:t>
      </w:r>
      <w:r w:rsidR="003154C0">
        <w:rPr>
          <w:rFonts w:ascii="Gill Sans" w:hAnsi="Gill Sans" w:cs="Gill Sans"/>
          <w:sz w:val="22"/>
          <w:szCs w:val="22"/>
          <w:lang w:val="en-GB"/>
        </w:rPr>
        <w:t xml:space="preserve">infrastructure </w:t>
      </w:r>
      <w:r w:rsidR="00BC4CF9" w:rsidRPr="006A4117">
        <w:rPr>
          <w:rFonts w:ascii="Gill Sans" w:hAnsi="Gill Sans" w:cs="Gill Sans"/>
          <w:sz w:val="22"/>
          <w:szCs w:val="22"/>
          <w:lang w:val="en-GB"/>
        </w:rPr>
        <w:t>projects using public funds. The government should also consider the possibility of establishing provisions on such oversight panels in the law to make them permanent and effective.</w:t>
      </w:r>
    </w:p>
    <w:p w14:paraId="3A0CE179" w14:textId="77777777" w:rsidR="002E495E" w:rsidRDefault="002E495E">
      <w:pPr>
        <w:rPr>
          <w:noProof/>
          <w:lang w:val="en-GB"/>
        </w:rPr>
        <w:sectPr w:rsidR="002E495E" w:rsidSect="002A2966">
          <w:endnotePr>
            <w:numFmt w:val="decimal"/>
            <w:numRestart w:val="eachSect"/>
          </w:endnotePr>
          <w:pgSz w:w="11907" w:h="16839" w:code="9"/>
          <w:pgMar w:top="1417" w:right="1417" w:bottom="1417" w:left="1417" w:header="0" w:footer="0" w:gutter="0"/>
          <w:cols w:space="708"/>
          <w:docGrid w:linePitch="360"/>
        </w:sectPr>
      </w:pPr>
    </w:p>
    <w:p w14:paraId="33776F23" w14:textId="22AB4622" w:rsidR="00A75F1D" w:rsidRPr="00475D8F" w:rsidRDefault="000B2CCA" w:rsidP="00A75F1D">
      <w:pPr>
        <w:pStyle w:val="Normalrglronly"/>
        <w:rPr>
          <w:b/>
          <w:lang w:val="en-GB"/>
        </w:rPr>
      </w:pPr>
      <w:r>
        <w:rPr>
          <w:b/>
          <w:lang w:val="en-GB"/>
        </w:rPr>
        <w:lastRenderedPageBreak/>
        <w:t>10</w:t>
      </w:r>
      <w:r w:rsidR="00A75F1D" w:rsidRPr="00475D8F">
        <w:rPr>
          <w:b/>
          <w:lang w:val="en-GB"/>
        </w:rPr>
        <w:t xml:space="preserve">. </w:t>
      </w:r>
      <w:r w:rsidRPr="000B2CCA">
        <w:rPr>
          <w:b/>
          <w:lang w:val="en-GB"/>
        </w:rPr>
        <w:t>Adopt regional anti-corruption programmes</w:t>
      </w:r>
    </w:p>
    <w:p w14:paraId="7B65A2A6" w14:textId="0D8C07D6" w:rsidR="000B2CCA" w:rsidRPr="000B2CCA" w:rsidRDefault="00415A7F" w:rsidP="000B2CCA">
      <w:pPr>
        <w:spacing w:after="120"/>
        <w:rPr>
          <w:rFonts w:ascii="Gill Sans" w:hAnsi="Gill Sans" w:cs="Gill Sans"/>
          <w:i/>
          <w:noProof/>
          <w:sz w:val="22"/>
          <w:szCs w:val="22"/>
          <w:lang w:val="en-GB"/>
        </w:rPr>
      </w:pPr>
      <w:r w:rsidRPr="00163080">
        <w:rPr>
          <w:rFonts w:ascii="Gill Sans" w:hAnsi="Gill Sans" w:cs="Gill Sans"/>
          <w:b/>
          <w:bCs/>
          <w:iCs/>
          <w:noProof/>
          <w:sz w:val="22"/>
          <w:szCs w:val="22"/>
          <w:lang w:val="en-GB"/>
        </w:rPr>
        <w:t xml:space="preserve">Commitment Text: </w:t>
      </w:r>
      <w:r w:rsidR="000B2CCA" w:rsidRPr="000B2CCA">
        <w:rPr>
          <w:rFonts w:ascii="Gill Sans" w:hAnsi="Gill Sans" w:cs="Gill Sans"/>
          <w:i/>
          <w:noProof/>
          <w:sz w:val="22"/>
          <w:szCs w:val="22"/>
          <w:lang w:val="en-GB"/>
        </w:rPr>
        <w:t>10. Developing, with the involvement of members of the public, anti-corruption regional programmes</w:t>
      </w:r>
      <w:r w:rsidR="003154C0">
        <w:rPr>
          <w:rFonts w:ascii="Gill Sans" w:hAnsi="Gill Sans" w:cs="Gill Sans"/>
          <w:i/>
          <w:noProof/>
          <w:sz w:val="22"/>
          <w:szCs w:val="22"/>
          <w:lang w:val="en-GB"/>
        </w:rPr>
        <w:t>.</w:t>
      </w:r>
      <w:r w:rsidR="000B2CCA" w:rsidRPr="000B2CCA">
        <w:rPr>
          <w:rFonts w:ascii="Gill Sans" w:hAnsi="Gill Sans" w:cs="Gill Sans"/>
          <w:i/>
          <w:noProof/>
          <w:sz w:val="22"/>
          <w:szCs w:val="22"/>
          <w:lang w:val="en-GB"/>
        </w:rPr>
        <w:t xml:space="preserve"> </w:t>
      </w:r>
    </w:p>
    <w:p w14:paraId="051DB0D8" w14:textId="50154667" w:rsidR="000B2CCA" w:rsidRPr="000B2CCA" w:rsidRDefault="000B2CCA" w:rsidP="000B2CCA">
      <w:pPr>
        <w:spacing w:after="120"/>
        <w:rPr>
          <w:rFonts w:ascii="Gill Sans" w:hAnsi="Gill Sans" w:cs="Gill Sans"/>
          <w:i/>
          <w:noProof/>
          <w:sz w:val="22"/>
          <w:szCs w:val="22"/>
          <w:lang w:val="en-GB"/>
        </w:rPr>
      </w:pPr>
      <w:r w:rsidRPr="000B2CCA">
        <w:rPr>
          <w:rFonts w:ascii="Gill Sans" w:hAnsi="Gill Sans" w:cs="Gill Sans"/>
          <w:i/>
          <w:noProof/>
          <w:sz w:val="22"/>
          <w:szCs w:val="22"/>
          <w:lang w:val="en-GB"/>
        </w:rPr>
        <w:t xml:space="preserve">Expected result: </w:t>
      </w:r>
      <w:r w:rsidRPr="000B2CCA">
        <w:rPr>
          <w:rFonts w:ascii="Gill Sans" w:hAnsi="Gill Sans" w:cs="Gill Sans"/>
          <w:i/>
          <w:sz w:val="22"/>
          <w:szCs w:val="22"/>
          <w:lang w:val="en-GB"/>
        </w:rPr>
        <w:t>programmes approved by oblast city councils and Kyiv city council</w:t>
      </w:r>
      <w:r w:rsidR="003154C0">
        <w:rPr>
          <w:rFonts w:ascii="Gill Sans" w:hAnsi="Gill Sans" w:cs="Gill Sans"/>
          <w:i/>
          <w:sz w:val="22"/>
          <w:szCs w:val="22"/>
          <w:lang w:val="en-GB"/>
        </w:rPr>
        <w:t>.</w:t>
      </w:r>
    </w:p>
    <w:p w14:paraId="5F160FBB" w14:textId="00131C65" w:rsidR="000B2CCA" w:rsidRPr="000B2CCA" w:rsidRDefault="000B2CCA" w:rsidP="000B2CCA">
      <w:pPr>
        <w:spacing w:after="120"/>
        <w:rPr>
          <w:rFonts w:ascii="Gill Sans" w:hAnsi="Gill Sans" w:cs="Gill Sans"/>
          <w:sz w:val="22"/>
          <w:szCs w:val="22"/>
          <w:lang w:val="en-GB"/>
        </w:rPr>
      </w:pPr>
      <w:r w:rsidRPr="000B2CCA">
        <w:rPr>
          <w:rFonts w:ascii="Gill Sans" w:hAnsi="Gill Sans" w:cs="Gill Sans"/>
          <w:sz w:val="22"/>
          <w:szCs w:val="22"/>
          <w:lang w:val="en-GB"/>
        </w:rPr>
        <w:t>Lead institution</w:t>
      </w:r>
      <w:r w:rsidR="00415A7F">
        <w:rPr>
          <w:rFonts w:ascii="Gill Sans" w:hAnsi="Gill Sans" w:cs="Gill Sans"/>
          <w:sz w:val="22"/>
          <w:szCs w:val="22"/>
          <w:lang w:val="en-GB"/>
        </w:rPr>
        <w:t>(s)</w:t>
      </w:r>
      <w:r w:rsidRPr="000B2CCA">
        <w:rPr>
          <w:rFonts w:ascii="Gill Sans" w:hAnsi="Gill Sans" w:cs="Gill Sans"/>
          <w:sz w:val="22"/>
          <w:szCs w:val="22"/>
          <w:lang w:val="en-GB"/>
        </w:rPr>
        <w:t>:</w:t>
      </w:r>
      <w:r w:rsidRPr="000B2CCA">
        <w:rPr>
          <w:rFonts w:ascii="Gill Sans" w:hAnsi="Gill Sans" w:cs="Gill Sans"/>
          <w:noProof/>
          <w:sz w:val="22"/>
          <w:szCs w:val="22"/>
          <w:lang w:val="en-GB"/>
        </w:rPr>
        <w:t xml:space="preserve"> Regional and Kyiv City State Administrations</w:t>
      </w:r>
    </w:p>
    <w:p w14:paraId="6C665ACA" w14:textId="247E7ED9" w:rsidR="000B2CCA" w:rsidRPr="000B2CCA" w:rsidRDefault="000B2CCA" w:rsidP="000B2CCA">
      <w:pPr>
        <w:spacing w:after="120"/>
        <w:rPr>
          <w:rFonts w:ascii="Gill Sans" w:hAnsi="Gill Sans" w:cs="Gill Sans"/>
          <w:noProof/>
          <w:sz w:val="22"/>
          <w:szCs w:val="22"/>
          <w:lang w:val="en-GB"/>
        </w:rPr>
      </w:pPr>
      <w:r w:rsidRPr="000B2CCA">
        <w:rPr>
          <w:rFonts w:ascii="Gill Sans" w:hAnsi="Gill Sans" w:cs="Gill Sans"/>
          <w:sz w:val="22"/>
          <w:szCs w:val="22"/>
          <w:lang w:val="en-GB"/>
        </w:rPr>
        <w:t>Supporting institution</w:t>
      </w:r>
      <w:r w:rsidR="00415A7F">
        <w:rPr>
          <w:rFonts w:ascii="Gill Sans" w:hAnsi="Gill Sans" w:cs="Gill Sans"/>
          <w:sz w:val="22"/>
          <w:szCs w:val="22"/>
          <w:lang w:val="en-GB"/>
        </w:rPr>
        <w:t>(</w:t>
      </w:r>
      <w:r w:rsidRPr="000B2CCA">
        <w:rPr>
          <w:rFonts w:ascii="Gill Sans" w:hAnsi="Gill Sans" w:cs="Gill Sans"/>
          <w:sz w:val="22"/>
          <w:szCs w:val="22"/>
          <w:lang w:val="en-GB"/>
        </w:rPr>
        <w:t>s</w:t>
      </w:r>
      <w:r w:rsidR="00415A7F">
        <w:rPr>
          <w:rFonts w:ascii="Gill Sans" w:hAnsi="Gill Sans" w:cs="Gill Sans"/>
          <w:sz w:val="22"/>
          <w:szCs w:val="22"/>
          <w:lang w:val="en-GB"/>
        </w:rPr>
        <w:t>)</w:t>
      </w:r>
      <w:r w:rsidRPr="000B2CCA">
        <w:rPr>
          <w:rFonts w:ascii="Gill Sans" w:hAnsi="Gill Sans" w:cs="Gill Sans"/>
          <w:sz w:val="22"/>
          <w:szCs w:val="22"/>
          <w:lang w:val="en-GB"/>
        </w:rPr>
        <w:t xml:space="preserve">: </w:t>
      </w:r>
      <w:r w:rsidRPr="000B2CCA">
        <w:rPr>
          <w:rFonts w:ascii="Gill Sans" w:hAnsi="Gill Sans" w:cs="Gill Sans"/>
          <w:noProof/>
          <w:sz w:val="22"/>
          <w:szCs w:val="22"/>
          <w:lang w:val="en-GB"/>
        </w:rPr>
        <w:t>Ministry of Justice, NGO All-Ukrainian Special College on Combating Corruption, other unspecified NGOs and international organisations</w:t>
      </w:r>
    </w:p>
    <w:p w14:paraId="2DB5D9C4" w14:textId="602F7434" w:rsidR="000B2CCA" w:rsidRPr="000B2CCA" w:rsidRDefault="000B2CCA" w:rsidP="00415A7F">
      <w:pPr>
        <w:spacing w:after="120"/>
        <w:rPr>
          <w:rFonts w:ascii="Gill Sans" w:hAnsi="Gill Sans" w:cs="Gill Sans"/>
          <w:noProof/>
          <w:sz w:val="22"/>
          <w:szCs w:val="22"/>
          <w:lang w:val="en-GB"/>
        </w:rPr>
      </w:pPr>
      <w:r w:rsidRPr="000B2CCA">
        <w:rPr>
          <w:rFonts w:ascii="Gill Sans" w:hAnsi="Gill Sans" w:cs="Gill Sans"/>
          <w:noProof/>
          <w:sz w:val="22"/>
          <w:szCs w:val="22"/>
          <w:lang w:val="en-GB"/>
        </w:rPr>
        <w:t xml:space="preserve">Start </w:t>
      </w:r>
      <w:r w:rsidR="00415A7F">
        <w:rPr>
          <w:rFonts w:ascii="Gill Sans" w:hAnsi="Gill Sans" w:cs="Gill Sans"/>
          <w:noProof/>
          <w:sz w:val="22"/>
          <w:szCs w:val="22"/>
          <w:lang w:val="en-GB"/>
        </w:rPr>
        <w:t>D</w:t>
      </w:r>
      <w:r w:rsidR="00415A7F" w:rsidRPr="000B2CCA">
        <w:rPr>
          <w:rFonts w:ascii="Gill Sans" w:hAnsi="Gill Sans" w:cs="Gill Sans"/>
          <w:noProof/>
          <w:sz w:val="22"/>
          <w:szCs w:val="22"/>
          <w:lang w:val="en-GB"/>
        </w:rPr>
        <w:t>ate</w:t>
      </w:r>
      <w:r w:rsidRPr="000B2CCA">
        <w:rPr>
          <w:rFonts w:ascii="Gill Sans" w:hAnsi="Gill Sans" w:cs="Gill Sans"/>
          <w:noProof/>
          <w:sz w:val="22"/>
          <w:szCs w:val="22"/>
          <w:lang w:val="en-GB"/>
        </w:rPr>
        <w:t xml:space="preserve">: Not specified </w:t>
      </w:r>
      <w:r w:rsidRPr="000B2CCA">
        <w:rPr>
          <w:rFonts w:ascii="Gill Sans" w:hAnsi="Gill Sans" w:cs="Gill Sans"/>
          <w:noProof/>
          <w:sz w:val="22"/>
          <w:szCs w:val="22"/>
          <w:lang w:val="en-GB"/>
        </w:rPr>
        <w:tab/>
      </w:r>
      <w:r w:rsidRPr="000B2CCA">
        <w:rPr>
          <w:rFonts w:ascii="Gill Sans" w:hAnsi="Gill Sans" w:cs="Gill Sans"/>
          <w:noProof/>
          <w:sz w:val="22"/>
          <w:szCs w:val="22"/>
          <w:lang w:val="en-GB"/>
        </w:rPr>
        <w:tab/>
      </w:r>
      <w:r w:rsidRPr="000B2CCA">
        <w:rPr>
          <w:rFonts w:ascii="Gill Sans" w:hAnsi="Gill Sans" w:cs="Gill Sans"/>
          <w:noProof/>
          <w:sz w:val="22"/>
          <w:szCs w:val="22"/>
          <w:lang w:val="en-GB"/>
        </w:rPr>
        <w:tab/>
      </w:r>
      <w:r w:rsidR="0020660D">
        <w:rPr>
          <w:rFonts w:ascii="Gill Sans" w:hAnsi="Gill Sans" w:cs="Gill Sans"/>
          <w:noProof/>
          <w:sz w:val="22"/>
          <w:szCs w:val="22"/>
          <w:lang w:val="en-GB"/>
        </w:rPr>
        <w:tab/>
      </w:r>
      <w:r w:rsidR="0020660D">
        <w:rPr>
          <w:rFonts w:ascii="Gill Sans" w:hAnsi="Gill Sans" w:cs="Gill Sans"/>
          <w:noProof/>
          <w:sz w:val="22"/>
          <w:szCs w:val="22"/>
          <w:lang w:val="en-GB"/>
        </w:rPr>
        <w:tab/>
      </w:r>
      <w:r w:rsidRPr="000B2CCA">
        <w:rPr>
          <w:rFonts w:ascii="Gill Sans" w:hAnsi="Gill Sans" w:cs="Gill Sans"/>
          <w:noProof/>
          <w:sz w:val="22"/>
          <w:szCs w:val="22"/>
          <w:lang w:val="en-GB"/>
        </w:rPr>
        <w:t xml:space="preserve">End </w:t>
      </w:r>
      <w:r w:rsidR="00415A7F">
        <w:rPr>
          <w:rFonts w:ascii="Gill Sans" w:hAnsi="Gill Sans" w:cs="Gill Sans"/>
          <w:noProof/>
          <w:sz w:val="22"/>
          <w:szCs w:val="22"/>
          <w:lang w:val="en-GB"/>
        </w:rPr>
        <w:t>D</w:t>
      </w:r>
      <w:r w:rsidRPr="000B2CCA">
        <w:rPr>
          <w:rFonts w:ascii="Gill Sans" w:hAnsi="Gill Sans" w:cs="Gill Sans"/>
          <w:noProof/>
          <w:sz w:val="22"/>
          <w:szCs w:val="22"/>
          <w:lang w:val="en-GB"/>
        </w:rPr>
        <w:t>ate: 31 March 2015</w:t>
      </w:r>
    </w:p>
    <w:tbl>
      <w:tblPr>
        <w:tblW w:w="1008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475"/>
        <w:gridCol w:w="418"/>
        <w:gridCol w:w="343"/>
        <w:gridCol w:w="343"/>
        <w:gridCol w:w="365"/>
        <w:gridCol w:w="365"/>
        <w:gridCol w:w="365"/>
        <w:gridCol w:w="735"/>
        <w:gridCol w:w="417"/>
        <w:gridCol w:w="341"/>
        <w:gridCol w:w="417"/>
        <w:gridCol w:w="341"/>
        <w:gridCol w:w="469"/>
        <w:gridCol w:w="516"/>
        <w:gridCol w:w="516"/>
        <w:gridCol w:w="405"/>
        <w:gridCol w:w="341"/>
        <w:gridCol w:w="338"/>
        <w:gridCol w:w="417"/>
        <w:gridCol w:w="341"/>
        <w:gridCol w:w="488"/>
      </w:tblGrid>
      <w:tr w:rsidR="0020660D" w:rsidRPr="009651AC" w14:paraId="5801B5DA" w14:textId="77777777" w:rsidTr="00B017F8">
        <w:trPr>
          <w:trHeight w:val="405"/>
        </w:trPr>
        <w:tc>
          <w:tcPr>
            <w:tcW w:w="1522" w:type="dxa"/>
            <w:vMerge w:val="restart"/>
            <w:tcBorders>
              <w:top w:val="single" w:sz="18" w:space="0" w:color="FFFFFF"/>
              <w:left w:val="single" w:sz="4" w:space="0" w:color="FFFFFF"/>
              <w:right w:val="single" w:sz="18" w:space="0" w:color="FFFFFF"/>
            </w:tcBorders>
            <w:shd w:val="clear" w:color="auto" w:fill="000000"/>
          </w:tcPr>
          <w:p w14:paraId="4E2265E6" w14:textId="77777777" w:rsidR="0020660D" w:rsidRPr="009651AC" w:rsidRDefault="0020660D" w:rsidP="0020660D">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583E899E" w14:textId="234B4075" w:rsidR="0020660D" w:rsidRPr="009651AC" w:rsidRDefault="0020660D" w:rsidP="0020660D">
            <w:pPr>
              <w:rPr>
                <w:rFonts w:ascii="Gill Sans" w:hAnsi="Gill Sans" w:cs="Gill Sans"/>
                <w:color w:val="FFFFFF" w:themeColor="background1"/>
                <w:sz w:val="22"/>
                <w:szCs w:val="22"/>
                <w:lang w:val="en-GB"/>
              </w:rPr>
            </w:pPr>
          </w:p>
        </w:tc>
        <w:tc>
          <w:tcPr>
            <w:tcW w:w="1695" w:type="dxa"/>
            <w:gridSpan w:val="4"/>
            <w:vMerge w:val="restart"/>
            <w:tcBorders>
              <w:top w:val="single" w:sz="18" w:space="0" w:color="FFFFFF"/>
              <w:left w:val="single" w:sz="18" w:space="0" w:color="FFFFFF"/>
              <w:right w:val="single" w:sz="18" w:space="0" w:color="FFFFFF"/>
            </w:tcBorders>
            <w:shd w:val="clear" w:color="auto" w:fill="D6E3BC"/>
          </w:tcPr>
          <w:p w14:paraId="72324ABC"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Specificity</w:t>
            </w:r>
          </w:p>
        </w:tc>
        <w:tc>
          <w:tcPr>
            <w:tcW w:w="1992" w:type="dxa"/>
            <w:gridSpan w:val="4"/>
            <w:vMerge w:val="restart"/>
            <w:tcBorders>
              <w:top w:val="single" w:sz="18" w:space="0" w:color="FFFFFF"/>
              <w:left w:val="single" w:sz="18" w:space="0" w:color="FFFFFF"/>
              <w:right w:val="single" w:sz="18" w:space="0" w:color="FFFFFF"/>
            </w:tcBorders>
            <w:shd w:val="clear" w:color="auto" w:fill="FBD4B4"/>
          </w:tcPr>
          <w:p w14:paraId="0E6A146C" w14:textId="77B8ADEE"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620" w:type="dxa"/>
            <w:gridSpan w:val="4"/>
            <w:vMerge w:val="restart"/>
            <w:tcBorders>
              <w:top w:val="single" w:sz="18" w:space="0" w:color="FFFFFF"/>
              <w:left w:val="single" w:sz="18" w:space="0" w:color="FFFFFF"/>
              <w:right w:val="single" w:sz="18" w:space="0" w:color="FFFFFF"/>
            </w:tcBorders>
            <w:shd w:val="clear" w:color="auto" w:fill="CCC0D9"/>
          </w:tcPr>
          <w:p w14:paraId="169E2C1C"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78" w:type="dxa"/>
            <w:gridSpan w:val="2"/>
            <w:vMerge w:val="restart"/>
            <w:tcBorders>
              <w:top w:val="single" w:sz="18" w:space="0" w:color="FFFFFF"/>
              <w:left w:val="single" w:sz="18" w:space="0" w:color="FFFFFF"/>
              <w:right w:val="single" w:sz="2" w:space="0" w:color="FFFFFF"/>
            </w:tcBorders>
            <w:shd w:val="clear" w:color="auto" w:fill="B8CCE4"/>
          </w:tcPr>
          <w:p w14:paraId="4D0EDC7A" w14:textId="351B3853" w:rsidR="0020660D" w:rsidRPr="009651AC" w:rsidRDefault="0020660D" w:rsidP="0020660D">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1003"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4E2D17E6"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Midterm</w:t>
            </w:r>
          </w:p>
        </w:tc>
        <w:tc>
          <w:tcPr>
            <w:tcW w:w="2061" w:type="dxa"/>
            <w:gridSpan w:val="5"/>
            <w:vMerge w:val="restart"/>
            <w:tcBorders>
              <w:top w:val="single" w:sz="18" w:space="0" w:color="FFFFFF"/>
              <w:left w:val="single" w:sz="18" w:space="0" w:color="FFFFFF"/>
              <w:right w:val="single" w:sz="18" w:space="0" w:color="FFFFFF"/>
            </w:tcBorders>
            <w:shd w:val="clear" w:color="auto" w:fill="D99594"/>
          </w:tcPr>
          <w:p w14:paraId="32FABBC1" w14:textId="1FDFE179"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20660D" w:rsidRPr="009651AC" w14:paraId="2D89EB1B" w14:textId="77777777" w:rsidTr="00B017F8">
        <w:trPr>
          <w:trHeight w:val="373"/>
        </w:trPr>
        <w:tc>
          <w:tcPr>
            <w:tcW w:w="1522" w:type="dxa"/>
            <w:vMerge/>
            <w:tcBorders>
              <w:left w:val="single" w:sz="4" w:space="0" w:color="FFFFFF"/>
              <w:right w:val="single" w:sz="18" w:space="0" w:color="FFFFFF"/>
            </w:tcBorders>
            <w:shd w:val="clear" w:color="auto" w:fill="000000"/>
          </w:tcPr>
          <w:p w14:paraId="54AA44C2" w14:textId="55CA54C1" w:rsidR="0020660D" w:rsidRPr="009651AC" w:rsidRDefault="0020660D" w:rsidP="0020660D">
            <w:pPr>
              <w:rPr>
                <w:rFonts w:ascii="Gill Sans" w:hAnsi="Gill Sans" w:cs="Gill Sans"/>
                <w:color w:val="FFFFFF" w:themeColor="background1"/>
                <w:sz w:val="22"/>
                <w:szCs w:val="22"/>
                <w:lang w:val="en-GB"/>
              </w:rPr>
            </w:pPr>
          </w:p>
        </w:tc>
        <w:tc>
          <w:tcPr>
            <w:tcW w:w="1695" w:type="dxa"/>
            <w:gridSpan w:val="4"/>
            <w:vMerge/>
            <w:tcBorders>
              <w:left w:val="single" w:sz="18" w:space="0" w:color="FFFFFF"/>
              <w:bottom w:val="single" w:sz="18" w:space="0" w:color="FFFFFF"/>
              <w:right w:val="single" w:sz="18" w:space="0" w:color="FFFFFF"/>
            </w:tcBorders>
            <w:shd w:val="clear" w:color="auto" w:fill="D6E3BC"/>
          </w:tcPr>
          <w:p w14:paraId="231CBB24" w14:textId="77777777" w:rsidR="0020660D" w:rsidRPr="009651AC" w:rsidRDefault="0020660D" w:rsidP="0020660D">
            <w:pPr>
              <w:rPr>
                <w:rFonts w:ascii="Gill Sans" w:hAnsi="Gill Sans" w:cs="Gill Sans"/>
                <w:sz w:val="22"/>
                <w:szCs w:val="22"/>
                <w:lang w:val="en-GB"/>
              </w:rPr>
            </w:pPr>
          </w:p>
        </w:tc>
        <w:tc>
          <w:tcPr>
            <w:tcW w:w="1992" w:type="dxa"/>
            <w:gridSpan w:val="4"/>
            <w:vMerge/>
            <w:tcBorders>
              <w:left w:val="single" w:sz="18" w:space="0" w:color="FFFFFF"/>
              <w:bottom w:val="single" w:sz="18" w:space="0" w:color="FFFFFF"/>
              <w:right w:val="single" w:sz="18" w:space="0" w:color="FFFFFF"/>
            </w:tcBorders>
            <w:shd w:val="clear" w:color="auto" w:fill="FBD4B4"/>
          </w:tcPr>
          <w:p w14:paraId="204426CD" w14:textId="77777777" w:rsidR="0020660D" w:rsidRPr="009651AC" w:rsidRDefault="0020660D" w:rsidP="0020660D">
            <w:pPr>
              <w:rPr>
                <w:rFonts w:ascii="Gill Sans" w:hAnsi="Gill Sans" w:cs="Gill Sans"/>
                <w:sz w:val="22"/>
                <w:szCs w:val="22"/>
                <w:lang w:val="en-GB"/>
              </w:rPr>
            </w:pPr>
          </w:p>
        </w:tc>
        <w:tc>
          <w:tcPr>
            <w:tcW w:w="1620" w:type="dxa"/>
            <w:gridSpan w:val="4"/>
            <w:vMerge/>
            <w:tcBorders>
              <w:left w:val="single" w:sz="18" w:space="0" w:color="FFFFFF"/>
              <w:bottom w:val="single" w:sz="18" w:space="0" w:color="FFFFFF"/>
              <w:right w:val="single" w:sz="18" w:space="0" w:color="FFFFFF"/>
            </w:tcBorders>
            <w:shd w:val="clear" w:color="auto" w:fill="CCC0D9"/>
          </w:tcPr>
          <w:p w14:paraId="71914E54" w14:textId="77777777" w:rsidR="0020660D" w:rsidRPr="009651AC" w:rsidRDefault="0020660D" w:rsidP="0020660D">
            <w:pPr>
              <w:rPr>
                <w:rFonts w:ascii="Gill Sans" w:hAnsi="Gill Sans" w:cs="Gill Sans"/>
                <w:sz w:val="22"/>
                <w:szCs w:val="22"/>
                <w:lang w:val="en-GB"/>
              </w:rPr>
            </w:pPr>
          </w:p>
        </w:tc>
        <w:tc>
          <w:tcPr>
            <w:tcW w:w="1078" w:type="dxa"/>
            <w:gridSpan w:val="2"/>
            <w:vMerge/>
            <w:tcBorders>
              <w:left w:val="single" w:sz="18" w:space="0" w:color="FFFFFF"/>
              <w:bottom w:val="single" w:sz="18" w:space="0" w:color="FFFFFF"/>
              <w:right w:val="single" w:sz="2" w:space="0" w:color="FFFFFF"/>
            </w:tcBorders>
            <w:shd w:val="clear" w:color="auto" w:fill="B8CCE4"/>
          </w:tcPr>
          <w:p w14:paraId="6E76CDC5" w14:textId="77777777" w:rsidR="0020660D" w:rsidRPr="009651AC" w:rsidRDefault="0020660D" w:rsidP="0020660D">
            <w:pPr>
              <w:rPr>
                <w:rFonts w:ascii="Gill Sans" w:hAnsi="Gill Sans" w:cs="Gill Sans"/>
                <w:sz w:val="22"/>
                <w:szCs w:val="22"/>
                <w:lang w:val="en-GB"/>
              </w:rPr>
            </w:pPr>
          </w:p>
        </w:tc>
        <w:tc>
          <w:tcPr>
            <w:tcW w:w="1003"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EC0F613" w14:textId="6AD99E59"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2061" w:type="dxa"/>
            <w:gridSpan w:val="5"/>
            <w:vMerge/>
            <w:tcBorders>
              <w:left w:val="single" w:sz="18" w:space="0" w:color="FFFFFF"/>
              <w:bottom w:val="single" w:sz="18" w:space="0" w:color="FFFFFF"/>
              <w:right w:val="single" w:sz="18" w:space="0" w:color="FFFFFF"/>
            </w:tcBorders>
            <w:shd w:val="clear" w:color="auto" w:fill="D99594"/>
          </w:tcPr>
          <w:p w14:paraId="2BAD2C51" w14:textId="77777777" w:rsidR="0020660D" w:rsidRPr="009651AC" w:rsidRDefault="0020660D" w:rsidP="0020660D">
            <w:pPr>
              <w:rPr>
                <w:rFonts w:ascii="Gill Sans" w:hAnsi="Gill Sans" w:cs="Gill Sans"/>
                <w:sz w:val="22"/>
                <w:szCs w:val="22"/>
                <w:lang w:val="en-GB"/>
              </w:rPr>
            </w:pPr>
          </w:p>
        </w:tc>
      </w:tr>
      <w:tr w:rsidR="009B0529" w:rsidRPr="009651AC" w14:paraId="7F856089" w14:textId="77777777" w:rsidTr="00B017F8">
        <w:trPr>
          <w:cantSplit/>
          <w:trHeight w:val="2336"/>
        </w:trPr>
        <w:tc>
          <w:tcPr>
            <w:tcW w:w="1522" w:type="dxa"/>
            <w:vMerge/>
            <w:tcBorders>
              <w:left w:val="single" w:sz="4" w:space="0" w:color="FFFFFF"/>
              <w:right w:val="single" w:sz="18" w:space="0" w:color="FFFFFF"/>
            </w:tcBorders>
            <w:shd w:val="clear" w:color="auto" w:fill="000000"/>
          </w:tcPr>
          <w:p w14:paraId="1F0D2FD2" w14:textId="33C6342A" w:rsidR="0020660D" w:rsidRPr="009651AC" w:rsidRDefault="0020660D" w:rsidP="0020660D">
            <w:pPr>
              <w:rPr>
                <w:rFonts w:ascii="Gill Sans" w:hAnsi="Gill Sans" w:cs="Gill Sans"/>
                <w:color w:val="FFFFFF" w:themeColor="background1"/>
                <w:sz w:val="22"/>
                <w:szCs w:val="22"/>
                <w:lang w:val="en-GB"/>
              </w:rPr>
            </w:pPr>
          </w:p>
        </w:tc>
        <w:tc>
          <w:tcPr>
            <w:tcW w:w="519"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57F049EE"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3851039B"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17042A7A"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15DE43A5"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0AD5C2B3"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459AF184"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64304066"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826"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2A237507"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450"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2D4D5D91"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0C0B5D38"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2B03E325"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4F2DC5F4"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511"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2A0FEE5E" w14:textId="399CA070"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567"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403865FD"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Limited</w:t>
            </w:r>
          </w:p>
        </w:tc>
        <w:tc>
          <w:tcPr>
            <w:tcW w:w="567"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4EAD6C95"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Substantial</w:t>
            </w:r>
          </w:p>
        </w:tc>
        <w:tc>
          <w:tcPr>
            <w:tcW w:w="436"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6E2B6984"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127BE18B" w14:textId="2A560588"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35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5885D40" w14:textId="17279C72"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4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B6E2C3A"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Marginal</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CA38DF3"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534"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09899E2A"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Outstanding</w:t>
            </w:r>
          </w:p>
        </w:tc>
      </w:tr>
      <w:tr w:rsidR="009B0529" w:rsidRPr="009651AC" w14:paraId="4797869D" w14:textId="77777777" w:rsidTr="00B017F8">
        <w:trPr>
          <w:trHeight w:val="340"/>
        </w:trPr>
        <w:tc>
          <w:tcPr>
            <w:tcW w:w="1522" w:type="dxa"/>
            <w:vMerge/>
            <w:tcBorders>
              <w:left w:val="single" w:sz="4" w:space="0" w:color="FFFFFF"/>
              <w:right w:val="single" w:sz="18" w:space="0" w:color="FFFFFF"/>
            </w:tcBorders>
            <w:shd w:val="clear" w:color="auto" w:fill="000000"/>
          </w:tcPr>
          <w:p w14:paraId="3AD55936" w14:textId="6F5B667E" w:rsidR="0020660D" w:rsidRPr="009651AC" w:rsidRDefault="0020660D" w:rsidP="0020660D">
            <w:pPr>
              <w:rPr>
                <w:rFonts w:ascii="Gill Sans" w:hAnsi="Gill Sans" w:cs="Gill Sans"/>
                <w:noProof/>
                <w:color w:val="FFFFFF" w:themeColor="background1"/>
                <w:sz w:val="22"/>
                <w:szCs w:val="22"/>
                <w:lang w:val="en-GB"/>
              </w:rPr>
            </w:pPr>
          </w:p>
        </w:tc>
        <w:tc>
          <w:tcPr>
            <w:tcW w:w="519" w:type="dxa"/>
            <w:vMerge w:val="restart"/>
            <w:tcBorders>
              <w:top w:val="single" w:sz="18" w:space="0" w:color="FFFFFF"/>
              <w:left w:val="single" w:sz="18" w:space="0" w:color="FFFFFF"/>
              <w:right w:val="single" w:sz="2" w:space="0" w:color="FFFFFF"/>
            </w:tcBorders>
            <w:shd w:val="clear" w:color="auto" w:fill="D6E3BC"/>
          </w:tcPr>
          <w:p w14:paraId="25CC46C2" w14:textId="77777777" w:rsidR="0020660D" w:rsidRPr="009651AC" w:rsidRDefault="0020660D" w:rsidP="0020660D">
            <w:pPr>
              <w:rPr>
                <w:rFonts w:ascii="Gill Sans" w:hAnsi="Gill Sans" w:cs="Gill Sans"/>
                <w:sz w:val="22"/>
                <w:szCs w:val="22"/>
                <w:lang w:val="en-GB"/>
              </w:rPr>
            </w:pPr>
          </w:p>
        </w:tc>
        <w:tc>
          <w:tcPr>
            <w:tcW w:w="451" w:type="dxa"/>
            <w:vMerge w:val="restart"/>
            <w:tcBorders>
              <w:top w:val="single" w:sz="18" w:space="0" w:color="FFFFFF"/>
              <w:left w:val="single" w:sz="2" w:space="0" w:color="FFFFFF"/>
              <w:right w:val="single" w:sz="2" w:space="0" w:color="FFFFFF"/>
            </w:tcBorders>
            <w:shd w:val="clear" w:color="auto" w:fill="D6E3BC"/>
          </w:tcPr>
          <w:p w14:paraId="28C347A9" w14:textId="036B36D3" w:rsidR="0020660D" w:rsidRPr="00466E44" w:rsidRDefault="0020660D" w:rsidP="0020660D">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362" w:type="dxa"/>
            <w:vMerge w:val="restart"/>
            <w:tcBorders>
              <w:top w:val="single" w:sz="18" w:space="0" w:color="FFFFFF"/>
              <w:left w:val="single" w:sz="2" w:space="0" w:color="FFFFFF"/>
              <w:right w:val="single" w:sz="2" w:space="0" w:color="FFFFFF"/>
            </w:tcBorders>
            <w:shd w:val="clear" w:color="auto" w:fill="D6E3BC"/>
          </w:tcPr>
          <w:p w14:paraId="66A0E74C" w14:textId="05CC2319" w:rsidR="0020660D" w:rsidRPr="00466E44" w:rsidRDefault="0020660D" w:rsidP="0020660D">
            <w:pPr>
              <w:rPr>
                <w:rFonts w:ascii="Zapf Dingbats" w:hAnsi="Zapf Dingbats" w:cs="Gill Sans"/>
                <w:sz w:val="22"/>
                <w:szCs w:val="22"/>
                <w:lang w:val="en-GB"/>
              </w:rPr>
            </w:pPr>
          </w:p>
        </w:tc>
        <w:tc>
          <w:tcPr>
            <w:tcW w:w="363" w:type="dxa"/>
            <w:vMerge w:val="restart"/>
            <w:tcBorders>
              <w:top w:val="single" w:sz="18" w:space="0" w:color="FFFFFF"/>
              <w:left w:val="single" w:sz="2" w:space="0" w:color="FFFFFF"/>
              <w:right w:val="single" w:sz="18" w:space="0" w:color="FFFFFF"/>
            </w:tcBorders>
            <w:shd w:val="clear" w:color="auto" w:fill="D6E3BC"/>
          </w:tcPr>
          <w:p w14:paraId="45D644B2" w14:textId="77777777" w:rsidR="0020660D" w:rsidRPr="00466E44" w:rsidRDefault="0020660D" w:rsidP="0020660D">
            <w:pPr>
              <w:rPr>
                <w:rFonts w:ascii="Zapf Dingbats" w:hAnsi="Zapf Dingbats" w:cs="Gill Sans"/>
                <w:noProof/>
                <w:sz w:val="22"/>
                <w:szCs w:val="22"/>
                <w:lang w:val="en-GB"/>
              </w:rPr>
            </w:pPr>
          </w:p>
        </w:tc>
        <w:tc>
          <w:tcPr>
            <w:tcW w:w="389" w:type="dxa"/>
            <w:vMerge w:val="restart"/>
            <w:tcBorders>
              <w:top w:val="single" w:sz="18" w:space="0" w:color="FFFFFF"/>
              <w:left w:val="single" w:sz="2" w:space="0" w:color="FFFFFF"/>
              <w:right w:val="single" w:sz="2" w:space="0" w:color="FFFFFF"/>
            </w:tcBorders>
            <w:shd w:val="clear" w:color="auto" w:fill="FBD4B4"/>
          </w:tcPr>
          <w:p w14:paraId="481644B1" w14:textId="77777777" w:rsidR="0020660D" w:rsidRPr="00466E44" w:rsidRDefault="0020660D" w:rsidP="0020660D">
            <w:pPr>
              <w:rPr>
                <w:rFonts w:ascii="Zapf Dingbats" w:hAnsi="Zapf Dingbats" w:cs="Gill Sans"/>
                <w:sz w:val="22"/>
                <w:szCs w:val="22"/>
                <w:lang w:val="en-GB"/>
              </w:rPr>
            </w:pPr>
          </w:p>
        </w:tc>
        <w:tc>
          <w:tcPr>
            <w:tcW w:w="388" w:type="dxa"/>
            <w:vMerge w:val="restart"/>
            <w:tcBorders>
              <w:top w:val="single" w:sz="18" w:space="0" w:color="FFFFFF"/>
              <w:left w:val="single" w:sz="2" w:space="0" w:color="FFFFFF"/>
              <w:right w:val="single" w:sz="2" w:space="0" w:color="FFFFFF"/>
            </w:tcBorders>
            <w:shd w:val="clear" w:color="auto" w:fill="FBD4B4"/>
          </w:tcPr>
          <w:p w14:paraId="195626F3" w14:textId="77777777" w:rsidR="0020660D" w:rsidRPr="00466E44" w:rsidRDefault="0020660D" w:rsidP="0020660D">
            <w:pP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1920FA4B" w14:textId="77777777" w:rsidR="0020660D" w:rsidRPr="00466E44" w:rsidRDefault="0020660D" w:rsidP="0020660D">
            <w:pP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826" w:type="dxa"/>
            <w:vMerge w:val="restart"/>
            <w:tcBorders>
              <w:top w:val="single" w:sz="18" w:space="0" w:color="FFFFFF"/>
              <w:left w:val="single" w:sz="2" w:space="0" w:color="FFFFFF"/>
              <w:right w:val="single" w:sz="18" w:space="0" w:color="FFFFFF"/>
            </w:tcBorders>
            <w:shd w:val="clear" w:color="auto" w:fill="FBD4B4"/>
          </w:tcPr>
          <w:p w14:paraId="212EC3B3" w14:textId="77777777" w:rsidR="0020660D" w:rsidRPr="00466E44" w:rsidRDefault="0020660D" w:rsidP="0020660D">
            <w:pPr>
              <w:rPr>
                <w:rFonts w:ascii="Zapf Dingbats" w:hAnsi="Zapf Dingbats" w:cs="Gill Sans"/>
                <w:sz w:val="22"/>
                <w:szCs w:val="22"/>
                <w:lang w:val="en-GB"/>
              </w:rPr>
            </w:pPr>
          </w:p>
        </w:tc>
        <w:tc>
          <w:tcPr>
            <w:tcW w:w="450" w:type="dxa"/>
            <w:vMerge w:val="restart"/>
            <w:tcBorders>
              <w:top w:val="single" w:sz="18" w:space="0" w:color="FFFFFF"/>
              <w:left w:val="single" w:sz="18" w:space="0" w:color="FFFFFF"/>
              <w:right w:val="single" w:sz="2" w:space="0" w:color="FFFFFF"/>
            </w:tcBorders>
            <w:shd w:val="clear" w:color="auto" w:fill="CCC0D9"/>
          </w:tcPr>
          <w:p w14:paraId="1A166333" w14:textId="77777777" w:rsidR="0020660D" w:rsidRPr="00466E44" w:rsidRDefault="0020660D" w:rsidP="0020660D">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67E865B4" w14:textId="2E06F7CD" w:rsidR="0020660D" w:rsidRPr="00466E44" w:rsidRDefault="0020660D" w:rsidP="0020660D">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CCC0D9"/>
          </w:tcPr>
          <w:p w14:paraId="5992A3D9" w14:textId="4322EDBB" w:rsidR="0020660D" w:rsidRPr="00466E44" w:rsidRDefault="0020660D" w:rsidP="0020660D">
            <w:pPr>
              <w:rPr>
                <w:rFonts w:ascii="Zapf Dingbats" w:hAnsi="Zapf Dingbats" w:cs="Gill Sans"/>
                <w:noProof/>
                <w:sz w:val="22"/>
                <w:szCs w:val="22"/>
                <w:lang w:val="en-GB"/>
              </w:rPr>
            </w:pPr>
          </w:p>
        </w:tc>
        <w:tc>
          <w:tcPr>
            <w:tcW w:w="360" w:type="dxa"/>
            <w:vMerge w:val="restart"/>
            <w:tcBorders>
              <w:top w:val="single" w:sz="18" w:space="0" w:color="FFFFFF"/>
              <w:left w:val="single" w:sz="2" w:space="0" w:color="FFFFFF"/>
              <w:right w:val="single" w:sz="18" w:space="0" w:color="FFFFFF"/>
            </w:tcBorders>
            <w:shd w:val="clear" w:color="auto" w:fill="CCC0D9"/>
          </w:tcPr>
          <w:p w14:paraId="69A4A687" w14:textId="77777777" w:rsidR="0020660D" w:rsidRPr="00466E44" w:rsidRDefault="0020660D" w:rsidP="0020660D">
            <w:pPr>
              <w:rPr>
                <w:rFonts w:ascii="Zapf Dingbats" w:hAnsi="Zapf Dingbats" w:cs="Gill Sans"/>
                <w:sz w:val="22"/>
                <w:szCs w:val="22"/>
                <w:lang w:val="en-GB"/>
              </w:rPr>
            </w:pPr>
          </w:p>
        </w:tc>
        <w:tc>
          <w:tcPr>
            <w:tcW w:w="511"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6C957C0E" w14:textId="77777777" w:rsidR="0020660D" w:rsidRPr="00466E44" w:rsidRDefault="0020660D" w:rsidP="0020660D">
            <w:pPr>
              <w:rPr>
                <w:rFonts w:ascii="Zapf Dingbats" w:hAnsi="Zapf Dingbats" w:cs="Gill Sans"/>
                <w:sz w:val="22"/>
                <w:szCs w:val="22"/>
                <w:lang w:val="en-GB"/>
              </w:rPr>
            </w:pPr>
          </w:p>
        </w:tc>
        <w:tc>
          <w:tcPr>
            <w:tcW w:w="56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DC51E52" w14:textId="5C5D3748" w:rsidR="0020660D" w:rsidRPr="00466E44" w:rsidRDefault="0020660D" w:rsidP="0020660D">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56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E2905BB" w14:textId="37B222A0" w:rsidR="0020660D" w:rsidRPr="009651AC" w:rsidRDefault="0020660D" w:rsidP="0020660D">
            <w:pPr>
              <w:rPr>
                <w:rFonts w:ascii="Gill Sans" w:hAnsi="Gill Sans" w:cs="Gill Sans"/>
                <w:sz w:val="22"/>
                <w:szCs w:val="22"/>
                <w:lang w:val="en-GB"/>
              </w:rPr>
            </w:pPr>
          </w:p>
        </w:tc>
        <w:tc>
          <w:tcPr>
            <w:tcW w:w="436"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16CDBDE3" w14:textId="77777777" w:rsidR="0020660D" w:rsidRPr="009651AC" w:rsidRDefault="0020660D" w:rsidP="0020660D">
            <w:pPr>
              <w:rPr>
                <w:rFonts w:ascii="Gill Sans" w:hAnsi="Gill Sans" w:cs="Gill Sans"/>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99594"/>
          </w:tcPr>
          <w:p w14:paraId="6DFA76F8" w14:textId="77777777" w:rsidR="0020660D" w:rsidRPr="009651AC" w:rsidRDefault="0020660D" w:rsidP="0020660D">
            <w:pPr>
              <w:rPr>
                <w:rFonts w:ascii="Gill Sans" w:hAnsi="Gill Sans" w:cs="Gill Sans"/>
                <w:sz w:val="22"/>
                <w:szCs w:val="22"/>
                <w:lang w:val="en-GB"/>
              </w:rPr>
            </w:pPr>
          </w:p>
        </w:tc>
        <w:tc>
          <w:tcPr>
            <w:tcW w:w="357" w:type="dxa"/>
            <w:vMerge w:val="restart"/>
            <w:tcBorders>
              <w:top w:val="single" w:sz="18" w:space="0" w:color="FFFFFF"/>
              <w:left w:val="single" w:sz="2" w:space="0" w:color="FFFFFF"/>
              <w:right w:val="single" w:sz="2" w:space="0" w:color="FFFFFF"/>
            </w:tcBorders>
            <w:shd w:val="clear" w:color="auto" w:fill="D99594"/>
          </w:tcPr>
          <w:p w14:paraId="3CB2E934" w14:textId="204BE6E6" w:rsidR="0020660D" w:rsidRPr="00466E44" w:rsidRDefault="0020660D" w:rsidP="0020660D">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D99594"/>
          </w:tcPr>
          <w:p w14:paraId="36A932F4" w14:textId="01D9EC53" w:rsidR="0020660D" w:rsidRPr="00466E44" w:rsidRDefault="0020660D" w:rsidP="0020660D">
            <w:pPr>
              <w:rPr>
                <w:rFonts w:ascii="Zapf Dingbats" w:hAnsi="Zapf Dingbats" w:cs="Gill Sans"/>
                <w:sz w:val="22"/>
                <w:szCs w:val="22"/>
                <w:lang w:val="uk-UA"/>
              </w:rPr>
            </w:pPr>
          </w:p>
        </w:tc>
        <w:tc>
          <w:tcPr>
            <w:tcW w:w="360" w:type="dxa"/>
            <w:vMerge w:val="restart"/>
            <w:tcBorders>
              <w:top w:val="single" w:sz="18" w:space="0" w:color="FFFFFF"/>
              <w:left w:val="single" w:sz="2" w:space="0" w:color="FFFFFF"/>
              <w:right w:val="single" w:sz="2" w:space="0" w:color="FFFFFF"/>
            </w:tcBorders>
            <w:shd w:val="clear" w:color="auto" w:fill="D99594"/>
          </w:tcPr>
          <w:p w14:paraId="141483EC" w14:textId="77777777" w:rsidR="0020660D" w:rsidRPr="008E2D1E" w:rsidRDefault="0020660D" w:rsidP="0020660D">
            <w:pPr>
              <w:rPr>
                <w:rFonts w:ascii="Gill Sans" w:hAnsi="Gill Sans" w:cs="Gill Sans"/>
                <w:noProof/>
                <w:sz w:val="22"/>
                <w:szCs w:val="22"/>
              </w:rPr>
            </w:pPr>
          </w:p>
        </w:tc>
        <w:tc>
          <w:tcPr>
            <w:tcW w:w="534" w:type="dxa"/>
            <w:vMerge w:val="restart"/>
            <w:tcBorders>
              <w:top w:val="single" w:sz="18" w:space="0" w:color="FFFFFF"/>
              <w:left w:val="single" w:sz="2" w:space="0" w:color="FFFFFF"/>
              <w:right w:val="single" w:sz="18" w:space="0" w:color="FFFFFF"/>
            </w:tcBorders>
            <w:shd w:val="clear" w:color="auto" w:fill="D99594"/>
          </w:tcPr>
          <w:p w14:paraId="7215C0EF" w14:textId="77777777" w:rsidR="0020660D" w:rsidRPr="009651AC" w:rsidRDefault="0020660D" w:rsidP="0020660D">
            <w:pPr>
              <w:rPr>
                <w:rFonts w:ascii="Gill Sans" w:hAnsi="Gill Sans" w:cs="Gill Sans"/>
                <w:sz w:val="22"/>
                <w:szCs w:val="22"/>
                <w:lang w:val="en-GB"/>
              </w:rPr>
            </w:pPr>
          </w:p>
        </w:tc>
      </w:tr>
      <w:tr w:rsidR="009B0529" w:rsidRPr="009651AC" w14:paraId="7410EA3B" w14:textId="77777777" w:rsidTr="00B017F8">
        <w:trPr>
          <w:trHeight w:val="340"/>
        </w:trPr>
        <w:tc>
          <w:tcPr>
            <w:tcW w:w="1522" w:type="dxa"/>
            <w:vMerge/>
            <w:tcBorders>
              <w:left w:val="single" w:sz="4" w:space="0" w:color="FFFFFF"/>
              <w:right w:val="single" w:sz="18" w:space="0" w:color="FFFFFF"/>
            </w:tcBorders>
            <w:shd w:val="clear" w:color="auto" w:fill="000000"/>
          </w:tcPr>
          <w:p w14:paraId="1B13FD32" w14:textId="77777777" w:rsidR="0020660D" w:rsidRPr="009651AC" w:rsidRDefault="0020660D" w:rsidP="0020660D">
            <w:pPr>
              <w:rPr>
                <w:rFonts w:ascii="Gill Sans" w:hAnsi="Gill Sans" w:cs="Gill Sans"/>
                <w:color w:val="FFFFFF" w:themeColor="background1"/>
                <w:sz w:val="22"/>
                <w:szCs w:val="22"/>
                <w:lang w:val="en-GB"/>
              </w:rPr>
            </w:pPr>
          </w:p>
        </w:tc>
        <w:tc>
          <w:tcPr>
            <w:tcW w:w="519" w:type="dxa"/>
            <w:vMerge/>
            <w:tcBorders>
              <w:left w:val="single" w:sz="18" w:space="0" w:color="FFFFFF"/>
              <w:right w:val="single" w:sz="2" w:space="0" w:color="FFFFFF"/>
            </w:tcBorders>
            <w:shd w:val="clear" w:color="auto" w:fill="D6E3BC"/>
          </w:tcPr>
          <w:p w14:paraId="68E51791" w14:textId="77777777" w:rsidR="0020660D" w:rsidRPr="009651AC" w:rsidRDefault="0020660D" w:rsidP="0020660D">
            <w:pPr>
              <w:rPr>
                <w:rFonts w:ascii="Gill Sans" w:hAnsi="Gill Sans" w:cs="Gill Sans"/>
                <w:sz w:val="22"/>
                <w:szCs w:val="22"/>
                <w:lang w:val="en-GB"/>
              </w:rPr>
            </w:pPr>
          </w:p>
        </w:tc>
        <w:tc>
          <w:tcPr>
            <w:tcW w:w="451" w:type="dxa"/>
            <w:vMerge/>
            <w:tcBorders>
              <w:left w:val="single" w:sz="2" w:space="0" w:color="FFFFFF"/>
              <w:right w:val="single" w:sz="2" w:space="0" w:color="FFFFFF"/>
            </w:tcBorders>
            <w:shd w:val="clear" w:color="auto" w:fill="D6E3BC"/>
          </w:tcPr>
          <w:p w14:paraId="37C5FC8E" w14:textId="77777777" w:rsidR="0020660D" w:rsidRPr="00466E44" w:rsidRDefault="0020660D" w:rsidP="0020660D">
            <w:pPr>
              <w:rPr>
                <w:rFonts w:ascii="Zapf Dingbats" w:hAnsi="Zapf Dingbats" w:cs="Gill Sans"/>
                <w:sz w:val="22"/>
                <w:szCs w:val="22"/>
                <w:lang w:val="en-GB"/>
              </w:rPr>
            </w:pPr>
          </w:p>
        </w:tc>
        <w:tc>
          <w:tcPr>
            <w:tcW w:w="362" w:type="dxa"/>
            <w:vMerge/>
            <w:tcBorders>
              <w:left w:val="single" w:sz="2" w:space="0" w:color="FFFFFF"/>
              <w:right w:val="single" w:sz="2" w:space="0" w:color="FFFFFF"/>
            </w:tcBorders>
            <w:shd w:val="clear" w:color="auto" w:fill="D6E3BC"/>
          </w:tcPr>
          <w:p w14:paraId="4176961F" w14:textId="77777777" w:rsidR="0020660D" w:rsidRPr="00466E44" w:rsidRDefault="0020660D" w:rsidP="0020660D">
            <w:pPr>
              <w:rPr>
                <w:rFonts w:ascii="Zapf Dingbats" w:hAnsi="Zapf Dingbats" w:cs="Gill Sans"/>
                <w:sz w:val="22"/>
                <w:szCs w:val="22"/>
                <w:lang w:val="en-GB"/>
              </w:rPr>
            </w:pPr>
          </w:p>
        </w:tc>
        <w:tc>
          <w:tcPr>
            <w:tcW w:w="363" w:type="dxa"/>
            <w:vMerge/>
            <w:tcBorders>
              <w:left w:val="single" w:sz="2" w:space="0" w:color="FFFFFF"/>
              <w:right w:val="single" w:sz="18" w:space="0" w:color="FFFFFF"/>
            </w:tcBorders>
            <w:shd w:val="clear" w:color="auto" w:fill="D6E3BC"/>
          </w:tcPr>
          <w:p w14:paraId="7D6A087D" w14:textId="77777777" w:rsidR="0020660D" w:rsidRPr="00466E44" w:rsidRDefault="0020660D" w:rsidP="0020660D">
            <w:pPr>
              <w:rPr>
                <w:rFonts w:ascii="Zapf Dingbats" w:hAnsi="Zapf Dingbat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67D48C75" w14:textId="77777777" w:rsidR="0020660D" w:rsidRPr="00466E44" w:rsidRDefault="0020660D" w:rsidP="0020660D">
            <w:pPr>
              <w:rPr>
                <w:rFonts w:ascii="Zapf Dingbats" w:hAnsi="Zapf Dingbats" w:cs="Gill Sans"/>
                <w:sz w:val="22"/>
                <w:szCs w:val="22"/>
                <w:lang w:val="en-GB"/>
              </w:rPr>
            </w:pPr>
          </w:p>
        </w:tc>
        <w:tc>
          <w:tcPr>
            <w:tcW w:w="388" w:type="dxa"/>
            <w:vMerge/>
            <w:tcBorders>
              <w:left w:val="single" w:sz="2" w:space="0" w:color="FFFFFF"/>
              <w:right w:val="single" w:sz="2" w:space="0" w:color="FFFFFF"/>
            </w:tcBorders>
            <w:shd w:val="clear" w:color="auto" w:fill="FBD4B4"/>
          </w:tcPr>
          <w:p w14:paraId="601D57D1" w14:textId="77777777" w:rsidR="0020660D" w:rsidRPr="00466E44" w:rsidRDefault="0020660D" w:rsidP="0020660D">
            <w:pPr>
              <w:rPr>
                <w:rFonts w:ascii="Zapf Dingbats" w:hAnsi="Zapf Dingbat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60BEDBAB" w14:textId="77777777" w:rsidR="0020660D" w:rsidRPr="00466E44" w:rsidRDefault="0020660D" w:rsidP="0020660D">
            <w:pPr>
              <w:rPr>
                <w:rFonts w:ascii="Zapf Dingbats" w:hAnsi="Zapf Dingbats" w:cs="Gill Sans"/>
                <w:noProof/>
                <w:sz w:val="22"/>
                <w:szCs w:val="22"/>
                <w:lang w:val="en-GB"/>
              </w:rPr>
            </w:pPr>
          </w:p>
        </w:tc>
        <w:tc>
          <w:tcPr>
            <w:tcW w:w="826" w:type="dxa"/>
            <w:vMerge/>
            <w:tcBorders>
              <w:left w:val="single" w:sz="2" w:space="0" w:color="FFFFFF"/>
              <w:right w:val="single" w:sz="18" w:space="0" w:color="FFFFFF"/>
            </w:tcBorders>
            <w:shd w:val="clear" w:color="auto" w:fill="FBD4B4"/>
          </w:tcPr>
          <w:p w14:paraId="14FE1ACC" w14:textId="77777777" w:rsidR="0020660D" w:rsidRPr="00466E44" w:rsidRDefault="0020660D" w:rsidP="0020660D">
            <w:pPr>
              <w:rPr>
                <w:rFonts w:ascii="Zapf Dingbats" w:hAnsi="Zapf Dingbats" w:cs="Gill Sans"/>
                <w:sz w:val="22"/>
                <w:szCs w:val="22"/>
                <w:lang w:val="en-GB"/>
              </w:rPr>
            </w:pPr>
          </w:p>
        </w:tc>
        <w:tc>
          <w:tcPr>
            <w:tcW w:w="450" w:type="dxa"/>
            <w:vMerge/>
            <w:tcBorders>
              <w:left w:val="single" w:sz="18" w:space="0" w:color="FFFFFF"/>
              <w:right w:val="single" w:sz="2" w:space="0" w:color="FFFFFF"/>
            </w:tcBorders>
            <w:shd w:val="clear" w:color="auto" w:fill="CCC0D9"/>
          </w:tcPr>
          <w:p w14:paraId="7356B842" w14:textId="77777777" w:rsidR="0020660D" w:rsidRPr="00466E44" w:rsidRDefault="0020660D" w:rsidP="0020660D">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CCC0D9"/>
          </w:tcPr>
          <w:p w14:paraId="60E7A600" w14:textId="77777777" w:rsidR="0020660D" w:rsidRPr="00466E44" w:rsidRDefault="0020660D" w:rsidP="0020660D">
            <w:pPr>
              <w:rPr>
                <w:rFonts w:ascii="Zapf Dingbats" w:hAnsi="Zapf Dingbats" w:cs="Gill Sans"/>
                <w:sz w:val="22"/>
                <w:szCs w:val="22"/>
                <w:lang w:val="en-GB"/>
              </w:rPr>
            </w:pPr>
          </w:p>
        </w:tc>
        <w:tc>
          <w:tcPr>
            <w:tcW w:w="450" w:type="dxa"/>
            <w:vMerge/>
            <w:tcBorders>
              <w:left w:val="single" w:sz="2" w:space="0" w:color="FFFFFF"/>
              <w:right w:val="single" w:sz="2" w:space="0" w:color="FFFFFF"/>
            </w:tcBorders>
            <w:shd w:val="clear" w:color="auto" w:fill="CCC0D9"/>
          </w:tcPr>
          <w:p w14:paraId="31D828BD" w14:textId="77777777" w:rsidR="0020660D" w:rsidRPr="00466E44" w:rsidRDefault="0020660D" w:rsidP="0020660D">
            <w:pPr>
              <w:rPr>
                <w:rFonts w:ascii="Zapf Dingbats" w:hAnsi="Zapf Dingbats" w:cs="Gill Sans"/>
                <w:noProof/>
                <w:sz w:val="22"/>
                <w:szCs w:val="22"/>
                <w:lang w:val="en-GB"/>
              </w:rPr>
            </w:pPr>
          </w:p>
        </w:tc>
        <w:tc>
          <w:tcPr>
            <w:tcW w:w="360" w:type="dxa"/>
            <w:vMerge/>
            <w:tcBorders>
              <w:left w:val="single" w:sz="2" w:space="0" w:color="FFFFFF"/>
              <w:right w:val="single" w:sz="18" w:space="0" w:color="FFFFFF"/>
            </w:tcBorders>
            <w:shd w:val="clear" w:color="auto" w:fill="CCC0D9"/>
          </w:tcPr>
          <w:p w14:paraId="4C9FB33A" w14:textId="77777777" w:rsidR="0020660D" w:rsidRPr="00466E44" w:rsidRDefault="0020660D" w:rsidP="0020660D">
            <w:pPr>
              <w:rPr>
                <w:rFonts w:ascii="Zapf Dingbats" w:hAnsi="Zapf Dingbats" w:cs="Gill Sans"/>
                <w:sz w:val="22"/>
                <w:szCs w:val="22"/>
                <w:lang w:val="en-GB"/>
              </w:rPr>
            </w:pPr>
          </w:p>
        </w:tc>
        <w:tc>
          <w:tcPr>
            <w:tcW w:w="511"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25AB865F" w14:textId="77777777" w:rsidR="0020660D" w:rsidRPr="00466E44" w:rsidRDefault="0020660D" w:rsidP="0020660D">
            <w:pPr>
              <w:rPr>
                <w:rFonts w:ascii="Zapf Dingbats" w:hAnsi="Zapf Dingbats" w:cs="Gill Sans"/>
                <w:sz w:val="22"/>
                <w:szCs w:val="22"/>
                <w:lang w:val="en-GB"/>
              </w:rPr>
            </w:pPr>
          </w:p>
        </w:tc>
        <w:tc>
          <w:tcPr>
            <w:tcW w:w="567"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404EBD3C" w14:textId="3E292CF5" w:rsidR="0020660D" w:rsidRPr="00466E44" w:rsidRDefault="0020660D" w:rsidP="0020660D">
            <w:pPr>
              <w:rPr>
                <w:rFonts w:ascii="Zapf Dingbats" w:hAnsi="Zapf Dingbats" w:cs="Gill Sans"/>
                <w:sz w:val="22"/>
                <w:szCs w:val="22"/>
                <w:lang w:val="en-GB"/>
              </w:rPr>
            </w:pPr>
          </w:p>
        </w:tc>
        <w:tc>
          <w:tcPr>
            <w:tcW w:w="567"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27BE6EA8" w14:textId="21573544" w:rsidR="0020660D" w:rsidRPr="009651AC" w:rsidRDefault="0020660D" w:rsidP="0020660D">
            <w:pPr>
              <w:rPr>
                <w:rFonts w:ascii="Gill Sans" w:hAnsi="Gill Sans" w:cs="Gill Sans"/>
                <w:sz w:val="22"/>
                <w:szCs w:val="22"/>
                <w:lang w:val="en-GB"/>
              </w:rPr>
            </w:pPr>
            <w:r w:rsidRPr="00466E44">
              <w:rPr>
                <w:rFonts w:ascii="Zapf Dingbats" w:eastAsia="MS Mincho" w:hAnsi="Zapf Dingbats" w:cs="MS Mincho"/>
                <w:noProof/>
                <w:sz w:val="22"/>
                <w:szCs w:val="22"/>
                <w:lang w:val="en-GB"/>
              </w:rPr>
              <w:t>✔</w:t>
            </w:r>
          </w:p>
        </w:tc>
        <w:tc>
          <w:tcPr>
            <w:tcW w:w="436"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4FA7DDED" w14:textId="77777777" w:rsidR="0020660D" w:rsidRPr="009651AC" w:rsidRDefault="0020660D" w:rsidP="0020660D">
            <w:pPr>
              <w:jc w:val="center"/>
              <w:rPr>
                <w:rFonts w:ascii="Gill Sans" w:hAnsi="Gill Sans" w:cs="Gill Sans"/>
                <w:sz w:val="22"/>
                <w:szCs w:val="22"/>
                <w:lang w:val="en-GB"/>
              </w:rPr>
            </w:pPr>
          </w:p>
        </w:tc>
        <w:tc>
          <w:tcPr>
            <w:tcW w:w="360" w:type="dxa"/>
            <w:vMerge/>
            <w:tcBorders>
              <w:left w:val="single" w:sz="18" w:space="0" w:color="FFFFFF"/>
              <w:right w:val="single" w:sz="2" w:space="0" w:color="FFFFFF"/>
            </w:tcBorders>
            <w:shd w:val="clear" w:color="auto" w:fill="D99594"/>
          </w:tcPr>
          <w:p w14:paraId="75F99E18" w14:textId="77777777" w:rsidR="0020660D" w:rsidRPr="009651AC" w:rsidRDefault="0020660D" w:rsidP="0020660D">
            <w:pPr>
              <w:rPr>
                <w:rFonts w:ascii="Gill Sans" w:hAnsi="Gill Sans" w:cs="Gill Sans"/>
                <w:sz w:val="22"/>
                <w:szCs w:val="22"/>
                <w:lang w:val="en-GB"/>
              </w:rPr>
            </w:pPr>
          </w:p>
        </w:tc>
        <w:tc>
          <w:tcPr>
            <w:tcW w:w="357" w:type="dxa"/>
            <w:vMerge/>
            <w:tcBorders>
              <w:left w:val="single" w:sz="2" w:space="0" w:color="FFFFFF"/>
              <w:right w:val="single" w:sz="2" w:space="0" w:color="FFFFFF"/>
            </w:tcBorders>
            <w:shd w:val="clear" w:color="auto" w:fill="D99594"/>
          </w:tcPr>
          <w:p w14:paraId="0432E620" w14:textId="77777777" w:rsidR="0020660D" w:rsidRPr="009651AC" w:rsidRDefault="0020660D" w:rsidP="0020660D">
            <w:pPr>
              <w:rPr>
                <w:rFonts w:ascii="Gill Sans" w:hAnsi="Gill Sans" w:cs="Gill Sans"/>
                <w:sz w:val="22"/>
                <w:szCs w:val="22"/>
                <w:lang w:val="en-GB"/>
              </w:rPr>
            </w:pPr>
          </w:p>
        </w:tc>
        <w:tc>
          <w:tcPr>
            <w:tcW w:w="450" w:type="dxa"/>
            <w:vMerge/>
            <w:tcBorders>
              <w:left w:val="single" w:sz="2" w:space="0" w:color="FFFFFF"/>
              <w:right w:val="single" w:sz="2" w:space="0" w:color="FFFFFF"/>
            </w:tcBorders>
            <w:shd w:val="clear" w:color="auto" w:fill="D99594"/>
          </w:tcPr>
          <w:p w14:paraId="2FB30037"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011C065E" w14:textId="77777777" w:rsidR="0020660D" w:rsidRPr="009651AC" w:rsidRDefault="0020660D" w:rsidP="0020660D">
            <w:pPr>
              <w:rPr>
                <w:rFonts w:ascii="Gill Sans" w:hAnsi="Gill Sans" w:cs="Gill Sans"/>
                <w:noProof/>
                <w:sz w:val="22"/>
                <w:szCs w:val="22"/>
                <w:lang w:val="en-GB"/>
              </w:rPr>
            </w:pPr>
          </w:p>
        </w:tc>
        <w:tc>
          <w:tcPr>
            <w:tcW w:w="534" w:type="dxa"/>
            <w:vMerge/>
            <w:tcBorders>
              <w:left w:val="single" w:sz="2" w:space="0" w:color="FFFFFF"/>
              <w:right w:val="single" w:sz="18" w:space="0" w:color="FFFFFF"/>
            </w:tcBorders>
            <w:shd w:val="clear" w:color="auto" w:fill="D99594"/>
          </w:tcPr>
          <w:p w14:paraId="2B2CE318" w14:textId="77777777" w:rsidR="0020660D" w:rsidRPr="009651AC" w:rsidRDefault="0020660D" w:rsidP="0020660D">
            <w:pPr>
              <w:rPr>
                <w:rFonts w:ascii="Gill Sans" w:hAnsi="Gill Sans" w:cs="Gill Sans"/>
                <w:sz w:val="22"/>
                <w:szCs w:val="22"/>
                <w:lang w:val="en-GB"/>
              </w:rPr>
            </w:pPr>
          </w:p>
        </w:tc>
      </w:tr>
    </w:tbl>
    <w:p w14:paraId="09DCEC65" w14:textId="77777777" w:rsidR="000B2CCA" w:rsidRDefault="000B2CCA" w:rsidP="00A75F1D">
      <w:pPr>
        <w:spacing w:after="120"/>
        <w:rPr>
          <w:rFonts w:ascii="Gill Sans" w:hAnsi="Gill Sans" w:cs="Gill Sans"/>
          <w:i/>
          <w:noProof/>
          <w:sz w:val="22"/>
          <w:szCs w:val="22"/>
          <w:lang w:val="en-GB"/>
        </w:rPr>
      </w:pPr>
    </w:p>
    <w:p w14:paraId="3224EEFE" w14:textId="3129DE2C" w:rsidR="00A75F1D" w:rsidRPr="00352741" w:rsidRDefault="00A75F1D" w:rsidP="006319F4">
      <w:pPr>
        <w:pStyle w:val="Heading3"/>
      </w:pPr>
      <w:r w:rsidRPr="00352741">
        <w:t xml:space="preserve">Commitment </w:t>
      </w:r>
      <w:r w:rsidR="003154C0">
        <w:t>a</w:t>
      </w:r>
      <w:r w:rsidRPr="00352741">
        <w:t>im</w:t>
      </w:r>
    </w:p>
    <w:p w14:paraId="4DF14942" w14:textId="2EA0E07F" w:rsidR="00A75F1D" w:rsidRDefault="00A75F1D" w:rsidP="006319F4">
      <w:pPr>
        <w:spacing w:after="120"/>
        <w:rPr>
          <w:rFonts w:ascii="Gill Sans" w:hAnsi="Gill Sans" w:cs="Gill Sans"/>
          <w:sz w:val="22"/>
          <w:szCs w:val="22"/>
          <w:lang w:val="en-GB"/>
        </w:rPr>
      </w:pPr>
      <w:r w:rsidRPr="00180227">
        <w:rPr>
          <w:rFonts w:ascii="Gill Sans" w:hAnsi="Gill Sans" w:cs="Gill Sans"/>
          <w:sz w:val="22"/>
          <w:szCs w:val="22"/>
          <w:lang w:val="en-GB"/>
        </w:rPr>
        <w:t xml:space="preserve">The commitment </w:t>
      </w:r>
      <w:r w:rsidR="00373F37">
        <w:rPr>
          <w:rFonts w:ascii="Gill Sans" w:hAnsi="Gill Sans" w:cs="Gill Sans"/>
          <w:sz w:val="22"/>
          <w:szCs w:val="22"/>
          <w:lang w:val="en-GB"/>
        </w:rPr>
        <w:t>attempted</w:t>
      </w:r>
      <w:r w:rsidR="00373F37" w:rsidRPr="00180227">
        <w:rPr>
          <w:rFonts w:ascii="Gill Sans" w:hAnsi="Gill Sans" w:cs="Gill Sans"/>
          <w:sz w:val="22"/>
          <w:szCs w:val="22"/>
          <w:lang w:val="en-GB"/>
        </w:rPr>
        <w:t xml:space="preserve"> </w:t>
      </w:r>
      <w:r w:rsidRPr="00180227">
        <w:rPr>
          <w:rFonts w:ascii="Gill Sans" w:hAnsi="Gill Sans" w:cs="Gill Sans"/>
          <w:sz w:val="22"/>
          <w:szCs w:val="22"/>
          <w:lang w:val="en-GB"/>
        </w:rPr>
        <w:t>to</w:t>
      </w:r>
      <w:r>
        <w:rPr>
          <w:rFonts w:ascii="Gill Sans" w:hAnsi="Gill Sans" w:cs="Gill Sans"/>
          <w:sz w:val="22"/>
          <w:szCs w:val="22"/>
          <w:lang w:val="en-GB"/>
        </w:rPr>
        <w:t xml:space="preserve"> </w:t>
      </w:r>
      <w:r w:rsidR="00713F4C">
        <w:rPr>
          <w:rFonts w:ascii="Gill Sans" w:hAnsi="Gill Sans" w:cs="Gill Sans"/>
          <w:sz w:val="22"/>
          <w:szCs w:val="22"/>
          <w:lang w:val="en-GB"/>
        </w:rPr>
        <w:t xml:space="preserve">improve anti-corruption actions at the sub-national level </w:t>
      </w:r>
      <w:r w:rsidR="00373F37">
        <w:rPr>
          <w:rFonts w:ascii="Gill Sans" w:hAnsi="Gill Sans" w:cs="Gill Sans"/>
          <w:sz w:val="22"/>
          <w:szCs w:val="22"/>
          <w:lang w:val="en-GB"/>
        </w:rPr>
        <w:t xml:space="preserve">by </w:t>
      </w:r>
      <w:r w:rsidR="00713F4C">
        <w:rPr>
          <w:rFonts w:ascii="Gill Sans" w:hAnsi="Gill Sans" w:cs="Gill Sans"/>
          <w:sz w:val="22"/>
          <w:szCs w:val="22"/>
          <w:lang w:val="en-GB"/>
        </w:rPr>
        <w:t>develop</w:t>
      </w:r>
      <w:r w:rsidR="00373F37">
        <w:rPr>
          <w:rFonts w:ascii="Gill Sans" w:hAnsi="Gill Sans" w:cs="Gill Sans"/>
          <w:sz w:val="22"/>
          <w:szCs w:val="22"/>
          <w:lang w:val="en-GB"/>
        </w:rPr>
        <w:t>ing</w:t>
      </w:r>
      <w:r w:rsidR="00713F4C">
        <w:rPr>
          <w:rFonts w:ascii="Gill Sans" w:hAnsi="Gill Sans" w:cs="Gill Sans"/>
          <w:sz w:val="22"/>
          <w:szCs w:val="22"/>
          <w:lang w:val="en-GB"/>
        </w:rPr>
        <w:t xml:space="preserve"> regional anti-corruption programmes</w:t>
      </w:r>
      <w:r>
        <w:rPr>
          <w:rFonts w:ascii="Gill Sans" w:hAnsi="Gill Sans" w:cs="Gill Sans"/>
          <w:sz w:val="22"/>
          <w:szCs w:val="22"/>
          <w:lang w:val="en-GB"/>
        </w:rPr>
        <w:t xml:space="preserve">. </w:t>
      </w:r>
      <w:r w:rsidR="003154C0">
        <w:rPr>
          <w:rFonts w:ascii="Gill Sans" w:hAnsi="Gill Sans" w:cs="Gill Sans"/>
          <w:sz w:val="22"/>
          <w:szCs w:val="22"/>
          <w:lang w:val="en-GB"/>
        </w:rPr>
        <w:t>In Ukraine, c</w:t>
      </w:r>
      <w:r w:rsidR="00713F4C">
        <w:rPr>
          <w:rFonts w:ascii="Gill Sans" w:hAnsi="Gill Sans" w:cs="Gill Sans"/>
          <w:sz w:val="22"/>
          <w:szCs w:val="22"/>
          <w:lang w:val="en-GB"/>
        </w:rPr>
        <w:t xml:space="preserve">orruption </w:t>
      </w:r>
      <w:r w:rsidR="00373F37">
        <w:rPr>
          <w:rFonts w:ascii="Gill Sans" w:hAnsi="Gill Sans" w:cs="Gill Sans"/>
          <w:sz w:val="22"/>
          <w:szCs w:val="22"/>
          <w:lang w:val="en-GB"/>
        </w:rPr>
        <w:t xml:space="preserve">is widespread </w:t>
      </w:r>
      <w:r w:rsidR="003154C0">
        <w:rPr>
          <w:rFonts w:ascii="Gill Sans" w:hAnsi="Gill Sans" w:cs="Gill Sans"/>
          <w:sz w:val="22"/>
          <w:szCs w:val="22"/>
          <w:lang w:val="en-GB"/>
        </w:rPr>
        <w:t>at</w:t>
      </w:r>
      <w:r w:rsidR="00713F4C">
        <w:rPr>
          <w:rFonts w:ascii="Gill Sans" w:hAnsi="Gill Sans" w:cs="Gill Sans"/>
          <w:sz w:val="22"/>
          <w:szCs w:val="22"/>
          <w:lang w:val="en-GB"/>
        </w:rPr>
        <w:t xml:space="preserve"> the </w:t>
      </w:r>
      <w:r w:rsidR="003154C0">
        <w:rPr>
          <w:rFonts w:ascii="Gill Sans" w:hAnsi="Gill Sans" w:cs="Gill Sans"/>
          <w:sz w:val="22"/>
          <w:szCs w:val="22"/>
          <w:lang w:val="en-GB"/>
        </w:rPr>
        <w:t xml:space="preserve">local and </w:t>
      </w:r>
      <w:r w:rsidR="00713F4C">
        <w:rPr>
          <w:rFonts w:ascii="Gill Sans" w:hAnsi="Gill Sans" w:cs="Gill Sans"/>
          <w:sz w:val="22"/>
          <w:szCs w:val="22"/>
          <w:lang w:val="en-GB"/>
        </w:rPr>
        <w:t xml:space="preserve">regional levels, and national policy measures are insufficient to tackle </w:t>
      </w:r>
      <w:r w:rsidR="003154C0">
        <w:rPr>
          <w:rFonts w:ascii="Gill Sans" w:hAnsi="Gill Sans" w:cs="Gill Sans"/>
          <w:sz w:val="22"/>
          <w:szCs w:val="22"/>
          <w:lang w:val="en-GB"/>
        </w:rPr>
        <w:t>that corruption</w:t>
      </w:r>
      <w:r w:rsidR="00713F4C">
        <w:rPr>
          <w:rFonts w:ascii="Gill Sans" w:hAnsi="Gill Sans" w:cs="Gill Sans"/>
          <w:sz w:val="22"/>
          <w:szCs w:val="22"/>
          <w:lang w:val="en-GB"/>
        </w:rPr>
        <w:t>. Regional programmes could become an important anti-corruption tool</w:t>
      </w:r>
      <w:r w:rsidR="003154C0">
        <w:rPr>
          <w:rFonts w:ascii="Gill Sans" w:hAnsi="Gill Sans" w:cs="Gill Sans"/>
          <w:sz w:val="22"/>
          <w:szCs w:val="22"/>
          <w:lang w:val="en-GB"/>
        </w:rPr>
        <w:t xml:space="preserve"> if developed in a participatory manner and effectively implemented.</w:t>
      </w:r>
    </w:p>
    <w:p w14:paraId="3C9451A7" w14:textId="6CD12979" w:rsidR="00A75F1D" w:rsidRPr="00352741" w:rsidRDefault="00A75F1D" w:rsidP="00163080">
      <w:pPr>
        <w:pStyle w:val="Heading3"/>
      </w:pPr>
      <w:r w:rsidRPr="00352741">
        <w:t>Status</w:t>
      </w:r>
    </w:p>
    <w:p w14:paraId="210D43FE" w14:textId="2F30EFC8" w:rsidR="00A75F1D" w:rsidRPr="00AA4602" w:rsidRDefault="00A75F1D" w:rsidP="00602910">
      <w:pPr>
        <w:pStyle w:val="Normalrglronly"/>
        <w:rPr>
          <w:b/>
          <w:lang w:val="en-GB"/>
        </w:rPr>
      </w:pPr>
      <w:r w:rsidRPr="00AA4602">
        <w:rPr>
          <w:b/>
          <w:lang w:val="en-GB"/>
        </w:rPr>
        <w:t xml:space="preserve">Midterm: </w:t>
      </w:r>
      <w:r w:rsidR="00E31F38">
        <w:rPr>
          <w:b/>
          <w:lang w:val="en-GB"/>
        </w:rPr>
        <w:t>Limited</w:t>
      </w:r>
    </w:p>
    <w:p w14:paraId="1029DF8D" w14:textId="1F698685" w:rsidR="00E31F38" w:rsidRPr="00370768" w:rsidRDefault="00B10C03" w:rsidP="006319F4">
      <w:pPr>
        <w:spacing w:after="120"/>
        <w:rPr>
          <w:rFonts w:ascii="Gill Sans" w:hAnsi="Gill Sans" w:cs="Gill Sans"/>
          <w:sz w:val="22"/>
          <w:szCs w:val="22"/>
          <w:lang w:val="en-GB"/>
        </w:rPr>
      </w:pPr>
      <w:r>
        <w:rPr>
          <w:rFonts w:ascii="Gill Sans" w:hAnsi="Gill Sans" w:cs="Gill Sans"/>
          <w:sz w:val="22"/>
          <w:szCs w:val="22"/>
          <w:lang w:val="en-GB"/>
        </w:rPr>
        <w:t>I</w:t>
      </w:r>
      <w:r w:rsidRPr="00370768">
        <w:rPr>
          <w:rFonts w:ascii="Gill Sans" w:hAnsi="Gill Sans" w:cs="Gill Sans"/>
          <w:sz w:val="22"/>
          <w:szCs w:val="22"/>
          <w:lang w:val="en-GB"/>
        </w:rPr>
        <w:t>n its self-assessment report</w:t>
      </w:r>
      <w:r>
        <w:rPr>
          <w:rFonts w:ascii="Gill Sans" w:hAnsi="Gill Sans" w:cs="Gill Sans"/>
          <w:sz w:val="22"/>
          <w:szCs w:val="22"/>
          <w:lang w:val="en-GB"/>
        </w:rPr>
        <w:t>, t</w:t>
      </w:r>
      <w:r w:rsidR="00E31F38" w:rsidRPr="00370768">
        <w:rPr>
          <w:rFonts w:ascii="Gill Sans" w:hAnsi="Gill Sans" w:cs="Gill Sans"/>
          <w:sz w:val="22"/>
          <w:szCs w:val="22"/>
          <w:lang w:val="en-GB"/>
        </w:rPr>
        <w:t>he government mentioned programmes adopted in 13 regions</w:t>
      </w:r>
      <w:r w:rsidR="003154C0">
        <w:rPr>
          <w:rFonts w:ascii="Gill Sans" w:hAnsi="Gill Sans" w:cs="Gill Sans"/>
          <w:sz w:val="22"/>
          <w:szCs w:val="22"/>
          <w:lang w:val="en-GB"/>
        </w:rPr>
        <w:t>,</w:t>
      </w:r>
      <w:r w:rsidR="00E31F38" w:rsidRPr="00370768">
        <w:rPr>
          <w:rFonts w:ascii="Gill Sans" w:hAnsi="Gill Sans" w:cs="Gill Sans"/>
          <w:sz w:val="22"/>
          <w:szCs w:val="22"/>
          <w:lang w:val="en-GB"/>
        </w:rPr>
        <w:t xml:space="preserve"> and nine draft programmes that were published for public consultations. It was not clear whether the programmes were new </w:t>
      </w:r>
      <w:r w:rsidR="003154C0">
        <w:rPr>
          <w:rFonts w:ascii="Gill Sans" w:hAnsi="Gill Sans" w:cs="Gill Sans"/>
          <w:sz w:val="22"/>
          <w:szCs w:val="22"/>
          <w:lang w:val="en-GB"/>
        </w:rPr>
        <w:t>or</w:t>
      </w:r>
      <w:r w:rsidR="003154C0" w:rsidRPr="00370768">
        <w:rPr>
          <w:rFonts w:ascii="Gill Sans" w:hAnsi="Gill Sans" w:cs="Gill Sans"/>
          <w:sz w:val="22"/>
          <w:szCs w:val="22"/>
          <w:lang w:val="en-GB"/>
        </w:rPr>
        <w:t xml:space="preserve"> </w:t>
      </w:r>
      <w:r w:rsidR="00E31F38" w:rsidRPr="00370768">
        <w:rPr>
          <w:rFonts w:ascii="Gill Sans" w:hAnsi="Gill Sans" w:cs="Gill Sans"/>
          <w:sz w:val="22"/>
          <w:szCs w:val="22"/>
          <w:lang w:val="en-GB"/>
        </w:rPr>
        <w:t>had been adopted since</w:t>
      </w:r>
      <w:r w:rsidR="003154C0">
        <w:rPr>
          <w:rFonts w:ascii="Gill Sans" w:hAnsi="Gill Sans" w:cs="Gill Sans"/>
          <w:sz w:val="22"/>
          <w:szCs w:val="22"/>
          <w:lang w:val="en-GB"/>
        </w:rPr>
        <w:t xml:space="preserve"> the</w:t>
      </w:r>
      <w:r w:rsidR="00E31F38" w:rsidRPr="00370768">
        <w:rPr>
          <w:rFonts w:ascii="Gill Sans" w:hAnsi="Gill Sans" w:cs="Gill Sans"/>
          <w:sz w:val="22"/>
          <w:szCs w:val="22"/>
          <w:lang w:val="en-GB"/>
        </w:rPr>
        <w:t xml:space="preserve"> enactment of the 2014-2015 OGP action plan. </w:t>
      </w:r>
      <w:r w:rsidR="007105F1">
        <w:rPr>
          <w:rFonts w:ascii="Gill Sans" w:hAnsi="Gill Sans" w:cs="Gill Sans"/>
          <w:sz w:val="22"/>
          <w:szCs w:val="22"/>
          <w:lang w:val="en-GB"/>
        </w:rPr>
        <w:t>The p</w:t>
      </w:r>
      <w:r w:rsidR="00E31F38" w:rsidRPr="00370768">
        <w:rPr>
          <w:rFonts w:ascii="Gill Sans" w:hAnsi="Gill Sans" w:cs="Gill Sans"/>
          <w:sz w:val="22"/>
          <w:szCs w:val="22"/>
          <w:lang w:val="en-GB"/>
        </w:rPr>
        <w:t xml:space="preserve">revious </w:t>
      </w:r>
      <w:r w:rsidR="007105F1">
        <w:rPr>
          <w:rFonts w:ascii="Gill Sans" w:hAnsi="Gill Sans" w:cs="Gill Sans"/>
          <w:sz w:val="22"/>
          <w:szCs w:val="22"/>
          <w:lang w:val="en-GB"/>
        </w:rPr>
        <w:t xml:space="preserve">OGP </w:t>
      </w:r>
      <w:r w:rsidR="00E31F38" w:rsidRPr="00370768">
        <w:rPr>
          <w:rFonts w:ascii="Gill Sans" w:hAnsi="Gill Sans" w:cs="Gill Sans"/>
          <w:sz w:val="22"/>
          <w:szCs w:val="22"/>
          <w:lang w:val="en-GB"/>
        </w:rPr>
        <w:t xml:space="preserve">plan included </w:t>
      </w:r>
      <w:r>
        <w:rPr>
          <w:rFonts w:ascii="Gill Sans" w:hAnsi="Gill Sans" w:cs="Gill Sans"/>
          <w:sz w:val="22"/>
          <w:szCs w:val="22"/>
          <w:lang w:val="en-GB"/>
        </w:rPr>
        <w:t>a</w:t>
      </w:r>
      <w:r w:rsidRPr="00370768">
        <w:rPr>
          <w:rFonts w:ascii="Gill Sans" w:hAnsi="Gill Sans" w:cs="Gill Sans"/>
          <w:sz w:val="22"/>
          <w:szCs w:val="22"/>
          <w:lang w:val="en-GB"/>
        </w:rPr>
        <w:t xml:space="preserve"> </w:t>
      </w:r>
      <w:r w:rsidR="00E31F38" w:rsidRPr="00370768">
        <w:rPr>
          <w:rFonts w:ascii="Gill Sans" w:hAnsi="Gill Sans" w:cs="Gill Sans"/>
          <w:sz w:val="22"/>
          <w:szCs w:val="22"/>
          <w:lang w:val="en-GB"/>
        </w:rPr>
        <w:t xml:space="preserve">similar commitment. The self-assessment report provided no details on the substance of the regional programmes </w:t>
      </w:r>
      <w:r w:rsidR="003154C0">
        <w:rPr>
          <w:rFonts w:ascii="Gill Sans" w:hAnsi="Gill Sans" w:cs="Gill Sans"/>
          <w:sz w:val="22"/>
          <w:szCs w:val="22"/>
          <w:lang w:val="en-GB"/>
        </w:rPr>
        <w:t>or</w:t>
      </w:r>
      <w:r w:rsidR="003154C0" w:rsidRPr="00370768">
        <w:rPr>
          <w:rFonts w:ascii="Gill Sans" w:hAnsi="Gill Sans" w:cs="Gill Sans"/>
          <w:sz w:val="22"/>
          <w:szCs w:val="22"/>
          <w:lang w:val="en-GB"/>
        </w:rPr>
        <w:t xml:space="preserve"> </w:t>
      </w:r>
      <w:r w:rsidR="00E31F38" w:rsidRPr="00370768">
        <w:rPr>
          <w:rFonts w:ascii="Gill Sans" w:hAnsi="Gill Sans" w:cs="Gill Sans"/>
          <w:sz w:val="22"/>
          <w:szCs w:val="22"/>
          <w:lang w:val="en-GB"/>
        </w:rPr>
        <w:t xml:space="preserve">whether they were developed in cooperation with civil society, as required by the commitment. An NGO representative noted that there were very few new anti-corruption regional programmes, </w:t>
      </w:r>
      <w:r>
        <w:rPr>
          <w:rFonts w:ascii="Gill Sans" w:hAnsi="Gill Sans" w:cs="Gill Sans"/>
          <w:sz w:val="22"/>
          <w:szCs w:val="22"/>
          <w:lang w:val="en-GB"/>
        </w:rPr>
        <w:t>such as</w:t>
      </w:r>
      <w:r w:rsidR="00E31F38" w:rsidRPr="00370768">
        <w:rPr>
          <w:rFonts w:ascii="Gill Sans" w:hAnsi="Gill Sans" w:cs="Gill Sans"/>
          <w:sz w:val="22"/>
          <w:szCs w:val="22"/>
          <w:lang w:val="en-GB"/>
        </w:rPr>
        <w:t xml:space="preserve"> a new programme in the cities of Kyiv and Dnipropetrovsk. </w:t>
      </w:r>
      <w:r>
        <w:rPr>
          <w:rFonts w:ascii="Gill Sans" w:hAnsi="Gill Sans" w:cs="Gill Sans"/>
          <w:sz w:val="22"/>
          <w:szCs w:val="22"/>
          <w:lang w:val="en-GB"/>
        </w:rPr>
        <w:t>There was also</w:t>
      </w:r>
      <w:r w:rsidR="00E31F38" w:rsidRPr="00370768">
        <w:rPr>
          <w:rFonts w:ascii="Gill Sans" w:hAnsi="Gill Sans" w:cs="Gill Sans"/>
          <w:sz w:val="22"/>
          <w:szCs w:val="22"/>
          <w:lang w:val="en-GB"/>
        </w:rPr>
        <w:t xml:space="preserve"> doubt </w:t>
      </w:r>
      <w:r w:rsidR="00E378C4">
        <w:rPr>
          <w:rFonts w:ascii="Gill Sans" w:hAnsi="Gill Sans" w:cs="Gill Sans"/>
          <w:sz w:val="22"/>
          <w:szCs w:val="22"/>
          <w:lang w:val="en-GB"/>
        </w:rPr>
        <w:t xml:space="preserve">about the inclusion of </w:t>
      </w:r>
      <w:r w:rsidR="00E31F38" w:rsidRPr="00370768">
        <w:rPr>
          <w:rFonts w:ascii="Gill Sans" w:hAnsi="Gill Sans" w:cs="Gill Sans"/>
          <w:sz w:val="22"/>
          <w:szCs w:val="22"/>
          <w:lang w:val="en-GB"/>
        </w:rPr>
        <w:t>the commitment in the action plan in the first place because it was too extensive</w:t>
      </w:r>
      <w:r>
        <w:rPr>
          <w:rFonts w:ascii="Gill Sans" w:hAnsi="Gill Sans" w:cs="Gill Sans"/>
          <w:sz w:val="22"/>
          <w:szCs w:val="22"/>
          <w:lang w:val="en-GB"/>
        </w:rPr>
        <w:t>,</w:t>
      </w:r>
      <w:r w:rsidR="00E31F38" w:rsidRPr="00370768">
        <w:rPr>
          <w:rFonts w:ascii="Gill Sans" w:hAnsi="Gill Sans" w:cs="Gill Sans"/>
          <w:sz w:val="22"/>
          <w:szCs w:val="22"/>
          <w:lang w:val="en-GB"/>
        </w:rPr>
        <w:t xml:space="preserve"> and required significant coordination efforts the OGP mechanism could not provide.</w:t>
      </w:r>
      <w:r w:rsidR="00E31F38" w:rsidRPr="00370768">
        <w:rPr>
          <w:rStyle w:val="EndnoteReference"/>
          <w:rFonts w:ascii="Gill Sans" w:hAnsi="Gill Sans" w:cs="Gill Sans"/>
          <w:sz w:val="22"/>
          <w:szCs w:val="22"/>
          <w:lang w:val="en-GB"/>
        </w:rPr>
        <w:endnoteReference w:id="46"/>
      </w:r>
    </w:p>
    <w:p w14:paraId="448ED9D4" w14:textId="3BFB834E" w:rsidR="00A75F1D" w:rsidRPr="00782911" w:rsidRDefault="00A75F1D" w:rsidP="00602910">
      <w:pPr>
        <w:pStyle w:val="Normalrglronly"/>
        <w:rPr>
          <w:b/>
          <w:lang w:val="en-US"/>
        </w:rPr>
      </w:pPr>
      <w:r w:rsidRPr="00782911">
        <w:rPr>
          <w:b/>
          <w:lang w:val="en-GB"/>
        </w:rPr>
        <w:t xml:space="preserve">End of term: </w:t>
      </w:r>
      <w:r w:rsidR="00A8407E">
        <w:rPr>
          <w:b/>
          <w:lang w:val="en-GB"/>
        </w:rPr>
        <w:t xml:space="preserve">Substantial  </w:t>
      </w:r>
      <w:r w:rsidR="00A8407E" w:rsidRPr="00A8407E">
        <w:rPr>
          <w:b/>
          <w:color w:val="FFFFFF" w:themeColor="background1"/>
          <w:lang w:val="en-GB"/>
        </w:rPr>
        <w:t xml:space="preserve"> </w:t>
      </w:r>
      <w:r w:rsidRPr="00A8407E">
        <w:rPr>
          <w:b/>
          <w:color w:val="FFFFFF" w:themeColor="background1"/>
          <w:lang w:val="en-GB"/>
        </w:rPr>
        <w:t>d</w:t>
      </w:r>
    </w:p>
    <w:p w14:paraId="20EFD671" w14:textId="07B93BBE" w:rsidR="006E4939" w:rsidRDefault="006E4939" w:rsidP="006319F4">
      <w:pPr>
        <w:spacing w:after="120"/>
        <w:rPr>
          <w:rFonts w:ascii="Gill Sans" w:hAnsi="Gill Sans" w:cs="Gill Sans"/>
          <w:noProof/>
          <w:sz w:val="22"/>
          <w:szCs w:val="22"/>
        </w:rPr>
      </w:pPr>
      <w:r>
        <w:rPr>
          <w:rFonts w:ascii="Gill Sans" w:hAnsi="Gill Sans" w:cs="Gill Sans"/>
          <w:noProof/>
          <w:sz w:val="22"/>
          <w:szCs w:val="22"/>
          <w:lang w:val="en-GB"/>
        </w:rPr>
        <w:t xml:space="preserve">In </w:t>
      </w:r>
      <w:r w:rsidR="009B622D">
        <w:rPr>
          <w:rFonts w:ascii="Gill Sans" w:hAnsi="Gill Sans" w:cs="Gill Sans"/>
          <w:noProof/>
          <w:sz w:val="22"/>
          <w:szCs w:val="22"/>
          <w:lang w:val="en-GB"/>
        </w:rPr>
        <w:t xml:space="preserve">its </w:t>
      </w:r>
      <w:r>
        <w:rPr>
          <w:rFonts w:ascii="Gill Sans" w:hAnsi="Gill Sans" w:cs="Gill Sans"/>
          <w:noProof/>
          <w:sz w:val="22"/>
          <w:szCs w:val="22"/>
          <w:lang w:val="en-GB"/>
        </w:rPr>
        <w:t>self-assessment repor</w:t>
      </w:r>
      <w:r w:rsidR="00A8407E">
        <w:rPr>
          <w:rFonts w:ascii="Gill Sans" w:hAnsi="Gill Sans" w:cs="Gill Sans"/>
          <w:noProof/>
          <w:sz w:val="22"/>
          <w:szCs w:val="22"/>
          <w:lang w:val="en-GB"/>
        </w:rPr>
        <w:t>t</w:t>
      </w:r>
      <w:r w:rsidR="009B622D">
        <w:rPr>
          <w:rFonts w:ascii="Gill Sans" w:hAnsi="Gill Sans" w:cs="Gill Sans"/>
          <w:noProof/>
          <w:sz w:val="22"/>
          <w:szCs w:val="22"/>
          <w:lang w:val="en-GB"/>
        </w:rPr>
        <w:t>,</w:t>
      </w:r>
      <w:r>
        <w:rPr>
          <w:rFonts w:ascii="Gill Sans" w:hAnsi="Gill Sans" w:cs="Gill Sans"/>
          <w:noProof/>
          <w:sz w:val="22"/>
          <w:szCs w:val="22"/>
          <w:lang w:val="en-GB"/>
        </w:rPr>
        <w:t xml:space="preserve"> the </w:t>
      </w:r>
      <w:r w:rsidR="009B622D">
        <w:rPr>
          <w:rFonts w:ascii="Gill Sans" w:hAnsi="Gill Sans" w:cs="Gill Sans"/>
          <w:noProof/>
          <w:sz w:val="22"/>
          <w:szCs w:val="22"/>
          <w:lang w:val="en-GB"/>
        </w:rPr>
        <w:t>g</w:t>
      </w:r>
      <w:r>
        <w:rPr>
          <w:rFonts w:ascii="Gill Sans" w:hAnsi="Gill Sans" w:cs="Gill Sans"/>
          <w:noProof/>
          <w:sz w:val="22"/>
          <w:szCs w:val="22"/>
          <w:lang w:val="en-GB"/>
        </w:rPr>
        <w:t xml:space="preserve">overnment states that 17 out of 24 Oblasts have approved </w:t>
      </w:r>
      <w:r>
        <w:rPr>
          <w:rFonts w:ascii="Gill Sans" w:hAnsi="Gill Sans" w:cs="Gill Sans"/>
          <w:noProof/>
          <w:sz w:val="22"/>
          <w:szCs w:val="22"/>
        </w:rPr>
        <w:t>anti-corruption</w:t>
      </w:r>
      <w:r>
        <w:rPr>
          <w:rFonts w:ascii="Gill Sans" w:hAnsi="Gill Sans" w:cs="Gill Sans"/>
          <w:noProof/>
          <w:sz w:val="22"/>
          <w:szCs w:val="22"/>
          <w:lang w:val="en-GB"/>
        </w:rPr>
        <w:t xml:space="preserve"> programmes (as a standalone document or as part of programmes on law enforcement). Of these, 10 administrations have further adopted measures to implement the national anti-corruption strategy for 2014-2017. </w:t>
      </w:r>
      <w:r>
        <w:rPr>
          <w:rFonts w:ascii="Gill Sans" w:hAnsi="Gill Sans" w:cs="Gill Sans"/>
          <w:noProof/>
          <w:sz w:val="22"/>
          <w:szCs w:val="22"/>
        </w:rPr>
        <w:t xml:space="preserve">In December 2016, the Kyiv city council adopted a Framework Programme of Governance Reform and Measures to Prevent Corruption. It was developed jointly by </w:t>
      </w:r>
      <w:r>
        <w:rPr>
          <w:rFonts w:ascii="Gill Sans" w:hAnsi="Gill Sans" w:cs="Gill Sans"/>
          <w:noProof/>
          <w:sz w:val="22"/>
          <w:szCs w:val="22"/>
        </w:rPr>
        <w:lastRenderedPageBreak/>
        <w:t xml:space="preserve">civil society experts and groups and the Kyiv City State Administration. However, it is </w:t>
      </w:r>
      <w:r w:rsidR="009B622D">
        <w:rPr>
          <w:rFonts w:ascii="Gill Sans" w:hAnsi="Gill Sans" w:cs="Gill Sans"/>
          <w:noProof/>
          <w:sz w:val="22"/>
          <w:szCs w:val="22"/>
        </w:rPr>
        <w:t>un</w:t>
      </w:r>
      <w:r>
        <w:rPr>
          <w:rFonts w:ascii="Gill Sans" w:hAnsi="Gill Sans" w:cs="Gill Sans"/>
          <w:noProof/>
          <w:sz w:val="22"/>
          <w:szCs w:val="22"/>
        </w:rPr>
        <w:t>clear how many of these programmes were created as a direct result of the commitment. Many of the anti-corruption program</w:t>
      </w:r>
      <w:r w:rsidR="009B622D">
        <w:rPr>
          <w:rFonts w:ascii="Gill Sans" w:hAnsi="Gill Sans" w:cs="Gill Sans"/>
          <w:noProof/>
          <w:sz w:val="22"/>
          <w:szCs w:val="22"/>
        </w:rPr>
        <w:t>me</w:t>
      </w:r>
      <w:r>
        <w:rPr>
          <w:rFonts w:ascii="Gill Sans" w:hAnsi="Gill Sans" w:cs="Gill Sans"/>
          <w:noProof/>
          <w:sz w:val="22"/>
          <w:szCs w:val="22"/>
        </w:rPr>
        <w:t xml:space="preserve">s </w:t>
      </w:r>
      <w:r w:rsidR="00451F20">
        <w:rPr>
          <w:rFonts w:ascii="Gill Sans" w:hAnsi="Gill Sans" w:cs="Gill Sans"/>
          <w:noProof/>
          <w:sz w:val="22"/>
          <w:szCs w:val="22"/>
        </w:rPr>
        <w:t xml:space="preserve">were </w:t>
      </w:r>
      <w:r>
        <w:rPr>
          <w:rFonts w:ascii="Gill Sans" w:hAnsi="Gill Sans" w:cs="Gill Sans"/>
          <w:noProof/>
          <w:sz w:val="22"/>
          <w:szCs w:val="22"/>
        </w:rPr>
        <w:t>develop</w:t>
      </w:r>
      <w:r w:rsidR="00451F20">
        <w:rPr>
          <w:rFonts w:ascii="Gill Sans" w:hAnsi="Gill Sans" w:cs="Gill Sans"/>
          <w:noProof/>
          <w:sz w:val="22"/>
          <w:szCs w:val="22"/>
        </w:rPr>
        <w:t>ed</w:t>
      </w:r>
      <w:r>
        <w:rPr>
          <w:rFonts w:ascii="Gill Sans" w:hAnsi="Gill Sans" w:cs="Gill Sans"/>
          <w:noProof/>
          <w:sz w:val="22"/>
          <w:szCs w:val="22"/>
        </w:rPr>
        <w:t xml:space="preserve"> prior to the </w:t>
      </w:r>
      <w:r w:rsidR="00451F20">
        <w:rPr>
          <w:rFonts w:ascii="Gill Sans" w:hAnsi="Gill Sans" w:cs="Gill Sans"/>
          <w:noProof/>
          <w:sz w:val="22"/>
          <w:szCs w:val="22"/>
        </w:rPr>
        <w:t xml:space="preserve">implementation of the </w:t>
      </w:r>
      <w:r>
        <w:rPr>
          <w:rFonts w:ascii="Gill Sans" w:hAnsi="Gill Sans" w:cs="Gill Sans"/>
          <w:noProof/>
          <w:sz w:val="22"/>
          <w:szCs w:val="22"/>
        </w:rPr>
        <w:t>action plan as part of ongoing anti-corru</w:t>
      </w:r>
      <w:r w:rsidR="00451F20">
        <w:rPr>
          <w:rFonts w:ascii="Gill Sans" w:hAnsi="Gill Sans" w:cs="Gill Sans"/>
          <w:noProof/>
          <w:sz w:val="22"/>
          <w:szCs w:val="22"/>
        </w:rPr>
        <w:t>p</w:t>
      </w:r>
      <w:r>
        <w:rPr>
          <w:rFonts w:ascii="Gill Sans" w:hAnsi="Gill Sans" w:cs="Gill Sans"/>
          <w:noProof/>
          <w:sz w:val="22"/>
          <w:szCs w:val="22"/>
        </w:rPr>
        <w:t xml:space="preserve">tion polices. </w:t>
      </w:r>
    </w:p>
    <w:p w14:paraId="4511AB0E" w14:textId="1604F63C" w:rsidR="00D03DDA" w:rsidRPr="00101E17" w:rsidRDefault="006E4939" w:rsidP="00101E17">
      <w:pPr>
        <w:spacing w:after="120"/>
        <w:rPr>
          <w:rFonts w:ascii="Gill Sans" w:hAnsi="Gill Sans" w:cs="Gill Sans"/>
          <w:sz w:val="22"/>
          <w:szCs w:val="22"/>
          <w:lang w:val="en-GB"/>
        </w:rPr>
      </w:pPr>
      <w:r w:rsidRPr="009A3E64">
        <w:rPr>
          <w:rFonts w:ascii="Gill Sans" w:hAnsi="Gill Sans" w:cs="Gill Sans"/>
          <w:sz w:val="22"/>
          <w:szCs w:val="22"/>
          <w:lang w:val="en-GB"/>
        </w:rPr>
        <w:t xml:space="preserve">It should be noted </w:t>
      </w:r>
      <w:r w:rsidR="00451F20">
        <w:rPr>
          <w:rFonts w:ascii="Gill Sans" w:hAnsi="Gill Sans" w:cs="Gill Sans"/>
          <w:sz w:val="22"/>
          <w:szCs w:val="22"/>
          <w:lang w:val="en-GB"/>
        </w:rPr>
        <w:t xml:space="preserve">further </w:t>
      </w:r>
      <w:r w:rsidRPr="009A3E64">
        <w:rPr>
          <w:rFonts w:ascii="Gill Sans" w:hAnsi="Gill Sans" w:cs="Gill Sans"/>
          <w:sz w:val="22"/>
          <w:szCs w:val="22"/>
          <w:lang w:val="en-GB"/>
        </w:rPr>
        <w:t>that</w:t>
      </w:r>
      <w:r w:rsidR="009B622D">
        <w:rPr>
          <w:rFonts w:ascii="Gill Sans" w:hAnsi="Gill Sans" w:cs="Gill Sans"/>
          <w:sz w:val="22"/>
          <w:szCs w:val="22"/>
          <w:lang w:val="en-GB"/>
        </w:rPr>
        <w:t>,</w:t>
      </w:r>
      <w:r w:rsidRPr="009A3E64">
        <w:rPr>
          <w:rFonts w:ascii="Gill Sans" w:hAnsi="Gill Sans" w:cs="Gill Sans"/>
          <w:sz w:val="22"/>
          <w:szCs w:val="22"/>
          <w:lang w:val="en-GB"/>
        </w:rPr>
        <w:t xml:space="preserve"> </w:t>
      </w:r>
      <w:r>
        <w:rPr>
          <w:rFonts w:ascii="Gill Sans" w:hAnsi="Gill Sans" w:cs="Gill Sans"/>
          <w:sz w:val="22"/>
          <w:szCs w:val="22"/>
          <w:lang w:val="en-GB"/>
        </w:rPr>
        <w:t>in</w:t>
      </w:r>
      <w:r w:rsidRPr="009A3E64">
        <w:rPr>
          <w:rFonts w:ascii="Gill Sans" w:hAnsi="Gill Sans" w:cs="Gill Sans"/>
          <w:sz w:val="22"/>
          <w:szCs w:val="22"/>
          <w:lang w:val="en-GB"/>
        </w:rPr>
        <w:t xml:space="preserve"> 2</w:t>
      </w:r>
      <w:r>
        <w:rPr>
          <w:rFonts w:ascii="Gill Sans" w:hAnsi="Gill Sans" w:cs="Gill Sans"/>
          <w:sz w:val="22"/>
          <w:szCs w:val="22"/>
          <w:lang w:val="en-GB"/>
        </w:rPr>
        <w:t>014, a</w:t>
      </w:r>
      <w:r w:rsidRPr="009A3E64">
        <w:rPr>
          <w:rFonts w:ascii="Gill Sans" w:hAnsi="Gill Sans" w:cs="Gill Sans"/>
          <w:sz w:val="22"/>
          <w:szCs w:val="22"/>
          <w:lang w:val="en-GB"/>
        </w:rPr>
        <w:t xml:space="preserve"> Law on Corruption Prevention </w:t>
      </w:r>
      <w:r>
        <w:rPr>
          <w:rFonts w:ascii="Gill Sans" w:hAnsi="Gill Sans" w:cs="Gill Sans"/>
          <w:sz w:val="22"/>
          <w:szCs w:val="22"/>
          <w:lang w:val="en-GB"/>
        </w:rPr>
        <w:t xml:space="preserve">was passed </w:t>
      </w:r>
      <w:r w:rsidRPr="009A3E64">
        <w:rPr>
          <w:rFonts w:ascii="Gill Sans" w:hAnsi="Gill Sans" w:cs="Gill Sans"/>
          <w:sz w:val="22"/>
          <w:szCs w:val="22"/>
          <w:lang w:val="en-GB"/>
        </w:rPr>
        <w:t>(</w:t>
      </w:r>
      <w:r>
        <w:rPr>
          <w:rFonts w:ascii="Gill Sans" w:hAnsi="Gill Sans" w:cs="Gill Sans"/>
          <w:sz w:val="22"/>
          <w:szCs w:val="22"/>
          <w:lang w:val="en-GB"/>
        </w:rPr>
        <w:t xml:space="preserve">and </w:t>
      </w:r>
      <w:r w:rsidRPr="009A3E64">
        <w:rPr>
          <w:rFonts w:ascii="Gill Sans" w:hAnsi="Gill Sans" w:cs="Gill Sans"/>
          <w:sz w:val="22"/>
          <w:szCs w:val="22"/>
          <w:lang w:val="en-GB"/>
        </w:rPr>
        <w:t>enacted in April 2015)</w:t>
      </w:r>
      <w:r>
        <w:rPr>
          <w:rFonts w:ascii="Gill Sans" w:hAnsi="Gill Sans" w:cs="Gill Sans"/>
          <w:sz w:val="22"/>
          <w:szCs w:val="22"/>
          <w:lang w:val="en-GB"/>
        </w:rPr>
        <w:t>. The law</w:t>
      </w:r>
      <w:r w:rsidRPr="009A3E64">
        <w:rPr>
          <w:rFonts w:ascii="Gill Sans" w:hAnsi="Gill Sans" w:cs="Gill Sans"/>
          <w:sz w:val="22"/>
          <w:szCs w:val="22"/>
          <w:lang w:val="en-GB"/>
        </w:rPr>
        <w:t xml:space="preserve"> required that all </w:t>
      </w:r>
      <w:r>
        <w:rPr>
          <w:rFonts w:ascii="Gill Sans" w:hAnsi="Gill Sans" w:cs="Gill Sans"/>
          <w:sz w:val="22"/>
          <w:szCs w:val="22"/>
          <w:lang w:val="en-GB"/>
        </w:rPr>
        <w:t>executive-level authorities in Oblasts adopt anti-corruption program</w:t>
      </w:r>
      <w:r w:rsidR="009B622D">
        <w:rPr>
          <w:rFonts w:ascii="Gill Sans" w:hAnsi="Gill Sans" w:cs="Gill Sans"/>
          <w:sz w:val="22"/>
          <w:szCs w:val="22"/>
          <w:lang w:val="en-GB"/>
        </w:rPr>
        <w:t>me</w:t>
      </w:r>
      <w:r>
        <w:rPr>
          <w:rFonts w:ascii="Gill Sans" w:hAnsi="Gill Sans" w:cs="Gill Sans"/>
          <w:sz w:val="22"/>
          <w:szCs w:val="22"/>
          <w:lang w:val="en-GB"/>
        </w:rPr>
        <w:t>s. The law described what such programmes should include</w:t>
      </w:r>
      <w:r w:rsidR="009B622D">
        <w:rPr>
          <w:rFonts w:ascii="Gill Sans" w:hAnsi="Gill Sans" w:cs="Gill Sans"/>
          <w:sz w:val="22"/>
          <w:szCs w:val="22"/>
          <w:lang w:val="en-GB"/>
        </w:rPr>
        <w:t>,</w:t>
      </w:r>
      <w:r>
        <w:rPr>
          <w:rFonts w:ascii="Gill Sans" w:hAnsi="Gill Sans" w:cs="Gill Sans"/>
          <w:sz w:val="22"/>
          <w:szCs w:val="22"/>
          <w:lang w:val="en-GB"/>
        </w:rPr>
        <w:t xml:space="preserve"> and required </w:t>
      </w:r>
      <w:r w:rsidR="009B622D">
        <w:rPr>
          <w:rFonts w:ascii="Gill Sans" w:hAnsi="Gill Sans" w:cs="Gill Sans"/>
          <w:sz w:val="22"/>
          <w:szCs w:val="22"/>
          <w:lang w:val="en-GB"/>
        </w:rPr>
        <w:t>their</w:t>
      </w:r>
      <w:r>
        <w:rPr>
          <w:rFonts w:ascii="Gill Sans" w:hAnsi="Gill Sans" w:cs="Gill Sans"/>
          <w:sz w:val="22"/>
          <w:szCs w:val="22"/>
          <w:lang w:val="en-GB"/>
        </w:rPr>
        <w:t xml:space="preserve"> endorse</w:t>
      </w:r>
      <w:r w:rsidR="009B622D">
        <w:rPr>
          <w:rFonts w:ascii="Gill Sans" w:hAnsi="Gill Sans" w:cs="Gill Sans"/>
          <w:sz w:val="22"/>
          <w:szCs w:val="22"/>
          <w:lang w:val="en-GB"/>
        </w:rPr>
        <w:t>ment</w:t>
      </w:r>
      <w:r>
        <w:rPr>
          <w:rFonts w:ascii="Gill Sans" w:hAnsi="Gill Sans" w:cs="Gill Sans"/>
          <w:sz w:val="22"/>
          <w:szCs w:val="22"/>
          <w:lang w:val="en-GB"/>
        </w:rPr>
        <w:t xml:space="preserve"> by the National Agency on Corruption Prevention. Although the OGP commitment related to a different </w:t>
      </w:r>
      <w:r w:rsidRPr="00415FF4">
        <w:rPr>
          <w:rFonts w:ascii="Gill Sans" w:eastAsia="Times New Roman" w:hAnsi="Gill Sans" w:cs="Gill Sans"/>
          <w:color w:val="000000"/>
          <w:sz w:val="22"/>
          <w:szCs w:val="22"/>
          <w:shd w:val="clear" w:color="auto" w:fill="FFFFFF"/>
        </w:rPr>
        <w:t xml:space="preserve">set of </w:t>
      </w:r>
      <w:r>
        <w:rPr>
          <w:rFonts w:ascii="Gill Sans" w:eastAsia="Times New Roman" w:hAnsi="Gill Sans" w:cs="Gill Sans"/>
          <w:color w:val="000000"/>
          <w:sz w:val="22"/>
          <w:szCs w:val="22"/>
          <w:shd w:val="clear" w:color="auto" w:fill="FFFFFF"/>
        </w:rPr>
        <w:t xml:space="preserve">regional </w:t>
      </w:r>
      <w:r w:rsidRPr="00415FF4">
        <w:rPr>
          <w:rFonts w:ascii="Gill Sans" w:eastAsia="Times New Roman" w:hAnsi="Gill Sans" w:cs="Gill Sans"/>
          <w:color w:val="000000"/>
          <w:sz w:val="22"/>
          <w:szCs w:val="22"/>
          <w:shd w:val="clear" w:color="auto" w:fill="FFFFFF"/>
        </w:rPr>
        <w:t>authorities</w:t>
      </w:r>
      <w:r w:rsidR="00451F20">
        <w:rPr>
          <w:rFonts w:ascii="Gill Sans" w:eastAsia="Times New Roman" w:hAnsi="Gill Sans" w:cs="Gill Sans"/>
          <w:color w:val="000000"/>
          <w:sz w:val="22"/>
          <w:szCs w:val="22"/>
          <w:shd w:val="clear" w:color="auto" w:fill="FFFFFF"/>
        </w:rPr>
        <w:t xml:space="preserve"> — </w:t>
      </w:r>
      <w:r w:rsidRPr="00415FF4">
        <w:rPr>
          <w:rFonts w:ascii="Gill Sans" w:eastAsia="Times New Roman" w:hAnsi="Gill Sans" w:cs="Gill Sans"/>
          <w:color w:val="000000"/>
          <w:sz w:val="22"/>
          <w:szCs w:val="22"/>
          <w:shd w:val="clear" w:color="auto" w:fill="FFFFFF"/>
        </w:rPr>
        <w:t>the regional representative bodies (oblast councils)</w:t>
      </w:r>
      <w:r w:rsidR="00451F20">
        <w:rPr>
          <w:rFonts w:ascii="Gill Sans" w:eastAsia="Times New Roman" w:hAnsi="Gill Sans" w:cs="Gill Sans"/>
          <w:color w:val="000000"/>
          <w:sz w:val="22"/>
          <w:szCs w:val="22"/>
          <w:shd w:val="clear" w:color="auto" w:fill="FFFFFF"/>
        </w:rPr>
        <w:t xml:space="preserve"> </w:t>
      </w:r>
      <w:r w:rsidR="00451F20">
        <w:rPr>
          <w:rFonts w:ascii="Gill Sans" w:hAnsi="Gill Sans" w:cs="Gill Sans"/>
          <w:sz w:val="22"/>
          <w:szCs w:val="22"/>
          <w:lang w:val="en-GB"/>
        </w:rPr>
        <w:t>—</w:t>
      </w:r>
      <w:r>
        <w:rPr>
          <w:rFonts w:ascii="Gill Sans" w:hAnsi="Gill Sans" w:cs="Gill Sans"/>
          <w:sz w:val="22"/>
          <w:szCs w:val="22"/>
          <w:lang w:val="en-GB"/>
        </w:rPr>
        <w:t xml:space="preserve"> it remains unclear </w:t>
      </w:r>
      <w:r w:rsidR="009B622D">
        <w:rPr>
          <w:rFonts w:ascii="Gill Sans" w:hAnsi="Gill Sans" w:cs="Gill Sans"/>
          <w:sz w:val="22"/>
          <w:szCs w:val="22"/>
          <w:lang w:val="en-GB"/>
        </w:rPr>
        <w:t xml:space="preserve">which </w:t>
      </w:r>
      <w:r>
        <w:rPr>
          <w:rFonts w:ascii="Gill Sans" w:hAnsi="Gill Sans" w:cs="Gill Sans"/>
          <w:sz w:val="22"/>
          <w:szCs w:val="22"/>
          <w:lang w:val="en-GB"/>
        </w:rPr>
        <w:t xml:space="preserve">activities were carried out as part of the implementation of the law, and which were </w:t>
      </w:r>
      <w:r w:rsidR="009B622D">
        <w:rPr>
          <w:rFonts w:ascii="Gill Sans" w:hAnsi="Gill Sans" w:cs="Gill Sans"/>
          <w:sz w:val="22"/>
          <w:szCs w:val="22"/>
          <w:lang w:val="en-GB"/>
        </w:rPr>
        <w:t>the</w:t>
      </w:r>
      <w:r>
        <w:rPr>
          <w:rFonts w:ascii="Gill Sans" w:hAnsi="Gill Sans" w:cs="Gill Sans"/>
          <w:sz w:val="22"/>
          <w:szCs w:val="22"/>
          <w:lang w:val="en-GB"/>
        </w:rPr>
        <w:t xml:space="preserve"> result</w:t>
      </w:r>
      <w:r w:rsidR="009B622D">
        <w:rPr>
          <w:rFonts w:ascii="Gill Sans" w:hAnsi="Gill Sans" w:cs="Gill Sans"/>
          <w:sz w:val="22"/>
          <w:szCs w:val="22"/>
          <w:lang w:val="en-GB"/>
        </w:rPr>
        <w:t>s</w:t>
      </w:r>
      <w:r>
        <w:rPr>
          <w:rFonts w:ascii="Gill Sans" w:hAnsi="Gill Sans" w:cs="Gill Sans"/>
          <w:sz w:val="22"/>
          <w:szCs w:val="22"/>
          <w:lang w:val="en-GB"/>
        </w:rPr>
        <w:t xml:space="preserve"> of the commitment</w:t>
      </w:r>
      <w:r w:rsidR="00D03DDA">
        <w:rPr>
          <w:rFonts w:ascii="Gill Sans" w:hAnsi="Gill Sans" w:cs="Gill Sans"/>
          <w:sz w:val="22"/>
          <w:szCs w:val="22"/>
          <w:lang w:val="en-GB"/>
        </w:rPr>
        <w:t xml:space="preserve">.  </w:t>
      </w:r>
    </w:p>
    <w:p w14:paraId="4DD50BF8" w14:textId="77777777" w:rsidR="00A75F1D" w:rsidRPr="00BB3451" w:rsidRDefault="00A75F1D" w:rsidP="006319F4">
      <w:pPr>
        <w:pStyle w:val="Heading3"/>
      </w:pPr>
      <w:r w:rsidRPr="00BB3451">
        <w:t>Did it open government?</w:t>
      </w:r>
    </w:p>
    <w:p w14:paraId="0138FD3E" w14:textId="00558C20" w:rsidR="00A75F1D" w:rsidRDefault="00A75F1D" w:rsidP="00163080">
      <w:pPr>
        <w:rPr>
          <w:rFonts w:ascii="Gill Sans" w:hAnsi="Gill Sans" w:cs="Gill Sans"/>
          <w:b/>
          <w:color w:val="000000" w:themeColor="text1"/>
          <w:sz w:val="22"/>
          <w:szCs w:val="22"/>
          <w:lang w:val="en-GB"/>
        </w:rPr>
      </w:pPr>
      <w:r>
        <w:rPr>
          <w:rFonts w:ascii="Gill Sans" w:hAnsi="Gill Sans" w:cs="Gill Sans"/>
          <w:b/>
          <w:color w:val="000000" w:themeColor="text1"/>
          <w:sz w:val="22"/>
          <w:szCs w:val="22"/>
          <w:lang w:val="en-GB"/>
        </w:rPr>
        <w:t xml:space="preserve">Civic Participation: </w:t>
      </w:r>
      <w:r w:rsidR="002E44D7">
        <w:rPr>
          <w:rFonts w:ascii="Gill Sans" w:hAnsi="Gill Sans" w:cs="Gill Sans"/>
          <w:b/>
          <w:color w:val="000000" w:themeColor="text1"/>
          <w:sz w:val="22"/>
          <w:szCs w:val="22"/>
          <w:lang w:val="en-GB"/>
        </w:rPr>
        <w:t>Did not change</w:t>
      </w:r>
    </w:p>
    <w:p w14:paraId="0257E654" w14:textId="6CED637E" w:rsidR="00A75F1D" w:rsidRDefault="00A75F1D" w:rsidP="00A75F1D">
      <w:pPr>
        <w:spacing w:after="120"/>
        <w:rPr>
          <w:rFonts w:ascii="Gill Sans" w:hAnsi="Gill Sans" w:cs="Gill Sans"/>
          <w:b/>
          <w:color w:val="000000" w:themeColor="text1"/>
          <w:sz w:val="22"/>
          <w:szCs w:val="22"/>
          <w:lang w:val="en-GB"/>
        </w:rPr>
      </w:pPr>
      <w:r>
        <w:rPr>
          <w:rFonts w:ascii="Gill Sans" w:hAnsi="Gill Sans" w:cs="Gill Sans"/>
          <w:b/>
          <w:color w:val="000000" w:themeColor="text1"/>
          <w:sz w:val="22"/>
          <w:szCs w:val="22"/>
          <w:lang w:val="en-GB"/>
        </w:rPr>
        <w:t xml:space="preserve">Public accountability: </w:t>
      </w:r>
      <w:r w:rsidR="00D03DDA">
        <w:rPr>
          <w:rFonts w:ascii="Gill Sans" w:hAnsi="Gill Sans" w:cs="Gill Sans"/>
          <w:b/>
          <w:color w:val="000000" w:themeColor="text1"/>
          <w:sz w:val="22"/>
          <w:szCs w:val="22"/>
          <w:lang w:val="en-GB"/>
        </w:rPr>
        <w:t xml:space="preserve">Did not change </w:t>
      </w:r>
    </w:p>
    <w:p w14:paraId="11753A6E" w14:textId="3EA329BA" w:rsidR="00C25C76" w:rsidRPr="00B35DC1" w:rsidRDefault="00C25C76" w:rsidP="009B622D">
      <w:pPr>
        <w:spacing w:after="120"/>
        <w:rPr>
          <w:rFonts w:ascii="Gill Sans" w:hAnsi="Gill Sans" w:cs="Gill Sans"/>
          <w:noProof/>
          <w:sz w:val="22"/>
          <w:szCs w:val="22"/>
          <w:lang w:val="en-GB"/>
        </w:rPr>
      </w:pPr>
      <w:r w:rsidRPr="00C25C76">
        <w:rPr>
          <w:rFonts w:ascii="Gill Sans" w:hAnsi="Gill Sans" w:cs="Gill Sans"/>
          <w:noProof/>
          <w:sz w:val="22"/>
          <w:szCs w:val="22"/>
          <w:lang w:val="en-GB"/>
        </w:rPr>
        <w:t xml:space="preserve">Local and regional anti-corruption programmes (action plans) can be a useful instrument for preventing and combating corruption at the sub-national level. </w:t>
      </w:r>
      <w:r w:rsidR="00EE6C6A">
        <w:rPr>
          <w:rFonts w:ascii="Gill Sans" w:hAnsi="Gill Sans" w:cs="Gill Sans"/>
          <w:noProof/>
          <w:sz w:val="22"/>
          <w:szCs w:val="22"/>
          <w:lang w:val="en-GB"/>
        </w:rPr>
        <w:t>However, similar program</w:t>
      </w:r>
      <w:r w:rsidR="009B622D">
        <w:rPr>
          <w:rFonts w:ascii="Gill Sans" w:hAnsi="Gill Sans" w:cs="Gill Sans"/>
          <w:noProof/>
          <w:sz w:val="22"/>
          <w:szCs w:val="22"/>
          <w:lang w:val="en-GB"/>
        </w:rPr>
        <w:t>me</w:t>
      </w:r>
      <w:r w:rsidR="00EE6C6A">
        <w:rPr>
          <w:rFonts w:ascii="Gill Sans" w:hAnsi="Gill Sans" w:cs="Gill Sans"/>
          <w:noProof/>
          <w:sz w:val="22"/>
          <w:szCs w:val="22"/>
          <w:lang w:val="en-GB"/>
        </w:rPr>
        <w:t>s developed in</w:t>
      </w:r>
      <w:r w:rsidR="00D03DDA">
        <w:rPr>
          <w:rFonts w:ascii="Gill Sans" w:hAnsi="Gill Sans" w:cs="Gill Sans"/>
          <w:noProof/>
          <w:sz w:val="22"/>
          <w:szCs w:val="22"/>
          <w:lang w:val="en-GB"/>
        </w:rPr>
        <w:t xml:space="preserve"> </w:t>
      </w:r>
      <w:r w:rsidR="00EE6C6A">
        <w:rPr>
          <w:rFonts w:ascii="Gill Sans" w:hAnsi="Gill Sans" w:cs="Gill Sans"/>
          <w:noProof/>
          <w:sz w:val="22"/>
          <w:szCs w:val="22"/>
          <w:lang w:val="en-GB"/>
        </w:rPr>
        <w:t xml:space="preserve">the past </w:t>
      </w:r>
      <w:r w:rsidR="009B622D">
        <w:rPr>
          <w:rFonts w:ascii="Gill Sans" w:hAnsi="Gill Sans" w:cs="Gill Sans"/>
          <w:noProof/>
          <w:sz w:val="22"/>
          <w:szCs w:val="22"/>
          <w:lang w:val="en-GB"/>
        </w:rPr>
        <w:t>have</w:t>
      </w:r>
      <w:r w:rsidR="009B622D" w:rsidRPr="00C25C76">
        <w:rPr>
          <w:rFonts w:ascii="Gill Sans" w:hAnsi="Gill Sans" w:cs="Gill Sans"/>
          <w:noProof/>
          <w:sz w:val="22"/>
          <w:szCs w:val="22"/>
          <w:lang w:val="en-GB"/>
        </w:rPr>
        <w:t xml:space="preserve"> </w:t>
      </w:r>
      <w:r w:rsidRPr="00C25C76">
        <w:rPr>
          <w:rFonts w:ascii="Gill Sans" w:hAnsi="Gill Sans" w:cs="Gill Sans"/>
          <w:noProof/>
          <w:sz w:val="22"/>
          <w:szCs w:val="22"/>
          <w:lang w:val="en-GB"/>
        </w:rPr>
        <w:t>shown that they are often</w:t>
      </w:r>
      <w:r w:rsidR="00385828">
        <w:rPr>
          <w:rFonts w:ascii="Gill Sans" w:hAnsi="Gill Sans" w:cs="Gill Sans"/>
          <w:noProof/>
          <w:sz w:val="22"/>
          <w:szCs w:val="22"/>
          <w:lang w:val="en-GB"/>
        </w:rPr>
        <w:t xml:space="preserve"> </w:t>
      </w:r>
      <w:r w:rsidRPr="00C25C76">
        <w:rPr>
          <w:rFonts w:ascii="Gill Sans" w:hAnsi="Gill Sans" w:cs="Gill Sans"/>
          <w:noProof/>
          <w:sz w:val="22"/>
          <w:szCs w:val="22"/>
          <w:lang w:val="en-GB"/>
        </w:rPr>
        <w:t>approved</w:t>
      </w:r>
      <w:r w:rsidR="009B622D">
        <w:rPr>
          <w:rFonts w:ascii="Gill Sans" w:hAnsi="Gill Sans" w:cs="Gill Sans"/>
          <w:noProof/>
          <w:sz w:val="22"/>
          <w:szCs w:val="22"/>
          <w:lang w:val="en-GB"/>
        </w:rPr>
        <w:t xml:space="preserve"> formally,</w:t>
      </w:r>
      <w:r w:rsidRPr="00C25C76">
        <w:rPr>
          <w:rFonts w:ascii="Gill Sans" w:hAnsi="Gill Sans" w:cs="Gill Sans"/>
          <w:noProof/>
          <w:sz w:val="22"/>
          <w:szCs w:val="22"/>
          <w:lang w:val="en-GB"/>
        </w:rPr>
        <w:t xml:space="preserve"> </w:t>
      </w:r>
      <w:r w:rsidR="00385828">
        <w:rPr>
          <w:rFonts w:ascii="Gill Sans" w:hAnsi="Gill Sans" w:cs="Gill Sans"/>
          <w:noProof/>
          <w:sz w:val="22"/>
          <w:szCs w:val="22"/>
          <w:lang w:val="en-GB"/>
        </w:rPr>
        <w:t>but</w:t>
      </w:r>
      <w:r w:rsidRPr="00C25C76">
        <w:rPr>
          <w:rFonts w:ascii="Gill Sans" w:hAnsi="Gill Sans" w:cs="Gill Sans"/>
          <w:noProof/>
          <w:sz w:val="22"/>
          <w:szCs w:val="22"/>
          <w:lang w:val="en-GB"/>
        </w:rPr>
        <w:t xml:space="preserve"> do not represent a genuine commitment</w:t>
      </w:r>
      <w:r w:rsidR="00EE6C6A">
        <w:rPr>
          <w:rFonts w:ascii="Gill Sans" w:hAnsi="Gill Sans" w:cs="Gill Sans"/>
          <w:noProof/>
          <w:sz w:val="22"/>
          <w:szCs w:val="22"/>
          <w:lang w:val="en-GB"/>
        </w:rPr>
        <w:t xml:space="preserve"> to change</w:t>
      </w:r>
      <w:r w:rsidRPr="00C25C76">
        <w:rPr>
          <w:rFonts w:ascii="Gill Sans" w:hAnsi="Gill Sans" w:cs="Gill Sans"/>
          <w:noProof/>
          <w:sz w:val="22"/>
          <w:szCs w:val="22"/>
          <w:lang w:val="en-GB"/>
        </w:rPr>
        <w:t xml:space="preserve"> on </w:t>
      </w:r>
      <w:r w:rsidR="009B622D">
        <w:rPr>
          <w:rFonts w:ascii="Gill Sans" w:hAnsi="Gill Sans" w:cs="Gill Sans"/>
          <w:noProof/>
          <w:sz w:val="22"/>
          <w:szCs w:val="22"/>
          <w:lang w:val="en-GB"/>
        </w:rPr>
        <w:t>the part</w:t>
      </w:r>
      <w:r w:rsidR="009B622D" w:rsidRPr="00C25C76">
        <w:rPr>
          <w:rFonts w:ascii="Gill Sans" w:hAnsi="Gill Sans" w:cs="Gill Sans"/>
          <w:noProof/>
          <w:sz w:val="22"/>
          <w:szCs w:val="22"/>
          <w:lang w:val="en-GB"/>
        </w:rPr>
        <w:t xml:space="preserve"> </w:t>
      </w:r>
      <w:r w:rsidRPr="00C25C76">
        <w:rPr>
          <w:rFonts w:ascii="Gill Sans" w:hAnsi="Gill Sans" w:cs="Gill Sans"/>
          <w:noProof/>
          <w:sz w:val="22"/>
          <w:szCs w:val="22"/>
          <w:lang w:val="en-GB"/>
        </w:rPr>
        <w:t xml:space="preserve">of local authorities. </w:t>
      </w:r>
      <w:r w:rsidR="00EE6C6A">
        <w:rPr>
          <w:rFonts w:ascii="Gill Sans" w:hAnsi="Gill Sans" w:cs="Gill Sans"/>
          <w:noProof/>
          <w:sz w:val="22"/>
          <w:szCs w:val="22"/>
          <w:lang w:val="en-GB"/>
        </w:rPr>
        <w:t>In general, plans</w:t>
      </w:r>
      <w:r w:rsidRPr="00C25C76">
        <w:rPr>
          <w:rFonts w:ascii="Gill Sans" w:hAnsi="Gill Sans" w:cs="Gill Sans"/>
          <w:noProof/>
          <w:sz w:val="22"/>
          <w:szCs w:val="22"/>
          <w:lang w:val="en-GB"/>
        </w:rPr>
        <w:t xml:space="preserve"> are not developed with </w:t>
      </w:r>
      <w:r w:rsidR="009B622D" w:rsidRPr="00C25C76">
        <w:rPr>
          <w:rFonts w:ascii="Gill Sans" w:hAnsi="Gill Sans" w:cs="Gill Sans"/>
          <w:noProof/>
          <w:sz w:val="22"/>
          <w:szCs w:val="22"/>
          <w:lang w:val="en-GB"/>
        </w:rPr>
        <w:t>civil society</w:t>
      </w:r>
      <w:r w:rsidR="009B622D" w:rsidRPr="00C25C76" w:rsidDel="009B622D">
        <w:rPr>
          <w:rFonts w:ascii="Gill Sans" w:hAnsi="Gill Sans" w:cs="Gill Sans"/>
          <w:noProof/>
          <w:sz w:val="22"/>
          <w:szCs w:val="22"/>
          <w:lang w:val="en-GB"/>
        </w:rPr>
        <w:t xml:space="preserve"> </w:t>
      </w:r>
      <w:r w:rsidRPr="00C25C76">
        <w:rPr>
          <w:rFonts w:ascii="Gill Sans" w:hAnsi="Gill Sans" w:cs="Gill Sans"/>
          <w:noProof/>
          <w:sz w:val="22"/>
          <w:szCs w:val="22"/>
          <w:lang w:val="en-GB"/>
        </w:rPr>
        <w:t>involvement,</w:t>
      </w:r>
      <w:r w:rsidR="009B622D">
        <w:rPr>
          <w:rFonts w:ascii="Gill Sans" w:hAnsi="Gill Sans" w:cs="Gill Sans"/>
          <w:noProof/>
          <w:sz w:val="22"/>
          <w:szCs w:val="22"/>
          <w:lang w:val="en-GB"/>
        </w:rPr>
        <w:t xml:space="preserve"> although there are </w:t>
      </w:r>
      <w:r w:rsidRPr="00C25C76">
        <w:rPr>
          <w:rFonts w:ascii="Gill Sans" w:hAnsi="Gill Sans" w:cs="Gill Sans"/>
          <w:noProof/>
          <w:sz w:val="22"/>
          <w:szCs w:val="22"/>
          <w:lang w:val="en-GB"/>
        </w:rPr>
        <w:t>some exceptions (e.g., the 2015 anti-corruption action plan of the city of Kyiv</w:t>
      </w:r>
      <w:r w:rsidR="009B622D">
        <w:rPr>
          <w:rFonts w:ascii="Gill Sans" w:hAnsi="Gill Sans" w:cs="Gill Sans"/>
          <w:noProof/>
          <w:sz w:val="22"/>
          <w:szCs w:val="22"/>
          <w:lang w:val="en-GB"/>
        </w:rPr>
        <w:t>,</w:t>
      </w:r>
      <w:r w:rsidRPr="00C25C76">
        <w:rPr>
          <w:rFonts w:ascii="Gill Sans" w:hAnsi="Gill Sans" w:cs="Gill Sans"/>
          <w:noProof/>
          <w:sz w:val="22"/>
          <w:szCs w:val="22"/>
          <w:lang w:val="en-GB"/>
        </w:rPr>
        <w:t xml:space="preserve"> and the 2016 Framework Governance and Anti-Corruption Programme of the city of Kyiv</w:t>
      </w:r>
      <w:r w:rsidR="0008409D">
        <w:rPr>
          <w:rFonts w:ascii="Gill Sans" w:hAnsi="Gill Sans" w:cs="Gill Sans"/>
          <w:noProof/>
          <w:sz w:val="22"/>
          <w:szCs w:val="22"/>
          <w:lang w:val="en-GB"/>
        </w:rPr>
        <w:t>)</w:t>
      </w:r>
      <w:r w:rsidRPr="00C25C76">
        <w:rPr>
          <w:rFonts w:ascii="Gill Sans" w:hAnsi="Gill Sans" w:cs="Gill Sans"/>
          <w:noProof/>
          <w:sz w:val="22"/>
          <w:szCs w:val="22"/>
          <w:lang w:val="en-GB"/>
        </w:rPr>
        <w:t xml:space="preserve">. </w:t>
      </w:r>
      <w:r w:rsidR="009B622D">
        <w:rPr>
          <w:rFonts w:ascii="Gill Sans" w:hAnsi="Gill Sans" w:cs="Gill Sans"/>
          <w:noProof/>
          <w:sz w:val="22"/>
          <w:szCs w:val="22"/>
          <w:lang w:val="en-GB"/>
        </w:rPr>
        <w:t>G</w:t>
      </w:r>
      <w:r w:rsidR="00385828">
        <w:rPr>
          <w:rFonts w:ascii="Gill Sans" w:hAnsi="Gill Sans" w:cs="Gill Sans"/>
          <w:noProof/>
          <w:sz w:val="22"/>
          <w:szCs w:val="22"/>
          <w:lang w:val="en-GB"/>
        </w:rPr>
        <w:t>overnment practice</w:t>
      </w:r>
      <w:r w:rsidR="00D03DDA">
        <w:rPr>
          <w:rFonts w:ascii="Gill Sans" w:hAnsi="Gill Sans" w:cs="Gill Sans"/>
          <w:noProof/>
          <w:sz w:val="22"/>
          <w:szCs w:val="22"/>
          <w:lang w:val="en-GB"/>
        </w:rPr>
        <w:t xml:space="preserve"> </w:t>
      </w:r>
      <w:r w:rsidR="009B622D">
        <w:rPr>
          <w:rFonts w:ascii="Gill Sans" w:hAnsi="Gill Sans" w:cs="Gill Sans"/>
          <w:noProof/>
          <w:sz w:val="22"/>
          <w:szCs w:val="22"/>
          <w:lang w:val="en-GB"/>
        </w:rPr>
        <w:t xml:space="preserve">with regard to </w:t>
      </w:r>
      <w:r w:rsidR="00D03DDA">
        <w:rPr>
          <w:rFonts w:ascii="Gill Sans" w:hAnsi="Gill Sans" w:cs="Gill Sans"/>
          <w:noProof/>
          <w:sz w:val="22"/>
          <w:szCs w:val="22"/>
          <w:lang w:val="en-GB"/>
        </w:rPr>
        <w:t>civic participation</w:t>
      </w:r>
      <w:r w:rsidR="00385828">
        <w:rPr>
          <w:rFonts w:ascii="Gill Sans" w:hAnsi="Gill Sans" w:cs="Gill Sans"/>
          <w:noProof/>
          <w:sz w:val="22"/>
          <w:szCs w:val="22"/>
          <w:lang w:val="en-GB"/>
        </w:rPr>
        <w:t xml:space="preserve"> </w:t>
      </w:r>
      <w:r w:rsidR="00E04D21">
        <w:rPr>
          <w:rFonts w:ascii="Gill Sans" w:hAnsi="Gill Sans" w:cs="Gill Sans"/>
          <w:noProof/>
          <w:sz w:val="22"/>
          <w:szCs w:val="22"/>
          <w:lang w:val="en-GB"/>
        </w:rPr>
        <w:t>has not, therefore, changed beyond the baseline level that pre-existed this commitment</w:t>
      </w:r>
      <w:r w:rsidRPr="00C25C76">
        <w:rPr>
          <w:rFonts w:ascii="Gill Sans" w:hAnsi="Gill Sans" w:cs="Gill Sans"/>
          <w:noProof/>
          <w:sz w:val="22"/>
          <w:szCs w:val="22"/>
          <w:lang w:val="en-GB"/>
        </w:rPr>
        <w:t>.</w:t>
      </w:r>
      <w:r w:rsidRPr="00F428C2">
        <w:rPr>
          <w:noProof/>
          <w:vertAlign w:val="superscript"/>
        </w:rPr>
        <w:endnoteReference w:id="47"/>
      </w:r>
      <w:r w:rsidR="00F428C2">
        <w:rPr>
          <w:rFonts w:ascii="Gill Sans" w:hAnsi="Gill Sans" w:cs="Gill Sans"/>
          <w:noProof/>
          <w:sz w:val="22"/>
          <w:szCs w:val="22"/>
          <w:lang w:val="en-GB"/>
        </w:rPr>
        <w:t xml:space="preserve"> </w:t>
      </w:r>
      <w:r w:rsidRPr="00B35DC1">
        <w:rPr>
          <w:rFonts w:ascii="Gill Sans" w:hAnsi="Gill Sans" w:cs="Gill Sans"/>
          <w:noProof/>
          <w:sz w:val="22"/>
          <w:szCs w:val="22"/>
          <w:lang w:val="en-GB"/>
        </w:rPr>
        <w:t>The government</w:t>
      </w:r>
      <w:r w:rsidR="009B622D">
        <w:rPr>
          <w:rFonts w:ascii="Gill Sans" w:hAnsi="Gill Sans" w:cs="Gill Sans"/>
          <w:noProof/>
          <w:sz w:val="22"/>
          <w:szCs w:val="22"/>
          <w:lang w:val="en-GB"/>
        </w:rPr>
        <w:t>’s</w:t>
      </w:r>
      <w:r w:rsidRPr="00B35DC1">
        <w:rPr>
          <w:rFonts w:ascii="Gill Sans" w:hAnsi="Gill Sans" w:cs="Gill Sans"/>
          <w:noProof/>
          <w:sz w:val="22"/>
          <w:szCs w:val="22"/>
          <w:lang w:val="en-GB"/>
        </w:rPr>
        <w:t xml:space="preserve"> self-assessment report</w:t>
      </w:r>
      <w:r w:rsidR="003419BE">
        <w:rPr>
          <w:rFonts w:ascii="Gill Sans" w:hAnsi="Gill Sans" w:cs="Gill Sans"/>
          <w:noProof/>
          <w:sz w:val="22"/>
          <w:szCs w:val="22"/>
          <w:lang w:val="en-GB"/>
        </w:rPr>
        <w:t xml:space="preserve"> specifies which regions have adopted anti-corrpution programmes, but</w:t>
      </w:r>
      <w:r w:rsidRPr="00B35DC1">
        <w:rPr>
          <w:rFonts w:ascii="Gill Sans" w:hAnsi="Gill Sans" w:cs="Gill Sans"/>
          <w:noProof/>
          <w:sz w:val="22"/>
          <w:szCs w:val="22"/>
          <w:lang w:val="en-GB"/>
        </w:rPr>
        <w:t xml:space="preserve"> include no information on what action</w:t>
      </w:r>
      <w:r w:rsidR="009B622D">
        <w:rPr>
          <w:rFonts w:ascii="Gill Sans" w:hAnsi="Gill Sans" w:cs="Gill Sans"/>
          <w:noProof/>
          <w:sz w:val="22"/>
          <w:szCs w:val="22"/>
          <w:lang w:val="en-GB"/>
        </w:rPr>
        <w:t>s have been</w:t>
      </w:r>
      <w:r w:rsidRPr="00B35DC1">
        <w:rPr>
          <w:rFonts w:ascii="Gill Sans" w:hAnsi="Gill Sans" w:cs="Gill Sans"/>
          <w:noProof/>
          <w:sz w:val="22"/>
          <w:szCs w:val="22"/>
          <w:lang w:val="en-GB"/>
        </w:rPr>
        <w:t xml:space="preserve"> taken by </w:t>
      </w:r>
      <w:r w:rsidR="0008409D">
        <w:rPr>
          <w:rFonts w:ascii="Gill Sans" w:hAnsi="Gill Sans" w:cs="Gill Sans"/>
          <w:noProof/>
          <w:sz w:val="22"/>
          <w:szCs w:val="22"/>
          <w:lang w:val="en-GB"/>
        </w:rPr>
        <w:t>ministries</w:t>
      </w:r>
      <w:r w:rsidR="0008409D" w:rsidRPr="00B35DC1">
        <w:rPr>
          <w:rFonts w:ascii="Gill Sans" w:hAnsi="Gill Sans" w:cs="Gill Sans"/>
          <w:noProof/>
          <w:sz w:val="22"/>
          <w:szCs w:val="22"/>
          <w:lang w:val="en-GB"/>
        </w:rPr>
        <w:t xml:space="preserve"> </w:t>
      </w:r>
      <w:r w:rsidRPr="00B35DC1">
        <w:rPr>
          <w:rFonts w:ascii="Gill Sans" w:hAnsi="Gill Sans" w:cs="Gill Sans"/>
          <w:noProof/>
          <w:sz w:val="22"/>
          <w:szCs w:val="22"/>
          <w:lang w:val="en-GB"/>
        </w:rPr>
        <w:t xml:space="preserve">and agencies to implement the </w:t>
      </w:r>
      <w:r w:rsidR="003419BE">
        <w:rPr>
          <w:rFonts w:ascii="Gill Sans" w:hAnsi="Gill Sans" w:cs="Gill Sans"/>
          <w:noProof/>
          <w:sz w:val="22"/>
          <w:szCs w:val="22"/>
          <w:lang w:val="en-GB"/>
        </w:rPr>
        <w:t>adopted program</w:t>
      </w:r>
      <w:r w:rsidR="009B622D">
        <w:rPr>
          <w:rFonts w:ascii="Gill Sans" w:hAnsi="Gill Sans" w:cs="Gill Sans"/>
          <w:noProof/>
          <w:sz w:val="22"/>
          <w:szCs w:val="22"/>
          <w:lang w:val="en-GB"/>
        </w:rPr>
        <w:t>me</w:t>
      </w:r>
      <w:r w:rsidR="003419BE">
        <w:rPr>
          <w:rFonts w:ascii="Gill Sans" w:hAnsi="Gill Sans" w:cs="Gill Sans"/>
          <w:noProof/>
          <w:sz w:val="22"/>
          <w:szCs w:val="22"/>
          <w:lang w:val="en-GB"/>
        </w:rPr>
        <w:t>s. T</w:t>
      </w:r>
      <w:r w:rsidR="00385828">
        <w:rPr>
          <w:rFonts w:ascii="Gill Sans" w:hAnsi="Gill Sans" w:cs="Gill Sans"/>
          <w:noProof/>
          <w:sz w:val="22"/>
          <w:szCs w:val="22"/>
          <w:lang w:val="en-GB"/>
        </w:rPr>
        <w:t>here</w:t>
      </w:r>
      <w:r w:rsidR="00A41060">
        <w:rPr>
          <w:rFonts w:ascii="Gill Sans" w:hAnsi="Gill Sans" w:cs="Gill Sans"/>
          <w:noProof/>
          <w:sz w:val="22"/>
          <w:szCs w:val="22"/>
          <w:lang w:val="en-GB"/>
        </w:rPr>
        <w:t xml:space="preserve"> has been no </w:t>
      </w:r>
      <w:r w:rsidR="00385828">
        <w:rPr>
          <w:rFonts w:ascii="Gill Sans" w:hAnsi="Gill Sans" w:cs="Gill Sans"/>
          <w:noProof/>
          <w:sz w:val="22"/>
          <w:szCs w:val="22"/>
          <w:lang w:val="en-GB"/>
        </w:rPr>
        <w:t xml:space="preserve">change </w:t>
      </w:r>
      <w:r w:rsidR="003419BE">
        <w:rPr>
          <w:rFonts w:ascii="Gill Sans" w:hAnsi="Gill Sans" w:cs="Gill Sans"/>
          <w:noProof/>
          <w:sz w:val="22"/>
          <w:szCs w:val="22"/>
          <w:lang w:val="en-GB"/>
        </w:rPr>
        <w:t xml:space="preserve">in practice </w:t>
      </w:r>
      <w:r w:rsidR="00385828">
        <w:rPr>
          <w:rFonts w:ascii="Gill Sans" w:hAnsi="Gill Sans" w:cs="Gill Sans"/>
          <w:noProof/>
          <w:sz w:val="22"/>
          <w:szCs w:val="22"/>
          <w:lang w:val="en-GB"/>
        </w:rPr>
        <w:t xml:space="preserve">resulting from the commitment </w:t>
      </w:r>
      <w:r w:rsidRPr="00B35DC1">
        <w:rPr>
          <w:rFonts w:ascii="Gill Sans" w:hAnsi="Gill Sans" w:cs="Gill Sans"/>
          <w:noProof/>
          <w:sz w:val="22"/>
          <w:szCs w:val="22"/>
          <w:lang w:val="en-GB"/>
        </w:rPr>
        <w:t>.</w:t>
      </w:r>
    </w:p>
    <w:p w14:paraId="0AEA3E5C" w14:textId="77777777" w:rsidR="00A75F1D" w:rsidRPr="0073097B" w:rsidRDefault="00A75F1D" w:rsidP="006319F4">
      <w:pPr>
        <w:pStyle w:val="Heading3"/>
      </w:pPr>
      <w:r w:rsidRPr="0073097B">
        <w:t>Carried forward?</w:t>
      </w:r>
    </w:p>
    <w:p w14:paraId="576711EE" w14:textId="1484AD66" w:rsidR="00A75F1D" w:rsidRDefault="00A75F1D" w:rsidP="00A75F1D">
      <w:pPr>
        <w:spacing w:after="120"/>
        <w:rPr>
          <w:rFonts w:ascii="Gill Sans" w:hAnsi="Gill Sans" w:cs="Gill Sans"/>
          <w:sz w:val="22"/>
          <w:szCs w:val="22"/>
        </w:rPr>
      </w:pPr>
      <w:r w:rsidRPr="006A4117">
        <w:rPr>
          <w:rFonts w:ascii="Gill Sans" w:hAnsi="Gill Sans" w:cs="Gill Sans"/>
          <w:sz w:val="22"/>
          <w:szCs w:val="22"/>
        </w:rPr>
        <w:t>Th</w:t>
      </w:r>
      <w:r w:rsidR="009B622D">
        <w:rPr>
          <w:rFonts w:ascii="Gill Sans" w:hAnsi="Gill Sans" w:cs="Gill Sans"/>
          <w:sz w:val="22"/>
          <w:szCs w:val="22"/>
        </w:rPr>
        <w:t>is</w:t>
      </w:r>
      <w:r w:rsidRPr="006A4117">
        <w:rPr>
          <w:rFonts w:ascii="Gill Sans" w:hAnsi="Gill Sans" w:cs="Gill Sans"/>
          <w:sz w:val="22"/>
          <w:szCs w:val="22"/>
        </w:rPr>
        <w:t xml:space="preserve"> commitment was not carried over to the new action plan. </w:t>
      </w:r>
    </w:p>
    <w:p w14:paraId="1092495D" w14:textId="77777777" w:rsidR="00C500B6" w:rsidRDefault="00C500B6" w:rsidP="00A75F1D">
      <w:pPr>
        <w:spacing w:after="120"/>
        <w:rPr>
          <w:rFonts w:ascii="Gill Sans" w:hAnsi="Gill Sans" w:cs="Gill Sans"/>
          <w:noProof/>
          <w:sz w:val="22"/>
          <w:szCs w:val="22"/>
          <w:lang w:val="en-GB"/>
        </w:rPr>
        <w:sectPr w:rsidR="00C500B6" w:rsidSect="002A2966">
          <w:endnotePr>
            <w:numFmt w:val="decimal"/>
            <w:numRestart w:val="eachSect"/>
          </w:endnotePr>
          <w:pgSz w:w="11907" w:h="16839" w:code="9"/>
          <w:pgMar w:top="1417" w:right="1417" w:bottom="1417" w:left="1417" w:header="0" w:footer="0" w:gutter="0"/>
          <w:cols w:space="708"/>
          <w:docGrid w:linePitch="360"/>
        </w:sectPr>
      </w:pPr>
    </w:p>
    <w:p w14:paraId="51004CCE" w14:textId="1140696E" w:rsidR="001B5498" w:rsidRPr="00475D8F" w:rsidRDefault="001B5498" w:rsidP="001B5498">
      <w:pPr>
        <w:pStyle w:val="Normalrglronly"/>
        <w:rPr>
          <w:b/>
          <w:lang w:val="en-GB"/>
        </w:rPr>
      </w:pPr>
      <w:r>
        <w:rPr>
          <w:b/>
          <w:lang w:val="en-GB"/>
        </w:rPr>
        <w:lastRenderedPageBreak/>
        <w:t>11</w:t>
      </w:r>
      <w:r w:rsidRPr="00475D8F">
        <w:rPr>
          <w:b/>
          <w:lang w:val="en-GB"/>
        </w:rPr>
        <w:t xml:space="preserve">. </w:t>
      </w:r>
      <w:r w:rsidRPr="001B5498">
        <w:rPr>
          <w:b/>
          <w:lang w:val="en-GB"/>
        </w:rPr>
        <w:t>Corruption risk assessment methodology</w:t>
      </w:r>
    </w:p>
    <w:p w14:paraId="21C15613" w14:textId="42E168A2" w:rsidR="001B5498" w:rsidRPr="001B5498" w:rsidRDefault="009B622D" w:rsidP="001B5498">
      <w:pPr>
        <w:spacing w:after="120"/>
        <w:rPr>
          <w:rFonts w:ascii="Gill Sans" w:hAnsi="Gill Sans" w:cs="Gill Sans"/>
          <w:i/>
          <w:noProof/>
          <w:sz w:val="22"/>
          <w:szCs w:val="22"/>
          <w:lang w:val="en-GB"/>
        </w:rPr>
      </w:pPr>
      <w:r w:rsidRPr="0016308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1B5498" w:rsidRPr="001B5498">
        <w:rPr>
          <w:rFonts w:ascii="Gill Sans" w:hAnsi="Gill Sans" w:cs="Gill Sans"/>
          <w:i/>
          <w:noProof/>
          <w:sz w:val="22"/>
          <w:szCs w:val="22"/>
          <w:lang w:val="en-GB"/>
        </w:rPr>
        <w:t>11. Developing, with the involvement of members of the public, methodological recommendations on identification of corruption risks in Ministry of Justice officials’ work and of ways to counteract them</w:t>
      </w:r>
      <w:r>
        <w:rPr>
          <w:rFonts w:ascii="Gill Sans" w:hAnsi="Gill Sans" w:cs="Gill Sans"/>
          <w:i/>
          <w:noProof/>
          <w:sz w:val="22"/>
          <w:szCs w:val="22"/>
          <w:lang w:val="en-GB"/>
        </w:rPr>
        <w:t>.</w:t>
      </w:r>
    </w:p>
    <w:p w14:paraId="110FE5F4" w14:textId="5C77DA9A" w:rsidR="001B5498" w:rsidRPr="001B5498" w:rsidRDefault="001B5498" w:rsidP="001B5498">
      <w:pPr>
        <w:spacing w:after="120"/>
        <w:rPr>
          <w:rFonts w:ascii="Gill Sans" w:hAnsi="Gill Sans" w:cs="Gill Sans"/>
          <w:i/>
          <w:noProof/>
          <w:sz w:val="22"/>
          <w:szCs w:val="22"/>
          <w:lang w:val="en-GB"/>
        </w:rPr>
      </w:pPr>
      <w:r w:rsidRPr="001B5498">
        <w:rPr>
          <w:rFonts w:ascii="Gill Sans" w:hAnsi="Gill Sans" w:cs="Gill Sans"/>
          <w:i/>
          <w:noProof/>
          <w:sz w:val="22"/>
          <w:szCs w:val="22"/>
          <w:lang w:val="en-GB"/>
        </w:rPr>
        <w:t xml:space="preserve">Expected result: </w:t>
      </w:r>
      <w:r w:rsidRPr="001B5498">
        <w:rPr>
          <w:rFonts w:ascii="Gill Sans" w:hAnsi="Gill Sans" w:cs="Gill Sans"/>
          <w:i/>
          <w:sz w:val="22"/>
          <w:szCs w:val="22"/>
          <w:lang w:val="en-GB"/>
        </w:rPr>
        <w:t xml:space="preserve">methodological recommendations on identification of corruption risks in </w:t>
      </w:r>
      <w:r w:rsidR="004C3DA6">
        <w:rPr>
          <w:rFonts w:ascii="Gill Sans" w:hAnsi="Gill Sans" w:cs="Gill Sans"/>
          <w:i/>
          <w:sz w:val="22"/>
          <w:szCs w:val="22"/>
          <w:lang w:val="en-GB"/>
        </w:rPr>
        <w:t>justice</w:t>
      </w:r>
      <w:r w:rsidRPr="001B5498">
        <w:rPr>
          <w:rFonts w:ascii="Gill Sans" w:hAnsi="Gill Sans" w:cs="Gill Sans"/>
          <w:i/>
          <w:sz w:val="22"/>
          <w:szCs w:val="22"/>
          <w:lang w:val="en-GB"/>
        </w:rPr>
        <w:t xml:space="preserve"> officials’ work approved by the Ministry of Justice</w:t>
      </w:r>
      <w:r w:rsidR="009B622D">
        <w:rPr>
          <w:rFonts w:ascii="Gill Sans" w:hAnsi="Gill Sans" w:cs="Gill Sans"/>
          <w:i/>
          <w:sz w:val="22"/>
          <w:szCs w:val="22"/>
          <w:lang w:val="en-GB"/>
        </w:rPr>
        <w:t>.</w:t>
      </w:r>
    </w:p>
    <w:p w14:paraId="29F58D52" w14:textId="7D0A3848" w:rsidR="001B5498" w:rsidRPr="001B5498" w:rsidRDefault="001B5498" w:rsidP="001B5498">
      <w:pPr>
        <w:spacing w:after="120"/>
        <w:rPr>
          <w:rFonts w:ascii="Gill Sans" w:hAnsi="Gill Sans" w:cs="Gill Sans"/>
          <w:noProof/>
          <w:sz w:val="22"/>
          <w:szCs w:val="22"/>
          <w:lang w:val="en-GB"/>
        </w:rPr>
      </w:pPr>
      <w:r w:rsidRPr="001B5498">
        <w:rPr>
          <w:rFonts w:ascii="Gill Sans" w:hAnsi="Gill Sans" w:cs="Gill Sans"/>
          <w:noProof/>
          <w:sz w:val="22"/>
          <w:szCs w:val="22"/>
          <w:lang w:val="en-GB"/>
        </w:rPr>
        <w:t>Lead institution</w:t>
      </w:r>
      <w:r w:rsidR="009B622D">
        <w:rPr>
          <w:rFonts w:ascii="Gill Sans" w:hAnsi="Gill Sans" w:cs="Gill Sans"/>
          <w:noProof/>
          <w:sz w:val="22"/>
          <w:szCs w:val="22"/>
          <w:lang w:val="en-GB"/>
        </w:rPr>
        <w:t>(s)</w:t>
      </w:r>
      <w:r w:rsidRPr="001B5498">
        <w:rPr>
          <w:rFonts w:ascii="Gill Sans" w:hAnsi="Gill Sans" w:cs="Gill Sans"/>
          <w:noProof/>
          <w:sz w:val="22"/>
          <w:szCs w:val="22"/>
          <w:lang w:val="en-GB"/>
        </w:rPr>
        <w:t xml:space="preserve">: Ministry of Justice </w:t>
      </w:r>
    </w:p>
    <w:p w14:paraId="055D34B5" w14:textId="0932BCC1" w:rsidR="009B622D" w:rsidRPr="001B5498" w:rsidRDefault="001B5498" w:rsidP="009B622D">
      <w:pPr>
        <w:spacing w:after="120"/>
        <w:rPr>
          <w:rFonts w:ascii="Gill Sans" w:hAnsi="Gill Sans" w:cs="Gill Sans"/>
          <w:noProof/>
          <w:sz w:val="22"/>
          <w:szCs w:val="22"/>
          <w:lang w:val="en-GB"/>
        </w:rPr>
      </w:pPr>
      <w:r w:rsidRPr="001B5498">
        <w:rPr>
          <w:rFonts w:ascii="Gill Sans" w:hAnsi="Gill Sans" w:cs="Gill Sans"/>
          <w:noProof/>
          <w:sz w:val="22"/>
          <w:szCs w:val="22"/>
          <w:lang w:val="en-GB"/>
        </w:rPr>
        <w:t>Supporting institution</w:t>
      </w:r>
      <w:r w:rsidR="009B622D">
        <w:rPr>
          <w:rFonts w:ascii="Gill Sans" w:hAnsi="Gill Sans" w:cs="Gill Sans"/>
          <w:noProof/>
          <w:sz w:val="22"/>
          <w:szCs w:val="22"/>
          <w:lang w:val="en-GB"/>
        </w:rPr>
        <w:t>(</w:t>
      </w:r>
      <w:r w:rsidRPr="001B5498">
        <w:rPr>
          <w:rFonts w:ascii="Gill Sans" w:hAnsi="Gill Sans" w:cs="Gill Sans"/>
          <w:noProof/>
          <w:sz w:val="22"/>
          <w:szCs w:val="22"/>
          <w:lang w:val="en-GB"/>
        </w:rPr>
        <w:t>s</w:t>
      </w:r>
      <w:r w:rsidR="009B622D">
        <w:rPr>
          <w:rFonts w:ascii="Gill Sans" w:hAnsi="Gill Sans" w:cs="Gill Sans"/>
          <w:noProof/>
          <w:sz w:val="22"/>
          <w:szCs w:val="22"/>
          <w:lang w:val="en-GB"/>
        </w:rPr>
        <w:t>)</w:t>
      </w:r>
      <w:r w:rsidRPr="001B5498">
        <w:rPr>
          <w:rFonts w:ascii="Gill Sans" w:hAnsi="Gill Sans" w:cs="Gill Sans"/>
          <w:noProof/>
          <w:sz w:val="22"/>
          <w:szCs w:val="22"/>
          <w:lang w:val="en-GB"/>
        </w:rPr>
        <w:t>: NGO Transparency International Ukraine, International Renaissance Foundation, NGO All-Ukrainian Special College on Combating Corruption, other unspecified NGOs and international organisations</w:t>
      </w:r>
    </w:p>
    <w:p w14:paraId="1A36CB64" w14:textId="03FFC724" w:rsidR="001B5498" w:rsidRPr="000B2CCA" w:rsidRDefault="001B5498" w:rsidP="009B622D">
      <w:pPr>
        <w:spacing w:after="120"/>
        <w:rPr>
          <w:rFonts w:ascii="Gill Sans" w:hAnsi="Gill Sans" w:cs="Gill Sans"/>
          <w:noProof/>
          <w:sz w:val="22"/>
          <w:szCs w:val="22"/>
          <w:lang w:val="en-GB"/>
        </w:rPr>
      </w:pPr>
      <w:r w:rsidRPr="001B5498">
        <w:rPr>
          <w:rFonts w:ascii="Gill Sans" w:hAnsi="Gill Sans" w:cs="Gill Sans"/>
          <w:noProof/>
          <w:sz w:val="22"/>
          <w:szCs w:val="22"/>
          <w:lang w:val="en-GB"/>
        </w:rPr>
        <w:t xml:space="preserve">Start </w:t>
      </w:r>
      <w:r w:rsidR="009B622D">
        <w:rPr>
          <w:rFonts w:ascii="Gill Sans" w:hAnsi="Gill Sans" w:cs="Gill Sans"/>
          <w:noProof/>
          <w:sz w:val="22"/>
          <w:szCs w:val="22"/>
          <w:lang w:val="en-GB"/>
        </w:rPr>
        <w:t>D</w:t>
      </w:r>
      <w:r w:rsidRPr="001B5498">
        <w:rPr>
          <w:rFonts w:ascii="Gill Sans" w:hAnsi="Gill Sans" w:cs="Gill Sans"/>
          <w:noProof/>
          <w:sz w:val="22"/>
          <w:szCs w:val="22"/>
          <w:lang w:val="en-GB"/>
        </w:rPr>
        <w:t xml:space="preserve">ate: Not specified </w:t>
      </w:r>
      <w:r w:rsidRPr="001B5498">
        <w:rPr>
          <w:rFonts w:ascii="Gill Sans" w:hAnsi="Gill Sans" w:cs="Gill Sans"/>
          <w:noProof/>
          <w:sz w:val="22"/>
          <w:szCs w:val="22"/>
          <w:lang w:val="en-GB"/>
        </w:rPr>
        <w:tab/>
      </w:r>
      <w:r w:rsidRPr="001B5498">
        <w:rPr>
          <w:rFonts w:ascii="Gill Sans" w:hAnsi="Gill Sans" w:cs="Gill Sans"/>
          <w:noProof/>
          <w:sz w:val="22"/>
          <w:szCs w:val="22"/>
          <w:lang w:val="en-GB"/>
        </w:rPr>
        <w:tab/>
      </w:r>
      <w:r w:rsidRPr="001B5498">
        <w:rPr>
          <w:rFonts w:ascii="Gill Sans" w:hAnsi="Gill Sans" w:cs="Gill Sans"/>
          <w:noProof/>
          <w:sz w:val="22"/>
          <w:szCs w:val="22"/>
          <w:lang w:val="en-GB"/>
        </w:rPr>
        <w:tab/>
      </w:r>
      <w:r w:rsidR="0020660D">
        <w:rPr>
          <w:rFonts w:ascii="Gill Sans" w:hAnsi="Gill Sans" w:cs="Gill Sans"/>
          <w:noProof/>
          <w:sz w:val="22"/>
          <w:szCs w:val="22"/>
          <w:lang w:val="en-GB"/>
        </w:rPr>
        <w:tab/>
      </w:r>
      <w:r w:rsidR="0020660D">
        <w:rPr>
          <w:rFonts w:ascii="Gill Sans" w:hAnsi="Gill Sans" w:cs="Gill Sans"/>
          <w:noProof/>
          <w:sz w:val="22"/>
          <w:szCs w:val="22"/>
          <w:lang w:val="en-GB"/>
        </w:rPr>
        <w:tab/>
      </w:r>
      <w:r w:rsidRPr="001B5498">
        <w:rPr>
          <w:rFonts w:ascii="Gill Sans" w:hAnsi="Gill Sans" w:cs="Gill Sans"/>
          <w:noProof/>
          <w:sz w:val="22"/>
          <w:szCs w:val="22"/>
          <w:lang w:val="en-GB"/>
        </w:rPr>
        <w:t xml:space="preserve">End </w:t>
      </w:r>
      <w:r w:rsidR="009B622D">
        <w:rPr>
          <w:rFonts w:ascii="Gill Sans" w:hAnsi="Gill Sans" w:cs="Gill Sans"/>
          <w:noProof/>
          <w:sz w:val="22"/>
          <w:szCs w:val="22"/>
          <w:lang w:val="en-GB"/>
        </w:rPr>
        <w:t>D</w:t>
      </w:r>
      <w:r w:rsidRPr="001B5498">
        <w:rPr>
          <w:rFonts w:ascii="Gill Sans" w:hAnsi="Gill Sans" w:cs="Gill Sans"/>
          <w:noProof/>
          <w:sz w:val="22"/>
          <w:szCs w:val="22"/>
          <w:lang w:val="en-GB"/>
        </w:rPr>
        <w:t>ate: 31 March 2015</w:t>
      </w:r>
    </w:p>
    <w:tbl>
      <w:tblPr>
        <w:tblW w:w="1008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509"/>
        <w:gridCol w:w="403"/>
        <w:gridCol w:w="347"/>
        <w:gridCol w:w="348"/>
        <w:gridCol w:w="372"/>
        <w:gridCol w:w="371"/>
        <w:gridCol w:w="372"/>
        <w:gridCol w:w="759"/>
        <w:gridCol w:w="426"/>
        <w:gridCol w:w="346"/>
        <w:gridCol w:w="426"/>
        <w:gridCol w:w="346"/>
        <w:gridCol w:w="513"/>
        <w:gridCol w:w="426"/>
        <w:gridCol w:w="426"/>
        <w:gridCol w:w="505"/>
        <w:gridCol w:w="346"/>
        <w:gridCol w:w="346"/>
        <w:gridCol w:w="426"/>
        <w:gridCol w:w="346"/>
        <w:gridCol w:w="346"/>
      </w:tblGrid>
      <w:tr w:rsidR="0020660D" w:rsidRPr="009651AC" w14:paraId="0EF023D9" w14:textId="77777777" w:rsidTr="00B017F8">
        <w:trPr>
          <w:trHeight w:val="405"/>
        </w:trPr>
        <w:tc>
          <w:tcPr>
            <w:tcW w:w="1522" w:type="dxa"/>
            <w:vMerge w:val="restart"/>
            <w:tcBorders>
              <w:top w:val="single" w:sz="18" w:space="0" w:color="FFFFFF"/>
              <w:left w:val="single" w:sz="4" w:space="0" w:color="FFFFFF"/>
              <w:right w:val="single" w:sz="18" w:space="0" w:color="FFFFFF"/>
            </w:tcBorders>
            <w:shd w:val="clear" w:color="auto" w:fill="000000"/>
          </w:tcPr>
          <w:p w14:paraId="2755CD09" w14:textId="77777777" w:rsidR="0020660D" w:rsidRPr="009651AC" w:rsidRDefault="0020660D" w:rsidP="0020660D">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4325770C" w14:textId="03B9A51C" w:rsidR="0020660D" w:rsidRPr="009651AC" w:rsidRDefault="0020660D" w:rsidP="0020660D">
            <w:pPr>
              <w:rPr>
                <w:rFonts w:ascii="Gill Sans" w:hAnsi="Gill Sans" w:cs="Gill Sans"/>
                <w:color w:val="FFFFFF" w:themeColor="background1"/>
                <w:sz w:val="22"/>
                <w:szCs w:val="22"/>
                <w:lang w:val="en-GB"/>
              </w:rPr>
            </w:pPr>
          </w:p>
        </w:tc>
        <w:tc>
          <w:tcPr>
            <w:tcW w:w="1695" w:type="dxa"/>
            <w:gridSpan w:val="4"/>
            <w:vMerge w:val="restart"/>
            <w:tcBorders>
              <w:top w:val="single" w:sz="18" w:space="0" w:color="FFFFFF"/>
              <w:left w:val="single" w:sz="18" w:space="0" w:color="FFFFFF"/>
              <w:right w:val="single" w:sz="18" w:space="0" w:color="FFFFFF"/>
            </w:tcBorders>
            <w:shd w:val="clear" w:color="auto" w:fill="D6E3BC"/>
          </w:tcPr>
          <w:p w14:paraId="0F54D849"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Specificity</w:t>
            </w:r>
          </w:p>
        </w:tc>
        <w:tc>
          <w:tcPr>
            <w:tcW w:w="1992" w:type="dxa"/>
            <w:gridSpan w:val="4"/>
            <w:vMerge w:val="restart"/>
            <w:tcBorders>
              <w:top w:val="single" w:sz="18" w:space="0" w:color="FFFFFF"/>
              <w:left w:val="single" w:sz="18" w:space="0" w:color="FFFFFF"/>
              <w:right w:val="single" w:sz="18" w:space="0" w:color="FFFFFF"/>
            </w:tcBorders>
            <w:shd w:val="clear" w:color="auto" w:fill="FBD4B4"/>
          </w:tcPr>
          <w:p w14:paraId="44FA2297" w14:textId="24B9FD80"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620" w:type="dxa"/>
            <w:gridSpan w:val="4"/>
            <w:vMerge w:val="restart"/>
            <w:tcBorders>
              <w:top w:val="single" w:sz="18" w:space="0" w:color="FFFFFF"/>
              <w:left w:val="single" w:sz="18" w:space="0" w:color="FFFFFF"/>
              <w:right w:val="single" w:sz="18" w:space="0" w:color="FFFFFF"/>
            </w:tcBorders>
            <w:shd w:val="clear" w:color="auto" w:fill="CCC0D9"/>
          </w:tcPr>
          <w:p w14:paraId="4B0DCBED"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998" w:type="dxa"/>
            <w:gridSpan w:val="2"/>
            <w:vMerge w:val="restart"/>
            <w:tcBorders>
              <w:top w:val="single" w:sz="18" w:space="0" w:color="FFFFFF"/>
              <w:left w:val="single" w:sz="18" w:space="0" w:color="FFFFFF"/>
              <w:right w:val="single" w:sz="2" w:space="0" w:color="FFFFFF"/>
            </w:tcBorders>
            <w:shd w:val="clear" w:color="auto" w:fill="B8CCE4"/>
          </w:tcPr>
          <w:p w14:paraId="6B553177" w14:textId="26CA0F18" w:rsidR="0020660D" w:rsidRPr="009651AC" w:rsidRDefault="0020660D" w:rsidP="0020660D">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90"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3E57916D"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Midterm</w:t>
            </w:r>
          </w:p>
        </w:tc>
        <w:tc>
          <w:tcPr>
            <w:tcW w:w="1890" w:type="dxa"/>
            <w:gridSpan w:val="5"/>
            <w:vMerge w:val="restart"/>
            <w:tcBorders>
              <w:top w:val="single" w:sz="18" w:space="0" w:color="FFFFFF"/>
              <w:left w:val="single" w:sz="18" w:space="0" w:color="FFFFFF"/>
              <w:right w:val="single" w:sz="18" w:space="0" w:color="FFFFFF"/>
            </w:tcBorders>
            <w:shd w:val="clear" w:color="auto" w:fill="D99594"/>
          </w:tcPr>
          <w:p w14:paraId="4072CB5A" w14:textId="1F72ABA4"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20660D" w:rsidRPr="009651AC" w14:paraId="26245AF9" w14:textId="77777777" w:rsidTr="00B017F8">
        <w:trPr>
          <w:trHeight w:val="373"/>
        </w:trPr>
        <w:tc>
          <w:tcPr>
            <w:tcW w:w="1522" w:type="dxa"/>
            <w:vMerge/>
            <w:tcBorders>
              <w:left w:val="single" w:sz="4" w:space="0" w:color="FFFFFF"/>
              <w:right w:val="single" w:sz="18" w:space="0" w:color="FFFFFF"/>
            </w:tcBorders>
            <w:shd w:val="clear" w:color="auto" w:fill="000000"/>
          </w:tcPr>
          <w:p w14:paraId="2D9C01BE" w14:textId="7CE99067" w:rsidR="0020660D" w:rsidRPr="009651AC" w:rsidRDefault="0020660D" w:rsidP="0020660D">
            <w:pPr>
              <w:rPr>
                <w:rFonts w:ascii="Gill Sans" w:hAnsi="Gill Sans" w:cs="Gill Sans"/>
                <w:color w:val="FFFFFF" w:themeColor="background1"/>
                <w:sz w:val="22"/>
                <w:szCs w:val="22"/>
                <w:lang w:val="en-GB"/>
              </w:rPr>
            </w:pPr>
          </w:p>
        </w:tc>
        <w:tc>
          <w:tcPr>
            <w:tcW w:w="1695" w:type="dxa"/>
            <w:gridSpan w:val="4"/>
            <w:vMerge/>
            <w:tcBorders>
              <w:left w:val="single" w:sz="18" w:space="0" w:color="FFFFFF"/>
              <w:bottom w:val="single" w:sz="18" w:space="0" w:color="FFFFFF"/>
              <w:right w:val="single" w:sz="18" w:space="0" w:color="FFFFFF"/>
            </w:tcBorders>
            <w:shd w:val="clear" w:color="auto" w:fill="D6E3BC"/>
          </w:tcPr>
          <w:p w14:paraId="54FB9B8E" w14:textId="77777777" w:rsidR="0020660D" w:rsidRPr="009651AC" w:rsidRDefault="0020660D" w:rsidP="0020660D">
            <w:pPr>
              <w:rPr>
                <w:rFonts w:ascii="Gill Sans" w:hAnsi="Gill Sans" w:cs="Gill Sans"/>
                <w:sz w:val="22"/>
                <w:szCs w:val="22"/>
                <w:lang w:val="en-GB"/>
              </w:rPr>
            </w:pPr>
          </w:p>
        </w:tc>
        <w:tc>
          <w:tcPr>
            <w:tcW w:w="1992" w:type="dxa"/>
            <w:gridSpan w:val="4"/>
            <w:vMerge/>
            <w:tcBorders>
              <w:left w:val="single" w:sz="18" w:space="0" w:color="FFFFFF"/>
              <w:bottom w:val="single" w:sz="18" w:space="0" w:color="FFFFFF"/>
              <w:right w:val="single" w:sz="18" w:space="0" w:color="FFFFFF"/>
            </w:tcBorders>
            <w:shd w:val="clear" w:color="auto" w:fill="FBD4B4"/>
          </w:tcPr>
          <w:p w14:paraId="538B8601" w14:textId="77777777" w:rsidR="0020660D" w:rsidRPr="009651AC" w:rsidRDefault="0020660D" w:rsidP="0020660D">
            <w:pPr>
              <w:rPr>
                <w:rFonts w:ascii="Gill Sans" w:hAnsi="Gill Sans" w:cs="Gill Sans"/>
                <w:sz w:val="22"/>
                <w:szCs w:val="22"/>
                <w:lang w:val="en-GB"/>
              </w:rPr>
            </w:pPr>
          </w:p>
        </w:tc>
        <w:tc>
          <w:tcPr>
            <w:tcW w:w="1620" w:type="dxa"/>
            <w:gridSpan w:val="4"/>
            <w:vMerge/>
            <w:tcBorders>
              <w:left w:val="single" w:sz="18" w:space="0" w:color="FFFFFF"/>
              <w:bottom w:val="single" w:sz="18" w:space="0" w:color="FFFFFF"/>
              <w:right w:val="single" w:sz="18" w:space="0" w:color="FFFFFF"/>
            </w:tcBorders>
            <w:shd w:val="clear" w:color="auto" w:fill="CCC0D9"/>
          </w:tcPr>
          <w:p w14:paraId="2AA0B206" w14:textId="77777777" w:rsidR="0020660D" w:rsidRPr="009651AC" w:rsidRDefault="0020660D" w:rsidP="0020660D">
            <w:pPr>
              <w:rPr>
                <w:rFonts w:ascii="Gill Sans" w:hAnsi="Gill Sans" w:cs="Gill Sans"/>
                <w:sz w:val="22"/>
                <w:szCs w:val="22"/>
                <w:lang w:val="en-GB"/>
              </w:rPr>
            </w:pPr>
          </w:p>
        </w:tc>
        <w:tc>
          <w:tcPr>
            <w:tcW w:w="998" w:type="dxa"/>
            <w:gridSpan w:val="2"/>
            <w:vMerge/>
            <w:tcBorders>
              <w:left w:val="single" w:sz="18" w:space="0" w:color="FFFFFF"/>
              <w:bottom w:val="single" w:sz="18" w:space="0" w:color="FFFFFF"/>
              <w:right w:val="single" w:sz="2" w:space="0" w:color="FFFFFF"/>
            </w:tcBorders>
            <w:shd w:val="clear" w:color="auto" w:fill="B8CCE4"/>
          </w:tcPr>
          <w:p w14:paraId="71DA6BF7" w14:textId="77777777" w:rsidR="0020660D" w:rsidRPr="009651AC" w:rsidRDefault="0020660D" w:rsidP="0020660D">
            <w:pPr>
              <w:rPr>
                <w:rFonts w:ascii="Gill Sans" w:hAnsi="Gill Sans" w:cs="Gill Sans"/>
                <w:sz w:val="22"/>
                <w:szCs w:val="22"/>
                <w:lang w:val="en-GB"/>
              </w:rPr>
            </w:pPr>
          </w:p>
        </w:tc>
        <w:tc>
          <w:tcPr>
            <w:tcW w:w="990"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636CD020" w14:textId="0D2F840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1890" w:type="dxa"/>
            <w:gridSpan w:val="5"/>
            <w:vMerge/>
            <w:tcBorders>
              <w:left w:val="single" w:sz="18" w:space="0" w:color="FFFFFF"/>
              <w:bottom w:val="single" w:sz="18" w:space="0" w:color="FFFFFF"/>
              <w:right w:val="single" w:sz="18" w:space="0" w:color="FFFFFF"/>
            </w:tcBorders>
            <w:shd w:val="clear" w:color="auto" w:fill="D99594"/>
          </w:tcPr>
          <w:p w14:paraId="60793CF5" w14:textId="77777777" w:rsidR="0020660D" w:rsidRPr="009651AC" w:rsidRDefault="0020660D" w:rsidP="0020660D">
            <w:pPr>
              <w:rPr>
                <w:rFonts w:ascii="Gill Sans" w:hAnsi="Gill Sans" w:cs="Gill Sans"/>
                <w:sz w:val="22"/>
                <w:szCs w:val="22"/>
                <w:lang w:val="en-GB"/>
              </w:rPr>
            </w:pPr>
          </w:p>
        </w:tc>
      </w:tr>
      <w:tr w:rsidR="009B0529" w:rsidRPr="009651AC" w14:paraId="022682D5" w14:textId="77777777" w:rsidTr="00B017F8">
        <w:trPr>
          <w:cantSplit/>
          <w:trHeight w:val="2336"/>
        </w:trPr>
        <w:tc>
          <w:tcPr>
            <w:tcW w:w="1522" w:type="dxa"/>
            <w:vMerge/>
            <w:tcBorders>
              <w:left w:val="single" w:sz="4" w:space="0" w:color="FFFFFF"/>
              <w:right w:val="single" w:sz="18" w:space="0" w:color="FFFFFF"/>
            </w:tcBorders>
            <w:shd w:val="clear" w:color="auto" w:fill="000000"/>
          </w:tcPr>
          <w:p w14:paraId="5BC2BF5F" w14:textId="3333345E" w:rsidR="0020660D" w:rsidRPr="009651AC" w:rsidRDefault="0020660D" w:rsidP="0020660D">
            <w:pPr>
              <w:rPr>
                <w:rFonts w:ascii="Gill Sans" w:hAnsi="Gill Sans" w:cs="Gill Sans"/>
                <w:color w:val="FFFFFF" w:themeColor="background1"/>
                <w:sz w:val="22"/>
                <w:szCs w:val="22"/>
                <w:lang w:val="en-GB"/>
              </w:rPr>
            </w:pPr>
          </w:p>
        </w:tc>
        <w:tc>
          <w:tcPr>
            <w:tcW w:w="545"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59349333"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425"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50FFF6C0"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06A9FAD2"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42080050"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4800D57A"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630A900C"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2744F753"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826"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1BD0F243"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450"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39EAB647"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7C5F95A2"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79FC71DE"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64A941F7"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548"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4C54855C" w14:textId="72E8C506"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618CF216"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Limited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773023C2"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Substantial</w:t>
            </w:r>
          </w:p>
        </w:tc>
        <w:tc>
          <w:tcPr>
            <w:tcW w:w="540"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0CD8CDA7"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74564307" w14:textId="6F194958"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C5648B3" w14:textId="0C9C7B0F"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4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52FB6E6"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Marginal</w:t>
            </w:r>
          </w:p>
        </w:tc>
        <w:tc>
          <w:tcPr>
            <w:tcW w:w="36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2884E0E"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360"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122720EB"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Outstanding</w:t>
            </w:r>
          </w:p>
        </w:tc>
      </w:tr>
      <w:tr w:rsidR="009B0529" w:rsidRPr="009651AC" w14:paraId="08D7D0F0" w14:textId="77777777" w:rsidTr="00B017F8">
        <w:trPr>
          <w:trHeight w:val="340"/>
        </w:trPr>
        <w:tc>
          <w:tcPr>
            <w:tcW w:w="1522" w:type="dxa"/>
            <w:vMerge/>
            <w:tcBorders>
              <w:left w:val="single" w:sz="4" w:space="0" w:color="FFFFFF"/>
              <w:right w:val="single" w:sz="18" w:space="0" w:color="FFFFFF"/>
            </w:tcBorders>
            <w:shd w:val="clear" w:color="auto" w:fill="000000"/>
          </w:tcPr>
          <w:p w14:paraId="1A75E658" w14:textId="1F75C1B2" w:rsidR="0020660D" w:rsidRPr="009651AC" w:rsidRDefault="0020660D" w:rsidP="0020660D">
            <w:pPr>
              <w:rPr>
                <w:rFonts w:ascii="Gill Sans" w:hAnsi="Gill Sans" w:cs="Gill Sans"/>
                <w:noProof/>
                <w:color w:val="FFFFFF" w:themeColor="background1"/>
                <w:sz w:val="22"/>
                <w:szCs w:val="22"/>
                <w:lang w:val="en-GB"/>
              </w:rPr>
            </w:pPr>
          </w:p>
        </w:tc>
        <w:tc>
          <w:tcPr>
            <w:tcW w:w="545" w:type="dxa"/>
            <w:vMerge w:val="restart"/>
            <w:tcBorders>
              <w:top w:val="single" w:sz="18" w:space="0" w:color="FFFFFF"/>
              <w:left w:val="single" w:sz="18" w:space="0" w:color="FFFFFF"/>
              <w:right w:val="single" w:sz="2" w:space="0" w:color="FFFFFF"/>
            </w:tcBorders>
            <w:shd w:val="clear" w:color="auto" w:fill="D6E3BC"/>
          </w:tcPr>
          <w:p w14:paraId="381283F4" w14:textId="77777777" w:rsidR="0020660D" w:rsidRPr="009651AC" w:rsidRDefault="0020660D" w:rsidP="0020660D">
            <w:pPr>
              <w:rPr>
                <w:rFonts w:ascii="Gill Sans" w:hAnsi="Gill Sans" w:cs="Gill Sans"/>
                <w:sz w:val="22"/>
                <w:szCs w:val="22"/>
                <w:lang w:val="en-GB"/>
              </w:rPr>
            </w:pPr>
          </w:p>
        </w:tc>
        <w:tc>
          <w:tcPr>
            <w:tcW w:w="425" w:type="dxa"/>
            <w:vMerge w:val="restart"/>
            <w:tcBorders>
              <w:top w:val="single" w:sz="18" w:space="0" w:color="FFFFFF"/>
              <w:left w:val="single" w:sz="2" w:space="0" w:color="FFFFFF"/>
              <w:right w:val="single" w:sz="2" w:space="0" w:color="FFFFFF"/>
            </w:tcBorders>
            <w:shd w:val="clear" w:color="auto" w:fill="D6E3BC"/>
          </w:tcPr>
          <w:p w14:paraId="395D0B25" w14:textId="3ED13704" w:rsidR="0020660D" w:rsidRPr="009651AC" w:rsidRDefault="0020660D" w:rsidP="0020660D">
            <w:pPr>
              <w:rPr>
                <w:rFonts w:ascii="Gill Sans" w:hAnsi="Gill Sans" w:cs="Gill Sans"/>
                <w:sz w:val="22"/>
                <w:szCs w:val="22"/>
                <w:lang w:val="en-GB"/>
              </w:rPr>
            </w:pPr>
          </w:p>
        </w:tc>
        <w:tc>
          <w:tcPr>
            <w:tcW w:w="362" w:type="dxa"/>
            <w:vMerge w:val="restart"/>
            <w:tcBorders>
              <w:top w:val="single" w:sz="18" w:space="0" w:color="FFFFFF"/>
              <w:left w:val="single" w:sz="2" w:space="0" w:color="FFFFFF"/>
              <w:right w:val="single" w:sz="2" w:space="0" w:color="FFFFFF"/>
            </w:tcBorders>
            <w:shd w:val="clear" w:color="auto" w:fill="D6E3BC"/>
          </w:tcPr>
          <w:p w14:paraId="41816CAC" w14:textId="77777777" w:rsidR="0020660D" w:rsidRPr="00466E44" w:rsidRDefault="0020660D" w:rsidP="0020660D">
            <w:pPr>
              <w:rPr>
                <w:rFonts w:ascii="Zapf Dingbats" w:hAnsi="Zapf Dingbats" w:cs="Gill Sans"/>
                <w:sz w:val="22"/>
                <w:szCs w:val="22"/>
                <w:lang w:val="en-GB"/>
              </w:rPr>
            </w:pPr>
          </w:p>
        </w:tc>
        <w:tc>
          <w:tcPr>
            <w:tcW w:w="363" w:type="dxa"/>
            <w:vMerge w:val="restart"/>
            <w:tcBorders>
              <w:top w:val="single" w:sz="18" w:space="0" w:color="FFFFFF"/>
              <w:left w:val="single" w:sz="2" w:space="0" w:color="FFFFFF"/>
              <w:right w:val="single" w:sz="18" w:space="0" w:color="FFFFFF"/>
            </w:tcBorders>
            <w:shd w:val="clear" w:color="auto" w:fill="D6E3BC"/>
          </w:tcPr>
          <w:p w14:paraId="1D32E159" w14:textId="7B386FDD" w:rsidR="0020660D" w:rsidRPr="00466E44" w:rsidRDefault="0020660D" w:rsidP="0020660D">
            <w:pP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43FBC529" w14:textId="77777777" w:rsidR="0020660D" w:rsidRPr="00466E44" w:rsidRDefault="0020660D" w:rsidP="0020660D">
            <w:pPr>
              <w:rPr>
                <w:rFonts w:ascii="Zapf Dingbats" w:hAnsi="Zapf Dingbats" w:cs="Gill Sans"/>
                <w:sz w:val="22"/>
                <w:szCs w:val="22"/>
                <w:lang w:val="en-GB"/>
              </w:rPr>
            </w:pPr>
          </w:p>
        </w:tc>
        <w:tc>
          <w:tcPr>
            <w:tcW w:w="388" w:type="dxa"/>
            <w:vMerge w:val="restart"/>
            <w:tcBorders>
              <w:top w:val="single" w:sz="18" w:space="0" w:color="FFFFFF"/>
              <w:left w:val="single" w:sz="2" w:space="0" w:color="FFFFFF"/>
              <w:right w:val="single" w:sz="2" w:space="0" w:color="FFFFFF"/>
            </w:tcBorders>
            <w:shd w:val="clear" w:color="auto" w:fill="FBD4B4"/>
          </w:tcPr>
          <w:p w14:paraId="2CC787B8" w14:textId="77777777" w:rsidR="0020660D" w:rsidRPr="00466E44" w:rsidRDefault="0020660D" w:rsidP="0020660D">
            <w:pP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tcPr>
          <w:p w14:paraId="7DAE5ECE" w14:textId="77777777" w:rsidR="0020660D" w:rsidRPr="00466E44" w:rsidRDefault="0020660D" w:rsidP="0020660D">
            <w:pP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826" w:type="dxa"/>
            <w:vMerge w:val="restart"/>
            <w:tcBorders>
              <w:top w:val="single" w:sz="18" w:space="0" w:color="FFFFFF"/>
              <w:left w:val="single" w:sz="2" w:space="0" w:color="FFFFFF"/>
              <w:right w:val="single" w:sz="18" w:space="0" w:color="FFFFFF"/>
            </w:tcBorders>
            <w:shd w:val="clear" w:color="auto" w:fill="FBD4B4"/>
          </w:tcPr>
          <w:p w14:paraId="2577F12F" w14:textId="77777777" w:rsidR="0020660D" w:rsidRPr="00466E44" w:rsidRDefault="0020660D" w:rsidP="0020660D">
            <w:pPr>
              <w:rPr>
                <w:rFonts w:ascii="Zapf Dingbats" w:hAnsi="Zapf Dingbats" w:cs="Gill Sans"/>
                <w:sz w:val="22"/>
                <w:szCs w:val="22"/>
                <w:lang w:val="en-GB"/>
              </w:rPr>
            </w:pPr>
          </w:p>
        </w:tc>
        <w:tc>
          <w:tcPr>
            <w:tcW w:w="450" w:type="dxa"/>
            <w:vMerge w:val="restart"/>
            <w:tcBorders>
              <w:top w:val="single" w:sz="18" w:space="0" w:color="FFFFFF"/>
              <w:left w:val="single" w:sz="18" w:space="0" w:color="FFFFFF"/>
              <w:right w:val="single" w:sz="2" w:space="0" w:color="FFFFFF"/>
            </w:tcBorders>
            <w:shd w:val="clear" w:color="auto" w:fill="CCC0D9"/>
          </w:tcPr>
          <w:p w14:paraId="056C64BB" w14:textId="77777777" w:rsidR="0020660D" w:rsidRPr="00466E44" w:rsidRDefault="0020660D" w:rsidP="0020660D">
            <w:pPr>
              <w:rPr>
                <w:rFonts w:ascii="Zapf Dingbats" w:hAnsi="Zapf Dingbat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tcPr>
          <w:p w14:paraId="2A610671" w14:textId="77777777" w:rsidR="0020660D" w:rsidRPr="00466E44" w:rsidRDefault="0020660D" w:rsidP="0020660D">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CCC0D9"/>
          </w:tcPr>
          <w:p w14:paraId="6740F2D7" w14:textId="77777777" w:rsidR="0020660D" w:rsidRPr="00466E44" w:rsidRDefault="0020660D" w:rsidP="0020660D">
            <w:pPr>
              <w:rPr>
                <w:rFonts w:ascii="Zapf Dingbats" w:hAnsi="Zapf Dingbats" w:cs="Gill Sans"/>
                <w:noProof/>
                <w:sz w:val="22"/>
                <w:szCs w:val="22"/>
                <w:lang w:val="en-GB"/>
              </w:rPr>
            </w:pPr>
          </w:p>
        </w:tc>
        <w:tc>
          <w:tcPr>
            <w:tcW w:w="360" w:type="dxa"/>
            <w:vMerge w:val="restart"/>
            <w:tcBorders>
              <w:top w:val="single" w:sz="18" w:space="0" w:color="FFFFFF"/>
              <w:left w:val="single" w:sz="2" w:space="0" w:color="FFFFFF"/>
              <w:right w:val="single" w:sz="18" w:space="0" w:color="FFFFFF"/>
            </w:tcBorders>
            <w:shd w:val="clear" w:color="auto" w:fill="CCC0D9"/>
          </w:tcPr>
          <w:p w14:paraId="41B1217C" w14:textId="77777777" w:rsidR="0020660D" w:rsidRPr="00466E44" w:rsidRDefault="0020660D" w:rsidP="0020660D">
            <w:pPr>
              <w:rPr>
                <w:rFonts w:ascii="Zapf Dingbats" w:hAnsi="Zapf Dingbats" w:cs="Gill Sans"/>
                <w:sz w:val="22"/>
                <w:szCs w:val="22"/>
                <w:lang w:val="en-GB"/>
              </w:rPr>
            </w:pPr>
          </w:p>
        </w:tc>
        <w:tc>
          <w:tcPr>
            <w:tcW w:w="548"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435E63CB" w14:textId="77777777" w:rsidR="0020660D" w:rsidRPr="00466E44" w:rsidRDefault="0020660D" w:rsidP="0020660D">
            <w:pPr>
              <w:rPr>
                <w:rFonts w:ascii="Zapf Dingbats" w:hAnsi="Zapf Dingbats" w:cs="Gill Sans"/>
                <w:sz w:val="22"/>
                <w:szCs w:val="22"/>
                <w:lang w:val="en-GB"/>
              </w:rPr>
            </w:pPr>
          </w:p>
        </w:tc>
        <w:tc>
          <w:tcPr>
            <w:tcW w:w="45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727431B" w14:textId="2FF7AE1E" w:rsidR="0020660D" w:rsidRPr="00466E44" w:rsidRDefault="0020660D" w:rsidP="0020660D">
            <w:pPr>
              <w:rPr>
                <w:rFonts w:ascii="Zapf Dingbats" w:hAnsi="Zapf Dingbats" w:cs="Gill Sans"/>
                <w:sz w:val="22"/>
                <w:szCs w:val="22"/>
                <w:lang w:val="en-GB"/>
              </w:rPr>
            </w:pPr>
          </w:p>
        </w:tc>
        <w:tc>
          <w:tcPr>
            <w:tcW w:w="45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58462CE9" w14:textId="4BDF7D0E" w:rsidR="0020660D" w:rsidRPr="00466E44" w:rsidRDefault="0020660D" w:rsidP="0020660D">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540"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1735D923" w14:textId="77777777" w:rsidR="0020660D" w:rsidRPr="009651AC" w:rsidRDefault="0020660D" w:rsidP="0020660D">
            <w:pPr>
              <w:rPr>
                <w:rFonts w:ascii="Gill Sans" w:hAnsi="Gill Sans" w:cs="Gill Sans"/>
                <w:sz w:val="22"/>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99594"/>
          </w:tcPr>
          <w:p w14:paraId="07D7DC2D" w14:textId="77777777" w:rsidR="0020660D" w:rsidRPr="009651AC" w:rsidRDefault="0020660D" w:rsidP="0020660D">
            <w:pPr>
              <w:rPr>
                <w:rFonts w:ascii="Gill Sans" w:hAnsi="Gill Sans" w:cs="Gill Sans"/>
                <w:sz w:val="22"/>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99594"/>
          </w:tcPr>
          <w:p w14:paraId="7F265042" w14:textId="67E39B5E" w:rsidR="0020660D" w:rsidRPr="00466E44" w:rsidRDefault="0020660D" w:rsidP="0020660D">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D99594"/>
          </w:tcPr>
          <w:p w14:paraId="7BE1F0BB" w14:textId="6FC0C405" w:rsidR="0020660D" w:rsidRPr="009651AC" w:rsidRDefault="0020660D" w:rsidP="0020660D">
            <w:pPr>
              <w:rPr>
                <w:rFonts w:ascii="Gill Sans" w:hAnsi="Gill Sans" w:cs="Gill Sans"/>
                <w:sz w:val="22"/>
                <w:szCs w:val="22"/>
                <w:lang w:val="uk-UA"/>
              </w:rPr>
            </w:pPr>
          </w:p>
        </w:tc>
        <w:tc>
          <w:tcPr>
            <w:tcW w:w="360" w:type="dxa"/>
            <w:vMerge w:val="restart"/>
            <w:tcBorders>
              <w:top w:val="single" w:sz="18" w:space="0" w:color="FFFFFF"/>
              <w:left w:val="single" w:sz="2" w:space="0" w:color="FFFFFF"/>
              <w:right w:val="single" w:sz="2" w:space="0" w:color="FFFFFF"/>
            </w:tcBorders>
            <w:shd w:val="clear" w:color="auto" w:fill="D99594"/>
          </w:tcPr>
          <w:p w14:paraId="25DD2069" w14:textId="77777777" w:rsidR="0020660D" w:rsidRPr="008E2D1E" w:rsidRDefault="0020660D" w:rsidP="0020660D">
            <w:pPr>
              <w:rPr>
                <w:rFonts w:ascii="Gill Sans" w:hAnsi="Gill Sans" w:cs="Gill Sans"/>
                <w:noProof/>
                <w:sz w:val="22"/>
                <w:szCs w:val="22"/>
              </w:rPr>
            </w:pPr>
          </w:p>
        </w:tc>
        <w:tc>
          <w:tcPr>
            <w:tcW w:w="360" w:type="dxa"/>
            <w:vMerge w:val="restart"/>
            <w:tcBorders>
              <w:top w:val="single" w:sz="18" w:space="0" w:color="FFFFFF"/>
              <w:left w:val="single" w:sz="2" w:space="0" w:color="FFFFFF"/>
              <w:right w:val="single" w:sz="18" w:space="0" w:color="FFFFFF"/>
            </w:tcBorders>
            <w:shd w:val="clear" w:color="auto" w:fill="D99594"/>
          </w:tcPr>
          <w:p w14:paraId="2F3113F8" w14:textId="77777777" w:rsidR="0020660D" w:rsidRPr="009651AC" w:rsidRDefault="0020660D" w:rsidP="0020660D">
            <w:pPr>
              <w:rPr>
                <w:rFonts w:ascii="Gill Sans" w:hAnsi="Gill Sans" w:cs="Gill Sans"/>
                <w:sz w:val="22"/>
                <w:szCs w:val="22"/>
                <w:lang w:val="en-GB"/>
              </w:rPr>
            </w:pPr>
          </w:p>
        </w:tc>
      </w:tr>
      <w:tr w:rsidR="009B0529" w:rsidRPr="009651AC" w14:paraId="2BF11499" w14:textId="77777777" w:rsidTr="00B017F8">
        <w:trPr>
          <w:trHeight w:val="340"/>
        </w:trPr>
        <w:tc>
          <w:tcPr>
            <w:tcW w:w="1522" w:type="dxa"/>
            <w:vMerge/>
            <w:tcBorders>
              <w:left w:val="single" w:sz="4" w:space="0" w:color="FFFFFF"/>
              <w:right w:val="single" w:sz="18" w:space="0" w:color="FFFFFF"/>
            </w:tcBorders>
            <w:shd w:val="clear" w:color="auto" w:fill="000000"/>
          </w:tcPr>
          <w:p w14:paraId="5A77315F" w14:textId="77777777" w:rsidR="0020660D" w:rsidRPr="009651AC" w:rsidRDefault="0020660D" w:rsidP="0020660D">
            <w:pPr>
              <w:rPr>
                <w:rFonts w:ascii="Gill Sans" w:hAnsi="Gill Sans" w:cs="Gill Sans"/>
                <w:color w:val="FFFFFF" w:themeColor="background1"/>
                <w:sz w:val="22"/>
                <w:szCs w:val="22"/>
                <w:lang w:val="en-GB"/>
              </w:rPr>
            </w:pPr>
          </w:p>
        </w:tc>
        <w:tc>
          <w:tcPr>
            <w:tcW w:w="545" w:type="dxa"/>
            <w:vMerge/>
            <w:tcBorders>
              <w:left w:val="single" w:sz="18" w:space="0" w:color="FFFFFF"/>
              <w:right w:val="single" w:sz="2" w:space="0" w:color="FFFFFF"/>
            </w:tcBorders>
            <w:shd w:val="clear" w:color="auto" w:fill="D6E3BC"/>
          </w:tcPr>
          <w:p w14:paraId="29ADED78" w14:textId="77777777" w:rsidR="0020660D" w:rsidRPr="009651AC" w:rsidRDefault="0020660D" w:rsidP="0020660D">
            <w:pPr>
              <w:rPr>
                <w:rFonts w:ascii="Gill Sans" w:hAnsi="Gill Sans" w:cs="Gill Sans"/>
                <w:sz w:val="22"/>
                <w:szCs w:val="22"/>
                <w:lang w:val="en-GB"/>
              </w:rPr>
            </w:pPr>
          </w:p>
        </w:tc>
        <w:tc>
          <w:tcPr>
            <w:tcW w:w="425" w:type="dxa"/>
            <w:vMerge/>
            <w:tcBorders>
              <w:left w:val="single" w:sz="2" w:space="0" w:color="FFFFFF"/>
              <w:right w:val="single" w:sz="2" w:space="0" w:color="FFFFFF"/>
            </w:tcBorders>
            <w:shd w:val="clear" w:color="auto" w:fill="D6E3BC"/>
          </w:tcPr>
          <w:p w14:paraId="107BD3E9" w14:textId="77777777" w:rsidR="0020660D" w:rsidRPr="009651AC" w:rsidRDefault="0020660D" w:rsidP="0020660D">
            <w:pPr>
              <w:rPr>
                <w:rFonts w:ascii="Gill Sans" w:hAnsi="Gill Sans" w:cs="Gill Sans"/>
                <w:sz w:val="22"/>
                <w:szCs w:val="22"/>
                <w:lang w:val="en-GB"/>
              </w:rPr>
            </w:pPr>
          </w:p>
        </w:tc>
        <w:tc>
          <w:tcPr>
            <w:tcW w:w="362" w:type="dxa"/>
            <w:vMerge/>
            <w:tcBorders>
              <w:left w:val="single" w:sz="2" w:space="0" w:color="FFFFFF"/>
              <w:right w:val="single" w:sz="2" w:space="0" w:color="FFFFFF"/>
            </w:tcBorders>
            <w:shd w:val="clear" w:color="auto" w:fill="D6E3BC"/>
          </w:tcPr>
          <w:p w14:paraId="797D57C6" w14:textId="77777777" w:rsidR="0020660D" w:rsidRPr="00466E44" w:rsidRDefault="0020660D" w:rsidP="0020660D">
            <w:pPr>
              <w:rPr>
                <w:rFonts w:ascii="Zapf Dingbats" w:hAnsi="Zapf Dingbats" w:cs="Gill Sans"/>
                <w:sz w:val="22"/>
                <w:szCs w:val="22"/>
                <w:lang w:val="en-GB"/>
              </w:rPr>
            </w:pPr>
          </w:p>
        </w:tc>
        <w:tc>
          <w:tcPr>
            <w:tcW w:w="363" w:type="dxa"/>
            <w:vMerge/>
            <w:tcBorders>
              <w:left w:val="single" w:sz="2" w:space="0" w:color="FFFFFF"/>
              <w:right w:val="single" w:sz="18" w:space="0" w:color="FFFFFF"/>
            </w:tcBorders>
            <w:shd w:val="clear" w:color="auto" w:fill="D6E3BC"/>
          </w:tcPr>
          <w:p w14:paraId="589D47BB" w14:textId="77777777" w:rsidR="0020660D" w:rsidRPr="00466E44" w:rsidRDefault="0020660D" w:rsidP="0020660D">
            <w:pPr>
              <w:rPr>
                <w:rFonts w:ascii="Zapf Dingbats" w:hAnsi="Zapf Dingbat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24D5B411" w14:textId="77777777" w:rsidR="0020660D" w:rsidRPr="00466E44" w:rsidRDefault="0020660D" w:rsidP="0020660D">
            <w:pPr>
              <w:rPr>
                <w:rFonts w:ascii="Zapf Dingbats" w:hAnsi="Zapf Dingbats" w:cs="Gill Sans"/>
                <w:sz w:val="22"/>
                <w:szCs w:val="22"/>
                <w:lang w:val="en-GB"/>
              </w:rPr>
            </w:pPr>
          </w:p>
        </w:tc>
        <w:tc>
          <w:tcPr>
            <w:tcW w:w="388" w:type="dxa"/>
            <w:vMerge/>
            <w:tcBorders>
              <w:left w:val="single" w:sz="2" w:space="0" w:color="FFFFFF"/>
              <w:right w:val="single" w:sz="2" w:space="0" w:color="FFFFFF"/>
            </w:tcBorders>
            <w:shd w:val="clear" w:color="auto" w:fill="FBD4B4"/>
          </w:tcPr>
          <w:p w14:paraId="3569AF91" w14:textId="77777777" w:rsidR="0020660D" w:rsidRPr="00466E44" w:rsidRDefault="0020660D" w:rsidP="0020660D">
            <w:pPr>
              <w:rPr>
                <w:rFonts w:ascii="Zapf Dingbats" w:hAnsi="Zapf Dingbats" w:cs="Gill Sans"/>
                <w:noProof/>
                <w:sz w:val="22"/>
                <w:szCs w:val="22"/>
                <w:lang w:val="en-GB"/>
              </w:rPr>
            </w:pPr>
          </w:p>
        </w:tc>
        <w:tc>
          <w:tcPr>
            <w:tcW w:w="389" w:type="dxa"/>
            <w:vMerge/>
            <w:tcBorders>
              <w:left w:val="single" w:sz="2" w:space="0" w:color="FFFFFF"/>
              <w:right w:val="single" w:sz="2" w:space="0" w:color="FFFFFF"/>
            </w:tcBorders>
            <w:shd w:val="clear" w:color="auto" w:fill="FBD4B4"/>
          </w:tcPr>
          <w:p w14:paraId="32811AC7" w14:textId="77777777" w:rsidR="0020660D" w:rsidRPr="00466E44" w:rsidRDefault="0020660D" w:rsidP="0020660D">
            <w:pPr>
              <w:rPr>
                <w:rFonts w:ascii="Zapf Dingbats" w:hAnsi="Zapf Dingbats" w:cs="Gill Sans"/>
                <w:noProof/>
                <w:sz w:val="22"/>
                <w:szCs w:val="22"/>
                <w:lang w:val="en-GB"/>
              </w:rPr>
            </w:pPr>
          </w:p>
        </w:tc>
        <w:tc>
          <w:tcPr>
            <w:tcW w:w="826" w:type="dxa"/>
            <w:vMerge/>
            <w:tcBorders>
              <w:left w:val="single" w:sz="2" w:space="0" w:color="FFFFFF"/>
              <w:right w:val="single" w:sz="18" w:space="0" w:color="FFFFFF"/>
            </w:tcBorders>
            <w:shd w:val="clear" w:color="auto" w:fill="FBD4B4"/>
          </w:tcPr>
          <w:p w14:paraId="1DED1A9D" w14:textId="77777777" w:rsidR="0020660D" w:rsidRPr="00466E44" w:rsidRDefault="0020660D" w:rsidP="0020660D">
            <w:pPr>
              <w:rPr>
                <w:rFonts w:ascii="Zapf Dingbats" w:hAnsi="Zapf Dingbats" w:cs="Gill Sans"/>
                <w:sz w:val="22"/>
                <w:szCs w:val="22"/>
                <w:lang w:val="en-GB"/>
              </w:rPr>
            </w:pPr>
          </w:p>
        </w:tc>
        <w:tc>
          <w:tcPr>
            <w:tcW w:w="450" w:type="dxa"/>
            <w:vMerge/>
            <w:tcBorders>
              <w:left w:val="single" w:sz="18" w:space="0" w:color="FFFFFF"/>
              <w:right w:val="single" w:sz="2" w:space="0" w:color="FFFFFF"/>
            </w:tcBorders>
            <w:shd w:val="clear" w:color="auto" w:fill="CCC0D9"/>
          </w:tcPr>
          <w:p w14:paraId="2C22B61A" w14:textId="77777777" w:rsidR="0020660D" w:rsidRPr="00466E44" w:rsidRDefault="0020660D" w:rsidP="0020660D">
            <w:pPr>
              <w:rPr>
                <w:rFonts w:ascii="Zapf Dingbats" w:hAnsi="Zapf Dingbats" w:cs="Gill Sans"/>
                <w:sz w:val="22"/>
                <w:szCs w:val="22"/>
                <w:lang w:val="en-GB"/>
              </w:rPr>
            </w:pPr>
          </w:p>
        </w:tc>
        <w:tc>
          <w:tcPr>
            <w:tcW w:w="360" w:type="dxa"/>
            <w:vMerge/>
            <w:tcBorders>
              <w:left w:val="single" w:sz="2" w:space="0" w:color="FFFFFF"/>
              <w:right w:val="single" w:sz="2" w:space="0" w:color="FFFFFF"/>
            </w:tcBorders>
            <w:shd w:val="clear" w:color="auto" w:fill="CCC0D9"/>
          </w:tcPr>
          <w:p w14:paraId="4AB0DEB5" w14:textId="77777777" w:rsidR="0020660D" w:rsidRPr="00466E44" w:rsidRDefault="0020660D" w:rsidP="0020660D">
            <w:pPr>
              <w:rPr>
                <w:rFonts w:ascii="Zapf Dingbats" w:hAnsi="Zapf Dingbats" w:cs="Gill Sans"/>
                <w:sz w:val="22"/>
                <w:szCs w:val="22"/>
                <w:lang w:val="en-GB"/>
              </w:rPr>
            </w:pPr>
          </w:p>
        </w:tc>
        <w:tc>
          <w:tcPr>
            <w:tcW w:w="450" w:type="dxa"/>
            <w:vMerge/>
            <w:tcBorders>
              <w:left w:val="single" w:sz="2" w:space="0" w:color="FFFFFF"/>
              <w:right w:val="single" w:sz="2" w:space="0" w:color="FFFFFF"/>
            </w:tcBorders>
            <w:shd w:val="clear" w:color="auto" w:fill="CCC0D9"/>
          </w:tcPr>
          <w:p w14:paraId="7E5CA8BB" w14:textId="77777777" w:rsidR="0020660D" w:rsidRPr="00466E44" w:rsidRDefault="0020660D" w:rsidP="0020660D">
            <w:pPr>
              <w:rPr>
                <w:rFonts w:ascii="Zapf Dingbats" w:hAnsi="Zapf Dingbats" w:cs="Gill Sans"/>
                <w:noProof/>
                <w:sz w:val="22"/>
                <w:szCs w:val="22"/>
                <w:lang w:val="en-GB"/>
              </w:rPr>
            </w:pPr>
          </w:p>
        </w:tc>
        <w:tc>
          <w:tcPr>
            <w:tcW w:w="360" w:type="dxa"/>
            <w:vMerge/>
            <w:tcBorders>
              <w:left w:val="single" w:sz="2" w:space="0" w:color="FFFFFF"/>
              <w:right w:val="single" w:sz="18" w:space="0" w:color="FFFFFF"/>
            </w:tcBorders>
            <w:shd w:val="clear" w:color="auto" w:fill="CCC0D9"/>
          </w:tcPr>
          <w:p w14:paraId="43C20C1D" w14:textId="77777777" w:rsidR="0020660D" w:rsidRPr="00466E44" w:rsidRDefault="0020660D" w:rsidP="0020660D">
            <w:pPr>
              <w:rPr>
                <w:rFonts w:ascii="Zapf Dingbats" w:hAnsi="Zapf Dingbats" w:cs="Gill Sans"/>
                <w:sz w:val="22"/>
                <w:szCs w:val="22"/>
                <w:lang w:val="en-GB"/>
              </w:rPr>
            </w:pPr>
          </w:p>
        </w:tc>
        <w:tc>
          <w:tcPr>
            <w:tcW w:w="548"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065789E2" w14:textId="77777777" w:rsidR="0020660D" w:rsidRPr="00466E44" w:rsidRDefault="0020660D" w:rsidP="0020660D">
            <w:pPr>
              <w:rPr>
                <w:rFonts w:ascii="Zapf Dingbats" w:hAnsi="Zapf Dingbats" w:cs="Gill Sans"/>
                <w:sz w:val="22"/>
                <w:szCs w:val="22"/>
                <w:lang w:val="en-GB"/>
              </w:rPr>
            </w:pPr>
          </w:p>
        </w:tc>
        <w:tc>
          <w:tcPr>
            <w:tcW w:w="45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751524E" w14:textId="57CD58DA" w:rsidR="0020660D" w:rsidRPr="00466E44" w:rsidRDefault="0020660D" w:rsidP="0020660D">
            <w:pPr>
              <w:rPr>
                <w:rFonts w:ascii="Zapf Dingbats" w:hAnsi="Zapf Dingbats" w:cs="Gill Sans"/>
                <w:sz w:val="22"/>
                <w:szCs w:val="22"/>
                <w:lang w:val="en-GB"/>
              </w:rPr>
            </w:pPr>
          </w:p>
        </w:tc>
        <w:tc>
          <w:tcPr>
            <w:tcW w:w="45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35CF64CF" w14:textId="34DA65B3" w:rsidR="0020660D" w:rsidRPr="00466E44" w:rsidRDefault="0020660D" w:rsidP="0020660D">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540"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705B374E" w14:textId="288296A8" w:rsidR="0020660D" w:rsidRPr="009651AC" w:rsidRDefault="0020660D" w:rsidP="0020660D">
            <w:pPr>
              <w:jc w:val="center"/>
              <w:rPr>
                <w:rFonts w:ascii="Gill Sans" w:hAnsi="Gill Sans" w:cs="Gill Sans"/>
                <w:sz w:val="22"/>
                <w:szCs w:val="22"/>
                <w:lang w:val="en-GB"/>
              </w:rPr>
            </w:pPr>
          </w:p>
        </w:tc>
        <w:tc>
          <w:tcPr>
            <w:tcW w:w="360" w:type="dxa"/>
            <w:vMerge/>
            <w:tcBorders>
              <w:left w:val="single" w:sz="18" w:space="0" w:color="FFFFFF"/>
              <w:right w:val="single" w:sz="2" w:space="0" w:color="FFFFFF"/>
            </w:tcBorders>
            <w:shd w:val="clear" w:color="auto" w:fill="D99594"/>
          </w:tcPr>
          <w:p w14:paraId="7665B0EE"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36419592" w14:textId="77777777" w:rsidR="0020660D" w:rsidRPr="009651AC" w:rsidRDefault="0020660D" w:rsidP="0020660D">
            <w:pPr>
              <w:rPr>
                <w:rFonts w:ascii="Gill Sans" w:hAnsi="Gill Sans" w:cs="Gill Sans"/>
                <w:sz w:val="22"/>
                <w:szCs w:val="22"/>
                <w:lang w:val="en-GB"/>
              </w:rPr>
            </w:pPr>
          </w:p>
        </w:tc>
        <w:tc>
          <w:tcPr>
            <w:tcW w:w="450" w:type="dxa"/>
            <w:vMerge/>
            <w:tcBorders>
              <w:left w:val="single" w:sz="2" w:space="0" w:color="FFFFFF"/>
              <w:right w:val="single" w:sz="2" w:space="0" w:color="FFFFFF"/>
            </w:tcBorders>
            <w:shd w:val="clear" w:color="auto" w:fill="D99594"/>
          </w:tcPr>
          <w:p w14:paraId="0D13C64D" w14:textId="77777777" w:rsidR="0020660D" w:rsidRPr="009651AC" w:rsidRDefault="0020660D" w:rsidP="0020660D">
            <w:pPr>
              <w:rPr>
                <w:rFonts w:ascii="Gill Sans" w:hAnsi="Gill Sans" w:cs="Gill Sans"/>
                <w:sz w:val="22"/>
                <w:szCs w:val="22"/>
                <w:lang w:val="en-GB"/>
              </w:rPr>
            </w:pPr>
          </w:p>
        </w:tc>
        <w:tc>
          <w:tcPr>
            <w:tcW w:w="360" w:type="dxa"/>
            <w:vMerge/>
            <w:tcBorders>
              <w:left w:val="single" w:sz="2" w:space="0" w:color="FFFFFF"/>
              <w:right w:val="single" w:sz="2" w:space="0" w:color="FFFFFF"/>
            </w:tcBorders>
            <w:shd w:val="clear" w:color="auto" w:fill="D99594"/>
          </w:tcPr>
          <w:p w14:paraId="4AAB3DA8" w14:textId="77777777" w:rsidR="0020660D" w:rsidRPr="009651AC" w:rsidRDefault="0020660D" w:rsidP="0020660D">
            <w:pPr>
              <w:rPr>
                <w:rFonts w:ascii="Gill Sans" w:hAnsi="Gill Sans" w:cs="Gill Sans"/>
                <w:noProof/>
                <w:sz w:val="22"/>
                <w:szCs w:val="22"/>
                <w:lang w:val="en-GB"/>
              </w:rPr>
            </w:pPr>
          </w:p>
        </w:tc>
        <w:tc>
          <w:tcPr>
            <w:tcW w:w="360" w:type="dxa"/>
            <w:vMerge/>
            <w:tcBorders>
              <w:left w:val="single" w:sz="2" w:space="0" w:color="FFFFFF"/>
              <w:right w:val="single" w:sz="18" w:space="0" w:color="FFFFFF"/>
            </w:tcBorders>
            <w:shd w:val="clear" w:color="auto" w:fill="D99594"/>
          </w:tcPr>
          <w:p w14:paraId="26692D06" w14:textId="77777777" w:rsidR="0020660D" w:rsidRPr="009651AC" w:rsidRDefault="0020660D" w:rsidP="0020660D">
            <w:pPr>
              <w:rPr>
                <w:rFonts w:ascii="Gill Sans" w:hAnsi="Gill Sans" w:cs="Gill Sans"/>
                <w:sz w:val="22"/>
                <w:szCs w:val="22"/>
                <w:lang w:val="en-GB"/>
              </w:rPr>
            </w:pPr>
          </w:p>
        </w:tc>
      </w:tr>
    </w:tbl>
    <w:p w14:paraId="06876AC0" w14:textId="77777777" w:rsidR="0020660D" w:rsidRDefault="0020660D" w:rsidP="006319F4">
      <w:pPr>
        <w:pStyle w:val="Heading3"/>
      </w:pPr>
    </w:p>
    <w:p w14:paraId="25F724BD" w14:textId="5AC2AC6E" w:rsidR="001B5498" w:rsidRPr="00352741" w:rsidRDefault="001B5498" w:rsidP="006319F4">
      <w:pPr>
        <w:pStyle w:val="Heading3"/>
      </w:pPr>
      <w:r w:rsidRPr="00352741">
        <w:t xml:space="preserve">Commitment </w:t>
      </w:r>
      <w:r w:rsidR="00F56E87">
        <w:t>a</w:t>
      </w:r>
      <w:r w:rsidRPr="00352741">
        <w:t>im</w:t>
      </w:r>
    </w:p>
    <w:p w14:paraId="15491C03" w14:textId="387C0E2F" w:rsidR="001B5498" w:rsidRDefault="001B5498" w:rsidP="00DE4DED">
      <w:pPr>
        <w:spacing w:after="120"/>
        <w:rPr>
          <w:rFonts w:ascii="Gill Sans" w:hAnsi="Gill Sans" w:cs="Gill Sans"/>
          <w:sz w:val="22"/>
          <w:szCs w:val="22"/>
          <w:lang w:val="en-GB"/>
        </w:rPr>
      </w:pPr>
      <w:r w:rsidRPr="00180227">
        <w:rPr>
          <w:rFonts w:ascii="Gill Sans" w:hAnsi="Gill Sans" w:cs="Gill Sans"/>
          <w:sz w:val="22"/>
          <w:szCs w:val="22"/>
          <w:lang w:val="en-GB"/>
        </w:rPr>
        <w:t xml:space="preserve">The commitment </w:t>
      </w:r>
      <w:r w:rsidR="006677A3">
        <w:rPr>
          <w:rFonts w:ascii="Gill Sans" w:hAnsi="Gill Sans" w:cs="Gill Sans"/>
          <w:sz w:val="22"/>
          <w:szCs w:val="22"/>
          <w:lang w:val="en-GB"/>
        </w:rPr>
        <w:t>sought</w:t>
      </w:r>
      <w:r w:rsidR="006677A3" w:rsidRPr="00180227">
        <w:rPr>
          <w:rFonts w:ascii="Gill Sans" w:hAnsi="Gill Sans" w:cs="Gill Sans"/>
          <w:sz w:val="22"/>
          <w:szCs w:val="22"/>
          <w:lang w:val="en-GB"/>
        </w:rPr>
        <w:t xml:space="preserve"> </w:t>
      </w:r>
      <w:r w:rsidRPr="00180227">
        <w:rPr>
          <w:rFonts w:ascii="Gill Sans" w:hAnsi="Gill Sans" w:cs="Gill Sans"/>
          <w:sz w:val="22"/>
          <w:szCs w:val="22"/>
          <w:lang w:val="en-GB"/>
        </w:rPr>
        <w:t>to</w:t>
      </w:r>
      <w:r>
        <w:rPr>
          <w:rFonts w:ascii="Gill Sans" w:hAnsi="Gill Sans" w:cs="Gill Sans"/>
          <w:sz w:val="22"/>
          <w:szCs w:val="22"/>
          <w:lang w:val="en-GB"/>
        </w:rPr>
        <w:t xml:space="preserve"> </w:t>
      </w:r>
      <w:r w:rsidR="00E761D6">
        <w:rPr>
          <w:rFonts w:ascii="Gill Sans" w:hAnsi="Gill Sans" w:cs="Gill Sans"/>
          <w:sz w:val="22"/>
          <w:szCs w:val="22"/>
          <w:lang w:val="en-GB"/>
        </w:rPr>
        <w:t xml:space="preserve">develop a methodology for </w:t>
      </w:r>
      <w:r w:rsidR="00DE4DED">
        <w:rPr>
          <w:rFonts w:ascii="Gill Sans" w:hAnsi="Gill Sans" w:cs="Gill Sans"/>
          <w:sz w:val="22"/>
          <w:szCs w:val="22"/>
          <w:lang w:val="en-GB"/>
        </w:rPr>
        <w:t xml:space="preserve">assessing the risk of </w:t>
      </w:r>
      <w:r w:rsidR="00E761D6">
        <w:rPr>
          <w:rFonts w:ascii="Gill Sans" w:hAnsi="Gill Sans" w:cs="Gill Sans"/>
          <w:sz w:val="22"/>
          <w:szCs w:val="22"/>
          <w:lang w:val="en-GB"/>
        </w:rPr>
        <w:t>corruption in the Ministry of Justice</w:t>
      </w:r>
      <w:r>
        <w:rPr>
          <w:rFonts w:ascii="Gill Sans" w:hAnsi="Gill Sans" w:cs="Gill Sans"/>
          <w:sz w:val="22"/>
          <w:szCs w:val="22"/>
          <w:lang w:val="en-GB"/>
        </w:rPr>
        <w:t>.</w:t>
      </w:r>
      <w:r w:rsidR="00E761D6">
        <w:rPr>
          <w:rFonts w:ascii="Gill Sans" w:hAnsi="Gill Sans" w:cs="Gill Sans"/>
          <w:sz w:val="22"/>
          <w:szCs w:val="22"/>
          <w:lang w:val="en-GB"/>
        </w:rPr>
        <w:t xml:space="preserve"> Such </w:t>
      </w:r>
      <w:r w:rsidR="006677A3">
        <w:rPr>
          <w:rFonts w:ascii="Gill Sans" w:hAnsi="Gill Sans" w:cs="Gill Sans"/>
          <w:sz w:val="22"/>
          <w:szCs w:val="22"/>
          <w:lang w:val="en-GB"/>
        </w:rPr>
        <w:t xml:space="preserve">a </w:t>
      </w:r>
      <w:r w:rsidR="00E761D6">
        <w:rPr>
          <w:rFonts w:ascii="Gill Sans" w:hAnsi="Gill Sans" w:cs="Gill Sans"/>
          <w:sz w:val="22"/>
          <w:szCs w:val="22"/>
          <w:lang w:val="en-GB"/>
        </w:rPr>
        <w:t xml:space="preserve">methodology could be used to identify and manage risks in the justice bodies, </w:t>
      </w:r>
      <w:r w:rsidR="00DE4DED">
        <w:rPr>
          <w:rFonts w:ascii="Gill Sans" w:hAnsi="Gill Sans" w:cs="Gill Sans"/>
          <w:sz w:val="22"/>
          <w:szCs w:val="22"/>
          <w:lang w:val="en-GB"/>
        </w:rPr>
        <w:t>as well as</w:t>
      </w:r>
      <w:r w:rsidR="006677A3">
        <w:rPr>
          <w:rFonts w:ascii="Gill Sans" w:hAnsi="Gill Sans" w:cs="Gill Sans"/>
          <w:sz w:val="22"/>
          <w:szCs w:val="22"/>
          <w:lang w:val="en-GB"/>
        </w:rPr>
        <w:t xml:space="preserve"> </w:t>
      </w:r>
      <w:r w:rsidR="00E761D6">
        <w:rPr>
          <w:rFonts w:ascii="Gill Sans" w:hAnsi="Gill Sans" w:cs="Gill Sans"/>
          <w:sz w:val="22"/>
          <w:szCs w:val="22"/>
          <w:lang w:val="en-GB"/>
        </w:rPr>
        <w:t>prepare actions to prevent corruption in the sector. The commitment was very limited in scope</w:t>
      </w:r>
      <w:r w:rsidR="00DE4DED">
        <w:rPr>
          <w:rFonts w:ascii="Gill Sans" w:hAnsi="Gill Sans" w:cs="Gill Sans"/>
          <w:sz w:val="22"/>
          <w:szCs w:val="22"/>
          <w:lang w:val="en-GB"/>
        </w:rPr>
        <w:t>, as it</w:t>
      </w:r>
      <w:r w:rsidR="00E761D6">
        <w:rPr>
          <w:rFonts w:ascii="Gill Sans" w:hAnsi="Gill Sans" w:cs="Gill Sans"/>
          <w:sz w:val="22"/>
          <w:szCs w:val="22"/>
          <w:lang w:val="en-GB"/>
        </w:rPr>
        <w:t xml:space="preserve"> concerned </w:t>
      </w:r>
      <w:r w:rsidR="00DE4DED">
        <w:rPr>
          <w:rFonts w:ascii="Gill Sans" w:hAnsi="Gill Sans" w:cs="Gill Sans"/>
          <w:sz w:val="22"/>
          <w:szCs w:val="22"/>
          <w:lang w:val="en-GB"/>
        </w:rPr>
        <w:t>a single</w:t>
      </w:r>
      <w:r w:rsidR="00E761D6">
        <w:rPr>
          <w:rFonts w:ascii="Gill Sans" w:hAnsi="Gill Sans" w:cs="Gill Sans"/>
          <w:sz w:val="22"/>
          <w:szCs w:val="22"/>
          <w:lang w:val="en-GB"/>
        </w:rPr>
        <w:t xml:space="preserve"> ministry. </w:t>
      </w:r>
      <w:r w:rsidR="00DE4DED">
        <w:rPr>
          <w:rFonts w:ascii="Gill Sans" w:hAnsi="Gill Sans" w:cs="Gill Sans"/>
          <w:sz w:val="22"/>
          <w:szCs w:val="22"/>
          <w:lang w:val="en-GB"/>
        </w:rPr>
        <w:t>Moreover, it</w:t>
      </w:r>
      <w:r w:rsidR="00E761D6">
        <w:rPr>
          <w:rFonts w:ascii="Gill Sans" w:hAnsi="Gill Sans" w:cs="Gill Sans"/>
          <w:sz w:val="22"/>
          <w:szCs w:val="22"/>
          <w:lang w:val="en-GB"/>
        </w:rPr>
        <w:t xml:space="preserve"> became irrelevant </w:t>
      </w:r>
      <w:r w:rsidR="00DE4DED">
        <w:rPr>
          <w:rFonts w:ascii="Gill Sans" w:hAnsi="Gill Sans" w:cs="Gill Sans"/>
          <w:sz w:val="22"/>
          <w:szCs w:val="22"/>
          <w:lang w:val="en-GB"/>
        </w:rPr>
        <w:t xml:space="preserve">following </w:t>
      </w:r>
      <w:r w:rsidR="00A8653F">
        <w:rPr>
          <w:rFonts w:ascii="Gill Sans" w:hAnsi="Gill Sans" w:cs="Gill Sans"/>
          <w:sz w:val="22"/>
          <w:szCs w:val="22"/>
          <w:lang w:val="en-GB"/>
        </w:rPr>
        <w:t xml:space="preserve">the </w:t>
      </w:r>
      <w:r w:rsidR="00E761D6">
        <w:rPr>
          <w:rFonts w:ascii="Gill Sans" w:hAnsi="Gill Sans" w:cs="Gill Sans"/>
          <w:sz w:val="22"/>
          <w:szCs w:val="22"/>
          <w:lang w:val="en-GB"/>
        </w:rPr>
        <w:t xml:space="preserve">enactment of the new </w:t>
      </w:r>
      <w:r w:rsidR="00561192">
        <w:rPr>
          <w:rFonts w:ascii="Gill Sans" w:hAnsi="Gill Sans" w:cs="Gill Sans"/>
          <w:sz w:val="22"/>
          <w:szCs w:val="22"/>
          <w:lang w:val="en-GB"/>
        </w:rPr>
        <w:t>c</w:t>
      </w:r>
      <w:r w:rsidR="00E761D6">
        <w:rPr>
          <w:rFonts w:ascii="Gill Sans" w:hAnsi="Gill Sans" w:cs="Gill Sans"/>
          <w:sz w:val="22"/>
          <w:szCs w:val="22"/>
          <w:lang w:val="en-GB"/>
        </w:rPr>
        <w:t xml:space="preserve">orruption </w:t>
      </w:r>
      <w:r w:rsidR="00561192">
        <w:rPr>
          <w:rFonts w:ascii="Gill Sans" w:hAnsi="Gill Sans" w:cs="Gill Sans"/>
          <w:sz w:val="22"/>
          <w:szCs w:val="22"/>
          <w:lang w:val="en-GB"/>
        </w:rPr>
        <w:t>p</w:t>
      </w:r>
      <w:r w:rsidR="00E761D6">
        <w:rPr>
          <w:rFonts w:ascii="Gill Sans" w:hAnsi="Gill Sans" w:cs="Gill Sans"/>
          <w:sz w:val="22"/>
          <w:szCs w:val="22"/>
          <w:lang w:val="en-GB"/>
        </w:rPr>
        <w:t xml:space="preserve">revention </w:t>
      </w:r>
      <w:r w:rsidR="00DE4DED">
        <w:rPr>
          <w:rFonts w:ascii="Gill Sans" w:hAnsi="Gill Sans" w:cs="Gill Sans"/>
          <w:sz w:val="22"/>
          <w:szCs w:val="22"/>
          <w:lang w:val="en-GB"/>
        </w:rPr>
        <w:t>l</w:t>
      </w:r>
      <w:r w:rsidR="00E761D6">
        <w:rPr>
          <w:rFonts w:ascii="Gill Sans" w:hAnsi="Gill Sans" w:cs="Gill Sans"/>
          <w:sz w:val="22"/>
          <w:szCs w:val="22"/>
          <w:lang w:val="en-GB"/>
        </w:rPr>
        <w:t xml:space="preserve">aw and </w:t>
      </w:r>
      <w:r w:rsidR="006677A3">
        <w:rPr>
          <w:rFonts w:ascii="Gill Sans" w:hAnsi="Gill Sans" w:cs="Gill Sans"/>
          <w:sz w:val="22"/>
          <w:szCs w:val="22"/>
          <w:lang w:val="en-GB"/>
        </w:rPr>
        <w:t>the establishment</w:t>
      </w:r>
      <w:r w:rsidR="00E761D6">
        <w:rPr>
          <w:rFonts w:ascii="Gill Sans" w:hAnsi="Gill Sans" w:cs="Gill Sans"/>
          <w:sz w:val="22"/>
          <w:szCs w:val="22"/>
          <w:lang w:val="en-GB"/>
        </w:rPr>
        <w:t xml:space="preserve"> of the National Age</w:t>
      </w:r>
      <w:r w:rsidR="00A8653F">
        <w:rPr>
          <w:rFonts w:ascii="Gill Sans" w:hAnsi="Gill Sans" w:cs="Gill Sans"/>
          <w:sz w:val="22"/>
          <w:szCs w:val="22"/>
          <w:lang w:val="en-GB"/>
        </w:rPr>
        <w:t>ncy for Corruption Prevention. The latter has developed</w:t>
      </w:r>
      <w:r w:rsidR="005103E3">
        <w:rPr>
          <w:rFonts w:ascii="Gill Sans" w:hAnsi="Gill Sans" w:cs="Gill Sans"/>
          <w:sz w:val="22"/>
          <w:szCs w:val="22"/>
          <w:lang w:val="en-GB"/>
        </w:rPr>
        <w:t xml:space="preserve"> a</w:t>
      </w:r>
      <w:r w:rsidR="00A8653F">
        <w:rPr>
          <w:rFonts w:ascii="Gill Sans" w:hAnsi="Gill Sans" w:cs="Gill Sans"/>
          <w:sz w:val="22"/>
          <w:szCs w:val="22"/>
          <w:lang w:val="en-GB"/>
        </w:rPr>
        <w:t xml:space="preserve"> universal methodology for </w:t>
      </w:r>
      <w:r w:rsidR="00DE4DED">
        <w:rPr>
          <w:rFonts w:ascii="Gill Sans" w:hAnsi="Gill Sans" w:cs="Gill Sans"/>
          <w:sz w:val="22"/>
          <w:szCs w:val="22"/>
          <w:lang w:val="en-GB"/>
        </w:rPr>
        <w:t xml:space="preserve">assessing </w:t>
      </w:r>
      <w:r w:rsidR="00A8653F">
        <w:rPr>
          <w:rFonts w:ascii="Gill Sans" w:hAnsi="Gill Sans" w:cs="Gill Sans"/>
          <w:sz w:val="22"/>
          <w:szCs w:val="22"/>
          <w:lang w:val="en-GB"/>
        </w:rPr>
        <w:t xml:space="preserve">corruption risk in all public authorities. </w:t>
      </w:r>
    </w:p>
    <w:p w14:paraId="30C45F28" w14:textId="43024297" w:rsidR="001B5498" w:rsidRPr="00662C6C" w:rsidRDefault="001B5498" w:rsidP="006319F4">
      <w:pPr>
        <w:pStyle w:val="Heading3"/>
      </w:pPr>
      <w:r w:rsidRPr="00662C6C">
        <w:t>Status</w:t>
      </w:r>
    </w:p>
    <w:p w14:paraId="7883409E" w14:textId="48C1796A" w:rsidR="001B5498" w:rsidRPr="00662C6C" w:rsidRDefault="001B5498" w:rsidP="00662C6C">
      <w:pPr>
        <w:pStyle w:val="Normalrglronly"/>
        <w:rPr>
          <w:b/>
          <w:lang w:val="en-GB"/>
        </w:rPr>
      </w:pPr>
      <w:r w:rsidRPr="00662C6C">
        <w:rPr>
          <w:b/>
          <w:lang w:val="en-GB"/>
        </w:rPr>
        <w:t xml:space="preserve">Midterm: </w:t>
      </w:r>
      <w:r w:rsidR="005103E3" w:rsidRPr="00662C6C">
        <w:rPr>
          <w:b/>
          <w:lang w:val="en-GB"/>
        </w:rPr>
        <w:t>Substantial</w:t>
      </w:r>
    </w:p>
    <w:p w14:paraId="5E52EB5A" w14:textId="6DCC7A9A" w:rsidR="001B5498" w:rsidRPr="00662C6C" w:rsidRDefault="00DE4DED" w:rsidP="00F56E87">
      <w:pPr>
        <w:spacing w:after="120"/>
        <w:rPr>
          <w:rFonts w:ascii="Gill Sans" w:hAnsi="Gill Sans" w:cs="Gill Sans"/>
          <w:sz w:val="22"/>
          <w:szCs w:val="22"/>
          <w:lang w:val="en-GB"/>
        </w:rPr>
      </w:pPr>
      <w:r>
        <w:rPr>
          <w:rFonts w:ascii="Gill Sans" w:hAnsi="Gill Sans" w:cs="Gill Sans"/>
          <w:noProof/>
          <w:sz w:val="22"/>
          <w:szCs w:val="22"/>
          <w:lang w:val="en-GB"/>
        </w:rPr>
        <w:t>According to t</w:t>
      </w:r>
      <w:r w:rsidR="005103E3" w:rsidRPr="00662C6C">
        <w:rPr>
          <w:rFonts w:ascii="Gill Sans" w:hAnsi="Gill Sans" w:cs="Gill Sans"/>
          <w:noProof/>
          <w:sz w:val="22"/>
          <w:szCs w:val="22"/>
          <w:lang w:val="en-GB"/>
        </w:rPr>
        <w:t>he government, the Law on Corruption Prevention</w:t>
      </w:r>
      <w:r w:rsidR="005725FA" w:rsidRPr="00662C6C">
        <w:rPr>
          <w:rFonts w:ascii="Gill Sans" w:hAnsi="Gill Sans" w:cs="Gill Sans"/>
          <w:noProof/>
          <w:sz w:val="22"/>
          <w:szCs w:val="22"/>
          <w:lang w:val="en-GB"/>
        </w:rPr>
        <w:t xml:space="preserve"> (adopted in October 2014 and enacted in April 2015</w:t>
      </w:r>
      <w:r w:rsidR="005725FA" w:rsidRPr="00662C6C">
        <w:rPr>
          <w:rStyle w:val="EndnoteReference"/>
          <w:rFonts w:ascii="Gill Sans" w:hAnsi="Gill Sans" w:cs="Gill Sans"/>
          <w:noProof/>
          <w:sz w:val="22"/>
          <w:szCs w:val="22"/>
          <w:lang w:val="en-GB"/>
        </w:rPr>
        <w:endnoteReference w:id="48"/>
      </w:r>
      <w:r w:rsidR="005725FA" w:rsidRPr="00662C6C">
        <w:rPr>
          <w:rFonts w:ascii="Gill Sans" w:hAnsi="Gill Sans" w:cs="Gill Sans"/>
          <w:noProof/>
          <w:sz w:val="22"/>
          <w:szCs w:val="22"/>
          <w:lang w:val="en-GB"/>
        </w:rPr>
        <w:t>)</w:t>
      </w:r>
      <w:r>
        <w:rPr>
          <w:rFonts w:ascii="Gill Sans" w:hAnsi="Gill Sans" w:cs="Gill Sans"/>
          <w:noProof/>
          <w:sz w:val="22"/>
          <w:szCs w:val="22"/>
          <w:lang w:val="en-GB"/>
        </w:rPr>
        <w:t xml:space="preserve"> </w:t>
      </w:r>
      <w:r w:rsidR="00F56E87">
        <w:rPr>
          <w:rFonts w:ascii="Gill Sans" w:hAnsi="Gill Sans" w:cs="Gill Sans"/>
          <w:noProof/>
          <w:sz w:val="22"/>
          <w:szCs w:val="22"/>
          <w:lang w:val="en-GB"/>
        </w:rPr>
        <w:t>mandated</w:t>
      </w:r>
      <w:r w:rsidR="005103E3" w:rsidRPr="00662C6C">
        <w:rPr>
          <w:rFonts w:ascii="Gill Sans" w:hAnsi="Gill Sans" w:cs="Gill Sans"/>
          <w:noProof/>
          <w:sz w:val="22"/>
          <w:szCs w:val="22"/>
          <w:lang w:val="en-GB"/>
        </w:rPr>
        <w:t xml:space="preserve"> the National Agency for Corruption Prevention </w:t>
      </w:r>
      <w:r w:rsidR="00F56E87">
        <w:rPr>
          <w:rFonts w:ascii="Gill Sans" w:hAnsi="Gill Sans" w:cs="Gill Sans"/>
          <w:noProof/>
          <w:sz w:val="22"/>
          <w:szCs w:val="22"/>
          <w:lang w:val="en-GB"/>
        </w:rPr>
        <w:t>to</w:t>
      </w:r>
      <w:r w:rsidR="00F56E87" w:rsidRPr="00662C6C">
        <w:rPr>
          <w:rFonts w:ascii="Gill Sans" w:hAnsi="Gill Sans" w:cs="Gill Sans"/>
          <w:noProof/>
          <w:sz w:val="22"/>
          <w:szCs w:val="22"/>
          <w:lang w:val="en-GB"/>
        </w:rPr>
        <w:t xml:space="preserve"> </w:t>
      </w:r>
      <w:r w:rsidR="005103E3" w:rsidRPr="00662C6C">
        <w:rPr>
          <w:rFonts w:ascii="Gill Sans" w:hAnsi="Gill Sans" w:cs="Gill Sans"/>
          <w:noProof/>
          <w:sz w:val="22"/>
          <w:szCs w:val="22"/>
          <w:lang w:val="en-GB"/>
        </w:rPr>
        <w:t>oversee</w:t>
      </w:r>
      <w:r w:rsidR="00F56E87">
        <w:rPr>
          <w:rFonts w:ascii="Gill Sans" w:hAnsi="Gill Sans" w:cs="Gill Sans"/>
          <w:noProof/>
          <w:sz w:val="22"/>
          <w:szCs w:val="22"/>
          <w:lang w:val="en-GB"/>
        </w:rPr>
        <w:t xml:space="preserve"> the</w:t>
      </w:r>
      <w:r w:rsidR="005103E3" w:rsidRPr="00662C6C">
        <w:rPr>
          <w:rFonts w:ascii="Gill Sans" w:hAnsi="Gill Sans" w:cs="Gill Sans"/>
          <w:noProof/>
          <w:sz w:val="22"/>
          <w:szCs w:val="22"/>
          <w:lang w:val="en-GB"/>
        </w:rPr>
        <w:t xml:space="preserve"> development of anti-corruption programmes by public agencies</w:t>
      </w:r>
      <w:r w:rsidR="006677A3">
        <w:rPr>
          <w:rFonts w:ascii="Gill Sans" w:hAnsi="Gill Sans" w:cs="Gill Sans"/>
          <w:noProof/>
          <w:sz w:val="22"/>
          <w:szCs w:val="22"/>
          <w:lang w:val="en-GB"/>
        </w:rPr>
        <w:t>,</w:t>
      </w:r>
      <w:r w:rsidR="005103E3" w:rsidRPr="00662C6C">
        <w:rPr>
          <w:rFonts w:ascii="Gill Sans" w:hAnsi="Gill Sans" w:cs="Gill Sans"/>
          <w:noProof/>
          <w:sz w:val="22"/>
          <w:szCs w:val="22"/>
          <w:lang w:val="en-GB"/>
        </w:rPr>
        <w:t xml:space="preserve"> </w:t>
      </w:r>
      <w:r w:rsidR="006677A3">
        <w:rPr>
          <w:rFonts w:ascii="Gill Sans" w:hAnsi="Gill Sans" w:cs="Gill Sans"/>
          <w:noProof/>
          <w:sz w:val="22"/>
          <w:szCs w:val="22"/>
          <w:lang w:val="en-GB"/>
        </w:rPr>
        <w:t xml:space="preserve">using </w:t>
      </w:r>
      <w:r w:rsidR="005103E3" w:rsidRPr="00662C6C">
        <w:rPr>
          <w:rFonts w:ascii="Gill Sans" w:hAnsi="Gill Sans" w:cs="Gill Sans"/>
          <w:noProof/>
          <w:sz w:val="22"/>
          <w:szCs w:val="22"/>
          <w:lang w:val="en-GB"/>
        </w:rPr>
        <w:t>a risk assessment methodology</w:t>
      </w:r>
      <w:r w:rsidR="00F56E87">
        <w:rPr>
          <w:rFonts w:ascii="Gill Sans" w:hAnsi="Gill Sans" w:cs="Gill Sans"/>
          <w:noProof/>
          <w:sz w:val="22"/>
          <w:szCs w:val="22"/>
          <w:lang w:val="en-GB"/>
        </w:rPr>
        <w:t>,</w:t>
      </w:r>
      <w:r w:rsidR="005103E3" w:rsidRPr="00662C6C">
        <w:rPr>
          <w:rFonts w:ascii="Gill Sans" w:hAnsi="Gill Sans" w:cs="Gill Sans"/>
          <w:noProof/>
          <w:sz w:val="22"/>
          <w:szCs w:val="22"/>
          <w:lang w:val="en-GB"/>
        </w:rPr>
        <w:t xml:space="preserve"> and adopt a universal methodology for corruption risk assessments. This task </w:t>
      </w:r>
      <w:r w:rsidR="001B53C1">
        <w:rPr>
          <w:rFonts w:ascii="Gill Sans" w:hAnsi="Gill Sans" w:cs="Gill Sans"/>
          <w:noProof/>
          <w:sz w:val="22"/>
          <w:szCs w:val="22"/>
          <w:lang w:val="en-GB"/>
        </w:rPr>
        <w:t>was</w:t>
      </w:r>
      <w:r w:rsidR="005103E3" w:rsidRPr="00662C6C">
        <w:rPr>
          <w:rFonts w:ascii="Gill Sans" w:hAnsi="Gill Sans" w:cs="Gill Sans"/>
          <w:noProof/>
          <w:sz w:val="22"/>
          <w:szCs w:val="22"/>
          <w:lang w:val="en-GB"/>
        </w:rPr>
        <w:t xml:space="preserve"> also mentioned in the State Program for Implementation of the Anti-Corruption Strategy approved by the government in April 2015.</w:t>
      </w:r>
      <w:r w:rsidR="005103E3" w:rsidRPr="00662C6C">
        <w:rPr>
          <w:rStyle w:val="EndnoteReference"/>
          <w:rFonts w:ascii="Gill Sans" w:hAnsi="Gill Sans" w:cs="Gill Sans"/>
          <w:noProof/>
          <w:sz w:val="22"/>
          <w:szCs w:val="22"/>
          <w:lang w:val="en-GB"/>
        </w:rPr>
        <w:endnoteReference w:id="49"/>
      </w:r>
      <w:r w:rsidR="005725FA" w:rsidRPr="00662C6C">
        <w:rPr>
          <w:rFonts w:ascii="Gill Sans" w:hAnsi="Gill Sans" w:cs="Gill Sans"/>
          <w:noProof/>
          <w:sz w:val="22"/>
          <w:szCs w:val="22"/>
          <w:lang w:val="en-GB"/>
        </w:rPr>
        <w:t xml:space="preserve"> </w:t>
      </w:r>
      <w:r w:rsidR="005103E3" w:rsidRPr="00662C6C">
        <w:rPr>
          <w:rFonts w:ascii="Gill Sans" w:hAnsi="Gill Sans" w:cs="Gill Sans"/>
          <w:sz w:val="22"/>
          <w:szCs w:val="22"/>
          <w:lang w:val="en-GB"/>
        </w:rPr>
        <w:t>The</w:t>
      </w:r>
      <w:r w:rsidR="005103E3" w:rsidRPr="00662C6C">
        <w:rPr>
          <w:rFonts w:ascii="Gill Sans" w:hAnsi="Gill Sans" w:cs="Gill Sans"/>
          <w:noProof/>
          <w:sz w:val="22"/>
          <w:szCs w:val="22"/>
          <w:lang w:val="en-GB"/>
        </w:rPr>
        <w:t xml:space="preserve"> Ministry of Justice has developed the Principles for Corruption Risk Assessment and Preparing Measures to Eliminate Them. These </w:t>
      </w:r>
      <w:r w:rsidR="006677A3">
        <w:rPr>
          <w:rFonts w:ascii="Gill Sans" w:hAnsi="Gill Sans" w:cs="Gill Sans"/>
          <w:noProof/>
          <w:sz w:val="22"/>
          <w:szCs w:val="22"/>
          <w:lang w:val="en-GB"/>
        </w:rPr>
        <w:t>are</w:t>
      </w:r>
      <w:r w:rsidR="006677A3" w:rsidRPr="00662C6C">
        <w:rPr>
          <w:rFonts w:ascii="Gill Sans" w:hAnsi="Gill Sans" w:cs="Gill Sans"/>
          <w:noProof/>
          <w:sz w:val="22"/>
          <w:szCs w:val="22"/>
          <w:lang w:val="en-GB"/>
        </w:rPr>
        <w:t xml:space="preserve"> </w:t>
      </w:r>
      <w:r w:rsidR="005103E3" w:rsidRPr="00662C6C">
        <w:rPr>
          <w:rFonts w:ascii="Gill Sans" w:hAnsi="Gill Sans" w:cs="Gill Sans"/>
          <w:noProof/>
          <w:sz w:val="22"/>
          <w:szCs w:val="22"/>
          <w:lang w:val="en-GB"/>
        </w:rPr>
        <w:t>detailed guidelines on how to evaluate corruption risks and man</w:t>
      </w:r>
      <w:r w:rsidR="001B53C1">
        <w:rPr>
          <w:rFonts w:ascii="Gill Sans" w:hAnsi="Gill Sans" w:cs="Gill Sans"/>
          <w:noProof/>
          <w:sz w:val="22"/>
          <w:szCs w:val="22"/>
          <w:lang w:val="en-GB"/>
        </w:rPr>
        <w:t>age them in public institutions</w:t>
      </w:r>
      <w:r w:rsidR="005103E3" w:rsidRPr="00662C6C">
        <w:rPr>
          <w:rFonts w:ascii="Gill Sans" w:hAnsi="Gill Sans" w:cs="Gill Sans"/>
          <w:sz w:val="22"/>
          <w:szCs w:val="22"/>
          <w:lang w:val="en-GB"/>
        </w:rPr>
        <w:t>.</w:t>
      </w:r>
      <w:r w:rsidR="005725FA" w:rsidRPr="00662C6C">
        <w:rPr>
          <w:rStyle w:val="EndnoteReference"/>
          <w:rFonts w:ascii="Gill Sans" w:hAnsi="Gill Sans" w:cs="Gill Sans"/>
          <w:sz w:val="22"/>
          <w:szCs w:val="22"/>
          <w:lang w:val="en-GB"/>
        </w:rPr>
        <w:endnoteReference w:id="50"/>
      </w:r>
      <w:r w:rsidR="005103E3" w:rsidRPr="00662C6C">
        <w:rPr>
          <w:rFonts w:ascii="Gill Sans" w:hAnsi="Gill Sans" w:cs="Gill Sans"/>
          <w:sz w:val="22"/>
          <w:szCs w:val="22"/>
          <w:lang w:val="en-GB"/>
        </w:rPr>
        <w:t xml:space="preserve"> </w:t>
      </w:r>
      <w:r w:rsidR="005103E3" w:rsidRPr="00662C6C">
        <w:rPr>
          <w:rFonts w:ascii="Gill Sans" w:hAnsi="Gill Sans" w:cs="Gill Sans"/>
          <w:noProof/>
          <w:sz w:val="22"/>
          <w:szCs w:val="22"/>
          <w:lang w:val="en-GB"/>
        </w:rPr>
        <w:t>Another methodology</w:t>
      </w:r>
      <w:r w:rsidR="00F56E87">
        <w:rPr>
          <w:rFonts w:ascii="Gill Sans" w:hAnsi="Gill Sans" w:cs="Gill Sans"/>
          <w:noProof/>
          <w:sz w:val="22"/>
          <w:szCs w:val="22"/>
          <w:lang w:val="en-GB"/>
        </w:rPr>
        <w:t xml:space="preserve"> </w:t>
      </w:r>
      <w:r w:rsidR="00F56E87" w:rsidRPr="00662C6C">
        <w:rPr>
          <w:rFonts w:ascii="Gill Sans" w:hAnsi="Gill Sans" w:cs="Gill Sans"/>
          <w:sz w:val="22"/>
          <w:szCs w:val="22"/>
          <w:lang w:val="en-GB"/>
        </w:rPr>
        <w:t>—</w:t>
      </w:r>
      <w:r w:rsidR="00F56E87">
        <w:rPr>
          <w:rFonts w:ascii="Gill Sans" w:hAnsi="Gill Sans" w:cs="Gill Sans"/>
          <w:sz w:val="22"/>
          <w:szCs w:val="22"/>
          <w:lang w:val="en-GB"/>
        </w:rPr>
        <w:t xml:space="preserve"> </w:t>
      </w:r>
      <w:r w:rsidR="00F56E87" w:rsidRPr="00662C6C">
        <w:rPr>
          <w:rFonts w:ascii="Gill Sans" w:hAnsi="Gill Sans" w:cs="Gill Sans"/>
          <w:sz w:val="22"/>
          <w:szCs w:val="22"/>
          <w:lang w:val="en-GB"/>
        </w:rPr>
        <w:t>the Manual for Assessment of Corruption Risks and Development of Anti-Corruption Action Plans</w:t>
      </w:r>
      <w:r w:rsidR="00F56E87">
        <w:rPr>
          <w:rFonts w:ascii="Gill Sans" w:hAnsi="Gill Sans" w:cs="Gill Sans"/>
          <w:sz w:val="22"/>
          <w:szCs w:val="22"/>
          <w:lang w:val="en-GB"/>
        </w:rPr>
        <w:t xml:space="preserve"> — </w:t>
      </w:r>
      <w:r w:rsidR="005103E3" w:rsidRPr="00662C6C">
        <w:rPr>
          <w:rFonts w:ascii="Gill Sans" w:hAnsi="Gill Sans" w:cs="Gill Sans"/>
          <w:noProof/>
          <w:sz w:val="22"/>
          <w:szCs w:val="22"/>
          <w:lang w:val="en-GB"/>
        </w:rPr>
        <w:t xml:space="preserve"> was developed </w:t>
      </w:r>
      <w:r w:rsidR="00F56E87">
        <w:rPr>
          <w:rFonts w:ascii="Gill Sans" w:hAnsi="Gill Sans" w:cs="Gill Sans"/>
          <w:noProof/>
          <w:sz w:val="22"/>
          <w:szCs w:val="22"/>
          <w:lang w:val="en-GB"/>
        </w:rPr>
        <w:t>by</w:t>
      </w:r>
      <w:r w:rsidR="00F56E87" w:rsidRPr="00662C6C">
        <w:rPr>
          <w:rFonts w:ascii="Gill Sans" w:hAnsi="Gill Sans" w:cs="Gill Sans"/>
          <w:noProof/>
          <w:sz w:val="22"/>
          <w:szCs w:val="22"/>
          <w:lang w:val="en-GB"/>
        </w:rPr>
        <w:t xml:space="preserve"> </w:t>
      </w:r>
      <w:r w:rsidR="005103E3" w:rsidRPr="00662C6C">
        <w:rPr>
          <w:rFonts w:ascii="Gill Sans" w:hAnsi="Gill Sans" w:cs="Gill Sans"/>
          <w:noProof/>
          <w:sz w:val="22"/>
          <w:szCs w:val="22"/>
          <w:lang w:val="en-GB"/>
        </w:rPr>
        <w:t>the USAID-funded project</w:t>
      </w:r>
      <w:r w:rsidR="00F56E87">
        <w:rPr>
          <w:rFonts w:ascii="Gill Sans" w:hAnsi="Gill Sans" w:cs="Gill Sans"/>
          <w:noProof/>
          <w:sz w:val="22"/>
          <w:szCs w:val="22"/>
          <w:lang w:val="en-GB"/>
        </w:rPr>
        <w:t>,</w:t>
      </w:r>
      <w:r w:rsidR="005103E3" w:rsidRPr="00662C6C">
        <w:rPr>
          <w:rFonts w:ascii="Gill Sans" w:hAnsi="Gill Sans" w:cs="Gill Sans"/>
          <w:noProof/>
          <w:sz w:val="22"/>
          <w:szCs w:val="22"/>
          <w:lang w:val="en-GB"/>
        </w:rPr>
        <w:t xml:space="preserve"> </w:t>
      </w:r>
      <w:r w:rsidR="005103E3" w:rsidRPr="00662C6C">
        <w:rPr>
          <w:rFonts w:ascii="Gill Sans" w:hAnsi="Gill Sans" w:cs="Gill Sans"/>
          <w:sz w:val="22"/>
          <w:szCs w:val="22"/>
          <w:lang w:val="en-GB"/>
        </w:rPr>
        <w:t xml:space="preserve">FINREP-II. </w:t>
      </w:r>
      <w:r w:rsidR="005103E3" w:rsidRPr="00662C6C">
        <w:rPr>
          <w:rFonts w:ascii="Gill Sans" w:hAnsi="Gill Sans" w:cs="Gill Sans"/>
          <w:noProof/>
          <w:sz w:val="22"/>
          <w:szCs w:val="22"/>
          <w:lang w:val="en-GB"/>
        </w:rPr>
        <w:t xml:space="preserve">The manual </w:t>
      </w:r>
      <w:r w:rsidR="001B53C1">
        <w:rPr>
          <w:rFonts w:ascii="Gill Sans" w:hAnsi="Gill Sans" w:cs="Gill Sans"/>
          <w:noProof/>
          <w:sz w:val="22"/>
          <w:szCs w:val="22"/>
          <w:lang w:val="en-GB"/>
        </w:rPr>
        <w:t>was</w:t>
      </w:r>
      <w:r w:rsidR="005103E3" w:rsidRPr="00662C6C">
        <w:rPr>
          <w:rFonts w:ascii="Gill Sans" w:hAnsi="Gill Sans" w:cs="Gill Sans"/>
          <w:noProof/>
          <w:sz w:val="22"/>
          <w:szCs w:val="22"/>
          <w:lang w:val="en-GB"/>
        </w:rPr>
        <w:t xml:space="preserve"> based on the new anti-corruption law</w:t>
      </w:r>
      <w:r w:rsidR="00F56E87">
        <w:rPr>
          <w:rFonts w:ascii="Gill Sans" w:hAnsi="Gill Sans" w:cs="Gill Sans"/>
          <w:noProof/>
          <w:sz w:val="22"/>
          <w:szCs w:val="22"/>
          <w:lang w:val="en-GB"/>
        </w:rPr>
        <w:t>,</w:t>
      </w:r>
      <w:r w:rsidR="005103E3" w:rsidRPr="00662C6C">
        <w:rPr>
          <w:rFonts w:ascii="Gill Sans" w:hAnsi="Gill Sans" w:cs="Gill Sans"/>
          <w:noProof/>
          <w:sz w:val="22"/>
          <w:szCs w:val="22"/>
          <w:lang w:val="en-GB"/>
        </w:rPr>
        <w:t xml:space="preserve"> requirements of the international standard ISO/IEC 31000:2009 risk management, as well as foreign experience.</w:t>
      </w:r>
      <w:r w:rsidR="005103E3" w:rsidRPr="00662C6C">
        <w:rPr>
          <w:rStyle w:val="EndnoteReference"/>
          <w:rFonts w:ascii="Gill Sans" w:hAnsi="Gill Sans" w:cs="Gill Sans"/>
          <w:noProof/>
          <w:sz w:val="22"/>
          <w:szCs w:val="22"/>
          <w:lang w:val="en-GB"/>
        </w:rPr>
        <w:endnoteReference w:id="51"/>
      </w:r>
      <w:r w:rsidR="005725FA" w:rsidRPr="00662C6C">
        <w:rPr>
          <w:rFonts w:ascii="Gill Sans" w:hAnsi="Gill Sans" w:cs="Gill Sans"/>
          <w:noProof/>
          <w:sz w:val="22"/>
          <w:szCs w:val="22"/>
          <w:lang w:val="en-GB"/>
        </w:rPr>
        <w:t xml:space="preserve"> </w:t>
      </w:r>
      <w:r w:rsidR="005103E3" w:rsidRPr="00662C6C">
        <w:rPr>
          <w:rFonts w:ascii="Gill Sans" w:hAnsi="Gill Sans" w:cs="Gill Sans"/>
          <w:sz w:val="22"/>
          <w:szCs w:val="22"/>
          <w:lang w:val="en-GB"/>
        </w:rPr>
        <w:t xml:space="preserve">There was no information on </w:t>
      </w:r>
      <w:r w:rsidR="00F56E87" w:rsidRPr="00662C6C">
        <w:rPr>
          <w:rFonts w:ascii="Gill Sans" w:hAnsi="Gill Sans" w:cs="Gill Sans"/>
          <w:sz w:val="22"/>
          <w:szCs w:val="22"/>
          <w:lang w:val="en-GB"/>
        </w:rPr>
        <w:t>civil society</w:t>
      </w:r>
      <w:r w:rsidR="00F56E87">
        <w:rPr>
          <w:rFonts w:ascii="Gill Sans" w:hAnsi="Gill Sans" w:cs="Gill Sans"/>
          <w:sz w:val="22"/>
          <w:szCs w:val="22"/>
          <w:lang w:val="en-GB"/>
        </w:rPr>
        <w:t>’s</w:t>
      </w:r>
      <w:r w:rsidR="00F56E87" w:rsidRPr="00662C6C">
        <w:rPr>
          <w:rFonts w:ascii="Gill Sans" w:hAnsi="Gill Sans" w:cs="Gill Sans"/>
          <w:sz w:val="22"/>
          <w:szCs w:val="22"/>
          <w:lang w:val="en-GB"/>
        </w:rPr>
        <w:t xml:space="preserve"> </w:t>
      </w:r>
      <w:r w:rsidR="005103E3" w:rsidRPr="00662C6C">
        <w:rPr>
          <w:rFonts w:ascii="Gill Sans" w:hAnsi="Gill Sans" w:cs="Gill Sans"/>
          <w:sz w:val="22"/>
          <w:szCs w:val="22"/>
          <w:lang w:val="en-GB"/>
        </w:rPr>
        <w:t xml:space="preserve">involvement in the </w:t>
      </w:r>
      <w:r w:rsidR="005103E3" w:rsidRPr="00662C6C">
        <w:rPr>
          <w:rFonts w:ascii="Gill Sans" w:hAnsi="Gill Sans" w:cs="Gill Sans"/>
          <w:sz w:val="22"/>
          <w:szCs w:val="22"/>
          <w:lang w:val="en-GB"/>
        </w:rPr>
        <w:lastRenderedPageBreak/>
        <w:t xml:space="preserve">development of the methodology by the Ministry of Justice or by the donor-funded project. It </w:t>
      </w:r>
      <w:r w:rsidR="005725FA" w:rsidRPr="00662C6C">
        <w:rPr>
          <w:rFonts w:ascii="Gill Sans" w:hAnsi="Gill Sans" w:cs="Gill Sans"/>
          <w:sz w:val="22"/>
          <w:szCs w:val="22"/>
          <w:lang w:val="en-GB"/>
        </w:rPr>
        <w:t>was</w:t>
      </w:r>
      <w:r w:rsidR="005103E3" w:rsidRPr="00662C6C">
        <w:rPr>
          <w:rFonts w:ascii="Gill Sans" w:hAnsi="Gill Sans" w:cs="Gill Sans"/>
          <w:sz w:val="22"/>
          <w:szCs w:val="22"/>
          <w:lang w:val="en-GB"/>
        </w:rPr>
        <w:t xml:space="preserve"> not clear how the two methodologies correlate and </w:t>
      </w:r>
      <w:r w:rsidR="00F56E87">
        <w:rPr>
          <w:rFonts w:ascii="Gill Sans" w:hAnsi="Gill Sans" w:cs="Gill Sans"/>
          <w:sz w:val="22"/>
          <w:szCs w:val="22"/>
          <w:lang w:val="en-GB"/>
        </w:rPr>
        <w:t xml:space="preserve">would </w:t>
      </w:r>
      <w:r w:rsidR="005103E3" w:rsidRPr="00662C6C">
        <w:rPr>
          <w:rFonts w:ascii="Gill Sans" w:hAnsi="Gill Sans" w:cs="Gill Sans"/>
          <w:sz w:val="22"/>
          <w:szCs w:val="22"/>
          <w:lang w:val="en-GB"/>
        </w:rPr>
        <w:t xml:space="preserve">be used, </w:t>
      </w:r>
      <w:r w:rsidR="00F56E87">
        <w:rPr>
          <w:rFonts w:ascii="Gill Sans" w:hAnsi="Gill Sans" w:cs="Gill Sans"/>
          <w:sz w:val="22"/>
          <w:szCs w:val="22"/>
          <w:lang w:val="en-GB"/>
        </w:rPr>
        <w:t>especially since</w:t>
      </w:r>
      <w:r w:rsidR="005103E3" w:rsidRPr="00662C6C">
        <w:rPr>
          <w:rFonts w:ascii="Gill Sans" w:hAnsi="Gill Sans" w:cs="Gill Sans"/>
          <w:sz w:val="22"/>
          <w:szCs w:val="22"/>
          <w:lang w:val="en-GB"/>
        </w:rPr>
        <w:t xml:space="preserve"> they duplicate</w:t>
      </w:r>
      <w:r w:rsidR="005725FA" w:rsidRPr="00662C6C">
        <w:rPr>
          <w:rFonts w:ascii="Gill Sans" w:hAnsi="Gill Sans" w:cs="Gill Sans"/>
          <w:sz w:val="22"/>
          <w:szCs w:val="22"/>
          <w:lang w:val="en-GB"/>
        </w:rPr>
        <w:t xml:space="preserve">d </w:t>
      </w:r>
      <w:r w:rsidR="006677A3">
        <w:rPr>
          <w:rFonts w:ascii="Gill Sans" w:hAnsi="Gill Sans" w:cs="Gill Sans"/>
          <w:sz w:val="22"/>
          <w:szCs w:val="22"/>
          <w:lang w:val="en-GB"/>
        </w:rPr>
        <w:t>one</w:t>
      </w:r>
      <w:r w:rsidR="006677A3" w:rsidRPr="00662C6C">
        <w:rPr>
          <w:rFonts w:ascii="Gill Sans" w:hAnsi="Gill Sans" w:cs="Gill Sans"/>
          <w:sz w:val="22"/>
          <w:szCs w:val="22"/>
          <w:lang w:val="en-GB"/>
        </w:rPr>
        <w:t xml:space="preserve"> </w:t>
      </w:r>
      <w:r w:rsidR="005725FA" w:rsidRPr="00662C6C">
        <w:rPr>
          <w:rFonts w:ascii="Gill Sans" w:hAnsi="Gill Sans" w:cs="Gill Sans"/>
          <w:sz w:val="22"/>
          <w:szCs w:val="22"/>
          <w:lang w:val="en-GB"/>
        </w:rPr>
        <w:t>other</w:t>
      </w:r>
      <w:r w:rsidR="001B5498" w:rsidRPr="00662C6C">
        <w:rPr>
          <w:rFonts w:ascii="Gill Sans" w:hAnsi="Gill Sans" w:cs="Gill Sans"/>
          <w:sz w:val="22"/>
          <w:szCs w:val="22"/>
          <w:lang w:val="en-GB"/>
        </w:rPr>
        <w:t>.</w:t>
      </w:r>
      <w:r w:rsidR="001B5498" w:rsidRPr="00662C6C">
        <w:rPr>
          <w:rStyle w:val="EndnoteReference"/>
          <w:rFonts w:ascii="Gill Sans" w:hAnsi="Gill Sans" w:cs="Gill Sans"/>
          <w:sz w:val="22"/>
          <w:szCs w:val="22"/>
          <w:lang w:val="en-GB"/>
        </w:rPr>
        <w:endnoteReference w:id="52"/>
      </w:r>
    </w:p>
    <w:p w14:paraId="2E1BC293" w14:textId="46895892" w:rsidR="001B5498" w:rsidRPr="00662C6C" w:rsidRDefault="001B5498" w:rsidP="00662C6C">
      <w:pPr>
        <w:pStyle w:val="Normalrglronly"/>
        <w:rPr>
          <w:b/>
          <w:lang w:val="en-US"/>
        </w:rPr>
      </w:pPr>
      <w:r w:rsidRPr="00662C6C">
        <w:rPr>
          <w:b/>
          <w:lang w:val="en-GB"/>
        </w:rPr>
        <w:t xml:space="preserve">End of term: </w:t>
      </w:r>
      <w:r w:rsidR="00C265FB" w:rsidRPr="00662C6C">
        <w:rPr>
          <w:b/>
          <w:lang w:val="en-GB"/>
        </w:rPr>
        <w:t>Substantial</w:t>
      </w:r>
    </w:p>
    <w:p w14:paraId="60328841" w14:textId="381FB180" w:rsidR="00C265FB" w:rsidRPr="00C265FB" w:rsidRDefault="006677A3" w:rsidP="00561192">
      <w:pPr>
        <w:spacing w:after="120"/>
        <w:rPr>
          <w:rFonts w:ascii="Gill Sans" w:hAnsi="Gill Sans" w:cs="Gill Sans"/>
          <w:noProof/>
          <w:sz w:val="22"/>
          <w:szCs w:val="22"/>
        </w:rPr>
      </w:pPr>
      <w:r>
        <w:rPr>
          <w:rFonts w:ascii="Gill Sans" w:hAnsi="Gill Sans" w:cs="Gill Sans"/>
          <w:noProof/>
          <w:sz w:val="22"/>
          <w:szCs w:val="22"/>
          <w:lang w:val="en-GB"/>
        </w:rPr>
        <w:t>At the start</w:t>
      </w:r>
      <w:r w:rsidR="00CB085D">
        <w:rPr>
          <w:rFonts w:ascii="Gill Sans" w:hAnsi="Gill Sans" w:cs="Gill Sans"/>
          <w:noProof/>
          <w:sz w:val="22"/>
          <w:szCs w:val="22"/>
          <w:lang w:val="en-GB"/>
        </w:rPr>
        <w:t xml:space="preserve"> of December 2016</w:t>
      </w:r>
      <w:r w:rsidR="001B53C1">
        <w:rPr>
          <w:rFonts w:ascii="Gill Sans" w:hAnsi="Gill Sans" w:cs="Gill Sans"/>
          <w:noProof/>
          <w:sz w:val="22"/>
          <w:szCs w:val="22"/>
          <w:lang w:val="en-GB"/>
        </w:rPr>
        <w:t>,</w:t>
      </w:r>
      <w:r w:rsidR="00CB085D">
        <w:rPr>
          <w:rFonts w:ascii="Gill Sans" w:hAnsi="Gill Sans" w:cs="Gill Sans"/>
          <w:noProof/>
          <w:sz w:val="22"/>
          <w:szCs w:val="22"/>
          <w:lang w:val="en-GB"/>
        </w:rPr>
        <w:t xml:space="preserve"> the NACP adopted </w:t>
      </w:r>
      <w:r w:rsidR="007D5D8C">
        <w:rPr>
          <w:rFonts w:ascii="Gill Sans" w:hAnsi="Gill Sans" w:cs="Gill Sans"/>
          <w:noProof/>
          <w:sz w:val="22"/>
          <w:szCs w:val="22"/>
          <w:lang w:val="en-GB"/>
        </w:rPr>
        <w:t xml:space="preserve">the </w:t>
      </w:r>
      <w:r>
        <w:rPr>
          <w:rFonts w:ascii="Gill Sans" w:hAnsi="Gill Sans" w:cs="Gill Sans"/>
          <w:noProof/>
          <w:sz w:val="22"/>
          <w:szCs w:val="22"/>
          <w:lang w:val="en-GB"/>
        </w:rPr>
        <w:t>m</w:t>
      </w:r>
      <w:r w:rsidR="00CB085D">
        <w:rPr>
          <w:rFonts w:ascii="Gill Sans" w:hAnsi="Gill Sans" w:cs="Gill Sans"/>
          <w:noProof/>
          <w:sz w:val="22"/>
          <w:szCs w:val="22"/>
          <w:lang w:val="en-GB"/>
        </w:rPr>
        <w:t>ethodology for assess</w:t>
      </w:r>
      <w:r w:rsidR="00F56E87">
        <w:rPr>
          <w:rFonts w:ascii="Gill Sans" w:hAnsi="Gill Sans" w:cs="Gill Sans"/>
          <w:noProof/>
          <w:sz w:val="22"/>
          <w:szCs w:val="22"/>
          <w:lang w:val="en-GB"/>
        </w:rPr>
        <w:t>ing</w:t>
      </w:r>
      <w:r w:rsidR="00CB085D">
        <w:rPr>
          <w:rFonts w:ascii="Gill Sans" w:hAnsi="Gill Sans" w:cs="Gill Sans"/>
          <w:noProof/>
          <w:sz w:val="22"/>
          <w:szCs w:val="22"/>
          <w:lang w:val="en-GB"/>
        </w:rPr>
        <w:t xml:space="preserve"> corruption risks in </w:t>
      </w:r>
      <w:r w:rsidR="00F8723F">
        <w:rPr>
          <w:rFonts w:ascii="Gill Sans" w:hAnsi="Gill Sans" w:cs="Gill Sans"/>
          <w:noProof/>
          <w:sz w:val="22"/>
          <w:szCs w:val="22"/>
          <w:lang w:val="en-GB"/>
        </w:rPr>
        <w:t>the activit</w:t>
      </w:r>
      <w:r>
        <w:rPr>
          <w:rFonts w:ascii="Gill Sans" w:hAnsi="Gill Sans" w:cs="Gill Sans"/>
          <w:noProof/>
          <w:sz w:val="22"/>
          <w:szCs w:val="22"/>
          <w:lang w:val="en-GB"/>
        </w:rPr>
        <w:t>ies</w:t>
      </w:r>
      <w:r w:rsidR="00F8723F">
        <w:rPr>
          <w:rFonts w:ascii="Gill Sans" w:hAnsi="Gill Sans" w:cs="Gill Sans"/>
          <w:noProof/>
          <w:sz w:val="22"/>
          <w:szCs w:val="22"/>
          <w:lang w:val="en-GB"/>
        </w:rPr>
        <w:t xml:space="preserve"> of public authorities</w:t>
      </w:r>
      <w:r w:rsidR="001B5498">
        <w:rPr>
          <w:rFonts w:ascii="Gill Sans" w:hAnsi="Gill Sans" w:cs="Gill Sans"/>
          <w:noProof/>
          <w:sz w:val="22"/>
          <w:szCs w:val="22"/>
        </w:rPr>
        <w:t>.</w:t>
      </w:r>
      <w:r w:rsidR="00CC6504">
        <w:rPr>
          <w:rStyle w:val="EndnoteReference"/>
          <w:rFonts w:ascii="Gill Sans" w:hAnsi="Gill Sans" w:cs="Gill Sans"/>
          <w:noProof/>
          <w:sz w:val="22"/>
          <w:szCs w:val="22"/>
        </w:rPr>
        <w:endnoteReference w:id="53"/>
      </w:r>
      <w:r w:rsidR="00F8723F">
        <w:rPr>
          <w:rFonts w:ascii="Gill Sans" w:hAnsi="Gill Sans" w:cs="Gill Sans"/>
          <w:noProof/>
          <w:sz w:val="22"/>
          <w:szCs w:val="22"/>
        </w:rPr>
        <w:t xml:space="preserve"> </w:t>
      </w:r>
      <w:r w:rsidR="006E6EE3">
        <w:rPr>
          <w:rFonts w:ascii="Gill Sans" w:hAnsi="Gill Sans" w:cs="Gill Sans"/>
          <w:noProof/>
          <w:sz w:val="22"/>
          <w:szCs w:val="22"/>
        </w:rPr>
        <w:t xml:space="preserve">Development of such </w:t>
      </w:r>
      <w:r w:rsidR="00F56E87">
        <w:rPr>
          <w:rFonts w:ascii="Gill Sans" w:hAnsi="Gill Sans" w:cs="Gill Sans"/>
          <w:noProof/>
          <w:sz w:val="22"/>
          <w:szCs w:val="22"/>
        </w:rPr>
        <w:t xml:space="preserve">a </w:t>
      </w:r>
      <w:r w:rsidR="006E6EE3">
        <w:rPr>
          <w:rFonts w:ascii="Gill Sans" w:hAnsi="Gill Sans" w:cs="Gill Sans"/>
          <w:noProof/>
          <w:sz w:val="22"/>
          <w:szCs w:val="22"/>
        </w:rPr>
        <w:t>methodology is required by the Law on Corruption Prevention. The draft methodology was discussed with the public</w:t>
      </w:r>
      <w:r w:rsidR="005B3A16">
        <w:rPr>
          <w:rFonts w:ascii="Gill Sans" w:hAnsi="Gill Sans" w:cs="Gill Sans"/>
          <w:noProof/>
          <w:sz w:val="22"/>
          <w:szCs w:val="22"/>
        </w:rPr>
        <w:t>,</w:t>
      </w:r>
      <w:r w:rsidR="00F0643E">
        <w:rPr>
          <w:rStyle w:val="EndnoteReference"/>
          <w:rFonts w:ascii="Gill Sans" w:hAnsi="Gill Sans" w:cs="Gill Sans"/>
          <w:noProof/>
          <w:sz w:val="22"/>
          <w:szCs w:val="22"/>
        </w:rPr>
        <w:endnoteReference w:id="54"/>
      </w:r>
      <w:r w:rsidR="006E6EE3">
        <w:rPr>
          <w:rFonts w:ascii="Gill Sans" w:hAnsi="Gill Sans" w:cs="Gill Sans"/>
          <w:noProof/>
          <w:sz w:val="22"/>
          <w:szCs w:val="22"/>
        </w:rPr>
        <w:t xml:space="preserve"> and reviewed by the Council of Europe experts.</w:t>
      </w:r>
      <w:r w:rsidR="007F4A89">
        <w:rPr>
          <w:rFonts w:ascii="Gill Sans" w:hAnsi="Gill Sans" w:cs="Gill Sans"/>
          <w:noProof/>
          <w:sz w:val="22"/>
          <w:szCs w:val="22"/>
        </w:rPr>
        <w:t xml:space="preserve"> </w:t>
      </w:r>
      <w:r w:rsidR="00B647AD">
        <w:rPr>
          <w:rFonts w:ascii="Gill Sans" w:hAnsi="Gill Sans" w:cs="Gill Sans"/>
          <w:noProof/>
          <w:sz w:val="22"/>
          <w:szCs w:val="22"/>
        </w:rPr>
        <w:t xml:space="preserve">It will </w:t>
      </w:r>
      <w:r w:rsidR="003A784B">
        <w:rPr>
          <w:rFonts w:ascii="Gill Sans" w:hAnsi="Gill Sans" w:cs="Gill Sans"/>
          <w:noProof/>
          <w:sz w:val="22"/>
          <w:szCs w:val="22"/>
        </w:rPr>
        <w:t xml:space="preserve">come into force </w:t>
      </w:r>
      <w:r w:rsidR="00B647AD">
        <w:rPr>
          <w:rFonts w:ascii="Gill Sans" w:hAnsi="Gill Sans" w:cs="Gill Sans"/>
          <w:noProof/>
          <w:sz w:val="22"/>
          <w:szCs w:val="22"/>
        </w:rPr>
        <w:t xml:space="preserve">after </w:t>
      </w:r>
      <w:r w:rsidR="00F56E87">
        <w:rPr>
          <w:rFonts w:ascii="Gill Sans" w:hAnsi="Gill Sans" w:cs="Gill Sans"/>
          <w:noProof/>
          <w:sz w:val="22"/>
          <w:szCs w:val="22"/>
        </w:rPr>
        <w:t xml:space="preserve">its </w:t>
      </w:r>
      <w:r w:rsidR="00B647AD">
        <w:rPr>
          <w:rFonts w:ascii="Gill Sans" w:hAnsi="Gill Sans" w:cs="Gill Sans"/>
          <w:noProof/>
          <w:sz w:val="22"/>
          <w:szCs w:val="22"/>
        </w:rPr>
        <w:t xml:space="preserve">registration </w:t>
      </w:r>
      <w:r w:rsidR="00F56E87">
        <w:rPr>
          <w:rFonts w:ascii="Gill Sans" w:hAnsi="Gill Sans" w:cs="Gill Sans"/>
          <w:noProof/>
          <w:sz w:val="22"/>
          <w:szCs w:val="22"/>
        </w:rPr>
        <w:t xml:space="preserve">and publication </w:t>
      </w:r>
      <w:r w:rsidR="003A784B">
        <w:rPr>
          <w:rFonts w:ascii="Gill Sans" w:hAnsi="Gill Sans" w:cs="Gill Sans"/>
          <w:noProof/>
          <w:sz w:val="22"/>
          <w:szCs w:val="22"/>
        </w:rPr>
        <w:t xml:space="preserve">by </w:t>
      </w:r>
      <w:r w:rsidR="00B647AD">
        <w:rPr>
          <w:rFonts w:ascii="Gill Sans" w:hAnsi="Gill Sans" w:cs="Gill Sans"/>
          <w:noProof/>
          <w:sz w:val="22"/>
          <w:szCs w:val="22"/>
        </w:rPr>
        <w:t>the Ministry of Justice.</w:t>
      </w:r>
      <w:r w:rsidR="00C265FB">
        <w:rPr>
          <w:rFonts w:ascii="Gill Sans" w:hAnsi="Gill Sans" w:cs="Gill Sans"/>
          <w:noProof/>
          <w:sz w:val="22"/>
          <w:szCs w:val="22"/>
        </w:rPr>
        <w:t xml:space="preserve"> The commitment concerned approval by the Ministry of Justice of the </w:t>
      </w:r>
      <w:r w:rsidR="00C265FB" w:rsidRPr="00C265FB">
        <w:rPr>
          <w:rFonts w:ascii="Gill Sans" w:hAnsi="Gill Sans" w:cs="Gill Sans"/>
          <w:sz w:val="22"/>
          <w:szCs w:val="22"/>
          <w:lang w:val="en-GB"/>
        </w:rPr>
        <w:t>methodological recommendations identif</w:t>
      </w:r>
      <w:r w:rsidR="00F56E87">
        <w:rPr>
          <w:rFonts w:ascii="Gill Sans" w:hAnsi="Gill Sans" w:cs="Gill Sans"/>
          <w:sz w:val="22"/>
          <w:szCs w:val="22"/>
          <w:lang w:val="en-GB"/>
        </w:rPr>
        <w:t xml:space="preserve">ying </w:t>
      </w:r>
      <w:r w:rsidR="00C265FB" w:rsidRPr="00C265FB">
        <w:rPr>
          <w:rFonts w:ascii="Gill Sans" w:hAnsi="Gill Sans" w:cs="Gill Sans"/>
          <w:sz w:val="22"/>
          <w:szCs w:val="22"/>
          <w:lang w:val="en-GB"/>
        </w:rPr>
        <w:t xml:space="preserve">corruption risks in </w:t>
      </w:r>
      <w:r w:rsidR="005B3A16">
        <w:rPr>
          <w:rFonts w:ascii="Gill Sans" w:hAnsi="Gill Sans" w:cs="Gill Sans"/>
          <w:sz w:val="22"/>
          <w:szCs w:val="22"/>
          <w:lang w:val="en-GB"/>
        </w:rPr>
        <w:t xml:space="preserve">the work of </w:t>
      </w:r>
      <w:r w:rsidR="00C265FB" w:rsidRPr="00C265FB">
        <w:rPr>
          <w:rFonts w:ascii="Gill Sans" w:hAnsi="Gill Sans" w:cs="Gill Sans"/>
          <w:sz w:val="22"/>
          <w:szCs w:val="22"/>
          <w:lang w:val="en-GB"/>
        </w:rPr>
        <w:t>justice officials</w:t>
      </w:r>
      <w:r w:rsidR="00C265FB">
        <w:rPr>
          <w:rFonts w:ascii="Gill Sans" w:hAnsi="Gill Sans" w:cs="Gill Sans"/>
          <w:sz w:val="22"/>
          <w:szCs w:val="22"/>
          <w:lang w:val="en-GB"/>
        </w:rPr>
        <w:t xml:space="preserve">. </w:t>
      </w:r>
      <w:r w:rsidR="00F56E87">
        <w:rPr>
          <w:rFonts w:ascii="Gill Sans" w:hAnsi="Gill Sans" w:cs="Gill Sans"/>
          <w:sz w:val="22"/>
          <w:szCs w:val="22"/>
          <w:lang w:val="en-GB"/>
        </w:rPr>
        <w:t>T</w:t>
      </w:r>
      <w:r w:rsidR="00C27F7A">
        <w:rPr>
          <w:rFonts w:ascii="Gill Sans" w:hAnsi="Gill Sans" w:cs="Gill Sans"/>
          <w:sz w:val="22"/>
          <w:szCs w:val="22"/>
          <w:lang w:val="en-GB"/>
        </w:rPr>
        <w:t xml:space="preserve">he </w:t>
      </w:r>
      <w:r w:rsidR="005B3A16">
        <w:rPr>
          <w:rFonts w:ascii="Gill Sans" w:hAnsi="Gill Sans" w:cs="Gill Sans"/>
          <w:sz w:val="22"/>
          <w:szCs w:val="22"/>
          <w:lang w:val="en-GB"/>
        </w:rPr>
        <w:t>g</w:t>
      </w:r>
      <w:r w:rsidR="00C27F7A">
        <w:rPr>
          <w:rFonts w:ascii="Gill Sans" w:hAnsi="Gill Sans" w:cs="Gill Sans"/>
          <w:sz w:val="22"/>
          <w:szCs w:val="22"/>
          <w:lang w:val="en-GB"/>
        </w:rPr>
        <w:t>overnment</w:t>
      </w:r>
      <w:r w:rsidR="00F56E87">
        <w:rPr>
          <w:rFonts w:ascii="Gill Sans" w:hAnsi="Gill Sans" w:cs="Gill Sans"/>
          <w:sz w:val="22"/>
          <w:szCs w:val="22"/>
          <w:lang w:val="en-GB"/>
        </w:rPr>
        <w:t>’s</w:t>
      </w:r>
      <w:r w:rsidR="00C27F7A">
        <w:rPr>
          <w:rFonts w:ascii="Gill Sans" w:hAnsi="Gill Sans" w:cs="Gill Sans"/>
          <w:sz w:val="22"/>
          <w:szCs w:val="22"/>
          <w:lang w:val="en-GB"/>
        </w:rPr>
        <w:t xml:space="preserve"> self-assessment report</w:t>
      </w:r>
      <w:r w:rsidR="00F56E87">
        <w:rPr>
          <w:rFonts w:ascii="Gill Sans" w:hAnsi="Gill Sans" w:cs="Gill Sans"/>
          <w:sz w:val="22"/>
          <w:szCs w:val="22"/>
          <w:lang w:val="en-GB"/>
        </w:rPr>
        <w:t>ed that</w:t>
      </w:r>
      <w:r w:rsidR="00C27F7A">
        <w:rPr>
          <w:rFonts w:ascii="Gill Sans" w:hAnsi="Gill Sans" w:cs="Gill Sans"/>
          <w:sz w:val="22"/>
          <w:szCs w:val="22"/>
          <w:lang w:val="en-GB"/>
        </w:rPr>
        <w:t xml:space="preserve"> such recommendations </w:t>
      </w:r>
      <w:r w:rsidR="00561192">
        <w:rPr>
          <w:rFonts w:ascii="Gill Sans" w:hAnsi="Gill Sans" w:cs="Gill Sans"/>
          <w:sz w:val="22"/>
          <w:szCs w:val="22"/>
          <w:lang w:val="en-GB"/>
        </w:rPr>
        <w:t xml:space="preserve">could </w:t>
      </w:r>
      <w:r w:rsidR="00C27F7A">
        <w:rPr>
          <w:rFonts w:ascii="Gill Sans" w:hAnsi="Gill Sans" w:cs="Gill Sans"/>
          <w:sz w:val="22"/>
          <w:szCs w:val="22"/>
          <w:lang w:val="en-GB"/>
        </w:rPr>
        <w:t>be developed</w:t>
      </w:r>
      <w:r w:rsidR="005B3A16">
        <w:rPr>
          <w:rFonts w:ascii="Gill Sans" w:hAnsi="Gill Sans" w:cs="Gill Sans"/>
          <w:sz w:val="22"/>
          <w:szCs w:val="22"/>
          <w:lang w:val="en-GB"/>
        </w:rPr>
        <w:t xml:space="preserve"> </w:t>
      </w:r>
      <w:r w:rsidR="0020660D">
        <w:rPr>
          <w:rFonts w:ascii="Gill Sans" w:hAnsi="Gill Sans" w:cs="Gill Sans"/>
          <w:sz w:val="22"/>
          <w:szCs w:val="22"/>
          <w:lang w:val="en-GB"/>
        </w:rPr>
        <w:t>based on</w:t>
      </w:r>
      <w:r w:rsidR="00C27F7A">
        <w:rPr>
          <w:rFonts w:ascii="Gill Sans" w:hAnsi="Gill Sans" w:cs="Gill Sans"/>
          <w:sz w:val="22"/>
          <w:szCs w:val="22"/>
          <w:lang w:val="en-GB"/>
        </w:rPr>
        <w:t xml:space="preserve"> the NAC</w:t>
      </w:r>
      <w:r w:rsidR="00FB0C31">
        <w:rPr>
          <w:rFonts w:ascii="Gill Sans" w:hAnsi="Gill Sans" w:cs="Gill Sans"/>
          <w:sz w:val="22"/>
          <w:szCs w:val="22"/>
          <w:lang w:val="en-GB"/>
        </w:rPr>
        <w:t>P general risk assessment methodolo</w:t>
      </w:r>
      <w:r w:rsidR="00C27F7A">
        <w:rPr>
          <w:rFonts w:ascii="Gill Sans" w:hAnsi="Gill Sans" w:cs="Gill Sans"/>
          <w:sz w:val="22"/>
          <w:szCs w:val="22"/>
          <w:lang w:val="en-GB"/>
        </w:rPr>
        <w:t>gy.</w:t>
      </w:r>
    </w:p>
    <w:p w14:paraId="10AF336B" w14:textId="77777777" w:rsidR="001B5498" w:rsidRPr="00BB3451" w:rsidRDefault="001B5498" w:rsidP="006319F4">
      <w:pPr>
        <w:pStyle w:val="Heading3"/>
      </w:pPr>
      <w:r w:rsidRPr="00BB3451">
        <w:t>Did it open government?</w:t>
      </w:r>
    </w:p>
    <w:p w14:paraId="2C5452A2" w14:textId="79DC547C" w:rsidR="001B5498" w:rsidRPr="00583C5A" w:rsidRDefault="001B5498" w:rsidP="00163080">
      <w:pPr>
        <w:rPr>
          <w:rFonts w:ascii="Gill Sans" w:hAnsi="Gill Sans" w:cs="Gill Sans"/>
          <w:b/>
          <w:color w:val="000000" w:themeColor="text1"/>
          <w:sz w:val="22"/>
          <w:szCs w:val="22"/>
          <w:lang w:val="en-GB"/>
        </w:rPr>
      </w:pPr>
      <w:r w:rsidRPr="00583C5A">
        <w:rPr>
          <w:rFonts w:ascii="Gill Sans" w:hAnsi="Gill Sans" w:cs="Gill Sans"/>
          <w:b/>
          <w:color w:val="000000" w:themeColor="text1"/>
          <w:sz w:val="22"/>
          <w:szCs w:val="22"/>
          <w:lang w:val="en-GB"/>
        </w:rPr>
        <w:t xml:space="preserve">Civic </w:t>
      </w:r>
      <w:r w:rsidR="00561192">
        <w:rPr>
          <w:rFonts w:ascii="Gill Sans" w:hAnsi="Gill Sans" w:cs="Gill Sans"/>
          <w:b/>
          <w:color w:val="000000" w:themeColor="text1"/>
          <w:sz w:val="22"/>
          <w:szCs w:val="22"/>
          <w:lang w:val="en-GB"/>
        </w:rPr>
        <w:t>p</w:t>
      </w:r>
      <w:r w:rsidRPr="00583C5A">
        <w:rPr>
          <w:rFonts w:ascii="Gill Sans" w:hAnsi="Gill Sans" w:cs="Gill Sans"/>
          <w:b/>
          <w:color w:val="000000" w:themeColor="text1"/>
          <w:sz w:val="22"/>
          <w:szCs w:val="22"/>
          <w:lang w:val="en-GB"/>
        </w:rPr>
        <w:t xml:space="preserve">articipation: </w:t>
      </w:r>
      <w:r w:rsidR="002B7CA4">
        <w:rPr>
          <w:rFonts w:ascii="Gill Sans" w:hAnsi="Gill Sans" w:cs="Gill Sans"/>
          <w:b/>
          <w:color w:val="000000" w:themeColor="text1"/>
          <w:sz w:val="22"/>
          <w:szCs w:val="22"/>
          <w:lang w:val="en-GB"/>
        </w:rPr>
        <w:t>Did not change</w:t>
      </w:r>
    </w:p>
    <w:p w14:paraId="39F2E49F" w14:textId="1AE405AA" w:rsidR="001B5498" w:rsidRPr="00583C5A" w:rsidRDefault="001B5498" w:rsidP="001B5498">
      <w:pPr>
        <w:spacing w:after="120"/>
        <w:rPr>
          <w:rFonts w:ascii="Gill Sans" w:hAnsi="Gill Sans" w:cs="Gill Sans"/>
          <w:b/>
          <w:color w:val="000000" w:themeColor="text1"/>
          <w:sz w:val="22"/>
          <w:szCs w:val="22"/>
          <w:lang w:val="en-GB"/>
        </w:rPr>
      </w:pPr>
      <w:r w:rsidRPr="00583C5A">
        <w:rPr>
          <w:rFonts w:ascii="Gill Sans" w:hAnsi="Gill Sans" w:cs="Gill Sans"/>
          <w:b/>
          <w:color w:val="000000" w:themeColor="text1"/>
          <w:sz w:val="22"/>
          <w:szCs w:val="22"/>
          <w:lang w:val="en-GB"/>
        </w:rPr>
        <w:t xml:space="preserve">Public accountability: </w:t>
      </w:r>
      <w:r w:rsidR="002B7CA4">
        <w:rPr>
          <w:rFonts w:ascii="Gill Sans" w:hAnsi="Gill Sans" w:cs="Gill Sans"/>
          <w:b/>
          <w:color w:val="000000" w:themeColor="text1"/>
          <w:sz w:val="22"/>
          <w:szCs w:val="22"/>
          <w:lang w:val="en-GB"/>
        </w:rPr>
        <w:t>Did not change</w:t>
      </w:r>
    </w:p>
    <w:p w14:paraId="7003B8A1" w14:textId="1CFB007C" w:rsidR="001B5498" w:rsidRPr="009A3E64" w:rsidRDefault="003419BE" w:rsidP="00561192">
      <w:pPr>
        <w:spacing w:after="120"/>
        <w:rPr>
          <w:rFonts w:ascii="Gill Sans" w:hAnsi="Gill Sans" w:cs="Gill Sans"/>
          <w:sz w:val="22"/>
          <w:szCs w:val="22"/>
          <w:lang w:val="en-GB"/>
        </w:rPr>
      </w:pPr>
      <w:r>
        <w:rPr>
          <w:rFonts w:ascii="Gill Sans" w:hAnsi="Gill Sans" w:cs="Gill Sans"/>
          <w:noProof/>
          <w:sz w:val="22"/>
          <w:szCs w:val="22"/>
          <w:lang w:val="en-GB"/>
        </w:rPr>
        <w:t xml:space="preserve">This commitment did not lead to a change in government practice because </w:t>
      </w:r>
      <w:r>
        <w:rPr>
          <w:rFonts w:ascii="Gill Sans" w:hAnsi="Gill Sans" w:cs="Gill Sans"/>
          <w:sz w:val="22"/>
          <w:szCs w:val="22"/>
          <w:lang w:val="en-GB"/>
        </w:rPr>
        <w:t xml:space="preserve">it concerned only </w:t>
      </w:r>
      <w:r w:rsidR="001A6A10">
        <w:rPr>
          <w:rFonts w:ascii="Gill Sans" w:hAnsi="Gill Sans" w:cs="Gill Sans"/>
          <w:sz w:val="22"/>
          <w:szCs w:val="22"/>
          <w:lang w:val="en-GB"/>
        </w:rPr>
        <w:t>the Ministry of Justice</w:t>
      </w:r>
      <w:r>
        <w:rPr>
          <w:rFonts w:ascii="Gill Sans" w:hAnsi="Gill Sans" w:cs="Gill Sans"/>
          <w:sz w:val="22"/>
          <w:szCs w:val="22"/>
          <w:lang w:val="en-GB"/>
        </w:rPr>
        <w:t xml:space="preserve">, and became irrelevant after a new </w:t>
      </w:r>
      <w:r w:rsidR="00561192">
        <w:rPr>
          <w:rFonts w:ascii="Gill Sans" w:hAnsi="Gill Sans" w:cs="Gill Sans"/>
          <w:sz w:val="22"/>
          <w:szCs w:val="22"/>
          <w:lang w:val="en-GB"/>
        </w:rPr>
        <w:t>c</w:t>
      </w:r>
      <w:r>
        <w:rPr>
          <w:rFonts w:ascii="Gill Sans" w:hAnsi="Gill Sans" w:cs="Gill Sans"/>
          <w:sz w:val="22"/>
          <w:szCs w:val="22"/>
          <w:lang w:val="en-GB"/>
        </w:rPr>
        <w:t xml:space="preserve">orruption </w:t>
      </w:r>
      <w:r w:rsidR="00561192">
        <w:rPr>
          <w:rFonts w:ascii="Gill Sans" w:hAnsi="Gill Sans" w:cs="Gill Sans"/>
          <w:sz w:val="22"/>
          <w:szCs w:val="22"/>
          <w:lang w:val="en-GB"/>
        </w:rPr>
        <w:t>p</w:t>
      </w:r>
      <w:r>
        <w:rPr>
          <w:rFonts w:ascii="Gill Sans" w:hAnsi="Gill Sans" w:cs="Gill Sans"/>
          <w:sz w:val="22"/>
          <w:szCs w:val="22"/>
          <w:lang w:val="en-GB"/>
        </w:rPr>
        <w:t xml:space="preserve">revention </w:t>
      </w:r>
      <w:r w:rsidR="00561192">
        <w:rPr>
          <w:rFonts w:ascii="Gill Sans" w:hAnsi="Gill Sans" w:cs="Gill Sans"/>
          <w:sz w:val="22"/>
          <w:szCs w:val="22"/>
          <w:lang w:val="en-GB"/>
        </w:rPr>
        <w:t>l</w:t>
      </w:r>
      <w:r>
        <w:rPr>
          <w:rFonts w:ascii="Gill Sans" w:hAnsi="Gill Sans" w:cs="Gill Sans"/>
          <w:sz w:val="22"/>
          <w:szCs w:val="22"/>
          <w:lang w:val="en-GB"/>
        </w:rPr>
        <w:t xml:space="preserve">aw </w:t>
      </w:r>
      <w:r w:rsidR="001A6A10">
        <w:rPr>
          <w:rFonts w:ascii="Gill Sans" w:hAnsi="Gill Sans" w:cs="Gill Sans"/>
          <w:sz w:val="22"/>
          <w:szCs w:val="22"/>
          <w:lang w:val="en-GB"/>
        </w:rPr>
        <w:t>was enacted in April 2015. Th</w:t>
      </w:r>
      <w:r w:rsidR="005B3A16">
        <w:rPr>
          <w:rFonts w:ascii="Gill Sans" w:hAnsi="Gill Sans" w:cs="Gill Sans"/>
          <w:sz w:val="22"/>
          <w:szCs w:val="22"/>
          <w:lang w:val="en-GB"/>
        </w:rPr>
        <w:t>e</w:t>
      </w:r>
      <w:r w:rsidR="001A6A10">
        <w:rPr>
          <w:rFonts w:ascii="Gill Sans" w:hAnsi="Gill Sans" w:cs="Gill Sans"/>
          <w:sz w:val="22"/>
          <w:szCs w:val="22"/>
          <w:lang w:val="en-GB"/>
        </w:rPr>
        <w:t xml:space="preserve"> new law</w:t>
      </w:r>
      <w:r>
        <w:rPr>
          <w:rFonts w:ascii="Gill Sans" w:hAnsi="Gill Sans" w:cs="Gill Sans"/>
          <w:sz w:val="22"/>
          <w:szCs w:val="22"/>
          <w:lang w:val="en-GB"/>
        </w:rPr>
        <w:t xml:space="preserve"> </w:t>
      </w:r>
      <w:r w:rsidR="001A6A10">
        <w:rPr>
          <w:rFonts w:ascii="Gill Sans" w:hAnsi="Gill Sans" w:cs="Gill Sans"/>
          <w:sz w:val="22"/>
          <w:szCs w:val="22"/>
          <w:lang w:val="en-GB"/>
        </w:rPr>
        <w:t>set</w:t>
      </w:r>
      <w:r w:rsidR="005B3A16">
        <w:rPr>
          <w:rFonts w:ascii="Gill Sans" w:hAnsi="Gill Sans" w:cs="Gill Sans"/>
          <w:sz w:val="22"/>
          <w:szCs w:val="22"/>
          <w:lang w:val="en-GB"/>
        </w:rPr>
        <w:t>s</w:t>
      </w:r>
      <w:r w:rsidR="001A6A10">
        <w:rPr>
          <w:rFonts w:ascii="Gill Sans" w:hAnsi="Gill Sans" w:cs="Gill Sans"/>
          <w:sz w:val="22"/>
          <w:szCs w:val="22"/>
          <w:lang w:val="en-GB"/>
        </w:rPr>
        <w:t xml:space="preserve"> up a National Agency for Corruption Prevention</w:t>
      </w:r>
      <w:r w:rsidR="001A6A10">
        <w:rPr>
          <w:rFonts w:ascii="Gill Sans" w:hAnsi="Gill Sans" w:cs="Gill Sans"/>
          <w:noProof/>
          <w:sz w:val="22"/>
          <w:szCs w:val="22"/>
          <w:lang w:val="en-GB"/>
        </w:rPr>
        <w:t>, which broadened the requirement for asse</w:t>
      </w:r>
      <w:r w:rsidR="005B3A16">
        <w:rPr>
          <w:rFonts w:ascii="Gill Sans" w:hAnsi="Gill Sans" w:cs="Gill Sans"/>
          <w:noProof/>
          <w:sz w:val="22"/>
          <w:szCs w:val="22"/>
          <w:lang w:val="en-GB"/>
        </w:rPr>
        <w:t>s</w:t>
      </w:r>
      <w:r w:rsidR="001A6A10">
        <w:rPr>
          <w:rFonts w:ascii="Gill Sans" w:hAnsi="Gill Sans" w:cs="Gill Sans"/>
          <w:noProof/>
          <w:sz w:val="22"/>
          <w:szCs w:val="22"/>
          <w:lang w:val="en-GB"/>
        </w:rPr>
        <w:t>sing corruption risks to all public agencie</w:t>
      </w:r>
      <w:r w:rsidR="005B3A16">
        <w:rPr>
          <w:rFonts w:ascii="Gill Sans" w:hAnsi="Gill Sans" w:cs="Gill Sans"/>
          <w:noProof/>
          <w:sz w:val="22"/>
          <w:szCs w:val="22"/>
          <w:lang w:val="en-GB"/>
        </w:rPr>
        <w:t>s</w:t>
      </w:r>
      <w:r w:rsidR="001A6A10">
        <w:rPr>
          <w:rFonts w:ascii="Gill Sans" w:hAnsi="Gill Sans" w:cs="Gill Sans"/>
          <w:noProof/>
          <w:sz w:val="22"/>
          <w:szCs w:val="22"/>
          <w:lang w:val="en-GB"/>
        </w:rPr>
        <w:t xml:space="preserve">. </w:t>
      </w:r>
      <w:r w:rsidR="00307BCB" w:rsidRPr="00583C5A">
        <w:rPr>
          <w:rFonts w:ascii="Gill Sans" w:hAnsi="Gill Sans" w:cs="Gill Sans"/>
          <w:noProof/>
          <w:sz w:val="22"/>
          <w:szCs w:val="22"/>
          <w:lang w:val="en-GB"/>
        </w:rPr>
        <w:t>A risk-based approach to anti-corruption measures is a good practice which ha</w:t>
      </w:r>
      <w:r w:rsidR="001A6A10">
        <w:rPr>
          <w:rFonts w:ascii="Gill Sans" w:hAnsi="Gill Sans" w:cs="Gill Sans"/>
          <w:noProof/>
          <w:sz w:val="22"/>
          <w:szCs w:val="22"/>
          <w:lang w:val="en-GB"/>
        </w:rPr>
        <w:t>d</w:t>
      </w:r>
      <w:r w:rsidR="00307BCB" w:rsidRPr="00583C5A">
        <w:rPr>
          <w:rFonts w:ascii="Gill Sans" w:hAnsi="Gill Sans" w:cs="Gill Sans"/>
          <w:noProof/>
          <w:sz w:val="22"/>
          <w:szCs w:val="22"/>
          <w:lang w:val="en-GB"/>
        </w:rPr>
        <w:t xml:space="preserve"> not been used in the Ukrainian public sector.</w:t>
      </w:r>
      <w:r w:rsidR="00307BCB" w:rsidRPr="00583C5A">
        <w:rPr>
          <w:rFonts w:ascii="Gill Sans" w:hAnsi="Gill Sans" w:cs="Gill Sans"/>
          <w:sz w:val="22"/>
          <w:szCs w:val="22"/>
          <w:lang w:val="en-GB"/>
        </w:rPr>
        <w:t xml:space="preserve"> The Law on Corruption Prevention embedded this approach in the anti-corruption planning and actions of</w:t>
      </w:r>
      <w:r w:rsidR="001A6A10">
        <w:rPr>
          <w:rFonts w:ascii="Gill Sans" w:hAnsi="Gill Sans" w:cs="Gill Sans"/>
          <w:sz w:val="22"/>
          <w:szCs w:val="22"/>
          <w:lang w:val="en-GB"/>
        </w:rPr>
        <w:t xml:space="preserve"> all</w:t>
      </w:r>
      <w:r w:rsidR="00307BCB" w:rsidRPr="00583C5A">
        <w:rPr>
          <w:rFonts w:ascii="Gill Sans" w:hAnsi="Gill Sans" w:cs="Gill Sans"/>
          <w:sz w:val="22"/>
          <w:szCs w:val="22"/>
          <w:lang w:val="en-GB"/>
        </w:rPr>
        <w:t xml:space="preserve"> individual agencies. The specialised agency for corruption prevention develop</w:t>
      </w:r>
      <w:r w:rsidR="00C02C67" w:rsidRPr="00583C5A">
        <w:rPr>
          <w:rFonts w:ascii="Gill Sans" w:hAnsi="Gill Sans" w:cs="Gill Sans"/>
          <w:sz w:val="22"/>
          <w:szCs w:val="22"/>
          <w:lang w:val="en-GB"/>
        </w:rPr>
        <w:t>ed</w:t>
      </w:r>
      <w:r w:rsidR="00307BCB" w:rsidRPr="00583C5A">
        <w:rPr>
          <w:rFonts w:ascii="Gill Sans" w:hAnsi="Gill Sans" w:cs="Gill Sans"/>
          <w:sz w:val="22"/>
          <w:szCs w:val="22"/>
          <w:lang w:val="en-GB"/>
        </w:rPr>
        <w:t xml:space="preserve"> </w:t>
      </w:r>
      <w:r w:rsidR="001A6A10">
        <w:rPr>
          <w:rFonts w:ascii="Gill Sans" w:hAnsi="Gill Sans" w:cs="Gill Sans"/>
          <w:sz w:val="22"/>
          <w:szCs w:val="22"/>
          <w:lang w:val="en-GB"/>
        </w:rPr>
        <w:t xml:space="preserve">a </w:t>
      </w:r>
      <w:r w:rsidR="00307BCB" w:rsidRPr="00583C5A">
        <w:rPr>
          <w:rFonts w:ascii="Gill Sans" w:hAnsi="Gill Sans" w:cs="Gill Sans"/>
          <w:sz w:val="22"/>
          <w:szCs w:val="22"/>
          <w:lang w:val="en-GB"/>
        </w:rPr>
        <w:t>methodology</w:t>
      </w:r>
      <w:r w:rsidR="005B3A16">
        <w:rPr>
          <w:rFonts w:ascii="Gill Sans" w:hAnsi="Gill Sans" w:cs="Gill Sans"/>
          <w:sz w:val="22"/>
          <w:szCs w:val="22"/>
          <w:lang w:val="en-GB"/>
        </w:rPr>
        <w:t>,</w:t>
      </w:r>
      <w:r w:rsidR="00307BCB" w:rsidRPr="00583C5A">
        <w:rPr>
          <w:rFonts w:ascii="Gill Sans" w:hAnsi="Gill Sans" w:cs="Gill Sans"/>
          <w:sz w:val="22"/>
          <w:szCs w:val="22"/>
          <w:lang w:val="en-GB"/>
        </w:rPr>
        <w:t xml:space="preserve"> and </w:t>
      </w:r>
      <w:r w:rsidR="00C02C67" w:rsidRPr="00583C5A">
        <w:rPr>
          <w:rFonts w:ascii="Gill Sans" w:hAnsi="Gill Sans" w:cs="Gill Sans"/>
          <w:sz w:val="22"/>
          <w:szCs w:val="22"/>
          <w:lang w:val="en-GB"/>
        </w:rPr>
        <w:t xml:space="preserve">will </w:t>
      </w:r>
      <w:r w:rsidR="00307BCB" w:rsidRPr="00583C5A">
        <w:rPr>
          <w:rFonts w:ascii="Gill Sans" w:hAnsi="Gill Sans" w:cs="Gill Sans"/>
          <w:sz w:val="22"/>
          <w:szCs w:val="22"/>
          <w:lang w:val="en-GB"/>
        </w:rPr>
        <w:t xml:space="preserve">provide guidance on the use of the risk-based approach. </w:t>
      </w:r>
      <w:r w:rsidR="00C02C67" w:rsidRPr="00583C5A">
        <w:rPr>
          <w:rFonts w:ascii="Gill Sans" w:hAnsi="Gill Sans" w:cs="Gill Sans"/>
          <w:sz w:val="22"/>
          <w:szCs w:val="22"/>
          <w:lang w:val="en-GB"/>
        </w:rPr>
        <w:t>Based on the general methodology</w:t>
      </w:r>
      <w:r w:rsidR="005B3A16">
        <w:rPr>
          <w:rFonts w:ascii="Gill Sans" w:hAnsi="Gill Sans" w:cs="Gill Sans"/>
          <w:sz w:val="22"/>
          <w:szCs w:val="22"/>
          <w:lang w:val="en-GB"/>
        </w:rPr>
        <w:t>,</w:t>
      </w:r>
      <w:r w:rsidR="00C02C67" w:rsidRPr="00583C5A">
        <w:rPr>
          <w:rFonts w:ascii="Gill Sans" w:hAnsi="Gill Sans" w:cs="Gill Sans"/>
          <w:sz w:val="22"/>
          <w:szCs w:val="22"/>
          <w:lang w:val="en-GB"/>
        </w:rPr>
        <w:t xml:space="preserve"> t</w:t>
      </w:r>
      <w:r w:rsidR="00307BCB" w:rsidRPr="00583C5A">
        <w:rPr>
          <w:rFonts w:ascii="Gill Sans" w:hAnsi="Gill Sans" w:cs="Gill Sans"/>
          <w:sz w:val="22"/>
          <w:szCs w:val="22"/>
          <w:lang w:val="en-GB"/>
        </w:rPr>
        <w:t xml:space="preserve">he Ministry of Justice </w:t>
      </w:r>
      <w:r w:rsidR="00C02C67" w:rsidRPr="00583C5A">
        <w:rPr>
          <w:rFonts w:ascii="Gill Sans" w:hAnsi="Gill Sans" w:cs="Gill Sans"/>
          <w:sz w:val="22"/>
          <w:szCs w:val="22"/>
          <w:lang w:val="en-GB"/>
        </w:rPr>
        <w:t>can prepare guidelines on risk assessment in the justice bodies</w:t>
      </w:r>
      <w:r w:rsidR="00307BCB" w:rsidRPr="00583C5A">
        <w:rPr>
          <w:rFonts w:ascii="Gill Sans" w:hAnsi="Gill Sans" w:cs="Gill Sans"/>
          <w:sz w:val="22"/>
          <w:szCs w:val="22"/>
          <w:lang w:val="en-GB"/>
        </w:rPr>
        <w:t>.</w:t>
      </w:r>
      <w:r w:rsidR="00C02C67" w:rsidRPr="00583C5A">
        <w:rPr>
          <w:rFonts w:ascii="Gill Sans" w:hAnsi="Gill Sans" w:cs="Gill Sans"/>
          <w:sz w:val="22"/>
          <w:szCs w:val="22"/>
          <w:lang w:val="en-GB"/>
        </w:rPr>
        <w:t xml:space="preserve"> </w:t>
      </w:r>
      <w:r w:rsidR="001A6A10">
        <w:rPr>
          <w:rFonts w:ascii="Gill Sans" w:hAnsi="Gill Sans" w:cs="Gill Sans"/>
          <w:sz w:val="22"/>
          <w:szCs w:val="22"/>
          <w:lang w:val="en-GB"/>
        </w:rPr>
        <w:t>In this case, the commitment</w:t>
      </w:r>
      <w:r w:rsidR="00583C5A" w:rsidRPr="00583C5A">
        <w:rPr>
          <w:rFonts w:ascii="Gill Sans" w:hAnsi="Gill Sans" w:cs="Gill Sans"/>
          <w:sz w:val="22"/>
          <w:szCs w:val="22"/>
          <w:lang w:val="en-GB"/>
        </w:rPr>
        <w:t xml:space="preserve"> </w:t>
      </w:r>
      <w:r>
        <w:rPr>
          <w:rFonts w:ascii="Gill Sans" w:hAnsi="Gill Sans" w:cs="Gill Sans"/>
          <w:sz w:val="22"/>
          <w:szCs w:val="22"/>
          <w:lang w:val="en-GB"/>
        </w:rPr>
        <w:t>did not change government practice</w:t>
      </w:r>
      <w:r w:rsidR="001A6A10">
        <w:rPr>
          <w:rFonts w:ascii="Gill Sans" w:hAnsi="Gill Sans" w:cs="Gill Sans"/>
          <w:sz w:val="22"/>
          <w:szCs w:val="22"/>
          <w:lang w:val="en-GB"/>
        </w:rPr>
        <w:t xml:space="preserve"> because it was quickly rendered irrelevant </w:t>
      </w:r>
      <w:r w:rsidR="00561192">
        <w:rPr>
          <w:rFonts w:ascii="Gill Sans" w:hAnsi="Gill Sans" w:cs="Gill Sans"/>
          <w:sz w:val="22"/>
          <w:szCs w:val="22"/>
          <w:lang w:val="en-GB"/>
        </w:rPr>
        <w:t xml:space="preserve">following </w:t>
      </w:r>
      <w:r w:rsidR="001A6A10">
        <w:rPr>
          <w:rFonts w:ascii="Gill Sans" w:hAnsi="Gill Sans" w:cs="Gill Sans"/>
          <w:sz w:val="22"/>
          <w:szCs w:val="22"/>
          <w:lang w:val="en-GB"/>
        </w:rPr>
        <w:t xml:space="preserve">the passage of the new </w:t>
      </w:r>
      <w:r w:rsidR="00561192">
        <w:rPr>
          <w:rFonts w:ascii="Gill Sans" w:hAnsi="Gill Sans" w:cs="Gill Sans"/>
          <w:sz w:val="22"/>
          <w:szCs w:val="22"/>
          <w:lang w:val="en-GB"/>
        </w:rPr>
        <w:t>a</w:t>
      </w:r>
      <w:r w:rsidR="001A6A10">
        <w:rPr>
          <w:rFonts w:ascii="Gill Sans" w:hAnsi="Gill Sans" w:cs="Gill Sans"/>
          <w:sz w:val="22"/>
          <w:szCs w:val="22"/>
          <w:lang w:val="en-GB"/>
        </w:rPr>
        <w:t>nti-</w:t>
      </w:r>
      <w:r w:rsidR="00561192">
        <w:rPr>
          <w:rFonts w:ascii="Gill Sans" w:hAnsi="Gill Sans" w:cs="Gill Sans"/>
          <w:sz w:val="22"/>
          <w:szCs w:val="22"/>
          <w:lang w:val="en-GB"/>
        </w:rPr>
        <w:t>c</w:t>
      </w:r>
      <w:r w:rsidR="001A6A10">
        <w:rPr>
          <w:rFonts w:ascii="Gill Sans" w:hAnsi="Gill Sans" w:cs="Gill Sans"/>
          <w:sz w:val="22"/>
          <w:szCs w:val="22"/>
          <w:lang w:val="en-GB"/>
        </w:rPr>
        <w:t>orruption measures</w:t>
      </w:r>
      <w:r w:rsidR="005B3A16">
        <w:rPr>
          <w:rFonts w:ascii="Gill Sans" w:hAnsi="Gill Sans" w:cs="Gill Sans"/>
          <w:sz w:val="22"/>
          <w:szCs w:val="22"/>
          <w:lang w:val="en-GB"/>
        </w:rPr>
        <w:t>,</w:t>
      </w:r>
      <w:r w:rsidR="001A6A10">
        <w:rPr>
          <w:rFonts w:ascii="Gill Sans" w:hAnsi="Gill Sans" w:cs="Gill Sans"/>
          <w:sz w:val="22"/>
          <w:szCs w:val="22"/>
          <w:lang w:val="en-GB"/>
        </w:rPr>
        <w:t xml:space="preserve"> which included and </w:t>
      </w:r>
      <w:r w:rsidR="00561192">
        <w:rPr>
          <w:rFonts w:ascii="Gill Sans" w:hAnsi="Gill Sans" w:cs="Gill Sans"/>
          <w:sz w:val="22"/>
          <w:szCs w:val="22"/>
          <w:lang w:val="en-GB"/>
        </w:rPr>
        <w:t>surpassed</w:t>
      </w:r>
      <w:r w:rsidR="001A6A10">
        <w:rPr>
          <w:rFonts w:ascii="Gill Sans" w:hAnsi="Gill Sans" w:cs="Gill Sans"/>
          <w:sz w:val="22"/>
          <w:szCs w:val="22"/>
          <w:lang w:val="en-GB"/>
        </w:rPr>
        <w:t xml:space="preserve"> the provisions of the commitment.</w:t>
      </w:r>
    </w:p>
    <w:p w14:paraId="59CEFB50" w14:textId="77777777" w:rsidR="001B5498" w:rsidRPr="0073097B" w:rsidRDefault="001B5498" w:rsidP="006319F4">
      <w:pPr>
        <w:pStyle w:val="Heading3"/>
      </w:pPr>
      <w:r w:rsidRPr="0073097B">
        <w:t>Carried forward?</w:t>
      </w:r>
    </w:p>
    <w:p w14:paraId="748C0B98" w14:textId="644E4C6B" w:rsidR="001B5498" w:rsidRDefault="001B5498" w:rsidP="005B3A16">
      <w:pPr>
        <w:spacing w:after="120"/>
        <w:rPr>
          <w:rFonts w:ascii="Gill Sans" w:hAnsi="Gill Sans" w:cs="Gill Sans"/>
          <w:noProof/>
          <w:sz w:val="22"/>
          <w:szCs w:val="22"/>
          <w:lang w:val="en-GB"/>
        </w:rPr>
      </w:pPr>
      <w:r w:rsidRPr="004F2F5D">
        <w:rPr>
          <w:rFonts w:ascii="Gill Sans" w:hAnsi="Gill Sans" w:cs="Gill Sans"/>
          <w:noProof/>
          <w:sz w:val="22"/>
          <w:szCs w:val="22"/>
          <w:lang w:val="en-GB"/>
        </w:rPr>
        <w:t xml:space="preserve">The commitment was not carried </w:t>
      </w:r>
      <w:r w:rsidR="005B3A16">
        <w:rPr>
          <w:rFonts w:ascii="Gill Sans" w:hAnsi="Gill Sans" w:cs="Gill Sans"/>
          <w:noProof/>
          <w:sz w:val="22"/>
          <w:szCs w:val="22"/>
          <w:lang w:val="en-GB"/>
        </w:rPr>
        <w:t>forward</w:t>
      </w:r>
      <w:r w:rsidR="005B3A16" w:rsidRPr="004F2F5D">
        <w:rPr>
          <w:rFonts w:ascii="Gill Sans" w:hAnsi="Gill Sans" w:cs="Gill Sans"/>
          <w:noProof/>
          <w:sz w:val="22"/>
          <w:szCs w:val="22"/>
          <w:lang w:val="en-GB"/>
        </w:rPr>
        <w:t xml:space="preserve"> </w:t>
      </w:r>
      <w:r w:rsidRPr="004F2F5D">
        <w:rPr>
          <w:rFonts w:ascii="Gill Sans" w:hAnsi="Gill Sans" w:cs="Gill Sans"/>
          <w:noProof/>
          <w:sz w:val="22"/>
          <w:szCs w:val="22"/>
          <w:lang w:val="en-GB"/>
        </w:rPr>
        <w:t xml:space="preserve">to the new action plan. </w:t>
      </w:r>
      <w:r w:rsidR="004F2F5D" w:rsidRPr="004F2F5D">
        <w:rPr>
          <w:rFonts w:ascii="Gill Sans" w:hAnsi="Gill Sans" w:cs="Gill Sans"/>
          <w:noProof/>
          <w:sz w:val="22"/>
          <w:szCs w:val="22"/>
          <w:lang w:val="en-GB"/>
        </w:rPr>
        <w:t xml:space="preserve">The IRM researcher recommends that the Ministry of Justice </w:t>
      </w:r>
      <w:r w:rsidR="003A784B">
        <w:rPr>
          <w:rFonts w:ascii="Gill Sans" w:hAnsi="Gill Sans" w:cs="Gill Sans"/>
          <w:noProof/>
          <w:sz w:val="22"/>
          <w:szCs w:val="22"/>
          <w:lang w:val="en-GB"/>
        </w:rPr>
        <w:t xml:space="preserve">apply </w:t>
      </w:r>
      <w:r w:rsidR="004F2F5D" w:rsidRPr="004F2F5D">
        <w:rPr>
          <w:rFonts w:ascii="Gill Sans" w:hAnsi="Gill Sans" w:cs="Gill Sans"/>
          <w:noProof/>
          <w:sz w:val="22"/>
          <w:szCs w:val="22"/>
          <w:lang w:val="en-GB"/>
        </w:rPr>
        <w:t xml:space="preserve">the </w:t>
      </w:r>
      <w:r w:rsidR="003A784B">
        <w:rPr>
          <w:rFonts w:ascii="Gill Sans" w:hAnsi="Gill Sans" w:cs="Gill Sans"/>
          <w:noProof/>
          <w:sz w:val="22"/>
          <w:szCs w:val="22"/>
          <w:lang w:val="en-GB"/>
        </w:rPr>
        <w:t xml:space="preserve">general risk-assessment </w:t>
      </w:r>
      <w:r w:rsidR="004F2F5D" w:rsidRPr="004F2F5D">
        <w:rPr>
          <w:rFonts w:ascii="Gill Sans" w:hAnsi="Gill Sans" w:cs="Gill Sans"/>
          <w:noProof/>
          <w:sz w:val="22"/>
          <w:szCs w:val="22"/>
          <w:lang w:val="en-GB"/>
        </w:rPr>
        <w:t xml:space="preserve">methodology to the bodies under the ministry’s subordination to test it empirically. </w:t>
      </w:r>
    </w:p>
    <w:p w14:paraId="7AC38C74" w14:textId="77777777" w:rsidR="00CA30D5" w:rsidRDefault="00CA30D5" w:rsidP="001B5498">
      <w:pPr>
        <w:spacing w:after="120"/>
        <w:rPr>
          <w:rFonts w:ascii="Gill Sans" w:hAnsi="Gill Sans" w:cs="Gill Sans"/>
          <w:noProof/>
          <w:sz w:val="22"/>
          <w:szCs w:val="22"/>
          <w:lang w:val="en-GB"/>
        </w:rPr>
        <w:sectPr w:rsidR="00CA30D5" w:rsidSect="002A2966">
          <w:endnotePr>
            <w:numFmt w:val="decimal"/>
            <w:numRestart w:val="eachSect"/>
          </w:endnotePr>
          <w:pgSz w:w="11907" w:h="16839" w:code="9"/>
          <w:pgMar w:top="1417" w:right="1417" w:bottom="1417" w:left="1417" w:header="0" w:footer="0" w:gutter="0"/>
          <w:cols w:space="708"/>
          <w:docGrid w:linePitch="360"/>
        </w:sectPr>
      </w:pPr>
    </w:p>
    <w:p w14:paraId="002228FA" w14:textId="32E95125" w:rsidR="004875C1" w:rsidRPr="00475D8F" w:rsidRDefault="006E6C92" w:rsidP="004875C1">
      <w:pPr>
        <w:pStyle w:val="Normalrglronly"/>
        <w:rPr>
          <w:b/>
          <w:lang w:val="en-GB"/>
        </w:rPr>
      </w:pPr>
      <w:r w:rsidRPr="002312E4">
        <w:rPr>
          <w:rFonts w:ascii="MS Mincho" w:eastAsia="MS Mincho" w:hAnsi="MS Mincho" w:cs="MS Mincho"/>
          <w:color w:val="FFFFFF" w:themeColor="background1"/>
          <w:lang w:val="en-GB"/>
        </w:rPr>
        <w:lastRenderedPageBreak/>
        <w:t>✪</w:t>
      </w:r>
      <w:r w:rsidR="004875C1">
        <w:rPr>
          <w:b/>
          <w:lang w:val="en-GB"/>
        </w:rPr>
        <w:t>12</w:t>
      </w:r>
      <w:r w:rsidR="004875C1" w:rsidRPr="00475D8F">
        <w:rPr>
          <w:b/>
          <w:lang w:val="en-GB"/>
        </w:rPr>
        <w:t xml:space="preserve">. </w:t>
      </w:r>
      <w:r w:rsidR="00C701D9" w:rsidRPr="00C701D9">
        <w:rPr>
          <w:b/>
          <w:lang w:val="en-GB"/>
        </w:rPr>
        <w:t>Asset disclosure portal</w:t>
      </w:r>
      <w:r w:rsidR="00C701D9" w:rsidRPr="001B5498">
        <w:rPr>
          <w:b/>
          <w:lang w:val="en-GB"/>
        </w:rPr>
        <w:t xml:space="preserve"> </w:t>
      </w:r>
    </w:p>
    <w:p w14:paraId="069628FA" w14:textId="23FACF0F" w:rsidR="00C701D9" w:rsidRPr="00CA5EDC" w:rsidRDefault="005B3A16" w:rsidP="00CA5EDC">
      <w:pPr>
        <w:spacing w:after="120"/>
        <w:rPr>
          <w:rFonts w:ascii="Gill Sans" w:hAnsi="Gill Sans" w:cs="Gill Sans"/>
          <w:i/>
          <w:noProof/>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C701D9" w:rsidRPr="00CA5EDC">
        <w:rPr>
          <w:rFonts w:ascii="Gill Sans" w:hAnsi="Gill Sans" w:cs="Gill Sans"/>
          <w:i/>
          <w:noProof/>
          <w:sz w:val="22"/>
          <w:szCs w:val="22"/>
          <w:lang w:val="en-GB"/>
        </w:rPr>
        <w:t>12. Creating a unified web-portal of civil servants’ declarations of income, property and expenditures for their public disclosure in open access</w:t>
      </w:r>
      <w:r>
        <w:rPr>
          <w:rFonts w:ascii="Gill Sans" w:hAnsi="Gill Sans" w:cs="Gill Sans"/>
          <w:i/>
          <w:noProof/>
          <w:sz w:val="22"/>
          <w:szCs w:val="22"/>
          <w:lang w:val="en-GB"/>
        </w:rPr>
        <w:t>.</w:t>
      </w:r>
    </w:p>
    <w:p w14:paraId="49AEC4E1" w14:textId="77777777" w:rsidR="00C701D9" w:rsidRPr="00CA5EDC" w:rsidRDefault="00C701D9" w:rsidP="00CA5EDC">
      <w:pPr>
        <w:spacing w:after="120"/>
        <w:rPr>
          <w:rFonts w:ascii="Gill Sans" w:hAnsi="Gill Sans" w:cs="Gill Sans"/>
          <w:i/>
          <w:noProof/>
          <w:sz w:val="22"/>
          <w:szCs w:val="22"/>
          <w:lang w:val="en-GB"/>
        </w:rPr>
      </w:pPr>
      <w:r w:rsidRPr="00CA5EDC">
        <w:rPr>
          <w:rFonts w:ascii="Gill Sans" w:hAnsi="Gill Sans" w:cs="Gill Sans"/>
          <w:i/>
          <w:noProof/>
          <w:sz w:val="22"/>
          <w:szCs w:val="22"/>
          <w:lang w:val="en-GB"/>
        </w:rPr>
        <w:t xml:space="preserve">Expected result: </w:t>
      </w:r>
      <w:r w:rsidRPr="00CA5EDC">
        <w:rPr>
          <w:rFonts w:ascii="Gill Sans" w:hAnsi="Gill Sans" w:cs="Gill Sans"/>
          <w:i/>
          <w:sz w:val="22"/>
          <w:szCs w:val="22"/>
          <w:lang w:val="en-GB"/>
        </w:rPr>
        <w:t>web-portal created.</w:t>
      </w:r>
    </w:p>
    <w:p w14:paraId="50C3BF35" w14:textId="79D79748" w:rsidR="00C701D9" w:rsidRPr="00CA5EDC" w:rsidRDefault="00C701D9" w:rsidP="00CA5EDC">
      <w:pPr>
        <w:spacing w:after="120"/>
        <w:rPr>
          <w:rFonts w:ascii="Gill Sans" w:hAnsi="Gill Sans" w:cs="Gill Sans"/>
          <w:sz w:val="22"/>
          <w:szCs w:val="22"/>
          <w:lang w:val="en-GB"/>
        </w:rPr>
      </w:pPr>
      <w:r w:rsidRPr="00CA5EDC">
        <w:rPr>
          <w:rFonts w:ascii="Gill Sans" w:hAnsi="Gill Sans" w:cs="Gill Sans"/>
          <w:sz w:val="22"/>
          <w:szCs w:val="22"/>
          <w:lang w:val="en-GB"/>
        </w:rPr>
        <w:t>Lead institution</w:t>
      </w:r>
      <w:r w:rsidR="005B3A16">
        <w:rPr>
          <w:rFonts w:ascii="Gill Sans" w:hAnsi="Gill Sans" w:cs="Gill Sans"/>
          <w:sz w:val="22"/>
          <w:szCs w:val="22"/>
          <w:lang w:val="en-GB"/>
        </w:rPr>
        <w:t>(s)</w:t>
      </w:r>
      <w:r w:rsidRPr="00CA5EDC">
        <w:rPr>
          <w:rFonts w:ascii="Gill Sans" w:hAnsi="Gill Sans" w:cs="Gill Sans"/>
          <w:sz w:val="22"/>
          <w:szCs w:val="22"/>
          <w:lang w:val="en-GB"/>
        </w:rPr>
        <w:t xml:space="preserve">: National Agency for Corruption Prevention </w:t>
      </w:r>
    </w:p>
    <w:p w14:paraId="008B3B6F" w14:textId="78CEE857" w:rsidR="00C701D9" w:rsidRPr="00CA5EDC" w:rsidRDefault="00C701D9" w:rsidP="00CA5EDC">
      <w:pPr>
        <w:spacing w:after="120"/>
        <w:rPr>
          <w:rFonts w:ascii="Gill Sans" w:hAnsi="Gill Sans" w:cs="Gill Sans"/>
          <w:sz w:val="22"/>
          <w:szCs w:val="22"/>
          <w:lang w:val="en-GB"/>
        </w:rPr>
      </w:pPr>
      <w:r w:rsidRPr="00CA5EDC">
        <w:rPr>
          <w:rFonts w:ascii="Gill Sans" w:hAnsi="Gill Sans" w:cs="Gill Sans"/>
          <w:sz w:val="22"/>
          <w:szCs w:val="22"/>
          <w:lang w:val="en-GB"/>
        </w:rPr>
        <w:t>Supporting institution</w:t>
      </w:r>
      <w:r w:rsidR="005B3A16">
        <w:rPr>
          <w:rFonts w:ascii="Gill Sans" w:hAnsi="Gill Sans" w:cs="Gill Sans"/>
          <w:sz w:val="22"/>
          <w:szCs w:val="22"/>
          <w:lang w:val="en-GB"/>
        </w:rPr>
        <w:t>(</w:t>
      </w:r>
      <w:r w:rsidRPr="00CA5EDC">
        <w:rPr>
          <w:rFonts w:ascii="Gill Sans" w:hAnsi="Gill Sans" w:cs="Gill Sans"/>
          <w:sz w:val="22"/>
          <w:szCs w:val="22"/>
          <w:lang w:val="en-GB"/>
        </w:rPr>
        <w:t>s</w:t>
      </w:r>
      <w:r w:rsidR="005B3A16">
        <w:rPr>
          <w:rFonts w:ascii="Gill Sans" w:hAnsi="Gill Sans" w:cs="Gill Sans"/>
          <w:sz w:val="22"/>
          <w:szCs w:val="22"/>
          <w:lang w:val="en-GB"/>
        </w:rPr>
        <w:t>)</w:t>
      </w:r>
      <w:r w:rsidRPr="00CA5EDC">
        <w:rPr>
          <w:rFonts w:ascii="Gill Sans" w:hAnsi="Gill Sans" w:cs="Gill Sans"/>
          <w:sz w:val="22"/>
          <w:szCs w:val="22"/>
          <w:lang w:val="en-GB"/>
        </w:rPr>
        <w:t xml:space="preserve">: </w:t>
      </w:r>
      <w:r w:rsidRPr="00CA5EDC">
        <w:rPr>
          <w:rFonts w:ascii="Gill Sans" w:hAnsi="Gill Sans" w:cs="Gill Sans"/>
          <w:noProof/>
          <w:sz w:val="22"/>
          <w:szCs w:val="22"/>
          <w:lang w:val="en-GB"/>
        </w:rPr>
        <w:t>State Fiscal Service, National Agency for Civil Service, Ministry of Justice, Administration of the State Service for Special Communications and Information Protection, State Agency for E-Governance, NGO Transparency International-Ukraine, International Renaissance Foundation, other unspecified NGOs and international organisations</w:t>
      </w:r>
    </w:p>
    <w:p w14:paraId="2CBFFCE5" w14:textId="72FB7B0C" w:rsidR="004875C1" w:rsidRPr="000B2CCA" w:rsidRDefault="00C701D9" w:rsidP="005B3A16">
      <w:pPr>
        <w:spacing w:after="120"/>
        <w:rPr>
          <w:rFonts w:ascii="Gill Sans" w:hAnsi="Gill Sans" w:cs="Gill Sans"/>
          <w:noProof/>
          <w:sz w:val="22"/>
          <w:szCs w:val="22"/>
          <w:lang w:val="en-GB"/>
        </w:rPr>
      </w:pPr>
      <w:r w:rsidRPr="00CA5EDC">
        <w:rPr>
          <w:rFonts w:ascii="Gill Sans" w:hAnsi="Gill Sans" w:cs="Gill Sans"/>
          <w:sz w:val="22"/>
          <w:szCs w:val="22"/>
          <w:lang w:val="en-GB"/>
        </w:rPr>
        <w:t xml:space="preserve">Start </w:t>
      </w:r>
      <w:r w:rsidR="005B3A16">
        <w:rPr>
          <w:rFonts w:ascii="Gill Sans" w:hAnsi="Gill Sans" w:cs="Gill Sans"/>
          <w:sz w:val="22"/>
          <w:szCs w:val="22"/>
          <w:lang w:val="en-GB"/>
        </w:rPr>
        <w:t>D</w:t>
      </w:r>
      <w:r w:rsidRPr="00CA5EDC">
        <w:rPr>
          <w:rFonts w:ascii="Gill Sans" w:hAnsi="Gill Sans" w:cs="Gill Sans"/>
          <w:sz w:val="22"/>
          <w:szCs w:val="22"/>
          <w:lang w:val="en-GB"/>
        </w:rPr>
        <w:t xml:space="preserve">ate: Not specified </w:t>
      </w:r>
      <w:r w:rsidRPr="00CA5EDC">
        <w:rPr>
          <w:rFonts w:ascii="Gill Sans" w:hAnsi="Gill Sans" w:cs="Gill Sans"/>
          <w:sz w:val="22"/>
          <w:szCs w:val="22"/>
          <w:lang w:val="en-GB"/>
        </w:rPr>
        <w:tab/>
      </w:r>
      <w:r w:rsidRPr="00CA5EDC">
        <w:rPr>
          <w:rFonts w:ascii="Gill Sans" w:hAnsi="Gill Sans" w:cs="Gill Sans"/>
          <w:sz w:val="22"/>
          <w:szCs w:val="22"/>
          <w:lang w:val="en-GB"/>
        </w:rPr>
        <w:tab/>
      </w:r>
      <w:r w:rsidRPr="00CA5EDC">
        <w:rPr>
          <w:rFonts w:ascii="Gill Sans" w:hAnsi="Gill Sans" w:cs="Gill Sans"/>
          <w:sz w:val="22"/>
          <w:szCs w:val="22"/>
          <w:lang w:val="en-GB"/>
        </w:rPr>
        <w:tab/>
      </w:r>
      <w:r w:rsidR="0020660D">
        <w:rPr>
          <w:rFonts w:ascii="Gill Sans" w:hAnsi="Gill Sans" w:cs="Gill Sans"/>
          <w:sz w:val="22"/>
          <w:szCs w:val="22"/>
          <w:lang w:val="en-GB"/>
        </w:rPr>
        <w:tab/>
      </w:r>
      <w:r w:rsidR="0020660D">
        <w:rPr>
          <w:rFonts w:ascii="Gill Sans" w:hAnsi="Gill Sans" w:cs="Gill Sans"/>
          <w:sz w:val="22"/>
          <w:szCs w:val="22"/>
          <w:lang w:val="en-GB"/>
        </w:rPr>
        <w:tab/>
      </w:r>
      <w:r w:rsidRPr="00CA5EDC">
        <w:rPr>
          <w:rFonts w:ascii="Gill Sans" w:hAnsi="Gill Sans" w:cs="Gill Sans"/>
          <w:sz w:val="22"/>
          <w:szCs w:val="22"/>
          <w:lang w:val="en-GB"/>
        </w:rPr>
        <w:t xml:space="preserve">End </w:t>
      </w:r>
      <w:r w:rsidR="005B3A16">
        <w:rPr>
          <w:rFonts w:ascii="Gill Sans" w:hAnsi="Gill Sans" w:cs="Gill Sans"/>
          <w:sz w:val="22"/>
          <w:szCs w:val="22"/>
          <w:lang w:val="en-GB"/>
        </w:rPr>
        <w:t>D</w:t>
      </w:r>
      <w:r w:rsidRPr="00CA5EDC">
        <w:rPr>
          <w:rFonts w:ascii="Gill Sans" w:hAnsi="Gill Sans" w:cs="Gill Sans"/>
          <w:sz w:val="22"/>
          <w:szCs w:val="22"/>
          <w:lang w:val="en-GB"/>
        </w:rPr>
        <w:t>ate: 31 December 2015</w:t>
      </w:r>
    </w:p>
    <w:tbl>
      <w:tblPr>
        <w:tblW w:w="1017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352"/>
        <w:gridCol w:w="351"/>
        <w:gridCol w:w="351"/>
        <w:gridCol w:w="434"/>
        <w:gridCol w:w="434"/>
        <w:gridCol w:w="351"/>
        <w:gridCol w:w="351"/>
        <w:gridCol w:w="852"/>
        <w:gridCol w:w="351"/>
        <w:gridCol w:w="351"/>
        <w:gridCol w:w="351"/>
        <w:gridCol w:w="351"/>
        <w:gridCol w:w="518"/>
        <w:gridCol w:w="518"/>
        <w:gridCol w:w="518"/>
        <w:gridCol w:w="434"/>
        <w:gridCol w:w="351"/>
        <w:gridCol w:w="434"/>
        <w:gridCol w:w="351"/>
        <w:gridCol w:w="351"/>
        <w:gridCol w:w="374"/>
      </w:tblGrid>
      <w:tr w:rsidR="0020660D" w:rsidRPr="009651AC" w14:paraId="1F790DE7" w14:textId="77777777" w:rsidTr="000D7BDC">
        <w:trPr>
          <w:trHeight w:val="405"/>
        </w:trPr>
        <w:tc>
          <w:tcPr>
            <w:tcW w:w="1450" w:type="dxa"/>
            <w:vMerge w:val="restart"/>
            <w:tcBorders>
              <w:top w:val="single" w:sz="18" w:space="0" w:color="FFFFFF"/>
              <w:left w:val="single" w:sz="4" w:space="0" w:color="FFFFFF"/>
              <w:right w:val="single" w:sz="18" w:space="0" w:color="FFFFFF"/>
            </w:tcBorders>
            <w:shd w:val="clear" w:color="auto" w:fill="000000"/>
          </w:tcPr>
          <w:p w14:paraId="495820CE" w14:textId="77777777" w:rsidR="0020660D" w:rsidRPr="009651AC" w:rsidRDefault="0020660D" w:rsidP="0020660D">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5C55B7EE" w14:textId="1D59DF10" w:rsidR="0020660D" w:rsidRPr="009651AC" w:rsidRDefault="0020660D" w:rsidP="0020660D">
            <w:pPr>
              <w:rPr>
                <w:rFonts w:ascii="Gill Sans" w:hAnsi="Gill Sans" w:cs="Gill Sans"/>
                <w:color w:val="FFFFFF" w:themeColor="background1"/>
                <w:sz w:val="22"/>
                <w:szCs w:val="22"/>
                <w:lang w:val="en-GB"/>
              </w:rPr>
            </w:pPr>
          </w:p>
        </w:tc>
        <w:tc>
          <w:tcPr>
            <w:tcW w:w="1488" w:type="dxa"/>
            <w:gridSpan w:val="4"/>
            <w:vMerge w:val="restart"/>
            <w:tcBorders>
              <w:top w:val="single" w:sz="18" w:space="0" w:color="FFFFFF"/>
              <w:left w:val="single" w:sz="18" w:space="0" w:color="FFFFFF"/>
              <w:right w:val="single" w:sz="18" w:space="0" w:color="FFFFFF"/>
            </w:tcBorders>
            <w:shd w:val="clear" w:color="auto" w:fill="D6E3BC"/>
          </w:tcPr>
          <w:p w14:paraId="5F7DFE06"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Specificity</w:t>
            </w:r>
          </w:p>
        </w:tc>
        <w:tc>
          <w:tcPr>
            <w:tcW w:w="1988" w:type="dxa"/>
            <w:gridSpan w:val="4"/>
            <w:vMerge w:val="restart"/>
            <w:tcBorders>
              <w:top w:val="single" w:sz="18" w:space="0" w:color="FFFFFF"/>
              <w:left w:val="single" w:sz="18" w:space="0" w:color="FFFFFF"/>
              <w:right w:val="single" w:sz="18" w:space="0" w:color="FFFFFF"/>
            </w:tcBorders>
            <w:shd w:val="clear" w:color="auto" w:fill="FBD4B4"/>
          </w:tcPr>
          <w:p w14:paraId="7F8720D7" w14:textId="3CF12F33"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404" w:type="dxa"/>
            <w:gridSpan w:val="4"/>
            <w:vMerge w:val="restart"/>
            <w:tcBorders>
              <w:top w:val="single" w:sz="18" w:space="0" w:color="FFFFFF"/>
              <w:left w:val="single" w:sz="18" w:space="0" w:color="FFFFFF"/>
              <w:right w:val="single" w:sz="18" w:space="0" w:color="FFFFFF"/>
            </w:tcBorders>
            <w:shd w:val="clear" w:color="auto" w:fill="CCC0D9"/>
          </w:tcPr>
          <w:p w14:paraId="7E03D130"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36" w:type="dxa"/>
            <w:gridSpan w:val="2"/>
            <w:vMerge w:val="restart"/>
            <w:tcBorders>
              <w:top w:val="single" w:sz="18" w:space="0" w:color="FFFFFF"/>
              <w:left w:val="single" w:sz="18" w:space="0" w:color="FFFFFF"/>
              <w:right w:val="single" w:sz="2" w:space="0" w:color="FFFFFF"/>
            </w:tcBorders>
            <w:shd w:val="clear" w:color="auto" w:fill="B8CCE4"/>
          </w:tcPr>
          <w:p w14:paraId="737D0CA7" w14:textId="695F4754" w:rsidR="0020660D" w:rsidRPr="009651AC" w:rsidRDefault="0020660D" w:rsidP="0020660D">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52"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1F5B6A5E"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Midterm</w:t>
            </w:r>
          </w:p>
        </w:tc>
        <w:tc>
          <w:tcPr>
            <w:tcW w:w="1861" w:type="dxa"/>
            <w:gridSpan w:val="5"/>
            <w:vMerge w:val="restart"/>
            <w:tcBorders>
              <w:top w:val="single" w:sz="18" w:space="0" w:color="FFFFFF"/>
              <w:left w:val="single" w:sz="18" w:space="0" w:color="FFFFFF"/>
              <w:right w:val="single" w:sz="18" w:space="0" w:color="FFFFFF"/>
            </w:tcBorders>
            <w:shd w:val="clear" w:color="auto" w:fill="D99594"/>
          </w:tcPr>
          <w:p w14:paraId="110C49D4" w14:textId="735D96D5"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20660D" w:rsidRPr="009651AC" w14:paraId="7C2D5CAB" w14:textId="77777777" w:rsidTr="000D7BDC">
        <w:trPr>
          <w:trHeight w:val="373"/>
        </w:trPr>
        <w:tc>
          <w:tcPr>
            <w:tcW w:w="1450" w:type="dxa"/>
            <w:vMerge/>
            <w:tcBorders>
              <w:left w:val="single" w:sz="4" w:space="0" w:color="FFFFFF"/>
              <w:right w:val="single" w:sz="18" w:space="0" w:color="FFFFFF"/>
            </w:tcBorders>
            <w:shd w:val="clear" w:color="auto" w:fill="000000"/>
          </w:tcPr>
          <w:p w14:paraId="02172021" w14:textId="1380A574" w:rsidR="0020660D" w:rsidRPr="009651AC" w:rsidRDefault="0020660D" w:rsidP="0020660D">
            <w:pPr>
              <w:rPr>
                <w:rFonts w:ascii="Gill Sans" w:hAnsi="Gill Sans" w:cs="Gill Sans"/>
                <w:color w:val="FFFFFF" w:themeColor="background1"/>
                <w:sz w:val="22"/>
                <w:szCs w:val="22"/>
                <w:lang w:val="en-GB"/>
              </w:rPr>
            </w:pPr>
          </w:p>
        </w:tc>
        <w:tc>
          <w:tcPr>
            <w:tcW w:w="1488" w:type="dxa"/>
            <w:gridSpan w:val="4"/>
            <w:vMerge/>
            <w:tcBorders>
              <w:left w:val="single" w:sz="18" w:space="0" w:color="FFFFFF"/>
              <w:bottom w:val="single" w:sz="18" w:space="0" w:color="FFFFFF"/>
              <w:right w:val="single" w:sz="18" w:space="0" w:color="FFFFFF"/>
            </w:tcBorders>
            <w:shd w:val="clear" w:color="auto" w:fill="D6E3BC"/>
          </w:tcPr>
          <w:p w14:paraId="4C3830DC" w14:textId="77777777" w:rsidR="0020660D" w:rsidRPr="009651AC" w:rsidRDefault="0020660D" w:rsidP="0020660D">
            <w:pPr>
              <w:rPr>
                <w:rFonts w:ascii="Gill Sans" w:hAnsi="Gill Sans" w:cs="Gill Sans"/>
                <w:sz w:val="22"/>
                <w:szCs w:val="22"/>
                <w:lang w:val="en-GB"/>
              </w:rPr>
            </w:pPr>
          </w:p>
        </w:tc>
        <w:tc>
          <w:tcPr>
            <w:tcW w:w="1988" w:type="dxa"/>
            <w:gridSpan w:val="4"/>
            <w:vMerge/>
            <w:tcBorders>
              <w:left w:val="single" w:sz="18" w:space="0" w:color="FFFFFF"/>
              <w:bottom w:val="single" w:sz="18" w:space="0" w:color="FFFFFF"/>
              <w:right w:val="single" w:sz="18" w:space="0" w:color="FFFFFF"/>
            </w:tcBorders>
            <w:shd w:val="clear" w:color="auto" w:fill="FBD4B4"/>
          </w:tcPr>
          <w:p w14:paraId="22B73B79" w14:textId="77777777" w:rsidR="0020660D" w:rsidRPr="009651AC" w:rsidRDefault="0020660D" w:rsidP="0020660D">
            <w:pPr>
              <w:rPr>
                <w:rFonts w:ascii="Gill Sans" w:hAnsi="Gill Sans" w:cs="Gill Sans"/>
                <w:sz w:val="22"/>
                <w:szCs w:val="22"/>
                <w:lang w:val="en-GB"/>
              </w:rPr>
            </w:pPr>
          </w:p>
        </w:tc>
        <w:tc>
          <w:tcPr>
            <w:tcW w:w="1404" w:type="dxa"/>
            <w:gridSpan w:val="4"/>
            <w:vMerge/>
            <w:tcBorders>
              <w:left w:val="single" w:sz="18" w:space="0" w:color="FFFFFF"/>
              <w:bottom w:val="single" w:sz="18" w:space="0" w:color="FFFFFF"/>
              <w:right w:val="single" w:sz="18" w:space="0" w:color="FFFFFF"/>
            </w:tcBorders>
            <w:shd w:val="clear" w:color="auto" w:fill="CCC0D9"/>
          </w:tcPr>
          <w:p w14:paraId="6A714960" w14:textId="77777777" w:rsidR="0020660D" w:rsidRPr="009651AC" w:rsidRDefault="0020660D" w:rsidP="0020660D">
            <w:pPr>
              <w:rPr>
                <w:rFonts w:ascii="Gill Sans" w:hAnsi="Gill Sans" w:cs="Gill Sans"/>
                <w:sz w:val="22"/>
                <w:szCs w:val="22"/>
                <w:lang w:val="en-GB"/>
              </w:rPr>
            </w:pPr>
          </w:p>
        </w:tc>
        <w:tc>
          <w:tcPr>
            <w:tcW w:w="1036" w:type="dxa"/>
            <w:gridSpan w:val="2"/>
            <w:vMerge/>
            <w:tcBorders>
              <w:left w:val="single" w:sz="18" w:space="0" w:color="FFFFFF"/>
              <w:bottom w:val="single" w:sz="18" w:space="0" w:color="FFFFFF"/>
              <w:right w:val="single" w:sz="2" w:space="0" w:color="FFFFFF"/>
            </w:tcBorders>
            <w:shd w:val="clear" w:color="auto" w:fill="B8CCE4"/>
          </w:tcPr>
          <w:p w14:paraId="1718DF77" w14:textId="77777777" w:rsidR="0020660D" w:rsidRPr="009651AC" w:rsidRDefault="0020660D" w:rsidP="0020660D">
            <w:pPr>
              <w:rPr>
                <w:rFonts w:ascii="Gill Sans" w:hAnsi="Gill Sans" w:cs="Gill Sans"/>
                <w:sz w:val="22"/>
                <w:szCs w:val="22"/>
                <w:lang w:val="en-GB"/>
              </w:rPr>
            </w:pPr>
          </w:p>
        </w:tc>
        <w:tc>
          <w:tcPr>
            <w:tcW w:w="952"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304187D0" w14:textId="68704C6F"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1861" w:type="dxa"/>
            <w:gridSpan w:val="5"/>
            <w:vMerge/>
            <w:tcBorders>
              <w:left w:val="single" w:sz="18" w:space="0" w:color="FFFFFF"/>
              <w:bottom w:val="single" w:sz="18" w:space="0" w:color="FFFFFF"/>
              <w:right w:val="single" w:sz="18" w:space="0" w:color="FFFFFF"/>
            </w:tcBorders>
            <w:shd w:val="clear" w:color="auto" w:fill="D99594"/>
          </w:tcPr>
          <w:p w14:paraId="5D03F726" w14:textId="77777777" w:rsidR="0020660D" w:rsidRPr="009651AC" w:rsidRDefault="0020660D" w:rsidP="0020660D">
            <w:pPr>
              <w:rPr>
                <w:rFonts w:ascii="Gill Sans" w:hAnsi="Gill Sans" w:cs="Gill Sans"/>
                <w:sz w:val="22"/>
                <w:szCs w:val="22"/>
                <w:lang w:val="en-GB"/>
              </w:rPr>
            </w:pPr>
          </w:p>
        </w:tc>
      </w:tr>
      <w:tr w:rsidR="009B0529" w:rsidRPr="009651AC" w14:paraId="7A51B17A" w14:textId="77777777" w:rsidTr="000D7BDC">
        <w:trPr>
          <w:cantSplit/>
          <w:trHeight w:val="2336"/>
        </w:trPr>
        <w:tc>
          <w:tcPr>
            <w:tcW w:w="1450" w:type="dxa"/>
            <w:vMerge/>
            <w:tcBorders>
              <w:left w:val="single" w:sz="4" w:space="0" w:color="FFFFFF"/>
              <w:right w:val="single" w:sz="18" w:space="0" w:color="FFFFFF"/>
            </w:tcBorders>
            <w:shd w:val="clear" w:color="auto" w:fill="000000"/>
          </w:tcPr>
          <w:p w14:paraId="73491397" w14:textId="527052AB" w:rsidR="0020660D" w:rsidRPr="009651AC" w:rsidRDefault="0020660D" w:rsidP="0020660D">
            <w:pPr>
              <w:rPr>
                <w:rFonts w:ascii="Gill Sans" w:hAnsi="Gill Sans" w:cs="Gill Sans"/>
                <w:color w:val="FFFFFF" w:themeColor="background1"/>
                <w:sz w:val="22"/>
                <w:szCs w:val="22"/>
                <w:lang w:val="en-GB"/>
              </w:rPr>
            </w:pPr>
          </w:p>
        </w:tc>
        <w:tc>
          <w:tcPr>
            <w:tcW w:w="352"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55817147"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351"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61E3A082"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Low</w:t>
            </w:r>
          </w:p>
        </w:tc>
        <w:tc>
          <w:tcPr>
            <w:tcW w:w="351"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749194C2"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Medium</w:t>
            </w:r>
          </w:p>
        </w:tc>
        <w:tc>
          <w:tcPr>
            <w:tcW w:w="434"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1004C825"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High</w:t>
            </w:r>
          </w:p>
        </w:tc>
        <w:tc>
          <w:tcPr>
            <w:tcW w:w="434"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227EFC0D"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51"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7C983292"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51"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75D8FF8D"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852"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20D0AF73"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51"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00E77F8F"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None</w:t>
            </w:r>
          </w:p>
        </w:tc>
        <w:tc>
          <w:tcPr>
            <w:tcW w:w="351"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4C154DF1"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Minor</w:t>
            </w:r>
          </w:p>
        </w:tc>
        <w:tc>
          <w:tcPr>
            <w:tcW w:w="351"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685BEAD8"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Moderate</w:t>
            </w:r>
          </w:p>
        </w:tc>
        <w:tc>
          <w:tcPr>
            <w:tcW w:w="351"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294D5309"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518"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16774FB2" w14:textId="37311D42"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518"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7A3927D1"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Limited</w:t>
            </w:r>
          </w:p>
        </w:tc>
        <w:tc>
          <w:tcPr>
            <w:tcW w:w="518"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7DB97A0D"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Substantial</w:t>
            </w:r>
          </w:p>
        </w:tc>
        <w:tc>
          <w:tcPr>
            <w:tcW w:w="434"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4F8C521D"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Completed</w:t>
            </w:r>
          </w:p>
        </w:tc>
        <w:tc>
          <w:tcPr>
            <w:tcW w:w="35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536F315" w14:textId="5CA7746B"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43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8185096" w14:textId="0E41A86B"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35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7D849CF"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Marginal</w:t>
            </w:r>
          </w:p>
        </w:tc>
        <w:tc>
          <w:tcPr>
            <w:tcW w:w="35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F945055"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374"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57DAA751" w14:textId="77777777" w:rsidR="0020660D" w:rsidRPr="009651AC" w:rsidRDefault="0020660D" w:rsidP="0020660D">
            <w:pPr>
              <w:rPr>
                <w:rFonts w:ascii="Gill Sans" w:hAnsi="Gill Sans" w:cs="Gill Sans"/>
                <w:sz w:val="22"/>
                <w:szCs w:val="22"/>
                <w:lang w:val="en-GB"/>
              </w:rPr>
            </w:pPr>
            <w:r w:rsidRPr="009651AC">
              <w:rPr>
                <w:rFonts w:ascii="Gill Sans" w:hAnsi="Gill Sans" w:cs="Gill Sans"/>
                <w:sz w:val="22"/>
                <w:szCs w:val="22"/>
                <w:lang w:val="en-GB"/>
              </w:rPr>
              <w:t>Outstanding</w:t>
            </w:r>
          </w:p>
        </w:tc>
      </w:tr>
      <w:tr w:rsidR="009B0529" w:rsidRPr="009651AC" w14:paraId="653E5290" w14:textId="77777777" w:rsidTr="000D7BDC">
        <w:trPr>
          <w:trHeight w:val="340"/>
        </w:trPr>
        <w:tc>
          <w:tcPr>
            <w:tcW w:w="1450" w:type="dxa"/>
            <w:vMerge/>
            <w:tcBorders>
              <w:left w:val="single" w:sz="4" w:space="0" w:color="FFFFFF"/>
              <w:right w:val="single" w:sz="18" w:space="0" w:color="FFFFFF"/>
            </w:tcBorders>
            <w:shd w:val="clear" w:color="auto" w:fill="000000"/>
          </w:tcPr>
          <w:p w14:paraId="2B129A78" w14:textId="482215B1" w:rsidR="0020660D" w:rsidRPr="009651AC" w:rsidRDefault="0020660D" w:rsidP="0020660D">
            <w:pPr>
              <w:rPr>
                <w:rFonts w:ascii="Gill Sans" w:hAnsi="Gill Sans" w:cs="Gill Sans"/>
                <w:noProof/>
                <w:color w:val="FFFFFF" w:themeColor="background1"/>
                <w:sz w:val="22"/>
                <w:szCs w:val="22"/>
                <w:lang w:val="en-GB"/>
              </w:rPr>
            </w:pPr>
          </w:p>
        </w:tc>
        <w:tc>
          <w:tcPr>
            <w:tcW w:w="352" w:type="dxa"/>
            <w:vMerge w:val="restart"/>
            <w:tcBorders>
              <w:top w:val="single" w:sz="18" w:space="0" w:color="FFFFFF"/>
              <w:left w:val="single" w:sz="18" w:space="0" w:color="FFFFFF"/>
              <w:right w:val="single" w:sz="2" w:space="0" w:color="FFFFFF"/>
            </w:tcBorders>
            <w:shd w:val="clear" w:color="auto" w:fill="D6E3BC"/>
          </w:tcPr>
          <w:p w14:paraId="03BCBEE5" w14:textId="77777777" w:rsidR="0020660D" w:rsidRPr="009651AC" w:rsidRDefault="0020660D" w:rsidP="0020660D">
            <w:pPr>
              <w:jc w:val="center"/>
              <w:rPr>
                <w:rFonts w:ascii="Gill Sans" w:hAnsi="Gill Sans" w:cs="Gill Sans"/>
                <w:sz w:val="22"/>
                <w:szCs w:val="22"/>
                <w:lang w:val="en-GB"/>
              </w:rPr>
            </w:pPr>
          </w:p>
        </w:tc>
        <w:tc>
          <w:tcPr>
            <w:tcW w:w="351" w:type="dxa"/>
            <w:vMerge w:val="restart"/>
            <w:tcBorders>
              <w:top w:val="single" w:sz="18" w:space="0" w:color="FFFFFF"/>
              <w:left w:val="single" w:sz="2" w:space="0" w:color="FFFFFF"/>
              <w:right w:val="single" w:sz="2" w:space="0" w:color="FFFFFF"/>
            </w:tcBorders>
            <w:shd w:val="clear" w:color="auto" w:fill="D6E3BC"/>
          </w:tcPr>
          <w:p w14:paraId="7AF40DBC" w14:textId="77777777" w:rsidR="0020660D" w:rsidRPr="009651AC" w:rsidRDefault="0020660D" w:rsidP="0020660D">
            <w:pPr>
              <w:jc w:val="center"/>
              <w:rPr>
                <w:rFonts w:ascii="Gill Sans" w:hAnsi="Gill Sans" w:cs="Gill Sans"/>
                <w:sz w:val="22"/>
                <w:szCs w:val="22"/>
                <w:lang w:val="en-GB"/>
              </w:rPr>
            </w:pPr>
          </w:p>
        </w:tc>
        <w:tc>
          <w:tcPr>
            <w:tcW w:w="351" w:type="dxa"/>
            <w:vMerge w:val="restart"/>
            <w:tcBorders>
              <w:top w:val="single" w:sz="18" w:space="0" w:color="FFFFFF"/>
              <w:left w:val="single" w:sz="2" w:space="0" w:color="FFFFFF"/>
              <w:right w:val="single" w:sz="2" w:space="0" w:color="FFFFFF"/>
            </w:tcBorders>
            <w:shd w:val="clear" w:color="auto" w:fill="D6E3BC"/>
          </w:tcPr>
          <w:p w14:paraId="7FBFEE7D" w14:textId="77777777" w:rsidR="0020660D" w:rsidRPr="009651AC" w:rsidRDefault="0020660D" w:rsidP="0020660D">
            <w:pPr>
              <w:jc w:val="center"/>
              <w:rPr>
                <w:rFonts w:ascii="Gill Sans" w:hAnsi="Gill Sans" w:cs="Gill Sans"/>
                <w:sz w:val="22"/>
                <w:szCs w:val="22"/>
                <w:lang w:val="en-GB"/>
              </w:rPr>
            </w:pPr>
          </w:p>
        </w:tc>
        <w:tc>
          <w:tcPr>
            <w:tcW w:w="434" w:type="dxa"/>
            <w:vMerge w:val="restart"/>
            <w:tcBorders>
              <w:top w:val="single" w:sz="18" w:space="0" w:color="FFFFFF"/>
              <w:left w:val="single" w:sz="2" w:space="0" w:color="FFFFFF"/>
              <w:right w:val="single" w:sz="18" w:space="0" w:color="FFFFFF"/>
            </w:tcBorders>
            <w:shd w:val="clear" w:color="auto" w:fill="D6E3BC"/>
          </w:tcPr>
          <w:p w14:paraId="012D21BB" w14:textId="77777777" w:rsidR="0020660D" w:rsidRPr="00466E44" w:rsidRDefault="0020660D" w:rsidP="0020660D">
            <w:pPr>
              <w:jc w:val="cente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434" w:type="dxa"/>
            <w:vMerge w:val="restart"/>
            <w:tcBorders>
              <w:top w:val="single" w:sz="18" w:space="0" w:color="FFFFFF"/>
              <w:left w:val="single" w:sz="2" w:space="0" w:color="FFFFFF"/>
              <w:right w:val="single" w:sz="2" w:space="0" w:color="FFFFFF"/>
            </w:tcBorders>
            <w:shd w:val="clear" w:color="auto" w:fill="FBD4B4"/>
          </w:tcPr>
          <w:p w14:paraId="3B73C133" w14:textId="43457A5C" w:rsidR="0020660D" w:rsidRPr="00466E44" w:rsidRDefault="0020660D" w:rsidP="0020660D">
            <w:pPr>
              <w:jc w:val="cente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351" w:type="dxa"/>
            <w:vMerge w:val="restart"/>
            <w:tcBorders>
              <w:top w:val="single" w:sz="18" w:space="0" w:color="FFFFFF"/>
              <w:left w:val="single" w:sz="2" w:space="0" w:color="FFFFFF"/>
              <w:right w:val="single" w:sz="2" w:space="0" w:color="FFFFFF"/>
            </w:tcBorders>
            <w:shd w:val="clear" w:color="auto" w:fill="FBD4B4"/>
          </w:tcPr>
          <w:p w14:paraId="62C79931" w14:textId="097BC104" w:rsidR="0020660D" w:rsidRPr="00466E44" w:rsidRDefault="0020660D" w:rsidP="0020660D">
            <w:pPr>
              <w:jc w:val="center"/>
              <w:rPr>
                <w:rFonts w:ascii="Zapf Dingbats" w:hAnsi="Zapf Dingbats" w:cs="Gill Sans"/>
                <w:noProof/>
                <w:sz w:val="22"/>
                <w:szCs w:val="22"/>
                <w:lang w:val="en-GB"/>
              </w:rPr>
            </w:pPr>
          </w:p>
        </w:tc>
        <w:tc>
          <w:tcPr>
            <w:tcW w:w="351" w:type="dxa"/>
            <w:vMerge w:val="restart"/>
            <w:tcBorders>
              <w:top w:val="single" w:sz="18" w:space="0" w:color="FFFFFF"/>
              <w:left w:val="single" w:sz="2" w:space="0" w:color="FFFFFF"/>
              <w:right w:val="single" w:sz="2" w:space="0" w:color="FFFFFF"/>
            </w:tcBorders>
            <w:shd w:val="clear" w:color="auto" w:fill="FBD4B4"/>
          </w:tcPr>
          <w:p w14:paraId="1E4CE60A" w14:textId="77777777" w:rsidR="0020660D" w:rsidRPr="00466E44" w:rsidRDefault="0020660D" w:rsidP="0020660D">
            <w:pPr>
              <w:jc w:val="cente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852" w:type="dxa"/>
            <w:vMerge w:val="restart"/>
            <w:tcBorders>
              <w:top w:val="single" w:sz="18" w:space="0" w:color="FFFFFF"/>
              <w:left w:val="single" w:sz="2" w:space="0" w:color="FFFFFF"/>
              <w:right w:val="single" w:sz="18" w:space="0" w:color="FFFFFF"/>
            </w:tcBorders>
            <w:shd w:val="clear" w:color="auto" w:fill="FBD4B4"/>
          </w:tcPr>
          <w:p w14:paraId="0721BD11" w14:textId="2A002968" w:rsidR="0020660D" w:rsidRPr="00466E44" w:rsidRDefault="0020660D" w:rsidP="0020660D">
            <w:pPr>
              <w:jc w:val="cente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351" w:type="dxa"/>
            <w:vMerge w:val="restart"/>
            <w:tcBorders>
              <w:top w:val="single" w:sz="18" w:space="0" w:color="FFFFFF"/>
              <w:left w:val="single" w:sz="18" w:space="0" w:color="FFFFFF"/>
              <w:right w:val="single" w:sz="2" w:space="0" w:color="FFFFFF"/>
            </w:tcBorders>
            <w:shd w:val="clear" w:color="auto" w:fill="CCC0D9"/>
          </w:tcPr>
          <w:p w14:paraId="345EE7D4" w14:textId="77777777" w:rsidR="0020660D" w:rsidRPr="00466E44" w:rsidRDefault="0020660D" w:rsidP="0020660D">
            <w:pPr>
              <w:jc w:val="center"/>
              <w:rPr>
                <w:rFonts w:ascii="Zapf Dingbats" w:hAnsi="Zapf Dingbats" w:cs="Gill Sans"/>
                <w:sz w:val="22"/>
                <w:szCs w:val="22"/>
                <w:lang w:val="en-GB"/>
              </w:rPr>
            </w:pPr>
          </w:p>
        </w:tc>
        <w:tc>
          <w:tcPr>
            <w:tcW w:w="351" w:type="dxa"/>
            <w:vMerge w:val="restart"/>
            <w:tcBorders>
              <w:top w:val="single" w:sz="18" w:space="0" w:color="FFFFFF"/>
              <w:left w:val="single" w:sz="2" w:space="0" w:color="FFFFFF"/>
              <w:right w:val="single" w:sz="2" w:space="0" w:color="FFFFFF"/>
            </w:tcBorders>
            <w:shd w:val="clear" w:color="auto" w:fill="CCC0D9"/>
          </w:tcPr>
          <w:p w14:paraId="37F081C3" w14:textId="63414FC0" w:rsidR="0020660D" w:rsidRPr="00466E44" w:rsidRDefault="0020660D" w:rsidP="0020660D">
            <w:pPr>
              <w:jc w:val="center"/>
              <w:rPr>
                <w:rFonts w:ascii="Zapf Dingbats" w:hAnsi="Zapf Dingbats" w:cs="Gill Sans"/>
                <w:sz w:val="22"/>
                <w:szCs w:val="22"/>
                <w:lang w:val="en-GB"/>
              </w:rPr>
            </w:pPr>
          </w:p>
        </w:tc>
        <w:tc>
          <w:tcPr>
            <w:tcW w:w="351" w:type="dxa"/>
            <w:vMerge w:val="restart"/>
            <w:tcBorders>
              <w:top w:val="single" w:sz="18" w:space="0" w:color="FFFFFF"/>
              <w:left w:val="single" w:sz="2" w:space="0" w:color="FFFFFF"/>
              <w:right w:val="single" w:sz="2" w:space="0" w:color="FFFFFF"/>
            </w:tcBorders>
            <w:shd w:val="clear" w:color="auto" w:fill="CCC0D9"/>
          </w:tcPr>
          <w:p w14:paraId="20AEF633" w14:textId="77777777" w:rsidR="0020660D" w:rsidRPr="00466E44" w:rsidRDefault="0020660D" w:rsidP="0020660D">
            <w:pPr>
              <w:jc w:val="center"/>
              <w:rPr>
                <w:rFonts w:ascii="Zapf Dingbats" w:hAnsi="Zapf Dingbats" w:cs="Gill Sans"/>
                <w:noProof/>
                <w:sz w:val="22"/>
                <w:szCs w:val="22"/>
                <w:lang w:val="en-GB"/>
              </w:rPr>
            </w:pPr>
          </w:p>
        </w:tc>
        <w:tc>
          <w:tcPr>
            <w:tcW w:w="351" w:type="dxa"/>
            <w:vMerge w:val="restart"/>
            <w:tcBorders>
              <w:top w:val="single" w:sz="18" w:space="0" w:color="FFFFFF"/>
              <w:left w:val="single" w:sz="2" w:space="0" w:color="FFFFFF"/>
              <w:right w:val="single" w:sz="18" w:space="0" w:color="FFFFFF"/>
            </w:tcBorders>
            <w:shd w:val="clear" w:color="auto" w:fill="CCC0D9"/>
          </w:tcPr>
          <w:p w14:paraId="7327CCA1" w14:textId="3C171349" w:rsidR="0020660D" w:rsidRPr="00466E44" w:rsidRDefault="0020660D" w:rsidP="0020660D">
            <w:pPr>
              <w:jc w:val="cente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518"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58E22EFA" w14:textId="77777777" w:rsidR="0020660D" w:rsidRPr="00466E44" w:rsidRDefault="0020660D" w:rsidP="0020660D">
            <w:pPr>
              <w:jc w:val="center"/>
              <w:rPr>
                <w:rFonts w:ascii="Zapf Dingbats" w:hAnsi="Zapf Dingbats" w:cs="Gill Sans"/>
                <w:sz w:val="22"/>
                <w:szCs w:val="22"/>
                <w:lang w:val="en-GB"/>
              </w:rPr>
            </w:pPr>
          </w:p>
        </w:tc>
        <w:tc>
          <w:tcPr>
            <w:tcW w:w="518"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8311BA3" w14:textId="092053BB" w:rsidR="0020660D" w:rsidRPr="00466E44" w:rsidRDefault="0020660D" w:rsidP="0020660D">
            <w:pPr>
              <w:jc w:val="cente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518"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0EFE2EDC" w14:textId="3838E595" w:rsidR="0020660D" w:rsidRPr="00466E44" w:rsidRDefault="0020660D" w:rsidP="0020660D">
            <w:pPr>
              <w:jc w:val="center"/>
              <w:rPr>
                <w:rFonts w:ascii="Zapf Dingbats" w:hAnsi="Zapf Dingbats" w:cs="Gill Sans"/>
                <w:sz w:val="22"/>
                <w:szCs w:val="22"/>
                <w:lang w:val="en-GB"/>
              </w:rPr>
            </w:pPr>
          </w:p>
        </w:tc>
        <w:tc>
          <w:tcPr>
            <w:tcW w:w="434"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48585E1A" w14:textId="77777777" w:rsidR="0020660D" w:rsidRPr="00466E44" w:rsidRDefault="0020660D" w:rsidP="0020660D">
            <w:pPr>
              <w:jc w:val="center"/>
              <w:rPr>
                <w:rFonts w:ascii="Zapf Dingbats" w:hAnsi="Zapf Dingbats" w:cs="Gill Sans"/>
                <w:sz w:val="22"/>
                <w:szCs w:val="22"/>
                <w:lang w:val="en-GB"/>
              </w:rPr>
            </w:pPr>
          </w:p>
        </w:tc>
        <w:tc>
          <w:tcPr>
            <w:tcW w:w="351" w:type="dxa"/>
            <w:vMerge w:val="restart"/>
            <w:tcBorders>
              <w:top w:val="single" w:sz="18" w:space="0" w:color="FFFFFF"/>
              <w:left w:val="single" w:sz="18" w:space="0" w:color="FFFFFF"/>
              <w:right w:val="single" w:sz="2" w:space="0" w:color="FFFFFF"/>
            </w:tcBorders>
            <w:shd w:val="clear" w:color="auto" w:fill="D99594"/>
          </w:tcPr>
          <w:p w14:paraId="011EDD6C" w14:textId="77777777" w:rsidR="0020660D" w:rsidRPr="009651AC" w:rsidRDefault="0020660D" w:rsidP="0020660D">
            <w:pPr>
              <w:jc w:val="center"/>
              <w:rPr>
                <w:rFonts w:ascii="Gill Sans" w:hAnsi="Gill Sans" w:cs="Gill Sans"/>
                <w:sz w:val="22"/>
                <w:szCs w:val="22"/>
                <w:lang w:val="en-GB"/>
              </w:rPr>
            </w:pPr>
          </w:p>
        </w:tc>
        <w:tc>
          <w:tcPr>
            <w:tcW w:w="434" w:type="dxa"/>
            <w:vMerge w:val="restart"/>
            <w:tcBorders>
              <w:top w:val="single" w:sz="18" w:space="0" w:color="FFFFFF"/>
              <w:left w:val="single" w:sz="2" w:space="0" w:color="FFFFFF"/>
              <w:right w:val="single" w:sz="2" w:space="0" w:color="FFFFFF"/>
            </w:tcBorders>
            <w:shd w:val="clear" w:color="auto" w:fill="D99594"/>
          </w:tcPr>
          <w:p w14:paraId="182120C6" w14:textId="77777777" w:rsidR="0020660D" w:rsidRPr="009651AC" w:rsidRDefault="0020660D" w:rsidP="0020660D">
            <w:pPr>
              <w:jc w:val="center"/>
              <w:rPr>
                <w:rFonts w:ascii="Gill Sans" w:hAnsi="Gill Sans" w:cs="Gill Sans"/>
                <w:sz w:val="22"/>
                <w:szCs w:val="22"/>
                <w:lang w:val="en-GB"/>
              </w:rPr>
            </w:pPr>
          </w:p>
        </w:tc>
        <w:tc>
          <w:tcPr>
            <w:tcW w:w="351" w:type="dxa"/>
            <w:vMerge w:val="restart"/>
            <w:tcBorders>
              <w:top w:val="single" w:sz="18" w:space="0" w:color="FFFFFF"/>
              <w:left w:val="single" w:sz="2" w:space="0" w:color="FFFFFF"/>
              <w:right w:val="single" w:sz="2" w:space="0" w:color="FFFFFF"/>
            </w:tcBorders>
            <w:shd w:val="clear" w:color="auto" w:fill="D99594"/>
          </w:tcPr>
          <w:p w14:paraId="49F309AC" w14:textId="621783BC" w:rsidR="0020660D" w:rsidRPr="009651AC" w:rsidRDefault="0020660D" w:rsidP="0020660D">
            <w:pPr>
              <w:jc w:val="center"/>
              <w:rPr>
                <w:rFonts w:ascii="Gill Sans" w:hAnsi="Gill San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D99594"/>
          </w:tcPr>
          <w:p w14:paraId="0BC6E43E" w14:textId="77777777" w:rsidR="0020660D" w:rsidRPr="008E2D1E" w:rsidRDefault="0020660D" w:rsidP="0020660D">
            <w:pPr>
              <w:jc w:val="center"/>
              <w:rPr>
                <w:rFonts w:ascii="Gill Sans" w:hAnsi="Gill Sans" w:cs="Gill Sans"/>
                <w:noProof/>
                <w:sz w:val="22"/>
                <w:szCs w:val="22"/>
              </w:rPr>
            </w:pPr>
          </w:p>
        </w:tc>
        <w:tc>
          <w:tcPr>
            <w:tcW w:w="374" w:type="dxa"/>
            <w:vMerge w:val="restart"/>
            <w:tcBorders>
              <w:top w:val="single" w:sz="18" w:space="0" w:color="FFFFFF"/>
              <w:left w:val="single" w:sz="2" w:space="0" w:color="FFFFFF"/>
              <w:right w:val="single" w:sz="18" w:space="0" w:color="FFFFFF"/>
            </w:tcBorders>
            <w:shd w:val="clear" w:color="auto" w:fill="D99594"/>
          </w:tcPr>
          <w:p w14:paraId="682EC4BC" w14:textId="61C87403" w:rsidR="0020660D" w:rsidRPr="009651AC" w:rsidRDefault="0020660D" w:rsidP="0020660D">
            <w:pPr>
              <w:jc w:val="center"/>
              <w:rPr>
                <w:rFonts w:ascii="Gill Sans" w:hAnsi="Gill Sans" w:cs="Gill Sans"/>
                <w:sz w:val="22"/>
                <w:szCs w:val="22"/>
                <w:lang w:val="en-GB"/>
              </w:rPr>
            </w:pPr>
            <w:r w:rsidRPr="009651AC">
              <w:rPr>
                <w:rFonts w:ascii="MS Mincho" w:eastAsia="MS Mincho" w:hAnsi="MS Mincho" w:cs="MS Mincho"/>
                <w:noProof/>
                <w:sz w:val="22"/>
                <w:szCs w:val="22"/>
                <w:lang w:val="en-GB"/>
              </w:rPr>
              <w:t>✔</w:t>
            </w:r>
          </w:p>
        </w:tc>
      </w:tr>
      <w:tr w:rsidR="009B0529" w:rsidRPr="009651AC" w14:paraId="058F80C4" w14:textId="77777777" w:rsidTr="000D7BDC">
        <w:trPr>
          <w:trHeight w:val="340"/>
        </w:trPr>
        <w:tc>
          <w:tcPr>
            <w:tcW w:w="1450" w:type="dxa"/>
            <w:vMerge/>
            <w:tcBorders>
              <w:left w:val="single" w:sz="4" w:space="0" w:color="FFFFFF"/>
              <w:right w:val="single" w:sz="18" w:space="0" w:color="FFFFFF"/>
            </w:tcBorders>
            <w:shd w:val="clear" w:color="auto" w:fill="000000"/>
          </w:tcPr>
          <w:p w14:paraId="22F2383B" w14:textId="77777777" w:rsidR="0020660D" w:rsidRPr="009651AC" w:rsidRDefault="0020660D" w:rsidP="0020660D">
            <w:pPr>
              <w:rPr>
                <w:rFonts w:ascii="Gill Sans" w:hAnsi="Gill Sans" w:cs="Gill Sans"/>
                <w:color w:val="FFFFFF" w:themeColor="background1"/>
                <w:sz w:val="22"/>
                <w:szCs w:val="22"/>
                <w:lang w:val="en-GB"/>
              </w:rPr>
            </w:pPr>
          </w:p>
        </w:tc>
        <w:tc>
          <w:tcPr>
            <w:tcW w:w="352" w:type="dxa"/>
            <w:vMerge/>
            <w:tcBorders>
              <w:left w:val="single" w:sz="18" w:space="0" w:color="FFFFFF"/>
              <w:right w:val="single" w:sz="2" w:space="0" w:color="FFFFFF"/>
            </w:tcBorders>
            <w:shd w:val="clear" w:color="auto" w:fill="D6E3BC"/>
          </w:tcPr>
          <w:p w14:paraId="4163E1B6" w14:textId="77777777" w:rsidR="0020660D" w:rsidRPr="009651AC" w:rsidRDefault="0020660D" w:rsidP="0020660D">
            <w:pPr>
              <w:rPr>
                <w:rFonts w:ascii="Gill Sans" w:hAnsi="Gill Sans" w:cs="Gill Sans"/>
                <w:sz w:val="22"/>
                <w:szCs w:val="22"/>
                <w:lang w:val="en-GB"/>
              </w:rPr>
            </w:pPr>
          </w:p>
        </w:tc>
        <w:tc>
          <w:tcPr>
            <w:tcW w:w="351" w:type="dxa"/>
            <w:vMerge/>
            <w:tcBorders>
              <w:left w:val="single" w:sz="2" w:space="0" w:color="FFFFFF"/>
              <w:right w:val="single" w:sz="2" w:space="0" w:color="FFFFFF"/>
            </w:tcBorders>
            <w:shd w:val="clear" w:color="auto" w:fill="D6E3BC"/>
          </w:tcPr>
          <w:p w14:paraId="2FD6D863" w14:textId="77777777" w:rsidR="0020660D" w:rsidRPr="009651AC" w:rsidRDefault="0020660D" w:rsidP="0020660D">
            <w:pPr>
              <w:rPr>
                <w:rFonts w:ascii="Gill Sans" w:hAnsi="Gill Sans" w:cs="Gill Sans"/>
                <w:sz w:val="22"/>
                <w:szCs w:val="22"/>
                <w:lang w:val="en-GB"/>
              </w:rPr>
            </w:pPr>
          </w:p>
        </w:tc>
        <w:tc>
          <w:tcPr>
            <w:tcW w:w="351" w:type="dxa"/>
            <w:vMerge/>
            <w:tcBorders>
              <w:left w:val="single" w:sz="2" w:space="0" w:color="FFFFFF"/>
              <w:right w:val="single" w:sz="2" w:space="0" w:color="FFFFFF"/>
            </w:tcBorders>
            <w:shd w:val="clear" w:color="auto" w:fill="D6E3BC"/>
          </w:tcPr>
          <w:p w14:paraId="60381C90" w14:textId="77777777" w:rsidR="0020660D" w:rsidRPr="009651AC" w:rsidRDefault="0020660D" w:rsidP="0020660D">
            <w:pPr>
              <w:rPr>
                <w:rFonts w:ascii="Gill Sans" w:hAnsi="Gill Sans" w:cs="Gill Sans"/>
                <w:sz w:val="22"/>
                <w:szCs w:val="22"/>
                <w:lang w:val="en-GB"/>
              </w:rPr>
            </w:pPr>
          </w:p>
        </w:tc>
        <w:tc>
          <w:tcPr>
            <w:tcW w:w="434" w:type="dxa"/>
            <w:vMerge/>
            <w:tcBorders>
              <w:left w:val="single" w:sz="2" w:space="0" w:color="FFFFFF"/>
              <w:right w:val="single" w:sz="18" w:space="0" w:color="FFFFFF"/>
            </w:tcBorders>
            <w:shd w:val="clear" w:color="auto" w:fill="D6E3BC"/>
          </w:tcPr>
          <w:p w14:paraId="63ACAEE8" w14:textId="77777777" w:rsidR="0020660D" w:rsidRPr="00466E44" w:rsidRDefault="0020660D" w:rsidP="0020660D">
            <w:pPr>
              <w:rPr>
                <w:rFonts w:ascii="Zapf Dingbats" w:hAnsi="Zapf Dingbats" w:cs="Gill Sans"/>
                <w:noProof/>
                <w:sz w:val="22"/>
                <w:szCs w:val="22"/>
                <w:lang w:val="en-GB"/>
              </w:rPr>
            </w:pPr>
          </w:p>
        </w:tc>
        <w:tc>
          <w:tcPr>
            <w:tcW w:w="434" w:type="dxa"/>
            <w:vMerge/>
            <w:tcBorders>
              <w:left w:val="single" w:sz="2" w:space="0" w:color="FFFFFF"/>
              <w:right w:val="single" w:sz="2" w:space="0" w:color="FFFFFF"/>
            </w:tcBorders>
            <w:shd w:val="clear" w:color="auto" w:fill="FBD4B4"/>
          </w:tcPr>
          <w:p w14:paraId="72BED804" w14:textId="77777777" w:rsidR="0020660D" w:rsidRPr="00466E44" w:rsidRDefault="0020660D" w:rsidP="0020660D">
            <w:pPr>
              <w:rPr>
                <w:rFonts w:ascii="Zapf Dingbats" w:hAnsi="Zapf Dingbats" w:cs="Gill Sans"/>
                <w:sz w:val="22"/>
                <w:szCs w:val="22"/>
                <w:lang w:val="en-GB"/>
              </w:rPr>
            </w:pPr>
          </w:p>
        </w:tc>
        <w:tc>
          <w:tcPr>
            <w:tcW w:w="351" w:type="dxa"/>
            <w:vMerge/>
            <w:tcBorders>
              <w:left w:val="single" w:sz="2" w:space="0" w:color="FFFFFF"/>
              <w:right w:val="single" w:sz="2" w:space="0" w:color="FFFFFF"/>
            </w:tcBorders>
            <w:shd w:val="clear" w:color="auto" w:fill="FBD4B4"/>
          </w:tcPr>
          <w:p w14:paraId="1E71F436" w14:textId="77777777" w:rsidR="0020660D" w:rsidRPr="00466E44" w:rsidRDefault="0020660D" w:rsidP="0020660D">
            <w:pPr>
              <w:rPr>
                <w:rFonts w:ascii="Zapf Dingbats" w:hAnsi="Zapf Dingbats" w:cs="Gill Sans"/>
                <w:noProof/>
                <w:sz w:val="22"/>
                <w:szCs w:val="22"/>
                <w:lang w:val="en-GB"/>
              </w:rPr>
            </w:pPr>
          </w:p>
        </w:tc>
        <w:tc>
          <w:tcPr>
            <w:tcW w:w="351" w:type="dxa"/>
            <w:vMerge/>
            <w:tcBorders>
              <w:left w:val="single" w:sz="2" w:space="0" w:color="FFFFFF"/>
              <w:right w:val="single" w:sz="2" w:space="0" w:color="FFFFFF"/>
            </w:tcBorders>
            <w:shd w:val="clear" w:color="auto" w:fill="FBD4B4"/>
          </w:tcPr>
          <w:p w14:paraId="14B27EAE" w14:textId="77777777" w:rsidR="0020660D" w:rsidRPr="00466E44" w:rsidRDefault="0020660D" w:rsidP="0020660D">
            <w:pPr>
              <w:rPr>
                <w:rFonts w:ascii="Zapf Dingbats" w:hAnsi="Zapf Dingbats" w:cs="Gill Sans"/>
                <w:noProof/>
                <w:sz w:val="22"/>
                <w:szCs w:val="22"/>
                <w:lang w:val="en-GB"/>
              </w:rPr>
            </w:pPr>
          </w:p>
        </w:tc>
        <w:tc>
          <w:tcPr>
            <w:tcW w:w="852" w:type="dxa"/>
            <w:vMerge/>
            <w:tcBorders>
              <w:left w:val="single" w:sz="2" w:space="0" w:color="FFFFFF"/>
              <w:right w:val="single" w:sz="18" w:space="0" w:color="FFFFFF"/>
            </w:tcBorders>
            <w:shd w:val="clear" w:color="auto" w:fill="FBD4B4"/>
          </w:tcPr>
          <w:p w14:paraId="1EB2A27E" w14:textId="77777777" w:rsidR="0020660D" w:rsidRPr="00466E44" w:rsidRDefault="0020660D" w:rsidP="0020660D">
            <w:pPr>
              <w:rPr>
                <w:rFonts w:ascii="Zapf Dingbats" w:hAnsi="Zapf Dingbats" w:cs="Gill Sans"/>
                <w:sz w:val="22"/>
                <w:szCs w:val="22"/>
                <w:lang w:val="en-GB"/>
              </w:rPr>
            </w:pPr>
          </w:p>
        </w:tc>
        <w:tc>
          <w:tcPr>
            <w:tcW w:w="351" w:type="dxa"/>
            <w:vMerge/>
            <w:tcBorders>
              <w:left w:val="single" w:sz="18" w:space="0" w:color="FFFFFF"/>
              <w:right w:val="single" w:sz="2" w:space="0" w:color="FFFFFF"/>
            </w:tcBorders>
            <w:shd w:val="clear" w:color="auto" w:fill="CCC0D9"/>
          </w:tcPr>
          <w:p w14:paraId="461087FA" w14:textId="77777777" w:rsidR="0020660D" w:rsidRPr="00466E44" w:rsidRDefault="0020660D" w:rsidP="0020660D">
            <w:pPr>
              <w:rPr>
                <w:rFonts w:ascii="Zapf Dingbats" w:hAnsi="Zapf Dingbats" w:cs="Gill Sans"/>
                <w:sz w:val="22"/>
                <w:szCs w:val="22"/>
                <w:lang w:val="en-GB"/>
              </w:rPr>
            </w:pPr>
          </w:p>
        </w:tc>
        <w:tc>
          <w:tcPr>
            <w:tcW w:w="351" w:type="dxa"/>
            <w:vMerge/>
            <w:tcBorders>
              <w:left w:val="single" w:sz="2" w:space="0" w:color="FFFFFF"/>
              <w:right w:val="single" w:sz="2" w:space="0" w:color="FFFFFF"/>
            </w:tcBorders>
            <w:shd w:val="clear" w:color="auto" w:fill="CCC0D9"/>
          </w:tcPr>
          <w:p w14:paraId="033D5140" w14:textId="77777777" w:rsidR="0020660D" w:rsidRPr="00466E44" w:rsidRDefault="0020660D" w:rsidP="0020660D">
            <w:pPr>
              <w:rPr>
                <w:rFonts w:ascii="Zapf Dingbats" w:hAnsi="Zapf Dingbats" w:cs="Gill Sans"/>
                <w:sz w:val="22"/>
                <w:szCs w:val="22"/>
                <w:lang w:val="en-GB"/>
              </w:rPr>
            </w:pPr>
          </w:p>
        </w:tc>
        <w:tc>
          <w:tcPr>
            <w:tcW w:w="351" w:type="dxa"/>
            <w:vMerge/>
            <w:tcBorders>
              <w:left w:val="single" w:sz="2" w:space="0" w:color="FFFFFF"/>
              <w:right w:val="single" w:sz="2" w:space="0" w:color="FFFFFF"/>
            </w:tcBorders>
            <w:shd w:val="clear" w:color="auto" w:fill="CCC0D9"/>
          </w:tcPr>
          <w:p w14:paraId="6262A60A" w14:textId="77777777" w:rsidR="0020660D" w:rsidRPr="00466E44" w:rsidRDefault="0020660D" w:rsidP="0020660D">
            <w:pPr>
              <w:rPr>
                <w:rFonts w:ascii="Zapf Dingbats" w:hAnsi="Zapf Dingbats" w:cs="Gill Sans"/>
                <w:noProof/>
                <w:sz w:val="22"/>
                <w:szCs w:val="22"/>
                <w:lang w:val="en-GB"/>
              </w:rPr>
            </w:pPr>
          </w:p>
        </w:tc>
        <w:tc>
          <w:tcPr>
            <w:tcW w:w="351" w:type="dxa"/>
            <w:vMerge/>
            <w:tcBorders>
              <w:left w:val="single" w:sz="2" w:space="0" w:color="FFFFFF"/>
              <w:right w:val="single" w:sz="18" w:space="0" w:color="FFFFFF"/>
            </w:tcBorders>
            <w:shd w:val="clear" w:color="auto" w:fill="CCC0D9"/>
          </w:tcPr>
          <w:p w14:paraId="7D88CAC3" w14:textId="77777777" w:rsidR="0020660D" w:rsidRPr="00466E44" w:rsidRDefault="0020660D" w:rsidP="0020660D">
            <w:pPr>
              <w:rPr>
                <w:rFonts w:ascii="Zapf Dingbats" w:hAnsi="Zapf Dingbats" w:cs="Gill Sans"/>
                <w:sz w:val="22"/>
                <w:szCs w:val="22"/>
                <w:lang w:val="en-GB"/>
              </w:rPr>
            </w:pPr>
          </w:p>
        </w:tc>
        <w:tc>
          <w:tcPr>
            <w:tcW w:w="518"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03D798B9" w14:textId="77777777" w:rsidR="0020660D" w:rsidRPr="00466E44" w:rsidRDefault="0020660D" w:rsidP="0020660D">
            <w:pPr>
              <w:rPr>
                <w:rFonts w:ascii="Zapf Dingbats" w:hAnsi="Zapf Dingbats" w:cs="Gill Sans"/>
                <w:sz w:val="22"/>
                <w:szCs w:val="22"/>
                <w:lang w:val="en-GB"/>
              </w:rPr>
            </w:pPr>
          </w:p>
        </w:tc>
        <w:tc>
          <w:tcPr>
            <w:tcW w:w="518"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010AAAAE" w14:textId="77777777" w:rsidR="0020660D" w:rsidRPr="00466E44" w:rsidRDefault="0020660D" w:rsidP="0020660D">
            <w:pPr>
              <w:rPr>
                <w:rFonts w:ascii="Zapf Dingbats" w:hAnsi="Zapf Dingbats" w:cs="Gill Sans"/>
                <w:sz w:val="22"/>
                <w:szCs w:val="22"/>
                <w:lang w:val="en-GB"/>
              </w:rPr>
            </w:pPr>
          </w:p>
        </w:tc>
        <w:tc>
          <w:tcPr>
            <w:tcW w:w="518"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114294E7" w14:textId="79CC44E4" w:rsidR="0020660D" w:rsidRPr="00466E44" w:rsidRDefault="0020660D" w:rsidP="0020660D">
            <w:pPr>
              <w:rPr>
                <w:rFonts w:ascii="Zapf Dingbats" w:hAnsi="Zapf Dingbats" w:cs="Gill Sans"/>
                <w:sz w:val="22"/>
                <w:szCs w:val="22"/>
                <w:lang w:val="en-GB"/>
              </w:rPr>
            </w:pPr>
          </w:p>
        </w:tc>
        <w:tc>
          <w:tcPr>
            <w:tcW w:w="434"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42572488" w14:textId="5573AD90" w:rsidR="0020660D" w:rsidRPr="00466E44" w:rsidRDefault="0020660D" w:rsidP="0020660D">
            <w:pPr>
              <w:jc w:val="cente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351" w:type="dxa"/>
            <w:vMerge/>
            <w:tcBorders>
              <w:left w:val="single" w:sz="18" w:space="0" w:color="FFFFFF"/>
              <w:right w:val="single" w:sz="2" w:space="0" w:color="FFFFFF"/>
            </w:tcBorders>
            <w:shd w:val="clear" w:color="auto" w:fill="D99594"/>
          </w:tcPr>
          <w:p w14:paraId="242146BE" w14:textId="77777777" w:rsidR="0020660D" w:rsidRPr="009651AC" w:rsidRDefault="0020660D" w:rsidP="0020660D">
            <w:pPr>
              <w:rPr>
                <w:rFonts w:ascii="Gill Sans" w:hAnsi="Gill Sans" w:cs="Gill Sans"/>
                <w:sz w:val="22"/>
                <w:szCs w:val="22"/>
                <w:lang w:val="en-GB"/>
              </w:rPr>
            </w:pPr>
          </w:p>
        </w:tc>
        <w:tc>
          <w:tcPr>
            <w:tcW w:w="434" w:type="dxa"/>
            <w:vMerge/>
            <w:tcBorders>
              <w:left w:val="single" w:sz="2" w:space="0" w:color="FFFFFF"/>
              <w:right w:val="single" w:sz="2" w:space="0" w:color="FFFFFF"/>
            </w:tcBorders>
            <w:shd w:val="clear" w:color="auto" w:fill="D99594"/>
          </w:tcPr>
          <w:p w14:paraId="2BA3B433" w14:textId="77777777" w:rsidR="0020660D" w:rsidRPr="009651AC" w:rsidRDefault="0020660D" w:rsidP="0020660D">
            <w:pPr>
              <w:rPr>
                <w:rFonts w:ascii="Gill Sans" w:hAnsi="Gill Sans" w:cs="Gill Sans"/>
                <w:sz w:val="22"/>
                <w:szCs w:val="22"/>
                <w:lang w:val="en-GB"/>
              </w:rPr>
            </w:pPr>
          </w:p>
        </w:tc>
        <w:tc>
          <w:tcPr>
            <w:tcW w:w="351" w:type="dxa"/>
            <w:vMerge/>
            <w:tcBorders>
              <w:left w:val="single" w:sz="2" w:space="0" w:color="FFFFFF"/>
              <w:right w:val="single" w:sz="2" w:space="0" w:color="FFFFFF"/>
            </w:tcBorders>
            <w:shd w:val="clear" w:color="auto" w:fill="D99594"/>
          </w:tcPr>
          <w:p w14:paraId="4244E5D0" w14:textId="77777777" w:rsidR="0020660D" w:rsidRPr="009651AC" w:rsidRDefault="0020660D" w:rsidP="0020660D">
            <w:pPr>
              <w:rPr>
                <w:rFonts w:ascii="Gill Sans" w:hAnsi="Gill Sans" w:cs="Gill Sans"/>
                <w:sz w:val="22"/>
                <w:szCs w:val="22"/>
                <w:lang w:val="en-GB"/>
              </w:rPr>
            </w:pPr>
          </w:p>
        </w:tc>
        <w:tc>
          <w:tcPr>
            <w:tcW w:w="351" w:type="dxa"/>
            <w:vMerge/>
            <w:tcBorders>
              <w:left w:val="single" w:sz="2" w:space="0" w:color="FFFFFF"/>
              <w:right w:val="single" w:sz="2" w:space="0" w:color="FFFFFF"/>
            </w:tcBorders>
            <w:shd w:val="clear" w:color="auto" w:fill="D99594"/>
          </w:tcPr>
          <w:p w14:paraId="68313BDF" w14:textId="77777777" w:rsidR="0020660D" w:rsidRPr="009651AC" w:rsidRDefault="0020660D" w:rsidP="0020660D">
            <w:pPr>
              <w:rPr>
                <w:rFonts w:ascii="Gill Sans" w:hAnsi="Gill Sans" w:cs="Gill Sans"/>
                <w:noProof/>
                <w:sz w:val="22"/>
                <w:szCs w:val="22"/>
                <w:lang w:val="en-GB"/>
              </w:rPr>
            </w:pPr>
          </w:p>
        </w:tc>
        <w:tc>
          <w:tcPr>
            <w:tcW w:w="374" w:type="dxa"/>
            <w:vMerge/>
            <w:tcBorders>
              <w:left w:val="single" w:sz="2" w:space="0" w:color="FFFFFF"/>
              <w:right w:val="single" w:sz="18" w:space="0" w:color="FFFFFF"/>
            </w:tcBorders>
            <w:shd w:val="clear" w:color="auto" w:fill="D99594"/>
          </w:tcPr>
          <w:p w14:paraId="43D2B5A6" w14:textId="77777777" w:rsidR="0020660D" w:rsidRPr="009651AC" w:rsidRDefault="0020660D" w:rsidP="0020660D">
            <w:pPr>
              <w:rPr>
                <w:rFonts w:ascii="Gill Sans" w:hAnsi="Gill Sans" w:cs="Gill Sans"/>
                <w:sz w:val="22"/>
                <w:szCs w:val="22"/>
                <w:lang w:val="en-GB"/>
              </w:rPr>
            </w:pPr>
          </w:p>
        </w:tc>
      </w:tr>
    </w:tbl>
    <w:p w14:paraId="4CA5C101" w14:textId="77777777" w:rsidR="00561192" w:rsidRDefault="00561192" w:rsidP="006319F4">
      <w:pPr>
        <w:pStyle w:val="Heading3"/>
      </w:pPr>
    </w:p>
    <w:p w14:paraId="0F81B3F8" w14:textId="77777777" w:rsidR="006E6C92" w:rsidRPr="009B0529" w:rsidRDefault="006E6C92" w:rsidP="006023C3"/>
    <w:p w14:paraId="6D4BA269" w14:textId="3D1E03F3" w:rsidR="004875C1" w:rsidRPr="00352741" w:rsidRDefault="004875C1" w:rsidP="006319F4">
      <w:pPr>
        <w:pStyle w:val="Heading3"/>
      </w:pPr>
      <w:r w:rsidRPr="00A61FBC">
        <w:t>Commitment</w:t>
      </w:r>
      <w:r w:rsidRPr="00352741">
        <w:t xml:space="preserve"> </w:t>
      </w:r>
      <w:r w:rsidR="00561192">
        <w:t>a</w:t>
      </w:r>
      <w:r w:rsidRPr="00352741">
        <w:t>im</w:t>
      </w:r>
    </w:p>
    <w:p w14:paraId="09A293BA" w14:textId="2D596368" w:rsidR="004875C1" w:rsidRPr="00567927" w:rsidRDefault="00EE5A8E" w:rsidP="00333E6A">
      <w:pPr>
        <w:spacing w:after="120"/>
        <w:rPr>
          <w:rFonts w:ascii="Gill Sans" w:hAnsi="Gill Sans" w:cs="Gill Sans"/>
          <w:sz w:val="22"/>
          <w:szCs w:val="22"/>
          <w:lang w:val="en-GB"/>
        </w:rPr>
      </w:pPr>
      <w:r>
        <w:rPr>
          <w:rFonts w:ascii="Gill Sans" w:hAnsi="Gill Sans" w:cs="Gill Sans"/>
          <w:noProof/>
          <w:sz w:val="22"/>
          <w:szCs w:val="22"/>
          <w:lang w:val="en-GB"/>
        </w:rPr>
        <w:t xml:space="preserve">Online </w:t>
      </w:r>
      <w:r w:rsidR="009801C2" w:rsidRPr="00567927">
        <w:rPr>
          <w:rFonts w:ascii="Gill Sans" w:hAnsi="Gill Sans" w:cs="Gill Sans"/>
          <w:noProof/>
          <w:sz w:val="22"/>
          <w:szCs w:val="22"/>
          <w:lang w:val="en-GB"/>
        </w:rPr>
        <w:t xml:space="preserve">disclosure of </w:t>
      </w:r>
      <w:r w:rsidR="00F8180C">
        <w:rPr>
          <w:rFonts w:ascii="Gill Sans" w:hAnsi="Gill Sans" w:cs="Gill Sans"/>
          <w:noProof/>
          <w:sz w:val="22"/>
          <w:szCs w:val="22"/>
          <w:lang w:val="en-GB"/>
        </w:rPr>
        <w:t xml:space="preserve">the </w:t>
      </w:r>
      <w:r w:rsidR="009801C2" w:rsidRPr="00567927">
        <w:rPr>
          <w:rFonts w:ascii="Gill Sans" w:hAnsi="Gill Sans" w:cs="Gill Sans"/>
          <w:noProof/>
          <w:sz w:val="22"/>
          <w:szCs w:val="22"/>
          <w:lang w:val="en-GB"/>
        </w:rPr>
        <w:t xml:space="preserve">asset declarations of public officials is an important instrument </w:t>
      </w:r>
      <w:r w:rsidR="00333E6A">
        <w:rPr>
          <w:rFonts w:ascii="Gill Sans" w:hAnsi="Gill Sans" w:cs="Gill Sans"/>
          <w:noProof/>
          <w:sz w:val="22"/>
          <w:szCs w:val="22"/>
          <w:lang w:val="en-GB"/>
        </w:rPr>
        <w:t xml:space="preserve">with which </w:t>
      </w:r>
      <w:r w:rsidR="009801C2" w:rsidRPr="00567927">
        <w:rPr>
          <w:rFonts w:ascii="Gill Sans" w:hAnsi="Gill Sans" w:cs="Gill Sans"/>
          <w:noProof/>
          <w:sz w:val="22"/>
          <w:szCs w:val="22"/>
          <w:lang w:val="en-GB"/>
        </w:rPr>
        <w:t>to prevent corruption and detect unexplained wealth and conflicts of interest.</w:t>
      </w:r>
      <w:r w:rsidR="00567927" w:rsidRPr="00567927">
        <w:rPr>
          <w:rFonts w:ascii="Gill Sans" w:hAnsi="Gill Sans" w:cs="Gill Sans"/>
          <w:noProof/>
          <w:sz w:val="22"/>
          <w:szCs w:val="22"/>
          <w:lang w:val="en-GB"/>
        </w:rPr>
        <w:t xml:space="preserve"> </w:t>
      </w:r>
      <w:r w:rsidR="004875C1" w:rsidRPr="00567927">
        <w:rPr>
          <w:rFonts w:ascii="Gill Sans" w:hAnsi="Gill Sans" w:cs="Gill Sans"/>
          <w:sz w:val="22"/>
          <w:szCs w:val="22"/>
          <w:lang w:val="en-GB"/>
        </w:rPr>
        <w:t xml:space="preserve">The commitment aimed to </w:t>
      </w:r>
      <w:r w:rsidR="00567927" w:rsidRPr="00567927">
        <w:rPr>
          <w:rFonts w:ascii="Gill Sans" w:hAnsi="Gill Sans" w:cs="Gill Sans"/>
          <w:sz w:val="22"/>
          <w:szCs w:val="22"/>
          <w:lang w:val="en-GB"/>
        </w:rPr>
        <w:t xml:space="preserve">introduce a new system of financial disclosure by setting up an online system for </w:t>
      </w:r>
      <w:r w:rsidR="00333E6A">
        <w:rPr>
          <w:rFonts w:ascii="Gill Sans" w:hAnsi="Gill Sans" w:cs="Gill Sans"/>
          <w:sz w:val="22"/>
          <w:szCs w:val="22"/>
          <w:lang w:val="en-GB"/>
        </w:rPr>
        <w:t xml:space="preserve">the </w:t>
      </w:r>
      <w:r w:rsidR="00567927" w:rsidRPr="00567927">
        <w:rPr>
          <w:rFonts w:ascii="Gill Sans" w:hAnsi="Gill Sans" w:cs="Gill Sans"/>
          <w:sz w:val="22"/>
          <w:szCs w:val="22"/>
          <w:lang w:val="en-GB"/>
        </w:rPr>
        <w:t xml:space="preserve">submission and automatic publication of </w:t>
      </w:r>
      <w:r w:rsidR="00333E6A">
        <w:rPr>
          <w:rFonts w:ascii="Gill Sans" w:hAnsi="Gill Sans" w:cs="Gill Sans"/>
          <w:sz w:val="22"/>
          <w:szCs w:val="22"/>
          <w:lang w:val="en-GB"/>
        </w:rPr>
        <w:t xml:space="preserve">the </w:t>
      </w:r>
      <w:r w:rsidR="00567927" w:rsidRPr="00567927">
        <w:rPr>
          <w:rFonts w:ascii="Gill Sans" w:hAnsi="Gill Sans" w:cs="Gill Sans"/>
          <w:sz w:val="22"/>
          <w:szCs w:val="22"/>
          <w:lang w:val="en-GB"/>
        </w:rPr>
        <w:t>asset declarations</w:t>
      </w:r>
      <w:r w:rsidR="00333E6A">
        <w:rPr>
          <w:rFonts w:ascii="Gill Sans" w:hAnsi="Gill Sans" w:cs="Gill Sans"/>
          <w:sz w:val="22"/>
          <w:szCs w:val="22"/>
          <w:lang w:val="en-GB"/>
        </w:rPr>
        <w:t xml:space="preserve"> of</w:t>
      </w:r>
      <w:r w:rsidR="00333E6A" w:rsidRPr="00567927">
        <w:rPr>
          <w:rFonts w:ascii="Gill Sans" w:hAnsi="Gill Sans" w:cs="Gill Sans"/>
          <w:sz w:val="22"/>
          <w:szCs w:val="22"/>
          <w:lang w:val="en-GB"/>
        </w:rPr>
        <w:t xml:space="preserve"> public officials</w:t>
      </w:r>
      <w:r w:rsidR="00567927" w:rsidRPr="00567927">
        <w:rPr>
          <w:rFonts w:ascii="Gill Sans" w:hAnsi="Gill Sans" w:cs="Gill Sans"/>
          <w:sz w:val="22"/>
          <w:szCs w:val="22"/>
          <w:lang w:val="en-GB"/>
        </w:rPr>
        <w:t>.</w:t>
      </w:r>
      <w:r w:rsidR="004875C1" w:rsidRPr="00567927">
        <w:rPr>
          <w:rFonts w:ascii="Gill Sans" w:hAnsi="Gill Sans" w:cs="Gill Sans"/>
          <w:sz w:val="22"/>
          <w:szCs w:val="22"/>
          <w:lang w:val="en-GB"/>
        </w:rPr>
        <w:t xml:space="preserve"> </w:t>
      </w:r>
      <w:r w:rsidR="00567927">
        <w:rPr>
          <w:rFonts w:ascii="Gill Sans" w:hAnsi="Gill Sans" w:cs="Gill Sans"/>
          <w:sz w:val="22"/>
          <w:szCs w:val="22"/>
          <w:lang w:val="en-GB"/>
        </w:rPr>
        <w:t>The previous system of asset disclosure in Ukraine was ineffective</w:t>
      </w:r>
      <w:r w:rsidR="00F8180C">
        <w:rPr>
          <w:rFonts w:ascii="Gill Sans" w:hAnsi="Gill Sans" w:cs="Gill Sans"/>
          <w:sz w:val="22"/>
          <w:szCs w:val="22"/>
          <w:lang w:val="en-GB"/>
        </w:rPr>
        <w:t>,</w:t>
      </w:r>
      <w:r w:rsidR="00567927">
        <w:rPr>
          <w:rFonts w:ascii="Gill Sans" w:hAnsi="Gill Sans" w:cs="Gill Sans"/>
          <w:sz w:val="22"/>
          <w:szCs w:val="22"/>
          <w:lang w:val="en-GB"/>
        </w:rPr>
        <w:t xml:space="preserve"> as it was paper</w:t>
      </w:r>
      <w:r w:rsidR="00333E6A">
        <w:rPr>
          <w:rFonts w:ascii="Gill Sans" w:hAnsi="Gill Sans" w:cs="Gill Sans"/>
          <w:sz w:val="22"/>
          <w:szCs w:val="22"/>
          <w:lang w:val="en-GB"/>
        </w:rPr>
        <w:t>-</w:t>
      </w:r>
      <w:r w:rsidR="00567927">
        <w:rPr>
          <w:rFonts w:ascii="Gill Sans" w:hAnsi="Gill Sans" w:cs="Gill Sans"/>
          <w:sz w:val="22"/>
          <w:szCs w:val="22"/>
          <w:lang w:val="en-GB"/>
        </w:rPr>
        <w:t xml:space="preserve">based and limited </w:t>
      </w:r>
      <w:r w:rsidR="0075010E">
        <w:rPr>
          <w:rFonts w:ascii="Gill Sans" w:hAnsi="Gill Sans" w:cs="Gill Sans"/>
          <w:sz w:val="22"/>
          <w:szCs w:val="22"/>
          <w:lang w:val="en-GB"/>
        </w:rPr>
        <w:t xml:space="preserve">the </w:t>
      </w:r>
      <w:r w:rsidR="00567927">
        <w:rPr>
          <w:rFonts w:ascii="Gill Sans" w:hAnsi="Gill Sans" w:cs="Gill Sans"/>
          <w:sz w:val="22"/>
          <w:szCs w:val="22"/>
          <w:lang w:val="en-GB"/>
        </w:rPr>
        <w:t>public</w:t>
      </w:r>
      <w:r w:rsidR="0075010E">
        <w:rPr>
          <w:rFonts w:ascii="Gill Sans" w:hAnsi="Gill Sans" w:cs="Gill Sans"/>
          <w:sz w:val="22"/>
          <w:szCs w:val="22"/>
          <w:lang w:val="en-GB"/>
        </w:rPr>
        <w:t>’s</w:t>
      </w:r>
      <w:r w:rsidR="00567927">
        <w:rPr>
          <w:rFonts w:ascii="Gill Sans" w:hAnsi="Gill Sans" w:cs="Gill Sans"/>
          <w:sz w:val="22"/>
          <w:szCs w:val="22"/>
          <w:lang w:val="en-GB"/>
        </w:rPr>
        <w:t xml:space="preserve"> access to </w:t>
      </w:r>
      <w:r w:rsidR="0075010E">
        <w:rPr>
          <w:rFonts w:ascii="Gill Sans" w:hAnsi="Gill Sans" w:cs="Gill Sans"/>
          <w:sz w:val="22"/>
          <w:szCs w:val="22"/>
          <w:lang w:val="en-GB"/>
        </w:rPr>
        <w:t xml:space="preserve">the </w:t>
      </w:r>
      <w:r w:rsidR="00567927">
        <w:rPr>
          <w:rFonts w:ascii="Gill Sans" w:hAnsi="Gill Sans" w:cs="Gill Sans"/>
          <w:sz w:val="22"/>
          <w:szCs w:val="22"/>
          <w:lang w:val="en-GB"/>
        </w:rPr>
        <w:t xml:space="preserve">declarations of officials. </w:t>
      </w:r>
    </w:p>
    <w:p w14:paraId="3D0A0A88" w14:textId="59474ECB" w:rsidR="004875C1" w:rsidRPr="00567927" w:rsidRDefault="004875C1" w:rsidP="006319F4">
      <w:pPr>
        <w:pStyle w:val="Heading3"/>
      </w:pPr>
      <w:r w:rsidRPr="00567927">
        <w:t>Status</w:t>
      </w:r>
    </w:p>
    <w:p w14:paraId="4542D394" w14:textId="1FA69C90" w:rsidR="004875C1" w:rsidRPr="00567927" w:rsidRDefault="004875C1" w:rsidP="00567927">
      <w:pPr>
        <w:pStyle w:val="Normalrglronly"/>
        <w:rPr>
          <w:b/>
          <w:lang w:val="en-GB"/>
        </w:rPr>
      </w:pPr>
      <w:r w:rsidRPr="00567927">
        <w:rPr>
          <w:b/>
          <w:lang w:val="en-GB"/>
        </w:rPr>
        <w:t xml:space="preserve">Midterm: </w:t>
      </w:r>
      <w:r w:rsidR="00567927" w:rsidRPr="00567927">
        <w:rPr>
          <w:b/>
          <w:lang w:val="en-GB"/>
        </w:rPr>
        <w:t>Limited</w:t>
      </w:r>
    </w:p>
    <w:p w14:paraId="50A82AED" w14:textId="641DAE5D" w:rsidR="00567927" w:rsidRPr="00567927" w:rsidRDefault="00567927" w:rsidP="00EA69B3">
      <w:pPr>
        <w:spacing w:after="120"/>
        <w:rPr>
          <w:rFonts w:ascii="Gill Sans" w:hAnsi="Gill Sans" w:cs="Gill Sans"/>
          <w:noProof/>
          <w:sz w:val="22"/>
          <w:szCs w:val="22"/>
          <w:lang w:val="en-GB"/>
        </w:rPr>
      </w:pPr>
      <w:r w:rsidRPr="00567927">
        <w:rPr>
          <w:rFonts w:ascii="Gill Sans" w:hAnsi="Gill Sans" w:cs="Gill Sans"/>
          <w:sz w:val="22"/>
          <w:szCs w:val="22"/>
          <w:lang w:val="en-GB"/>
        </w:rPr>
        <w:t xml:space="preserve">The new </w:t>
      </w:r>
      <w:r w:rsidR="0089268C">
        <w:rPr>
          <w:rFonts w:ascii="Gill Sans" w:hAnsi="Gill Sans" w:cs="Gill Sans"/>
          <w:sz w:val="22"/>
          <w:szCs w:val="22"/>
          <w:lang w:val="en-GB"/>
        </w:rPr>
        <w:t xml:space="preserve">Law on </w:t>
      </w:r>
      <w:r w:rsidRPr="00567927">
        <w:rPr>
          <w:rFonts w:ascii="Gill Sans" w:hAnsi="Gill Sans" w:cs="Gill Sans"/>
          <w:sz w:val="22"/>
          <w:szCs w:val="22"/>
          <w:lang w:val="en-GB"/>
        </w:rPr>
        <w:t xml:space="preserve">Corruption Prevention </w:t>
      </w:r>
      <w:r w:rsidRPr="00567927">
        <w:rPr>
          <w:rFonts w:ascii="Gill Sans" w:hAnsi="Gill Sans" w:cs="Gill Sans"/>
          <w:noProof/>
          <w:sz w:val="22"/>
          <w:szCs w:val="22"/>
          <w:lang w:val="en-GB"/>
        </w:rPr>
        <w:t>(enacted in April 2015</w:t>
      </w:r>
      <w:r w:rsidRPr="00567927">
        <w:rPr>
          <w:rStyle w:val="EndnoteReference"/>
          <w:rFonts w:ascii="Gill Sans" w:hAnsi="Gill Sans" w:cs="Gill Sans"/>
          <w:noProof/>
          <w:sz w:val="22"/>
          <w:szCs w:val="22"/>
          <w:lang w:val="en-GB"/>
        </w:rPr>
        <w:endnoteReference w:id="55"/>
      </w:r>
      <w:r w:rsidRPr="00567927">
        <w:rPr>
          <w:rFonts w:ascii="Gill Sans" w:hAnsi="Gill Sans" w:cs="Gill Sans"/>
          <w:noProof/>
          <w:sz w:val="22"/>
          <w:szCs w:val="22"/>
          <w:lang w:val="en-GB"/>
        </w:rPr>
        <w:t xml:space="preserve">) </w:t>
      </w:r>
      <w:r w:rsidRPr="00567927">
        <w:rPr>
          <w:rFonts w:ascii="Gill Sans" w:hAnsi="Gill Sans" w:cs="Gill Sans"/>
          <w:sz w:val="22"/>
          <w:szCs w:val="22"/>
          <w:lang w:val="en-GB"/>
        </w:rPr>
        <w:t xml:space="preserve">replaced </w:t>
      </w:r>
      <w:r w:rsidR="00F77BD6">
        <w:rPr>
          <w:rFonts w:ascii="Gill Sans" w:hAnsi="Gill Sans" w:cs="Gill Sans"/>
          <w:sz w:val="22"/>
          <w:szCs w:val="22"/>
          <w:lang w:val="en-GB"/>
        </w:rPr>
        <w:t xml:space="preserve">the </w:t>
      </w:r>
      <w:r w:rsidRPr="00567927">
        <w:rPr>
          <w:rFonts w:ascii="Gill Sans" w:hAnsi="Gill Sans" w:cs="Gill Sans"/>
          <w:sz w:val="22"/>
          <w:szCs w:val="22"/>
          <w:lang w:val="en-GB"/>
        </w:rPr>
        <w:t>paper</w:t>
      </w:r>
      <w:r w:rsidR="00EA69B3">
        <w:rPr>
          <w:rFonts w:ascii="Gill Sans" w:hAnsi="Gill Sans" w:cs="Gill Sans"/>
          <w:sz w:val="22"/>
          <w:szCs w:val="22"/>
          <w:lang w:val="en-GB"/>
        </w:rPr>
        <w:t>-</w:t>
      </w:r>
      <w:r w:rsidRPr="00567927">
        <w:rPr>
          <w:rFonts w:ascii="Gill Sans" w:hAnsi="Gill Sans" w:cs="Gill Sans"/>
          <w:sz w:val="22"/>
          <w:szCs w:val="22"/>
          <w:lang w:val="en-GB"/>
        </w:rPr>
        <w:t xml:space="preserve">based declarations filed by officials at their workplace with an online system that </w:t>
      </w:r>
      <w:r w:rsidR="00A21709">
        <w:rPr>
          <w:rFonts w:ascii="Gill Sans" w:hAnsi="Gill Sans" w:cs="Gill Sans"/>
          <w:sz w:val="22"/>
          <w:szCs w:val="22"/>
          <w:lang w:val="en-GB"/>
        </w:rPr>
        <w:t>provides</w:t>
      </w:r>
      <w:r w:rsidRPr="00567927">
        <w:rPr>
          <w:rFonts w:ascii="Gill Sans" w:hAnsi="Gill Sans" w:cs="Gill Sans"/>
          <w:sz w:val="22"/>
          <w:szCs w:val="22"/>
          <w:lang w:val="en-GB"/>
        </w:rPr>
        <w:t xml:space="preserve"> public access to all declarations. It </w:t>
      </w:r>
      <w:r w:rsidRPr="00567927">
        <w:rPr>
          <w:rFonts w:ascii="Gill Sans" w:hAnsi="Gill Sans" w:cs="Gill Sans"/>
          <w:noProof/>
          <w:sz w:val="22"/>
          <w:szCs w:val="22"/>
          <w:lang w:val="en-GB"/>
        </w:rPr>
        <w:t xml:space="preserve">ordered the </w:t>
      </w:r>
      <w:r w:rsidR="00EA69B3" w:rsidRPr="00567927">
        <w:rPr>
          <w:rFonts w:ascii="Gill Sans" w:hAnsi="Gill Sans" w:cs="Gill Sans"/>
          <w:noProof/>
          <w:sz w:val="22"/>
          <w:szCs w:val="22"/>
          <w:lang w:val="en-GB"/>
        </w:rPr>
        <w:t>new anti-corruption institution</w:t>
      </w:r>
      <w:r w:rsidR="00EA69B3">
        <w:rPr>
          <w:rFonts w:ascii="Gill Sans" w:hAnsi="Gill Sans" w:cs="Gill Sans"/>
          <w:noProof/>
          <w:sz w:val="22"/>
          <w:szCs w:val="22"/>
          <w:lang w:val="en-GB"/>
        </w:rPr>
        <w:t xml:space="preserve">, </w:t>
      </w:r>
      <w:r w:rsidR="00EA69B3" w:rsidRPr="00567927">
        <w:rPr>
          <w:rFonts w:ascii="Gill Sans" w:hAnsi="Gill Sans" w:cs="Gill Sans"/>
          <w:noProof/>
          <w:sz w:val="22"/>
          <w:szCs w:val="22"/>
          <w:lang w:val="en-GB"/>
        </w:rPr>
        <w:t>the National Agency for Corruption Prevention (NACP)</w:t>
      </w:r>
      <w:r w:rsidR="00EA69B3">
        <w:rPr>
          <w:rFonts w:ascii="Gill Sans" w:hAnsi="Gill Sans" w:cs="Gill Sans"/>
          <w:noProof/>
          <w:sz w:val="22"/>
          <w:szCs w:val="22"/>
          <w:lang w:val="en-GB"/>
        </w:rPr>
        <w:t xml:space="preserve">, to set up </w:t>
      </w:r>
      <w:r w:rsidRPr="00567927">
        <w:rPr>
          <w:rFonts w:ascii="Gill Sans" w:hAnsi="Gill Sans" w:cs="Gill Sans"/>
          <w:noProof/>
          <w:sz w:val="22"/>
          <w:szCs w:val="22"/>
          <w:lang w:val="en-GB"/>
        </w:rPr>
        <w:t xml:space="preserve">a central government web portal </w:t>
      </w:r>
      <w:r w:rsidR="00EA69B3">
        <w:rPr>
          <w:rFonts w:ascii="Gill Sans" w:hAnsi="Gill Sans" w:cs="Gill Sans"/>
          <w:noProof/>
          <w:sz w:val="22"/>
          <w:szCs w:val="22"/>
          <w:lang w:val="en-GB"/>
        </w:rPr>
        <w:t xml:space="preserve">for all public officials </w:t>
      </w:r>
      <w:r w:rsidR="00F77BD6">
        <w:rPr>
          <w:rFonts w:ascii="Gill Sans" w:hAnsi="Gill Sans" w:cs="Gill Sans"/>
          <w:noProof/>
          <w:sz w:val="22"/>
          <w:szCs w:val="22"/>
          <w:lang w:val="en-GB"/>
        </w:rPr>
        <w:t>to</w:t>
      </w:r>
      <w:r w:rsidRPr="00567927">
        <w:rPr>
          <w:rFonts w:ascii="Gill Sans" w:hAnsi="Gill Sans" w:cs="Gill Sans"/>
          <w:noProof/>
          <w:sz w:val="22"/>
          <w:szCs w:val="22"/>
          <w:lang w:val="en-GB"/>
        </w:rPr>
        <w:t xml:space="preserve"> submi</w:t>
      </w:r>
      <w:r w:rsidR="00F77BD6">
        <w:rPr>
          <w:rFonts w:ascii="Gill Sans" w:hAnsi="Gill Sans" w:cs="Gill Sans"/>
          <w:noProof/>
          <w:sz w:val="22"/>
          <w:szCs w:val="22"/>
          <w:lang w:val="en-GB"/>
        </w:rPr>
        <w:t>t</w:t>
      </w:r>
      <w:r w:rsidRPr="00567927">
        <w:rPr>
          <w:rFonts w:ascii="Gill Sans" w:hAnsi="Gill Sans" w:cs="Gill Sans"/>
          <w:noProof/>
          <w:sz w:val="22"/>
          <w:szCs w:val="22"/>
          <w:lang w:val="en-GB"/>
        </w:rPr>
        <w:t xml:space="preserve"> and disclo</w:t>
      </w:r>
      <w:r w:rsidR="00F77BD6">
        <w:rPr>
          <w:rFonts w:ascii="Gill Sans" w:hAnsi="Gill Sans" w:cs="Gill Sans"/>
          <w:noProof/>
          <w:sz w:val="22"/>
          <w:szCs w:val="22"/>
          <w:lang w:val="en-GB"/>
        </w:rPr>
        <w:t>se the</w:t>
      </w:r>
      <w:r w:rsidR="00EA69B3">
        <w:rPr>
          <w:rFonts w:ascii="Gill Sans" w:hAnsi="Gill Sans" w:cs="Gill Sans"/>
          <w:noProof/>
          <w:sz w:val="22"/>
          <w:szCs w:val="22"/>
          <w:lang w:val="en-GB"/>
        </w:rPr>
        <w:t>ir</w:t>
      </w:r>
      <w:r w:rsidRPr="00567927">
        <w:rPr>
          <w:rFonts w:ascii="Gill Sans" w:hAnsi="Gill Sans" w:cs="Gill Sans"/>
          <w:noProof/>
          <w:sz w:val="22"/>
          <w:szCs w:val="22"/>
          <w:lang w:val="en-GB"/>
        </w:rPr>
        <w:t xml:space="preserve"> asset declarations.</w:t>
      </w:r>
      <w:r w:rsidR="00EA69B3">
        <w:rPr>
          <w:rFonts w:ascii="Gill Sans" w:hAnsi="Gill Sans" w:cs="Gill Sans"/>
          <w:noProof/>
          <w:sz w:val="22"/>
          <w:szCs w:val="22"/>
          <w:lang w:val="en-GB"/>
        </w:rPr>
        <w:t xml:space="preserve"> </w:t>
      </w:r>
      <w:r w:rsidRPr="00567927">
        <w:rPr>
          <w:rFonts w:ascii="Gill Sans" w:hAnsi="Gill Sans" w:cs="Gill Sans"/>
          <w:noProof/>
          <w:sz w:val="22"/>
          <w:szCs w:val="22"/>
          <w:lang w:val="en-GB"/>
        </w:rPr>
        <w:t>The government</w:t>
      </w:r>
      <w:r w:rsidR="00EA69B3">
        <w:rPr>
          <w:rFonts w:ascii="Gill Sans" w:hAnsi="Gill Sans" w:cs="Gill Sans"/>
          <w:noProof/>
          <w:sz w:val="22"/>
          <w:szCs w:val="22"/>
          <w:lang w:val="en-GB"/>
        </w:rPr>
        <w:t>’s</w:t>
      </w:r>
      <w:r w:rsidRPr="00567927">
        <w:rPr>
          <w:rFonts w:ascii="Gill Sans" w:hAnsi="Gill Sans" w:cs="Gill Sans"/>
          <w:noProof/>
          <w:sz w:val="22"/>
          <w:szCs w:val="22"/>
          <w:lang w:val="en-GB"/>
        </w:rPr>
        <w:t xml:space="preserve"> delay </w:t>
      </w:r>
      <w:r w:rsidR="00EA69B3">
        <w:rPr>
          <w:rFonts w:ascii="Gill Sans" w:hAnsi="Gill Sans" w:cs="Gill Sans"/>
          <w:noProof/>
          <w:sz w:val="22"/>
          <w:szCs w:val="22"/>
          <w:lang w:val="en-GB"/>
        </w:rPr>
        <w:t xml:space="preserve">in </w:t>
      </w:r>
      <w:r w:rsidRPr="00567927">
        <w:rPr>
          <w:rFonts w:ascii="Gill Sans" w:hAnsi="Gill Sans" w:cs="Gill Sans"/>
          <w:noProof/>
          <w:sz w:val="22"/>
          <w:szCs w:val="22"/>
          <w:lang w:val="en-GB"/>
        </w:rPr>
        <w:t>select</w:t>
      </w:r>
      <w:r w:rsidR="00EA69B3">
        <w:rPr>
          <w:rFonts w:ascii="Gill Sans" w:hAnsi="Gill Sans" w:cs="Gill Sans"/>
          <w:noProof/>
          <w:sz w:val="22"/>
          <w:szCs w:val="22"/>
          <w:lang w:val="en-GB"/>
        </w:rPr>
        <w:t>ing</w:t>
      </w:r>
      <w:r w:rsidRPr="00567927">
        <w:rPr>
          <w:rFonts w:ascii="Gill Sans" w:hAnsi="Gill Sans" w:cs="Gill Sans"/>
          <w:noProof/>
          <w:sz w:val="22"/>
          <w:szCs w:val="22"/>
          <w:lang w:val="en-GB"/>
        </w:rPr>
        <w:t xml:space="preserve"> </w:t>
      </w:r>
      <w:r w:rsidR="00EA69B3">
        <w:rPr>
          <w:rFonts w:ascii="Gill Sans" w:hAnsi="Gill Sans" w:cs="Gill Sans"/>
          <w:noProof/>
          <w:sz w:val="22"/>
          <w:szCs w:val="22"/>
          <w:lang w:val="en-GB"/>
        </w:rPr>
        <w:t xml:space="preserve">members of </w:t>
      </w:r>
      <w:r w:rsidRPr="00567927">
        <w:rPr>
          <w:rFonts w:ascii="Gill Sans" w:hAnsi="Gill Sans" w:cs="Gill Sans"/>
          <w:noProof/>
          <w:sz w:val="22"/>
          <w:szCs w:val="22"/>
          <w:lang w:val="en-GB"/>
        </w:rPr>
        <w:t>the NACP</w:t>
      </w:r>
      <w:r w:rsidR="007A3449">
        <w:rPr>
          <w:rFonts w:ascii="Gill Sans" w:hAnsi="Gill Sans" w:cs="Gill Sans"/>
          <w:noProof/>
          <w:sz w:val="22"/>
          <w:szCs w:val="22"/>
          <w:lang w:val="en-GB"/>
        </w:rPr>
        <w:t xml:space="preserve"> also delayed the launch of the new e-declarations system (t</w:t>
      </w:r>
      <w:r w:rsidRPr="00567927">
        <w:rPr>
          <w:rFonts w:ascii="Gill Sans" w:hAnsi="Gill Sans" w:cs="Gill Sans"/>
          <w:noProof/>
          <w:sz w:val="22"/>
          <w:szCs w:val="22"/>
          <w:lang w:val="en-GB"/>
        </w:rPr>
        <w:t xml:space="preserve">he NACP </w:t>
      </w:r>
      <w:r w:rsidR="00EA69B3">
        <w:rPr>
          <w:rFonts w:ascii="Gill Sans" w:hAnsi="Gill Sans" w:cs="Gill Sans"/>
          <w:noProof/>
          <w:sz w:val="22"/>
          <w:szCs w:val="22"/>
          <w:lang w:val="en-GB"/>
        </w:rPr>
        <w:t xml:space="preserve">was responsible for </w:t>
      </w:r>
      <w:r w:rsidRPr="00567927">
        <w:rPr>
          <w:rFonts w:ascii="Gill Sans" w:hAnsi="Gill Sans" w:cs="Gill Sans"/>
          <w:noProof/>
          <w:sz w:val="22"/>
          <w:szCs w:val="22"/>
          <w:lang w:val="en-GB"/>
        </w:rPr>
        <w:t>develop</w:t>
      </w:r>
      <w:r w:rsidR="00EA69B3">
        <w:rPr>
          <w:rFonts w:ascii="Gill Sans" w:hAnsi="Gill Sans" w:cs="Gill Sans"/>
          <w:noProof/>
          <w:sz w:val="22"/>
          <w:szCs w:val="22"/>
          <w:lang w:val="en-GB"/>
        </w:rPr>
        <w:t>ing</w:t>
      </w:r>
      <w:r w:rsidRPr="00567927">
        <w:rPr>
          <w:rFonts w:ascii="Gill Sans" w:hAnsi="Gill Sans" w:cs="Gill Sans"/>
          <w:noProof/>
          <w:sz w:val="22"/>
          <w:szCs w:val="22"/>
          <w:lang w:val="en-GB"/>
        </w:rPr>
        <w:t xml:space="preserve"> the necessary regulations for asset disclosure</w:t>
      </w:r>
      <w:r w:rsidR="00EA69B3">
        <w:rPr>
          <w:rFonts w:ascii="Gill Sans" w:hAnsi="Gill Sans" w:cs="Gill Sans"/>
          <w:noProof/>
          <w:sz w:val="22"/>
          <w:szCs w:val="22"/>
          <w:lang w:val="en-GB"/>
        </w:rPr>
        <w:t>s</w:t>
      </w:r>
      <w:r w:rsidR="0075010E">
        <w:rPr>
          <w:rFonts w:ascii="Gill Sans" w:hAnsi="Gill Sans" w:cs="Gill Sans"/>
          <w:noProof/>
          <w:sz w:val="22"/>
          <w:szCs w:val="22"/>
          <w:lang w:val="en-GB"/>
        </w:rPr>
        <w:t>,</w:t>
      </w:r>
      <w:r w:rsidRPr="00567927">
        <w:rPr>
          <w:rFonts w:ascii="Gill Sans" w:hAnsi="Gill Sans" w:cs="Gill Sans"/>
          <w:noProof/>
          <w:sz w:val="22"/>
          <w:szCs w:val="22"/>
          <w:lang w:val="en-GB"/>
        </w:rPr>
        <w:t xml:space="preserve"> and launch</w:t>
      </w:r>
      <w:r w:rsidR="00EA69B3">
        <w:rPr>
          <w:rFonts w:ascii="Gill Sans" w:hAnsi="Gill Sans" w:cs="Gill Sans"/>
          <w:noProof/>
          <w:sz w:val="22"/>
          <w:szCs w:val="22"/>
          <w:lang w:val="en-GB"/>
        </w:rPr>
        <w:t>ing</w:t>
      </w:r>
      <w:r w:rsidRPr="00567927">
        <w:rPr>
          <w:rFonts w:ascii="Gill Sans" w:hAnsi="Gill Sans" w:cs="Gill Sans"/>
          <w:noProof/>
          <w:sz w:val="22"/>
          <w:szCs w:val="22"/>
          <w:lang w:val="en-GB"/>
        </w:rPr>
        <w:t xml:space="preserve"> the web portal</w:t>
      </w:r>
      <w:r w:rsidR="007A3449">
        <w:rPr>
          <w:rFonts w:ascii="Gill Sans" w:hAnsi="Gill Sans" w:cs="Gill Sans"/>
          <w:noProof/>
          <w:sz w:val="22"/>
          <w:szCs w:val="22"/>
          <w:lang w:val="en-GB"/>
        </w:rPr>
        <w:t>)</w:t>
      </w:r>
      <w:r w:rsidRPr="00567927">
        <w:rPr>
          <w:rFonts w:ascii="Gill Sans" w:hAnsi="Gill Sans" w:cs="Gill Sans"/>
          <w:noProof/>
          <w:sz w:val="22"/>
          <w:szCs w:val="22"/>
          <w:lang w:val="en-GB"/>
        </w:rPr>
        <w:t>.</w:t>
      </w:r>
      <w:r w:rsidR="001F38C4">
        <w:rPr>
          <w:rStyle w:val="EndnoteReference"/>
          <w:rFonts w:ascii="Gill Sans" w:hAnsi="Gill Sans" w:cs="Gill Sans"/>
          <w:noProof/>
          <w:sz w:val="22"/>
          <w:szCs w:val="22"/>
          <w:lang w:val="en-GB"/>
        </w:rPr>
        <w:endnoteReference w:id="56"/>
      </w:r>
    </w:p>
    <w:p w14:paraId="5E83985E" w14:textId="61B709BD" w:rsidR="00567927" w:rsidRPr="00567927" w:rsidRDefault="00567927" w:rsidP="00EA69B3">
      <w:pPr>
        <w:spacing w:after="120"/>
        <w:rPr>
          <w:rFonts w:ascii="Gill Sans" w:hAnsi="Gill Sans" w:cs="Gill Sans"/>
          <w:noProof/>
          <w:sz w:val="22"/>
          <w:szCs w:val="22"/>
          <w:lang w:val="en-GB"/>
        </w:rPr>
      </w:pPr>
      <w:r w:rsidRPr="00567927">
        <w:rPr>
          <w:rFonts w:ascii="Gill Sans" w:hAnsi="Gill Sans" w:cs="Gill Sans"/>
          <w:noProof/>
          <w:sz w:val="22"/>
          <w:szCs w:val="22"/>
          <w:lang w:val="en-GB"/>
        </w:rPr>
        <w:lastRenderedPageBreak/>
        <w:t xml:space="preserve">Meanwhile, the Ministry of Justice, with support from the United Nations Development Programme (UNDP) and the World Bank, </w:t>
      </w:r>
      <w:r w:rsidR="00EA69B3">
        <w:rPr>
          <w:rFonts w:ascii="Gill Sans" w:hAnsi="Gill Sans" w:cs="Gill Sans"/>
          <w:noProof/>
          <w:sz w:val="22"/>
          <w:szCs w:val="22"/>
          <w:lang w:val="en-GB"/>
        </w:rPr>
        <w:t>began</w:t>
      </w:r>
      <w:r w:rsidR="00EA69B3" w:rsidRPr="00567927">
        <w:rPr>
          <w:rFonts w:ascii="Gill Sans" w:hAnsi="Gill Sans" w:cs="Gill Sans"/>
          <w:noProof/>
          <w:sz w:val="22"/>
          <w:szCs w:val="22"/>
          <w:lang w:val="en-GB"/>
        </w:rPr>
        <w:t xml:space="preserve"> </w:t>
      </w:r>
      <w:r w:rsidRPr="00567927">
        <w:rPr>
          <w:rFonts w:ascii="Gill Sans" w:hAnsi="Gill Sans" w:cs="Gill Sans"/>
          <w:noProof/>
          <w:sz w:val="22"/>
          <w:szCs w:val="22"/>
          <w:lang w:val="en-GB"/>
        </w:rPr>
        <w:t>preparing the future system for electronic asset disclosure</w:t>
      </w:r>
      <w:r w:rsidR="00EA69B3">
        <w:rPr>
          <w:rFonts w:ascii="Gill Sans" w:hAnsi="Gill Sans" w:cs="Gill Sans"/>
          <w:noProof/>
          <w:sz w:val="22"/>
          <w:szCs w:val="22"/>
          <w:lang w:val="en-GB"/>
        </w:rPr>
        <w:t>s</w:t>
      </w:r>
      <w:r w:rsidRPr="00567927">
        <w:rPr>
          <w:rFonts w:ascii="Gill Sans" w:hAnsi="Gill Sans" w:cs="Gill Sans"/>
          <w:noProof/>
          <w:sz w:val="22"/>
          <w:szCs w:val="22"/>
          <w:lang w:val="en-GB"/>
        </w:rPr>
        <w:t>. In September 2015, the UNDP launched a tender to select a contractor to develop e-declarations software according to the terms of reference developed by the World Bank.</w:t>
      </w:r>
      <w:r w:rsidR="000D151E">
        <w:rPr>
          <w:rStyle w:val="EndnoteReference"/>
          <w:rFonts w:ascii="Gill Sans" w:hAnsi="Gill Sans" w:cs="Gill Sans"/>
          <w:noProof/>
          <w:sz w:val="22"/>
          <w:szCs w:val="22"/>
          <w:lang w:val="en-GB"/>
        </w:rPr>
        <w:endnoteReference w:id="57"/>
      </w:r>
    </w:p>
    <w:p w14:paraId="2FBBBC3E" w14:textId="72B3405D" w:rsidR="004875C1" w:rsidRPr="00662C6C" w:rsidRDefault="00567927" w:rsidP="00636754">
      <w:pPr>
        <w:spacing w:after="120"/>
        <w:rPr>
          <w:rFonts w:ascii="Gill Sans" w:hAnsi="Gill Sans" w:cs="Gill Sans"/>
          <w:sz w:val="22"/>
          <w:szCs w:val="22"/>
          <w:lang w:val="en-GB"/>
        </w:rPr>
      </w:pPr>
      <w:r w:rsidRPr="00567927">
        <w:rPr>
          <w:rFonts w:ascii="Gill Sans" w:hAnsi="Gill Sans" w:cs="Gill Sans"/>
          <w:noProof/>
          <w:sz w:val="22"/>
          <w:szCs w:val="22"/>
          <w:lang w:val="en-GB"/>
        </w:rPr>
        <w:t xml:space="preserve">Since </w:t>
      </w:r>
      <w:r w:rsidR="00D72EF9">
        <w:rPr>
          <w:rFonts w:ascii="Gill Sans" w:hAnsi="Gill Sans" w:cs="Gill Sans"/>
          <w:noProof/>
          <w:sz w:val="22"/>
          <w:szCs w:val="22"/>
          <w:lang w:val="en-GB"/>
        </w:rPr>
        <w:t xml:space="preserve">adoption of the </w:t>
      </w:r>
      <w:r w:rsidR="00D72EF9" w:rsidRPr="00567927">
        <w:rPr>
          <w:rFonts w:ascii="Gill Sans" w:hAnsi="Gill Sans" w:cs="Gill Sans"/>
          <w:noProof/>
          <w:sz w:val="22"/>
          <w:szCs w:val="22"/>
          <w:lang w:val="en-GB"/>
        </w:rPr>
        <w:t>Law on Corruption Prevention</w:t>
      </w:r>
      <w:r w:rsidRPr="00567927">
        <w:rPr>
          <w:rFonts w:ascii="Gill Sans" w:hAnsi="Gill Sans" w:cs="Gill Sans"/>
          <w:noProof/>
          <w:sz w:val="22"/>
          <w:szCs w:val="22"/>
          <w:lang w:val="en-GB"/>
        </w:rPr>
        <w:t xml:space="preserve">, </w:t>
      </w:r>
      <w:r w:rsidR="00636754">
        <w:rPr>
          <w:rFonts w:ascii="Gill Sans" w:hAnsi="Gill Sans" w:cs="Gill Sans"/>
          <w:noProof/>
          <w:sz w:val="22"/>
          <w:szCs w:val="22"/>
          <w:lang w:val="en-GB"/>
        </w:rPr>
        <w:t xml:space="preserve">the Ukrainian </w:t>
      </w:r>
      <w:r w:rsidR="00EA69B3">
        <w:rPr>
          <w:rFonts w:ascii="Gill Sans" w:hAnsi="Gill Sans" w:cs="Gill Sans"/>
          <w:noProof/>
          <w:sz w:val="22"/>
          <w:szCs w:val="22"/>
          <w:lang w:val="en-GB"/>
        </w:rPr>
        <w:t>P</w:t>
      </w:r>
      <w:r w:rsidRPr="00567927">
        <w:rPr>
          <w:rFonts w:ascii="Gill Sans" w:hAnsi="Gill Sans" w:cs="Gill Sans"/>
          <w:noProof/>
          <w:sz w:val="22"/>
          <w:szCs w:val="22"/>
          <w:lang w:val="en-GB"/>
        </w:rPr>
        <w:t xml:space="preserve">arliament has introduced several changes to </w:t>
      </w:r>
      <w:r w:rsidR="00D72EF9">
        <w:rPr>
          <w:rFonts w:ascii="Gill Sans" w:hAnsi="Gill Sans" w:cs="Gill Sans"/>
          <w:noProof/>
          <w:sz w:val="22"/>
          <w:szCs w:val="22"/>
          <w:lang w:val="en-GB"/>
        </w:rPr>
        <w:t xml:space="preserve">it </w:t>
      </w:r>
      <w:r w:rsidRPr="00567927">
        <w:rPr>
          <w:rFonts w:ascii="Gill Sans" w:hAnsi="Gill Sans" w:cs="Gill Sans"/>
          <w:noProof/>
          <w:sz w:val="22"/>
          <w:szCs w:val="22"/>
          <w:lang w:val="en-GB"/>
        </w:rPr>
        <w:t>to extend the scope of the asset declarations by adding new elements  (e.g., beneficiary ownership of legal persons or assets</w:t>
      </w:r>
      <w:r w:rsidR="007E3CED">
        <w:rPr>
          <w:rFonts w:ascii="Gill Sans" w:hAnsi="Gill Sans" w:cs="Gill Sans"/>
          <w:noProof/>
          <w:sz w:val="22"/>
          <w:szCs w:val="22"/>
          <w:lang w:val="en-GB"/>
        </w:rPr>
        <w:t>,</w:t>
      </w:r>
      <w:r w:rsidRPr="00567927">
        <w:rPr>
          <w:rFonts w:ascii="Gill Sans" w:hAnsi="Gill Sans" w:cs="Gill Sans"/>
          <w:noProof/>
          <w:sz w:val="22"/>
          <w:szCs w:val="22"/>
          <w:lang w:val="en-GB"/>
        </w:rPr>
        <w:t xml:space="preserve"> and real estate of unfinished construction)</w:t>
      </w:r>
      <w:r w:rsidR="004875C1" w:rsidRPr="00662C6C">
        <w:rPr>
          <w:rFonts w:ascii="Gill Sans" w:hAnsi="Gill Sans" w:cs="Gill Sans"/>
          <w:sz w:val="22"/>
          <w:szCs w:val="22"/>
          <w:lang w:val="en-GB"/>
        </w:rPr>
        <w:t>.</w:t>
      </w:r>
      <w:r w:rsidR="004875C1" w:rsidRPr="00662C6C">
        <w:rPr>
          <w:rStyle w:val="EndnoteReference"/>
          <w:rFonts w:ascii="Gill Sans" w:hAnsi="Gill Sans" w:cs="Gill Sans"/>
          <w:sz w:val="22"/>
          <w:szCs w:val="22"/>
          <w:lang w:val="en-GB"/>
        </w:rPr>
        <w:endnoteReference w:id="58"/>
      </w:r>
    </w:p>
    <w:p w14:paraId="50316A71" w14:textId="42AACCB2" w:rsidR="004875C1" w:rsidRPr="00662C6C" w:rsidRDefault="004875C1" w:rsidP="004875C1">
      <w:pPr>
        <w:pStyle w:val="Normalrglronly"/>
        <w:rPr>
          <w:b/>
          <w:lang w:val="en-US"/>
        </w:rPr>
      </w:pPr>
      <w:r w:rsidRPr="00662C6C">
        <w:rPr>
          <w:b/>
          <w:lang w:val="en-GB"/>
        </w:rPr>
        <w:t xml:space="preserve">End of term: </w:t>
      </w:r>
      <w:r w:rsidR="00636AD1">
        <w:rPr>
          <w:b/>
          <w:lang w:val="en-GB"/>
        </w:rPr>
        <w:t>Complete</w:t>
      </w:r>
    </w:p>
    <w:p w14:paraId="6B42C187" w14:textId="52A74FE9" w:rsidR="004875C1" w:rsidRPr="00BB3451" w:rsidRDefault="007E3CED" w:rsidP="007C72A9">
      <w:pPr>
        <w:spacing w:after="120"/>
        <w:rPr>
          <w:szCs w:val="22"/>
        </w:rPr>
      </w:pPr>
      <w:r>
        <w:rPr>
          <w:rFonts w:ascii="Gill Sans" w:hAnsi="Gill Sans" w:cs="Gill Sans"/>
          <w:noProof/>
          <w:sz w:val="22"/>
          <w:szCs w:val="22"/>
          <w:lang w:val="en-GB"/>
        </w:rPr>
        <w:t xml:space="preserve">Between </w:t>
      </w:r>
      <w:r w:rsidR="00B506C7">
        <w:rPr>
          <w:rFonts w:ascii="Gill Sans" w:hAnsi="Gill Sans" w:cs="Gill Sans"/>
          <w:noProof/>
          <w:sz w:val="22"/>
          <w:szCs w:val="22"/>
          <w:lang w:val="en-GB"/>
        </w:rPr>
        <w:t>December 2015</w:t>
      </w:r>
      <w:r>
        <w:rPr>
          <w:rFonts w:ascii="Gill Sans" w:hAnsi="Gill Sans" w:cs="Gill Sans"/>
          <w:noProof/>
          <w:sz w:val="22"/>
          <w:szCs w:val="22"/>
          <w:lang w:val="en-GB"/>
        </w:rPr>
        <w:t xml:space="preserve"> and </w:t>
      </w:r>
      <w:r w:rsidR="00B506C7">
        <w:rPr>
          <w:rFonts w:ascii="Gill Sans" w:hAnsi="Gill Sans" w:cs="Gill Sans"/>
          <w:noProof/>
          <w:sz w:val="22"/>
          <w:szCs w:val="22"/>
          <w:lang w:val="en-GB"/>
        </w:rPr>
        <w:t>March 2016</w:t>
      </w:r>
      <w:r w:rsidR="0071580A">
        <w:rPr>
          <w:rFonts w:ascii="Gill Sans" w:hAnsi="Gill Sans" w:cs="Gill Sans"/>
          <w:noProof/>
          <w:sz w:val="22"/>
          <w:szCs w:val="22"/>
          <w:lang w:val="en-GB"/>
        </w:rPr>
        <w:t>,</w:t>
      </w:r>
      <w:r w:rsidR="00B506C7">
        <w:rPr>
          <w:rFonts w:ascii="Gill Sans" w:hAnsi="Gill Sans" w:cs="Gill Sans"/>
          <w:noProof/>
          <w:sz w:val="22"/>
          <w:szCs w:val="22"/>
          <w:lang w:val="en-GB"/>
        </w:rPr>
        <w:t xml:space="preserve"> the </w:t>
      </w:r>
      <w:r>
        <w:rPr>
          <w:rFonts w:ascii="Gill Sans" w:hAnsi="Gill Sans" w:cs="Gill Sans"/>
          <w:noProof/>
          <w:sz w:val="22"/>
          <w:szCs w:val="22"/>
          <w:lang w:val="en-GB"/>
        </w:rPr>
        <w:t>g</w:t>
      </w:r>
      <w:r w:rsidR="00B506C7">
        <w:rPr>
          <w:rFonts w:ascii="Gill Sans" w:hAnsi="Gill Sans" w:cs="Gill Sans"/>
          <w:noProof/>
          <w:sz w:val="22"/>
          <w:szCs w:val="22"/>
          <w:lang w:val="en-GB"/>
        </w:rPr>
        <w:t>overnment appointed four (out of five) NACP members</w:t>
      </w:r>
      <w:r>
        <w:rPr>
          <w:rFonts w:ascii="Gill Sans" w:hAnsi="Gill Sans" w:cs="Gill Sans"/>
          <w:noProof/>
          <w:sz w:val="22"/>
          <w:szCs w:val="22"/>
          <w:lang w:val="en-GB"/>
        </w:rPr>
        <w:t xml:space="preserve">. </w:t>
      </w:r>
      <w:r w:rsidR="00636754">
        <w:rPr>
          <w:rFonts w:ascii="Gill Sans" w:hAnsi="Gill Sans" w:cs="Gill Sans"/>
          <w:noProof/>
          <w:sz w:val="22"/>
          <w:szCs w:val="22"/>
          <w:lang w:val="en-GB"/>
        </w:rPr>
        <w:t>From</w:t>
      </w:r>
      <w:r w:rsidR="00A47BBF">
        <w:rPr>
          <w:rFonts w:ascii="Gill Sans" w:hAnsi="Gill Sans" w:cs="Gill Sans"/>
          <w:noProof/>
          <w:sz w:val="22"/>
          <w:szCs w:val="22"/>
          <w:lang w:val="en-GB"/>
        </w:rPr>
        <w:t xml:space="preserve"> an </w:t>
      </w:r>
      <w:r w:rsidR="004B1162">
        <w:rPr>
          <w:rFonts w:ascii="Gill Sans" w:hAnsi="Gill Sans" w:cs="Gill Sans"/>
          <w:noProof/>
          <w:sz w:val="22"/>
          <w:szCs w:val="22"/>
          <w:lang w:val="en-GB"/>
        </w:rPr>
        <w:t>o</w:t>
      </w:r>
      <w:r w:rsidR="00B506C7">
        <w:rPr>
          <w:rFonts w:ascii="Gill Sans" w:hAnsi="Gill Sans" w:cs="Gill Sans"/>
          <w:noProof/>
          <w:sz w:val="22"/>
          <w:szCs w:val="22"/>
          <w:lang w:val="en-GB"/>
        </w:rPr>
        <w:t xml:space="preserve">pen tender, the UNDP selected a contractor </w:t>
      </w:r>
      <w:r w:rsidR="00636754">
        <w:rPr>
          <w:rFonts w:ascii="Gill Sans" w:hAnsi="Gill Sans" w:cs="Gill Sans"/>
          <w:noProof/>
          <w:sz w:val="22"/>
          <w:szCs w:val="22"/>
          <w:lang w:val="en-GB"/>
        </w:rPr>
        <w:t xml:space="preserve">in December 2015 </w:t>
      </w:r>
      <w:r w:rsidR="00B506C7">
        <w:rPr>
          <w:rFonts w:ascii="Gill Sans" w:hAnsi="Gill Sans" w:cs="Gill Sans"/>
          <w:noProof/>
          <w:sz w:val="22"/>
          <w:szCs w:val="22"/>
          <w:lang w:val="en-GB"/>
        </w:rPr>
        <w:t>to develop the e-declarations software</w:t>
      </w:r>
      <w:r w:rsidR="00636754">
        <w:rPr>
          <w:rFonts w:ascii="Gill Sans" w:hAnsi="Gill Sans" w:cs="Gill Sans"/>
          <w:noProof/>
          <w:sz w:val="22"/>
          <w:szCs w:val="22"/>
          <w:lang w:val="en-GB"/>
        </w:rPr>
        <w:t>,</w:t>
      </w:r>
      <w:r w:rsidR="00B506C7">
        <w:rPr>
          <w:rFonts w:ascii="Gill Sans" w:hAnsi="Gill Sans" w:cs="Gill Sans"/>
          <w:noProof/>
          <w:sz w:val="22"/>
          <w:szCs w:val="22"/>
          <w:lang w:val="en-GB"/>
        </w:rPr>
        <w:t xml:space="preserve"> and</w:t>
      </w:r>
      <w:r w:rsidR="00A47BBF">
        <w:rPr>
          <w:rFonts w:ascii="Gill Sans" w:hAnsi="Gill Sans" w:cs="Gill Sans"/>
          <w:noProof/>
          <w:sz w:val="22"/>
          <w:szCs w:val="22"/>
          <w:lang w:val="en-GB"/>
        </w:rPr>
        <w:t xml:space="preserve"> </w:t>
      </w:r>
      <w:r w:rsidR="00A47BBF">
        <w:rPr>
          <w:rFonts w:ascii="Gill Sans" w:hAnsi="Gill Sans" w:cs="Gill Sans"/>
          <w:noProof/>
          <w:sz w:val="22"/>
          <w:szCs w:val="22"/>
        </w:rPr>
        <w:t>presented the prototype system</w:t>
      </w:r>
      <w:r w:rsidR="00B506C7">
        <w:rPr>
          <w:rFonts w:ascii="Gill Sans" w:hAnsi="Gill Sans" w:cs="Gill Sans"/>
          <w:noProof/>
          <w:sz w:val="22"/>
          <w:szCs w:val="22"/>
          <w:lang w:val="en-GB"/>
        </w:rPr>
        <w:t xml:space="preserve"> </w:t>
      </w:r>
      <w:r w:rsidR="00636754">
        <w:rPr>
          <w:rFonts w:ascii="Gill Sans" w:hAnsi="Gill Sans" w:cs="Gill Sans"/>
          <w:noProof/>
          <w:sz w:val="22"/>
          <w:szCs w:val="22"/>
          <w:lang w:val="en-GB"/>
        </w:rPr>
        <w:t>the following</w:t>
      </w:r>
      <w:r w:rsidR="00B506C7">
        <w:rPr>
          <w:rFonts w:ascii="Gill Sans" w:hAnsi="Gill Sans" w:cs="Gill Sans"/>
          <w:noProof/>
          <w:sz w:val="22"/>
          <w:szCs w:val="22"/>
          <w:lang w:val="en-GB"/>
        </w:rPr>
        <w:t xml:space="preserve"> March</w:t>
      </w:r>
      <w:r w:rsidR="00B506C7">
        <w:rPr>
          <w:rFonts w:ascii="Gill Sans" w:hAnsi="Gill Sans" w:cs="Gill Sans"/>
          <w:noProof/>
          <w:sz w:val="22"/>
          <w:szCs w:val="22"/>
        </w:rPr>
        <w:t xml:space="preserve">. </w:t>
      </w:r>
      <w:r w:rsidR="00A47BBF">
        <w:rPr>
          <w:rFonts w:ascii="Gill Sans" w:hAnsi="Gill Sans" w:cs="Gill Sans"/>
          <w:noProof/>
          <w:sz w:val="22"/>
          <w:szCs w:val="22"/>
        </w:rPr>
        <w:t>During</w:t>
      </w:r>
      <w:r w:rsidR="00B506C7">
        <w:rPr>
          <w:rFonts w:ascii="Gill Sans" w:hAnsi="Gill Sans" w:cs="Gill Sans"/>
          <w:noProof/>
          <w:sz w:val="22"/>
          <w:szCs w:val="22"/>
        </w:rPr>
        <w:t xml:space="preserve"> May-June 2016</w:t>
      </w:r>
      <w:r w:rsidR="00A47BBF">
        <w:rPr>
          <w:rFonts w:ascii="Gill Sans" w:hAnsi="Gill Sans" w:cs="Gill Sans"/>
          <w:noProof/>
          <w:sz w:val="22"/>
          <w:szCs w:val="22"/>
        </w:rPr>
        <w:t>,</w:t>
      </w:r>
      <w:r w:rsidR="00B506C7">
        <w:rPr>
          <w:rFonts w:ascii="Gill Sans" w:hAnsi="Gill Sans" w:cs="Gill Sans"/>
          <w:noProof/>
          <w:sz w:val="22"/>
          <w:szCs w:val="22"/>
        </w:rPr>
        <w:t xml:space="preserve"> the software was transferred to the NACP. In June 2016, the NACP adopted the e-declarations form and other necessary bylaws</w:t>
      </w:r>
      <w:r w:rsidR="00636754">
        <w:rPr>
          <w:rFonts w:ascii="Gill Sans" w:hAnsi="Gill Sans" w:cs="Gill Sans"/>
          <w:noProof/>
          <w:sz w:val="22"/>
          <w:szCs w:val="22"/>
        </w:rPr>
        <w:t xml:space="preserve">, and </w:t>
      </w:r>
      <w:r w:rsidR="00B506C7">
        <w:rPr>
          <w:rFonts w:ascii="Gill Sans" w:hAnsi="Gill Sans" w:cs="Gill Sans"/>
          <w:noProof/>
          <w:sz w:val="22"/>
          <w:szCs w:val="22"/>
        </w:rPr>
        <w:t>also decided on the tim</w:t>
      </w:r>
      <w:r w:rsidR="00A47BBF">
        <w:rPr>
          <w:rFonts w:ascii="Gill Sans" w:hAnsi="Gill Sans" w:cs="Gill Sans"/>
          <w:noProof/>
          <w:sz w:val="22"/>
          <w:szCs w:val="22"/>
        </w:rPr>
        <w:t>ing</w:t>
      </w:r>
      <w:r w:rsidR="00B506C7">
        <w:rPr>
          <w:rFonts w:ascii="Gill Sans" w:hAnsi="Gill Sans" w:cs="Gill Sans"/>
          <w:noProof/>
          <w:sz w:val="22"/>
          <w:szCs w:val="22"/>
        </w:rPr>
        <w:t xml:space="preserve"> of the new system’s launch</w:t>
      </w:r>
      <w:r w:rsidR="00A47BBF">
        <w:rPr>
          <w:rFonts w:ascii="Gill Sans" w:hAnsi="Gill Sans" w:cs="Gill Sans"/>
          <w:noProof/>
          <w:sz w:val="22"/>
          <w:szCs w:val="22"/>
        </w:rPr>
        <w:t>. T</w:t>
      </w:r>
      <w:r w:rsidR="00B506C7">
        <w:rPr>
          <w:rFonts w:ascii="Gill Sans" w:hAnsi="Gill Sans" w:cs="Gill Sans"/>
          <w:noProof/>
          <w:sz w:val="22"/>
          <w:szCs w:val="22"/>
        </w:rPr>
        <w:t>he first stage</w:t>
      </w:r>
      <w:r w:rsidR="00A47BBF">
        <w:rPr>
          <w:rFonts w:ascii="Gill Sans" w:hAnsi="Gill Sans" w:cs="Gill Sans"/>
          <w:noProof/>
          <w:sz w:val="22"/>
          <w:szCs w:val="22"/>
        </w:rPr>
        <w:t>,</w:t>
      </w:r>
      <w:r w:rsidR="00B506C7">
        <w:rPr>
          <w:rFonts w:ascii="Gill Sans" w:hAnsi="Gill Sans" w:cs="Gill Sans"/>
          <w:noProof/>
          <w:sz w:val="22"/>
          <w:szCs w:val="22"/>
        </w:rPr>
        <w:t xml:space="preserve"> </w:t>
      </w:r>
      <w:r w:rsidR="00636754">
        <w:rPr>
          <w:rFonts w:ascii="Gill Sans" w:hAnsi="Gill Sans" w:cs="Gill Sans"/>
          <w:noProof/>
          <w:sz w:val="22"/>
          <w:szCs w:val="22"/>
        </w:rPr>
        <w:t>which involved</w:t>
      </w:r>
      <w:r w:rsidR="00A47BBF">
        <w:rPr>
          <w:rFonts w:ascii="Gill Sans" w:hAnsi="Gill Sans" w:cs="Gill Sans"/>
          <w:noProof/>
          <w:sz w:val="22"/>
          <w:szCs w:val="22"/>
        </w:rPr>
        <w:t xml:space="preserve"> </w:t>
      </w:r>
      <w:r w:rsidR="00B506C7">
        <w:rPr>
          <w:rFonts w:ascii="Gill Sans" w:hAnsi="Gill Sans" w:cs="Gill Sans"/>
          <w:noProof/>
          <w:sz w:val="22"/>
          <w:szCs w:val="22"/>
        </w:rPr>
        <w:t>high and upper-mid</w:t>
      </w:r>
      <w:r w:rsidR="00A47BBF">
        <w:rPr>
          <w:rFonts w:ascii="Gill Sans" w:hAnsi="Gill Sans" w:cs="Gill Sans"/>
          <w:noProof/>
          <w:sz w:val="22"/>
          <w:szCs w:val="22"/>
        </w:rPr>
        <w:t>dle</w:t>
      </w:r>
      <w:r w:rsidR="00B506C7">
        <w:rPr>
          <w:rFonts w:ascii="Gill Sans" w:hAnsi="Gill Sans" w:cs="Gill Sans"/>
          <w:noProof/>
          <w:sz w:val="22"/>
          <w:szCs w:val="22"/>
        </w:rPr>
        <w:t xml:space="preserve"> level public officials</w:t>
      </w:r>
      <w:r w:rsidR="00A47BBF">
        <w:rPr>
          <w:rFonts w:ascii="Gill Sans" w:hAnsi="Gill Sans" w:cs="Gill Sans"/>
          <w:noProof/>
          <w:sz w:val="22"/>
          <w:szCs w:val="22"/>
        </w:rPr>
        <w:t>,</w:t>
      </w:r>
      <w:r w:rsidR="00B506C7">
        <w:rPr>
          <w:rFonts w:ascii="Gill Sans" w:hAnsi="Gill Sans" w:cs="Gill Sans"/>
          <w:noProof/>
          <w:sz w:val="22"/>
          <w:szCs w:val="22"/>
        </w:rPr>
        <w:t xml:space="preserve"> </w:t>
      </w:r>
      <w:r w:rsidR="00A47BBF">
        <w:rPr>
          <w:rFonts w:ascii="Gill Sans" w:hAnsi="Gill Sans" w:cs="Gill Sans"/>
          <w:noProof/>
          <w:sz w:val="22"/>
          <w:szCs w:val="22"/>
        </w:rPr>
        <w:t>was</w:t>
      </w:r>
      <w:r w:rsidR="00B506C7">
        <w:rPr>
          <w:rFonts w:ascii="Gill Sans" w:hAnsi="Gill Sans" w:cs="Gill Sans"/>
          <w:noProof/>
          <w:sz w:val="22"/>
          <w:szCs w:val="22"/>
        </w:rPr>
        <w:t xml:space="preserve"> to be launched on 15 August 2016, while all other declarants were </w:t>
      </w:r>
      <w:r w:rsidR="00A47BBF">
        <w:rPr>
          <w:rFonts w:ascii="Gill Sans" w:hAnsi="Gill Sans" w:cs="Gill Sans"/>
          <w:noProof/>
          <w:sz w:val="22"/>
          <w:szCs w:val="22"/>
        </w:rPr>
        <w:t>included in</w:t>
      </w:r>
      <w:r w:rsidR="00B506C7">
        <w:rPr>
          <w:rFonts w:ascii="Gill Sans" w:hAnsi="Gill Sans" w:cs="Gill Sans"/>
          <w:noProof/>
          <w:sz w:val="22"/>
          <w:szCs w:val="22"/>
        </w:rPr>
        <w:t xml:space="preserve"> the second stage</w:t>
      </w:r>
      <w:r w:rsidR="00A47BBF">
        <w:rPr>
          <w:rFonts w:ascii="Gill Sans" w:hAnsi="Gill Sans" w:cs="Gill Sans"/>
          <w:noProof/>
          <w:sz w:val="22"/>
          <w:szCs w:val="22"/>
        </w:rPr>
        <w:t xml:space="preserve"> beginning</w:t>
      </w:r>
      <w:r w:rsidR="00B506C7">
        <w:rPr>
          <w:rFonts w:ascii="Gill Sans" w:hAnsi="Gill Sans" w:cs="Gill Sans"/>
          <w:noProof/>
          <w:sz w:val="22"/>
          <w:szCs w:val="22"/>
        </w:rPr>
        <w:t xml:space="preserve"> 1 January 2017. </w:t>
      </w:r>
      <w:r w:rsidR="00A47BBF">
        <w:rPr>
          <w:rFonts w:ascii="Gill Sans" w:hAnsi="Gill Sans" w:cs="Gill Sans"/>
          <w:noProof/>
          <w:sz w:val="22"/>
          <w:szCs w:val="22"/>
        </w:rPr>
        <w:t>A</w:t>
      </w:r>
      <w:r w:rsidR="00B506C7">
        <w:rPr>
          <w:rFonts w:ascii="Gill Sans" w:hAnsi="Gill Sans" w:cs="Gill Sans"/>
          <w:noProof/>
          <w:sz w:val="22"/>
          <w:szCs w:val="22"/>
        </w:rPr>
        <w:t xml:space="preserve"> delay in the data security certification of the software</w:t>
      </w:r>
      <w:r w:rsidR="00A47BBF">
        <w:rPr>
          <w:rFonts w:ascii="Gill Sans" w:hAnsi="Gill Sans" w:cs="Gill Sans"/>
          <w:noProof/>
          <w:sz w:val="22"/>
          <w:szCs w:val="22"/>
        </w:rPr>
        <w:t xml:space="preserve"> </w:t>
      </w:r>
      <w:r w:rsidR="00636754">
        <w:rPr>
          <w:rFonts w:ascii="Gill Sans" w:hAnsi="Gill Sans" w:cs="Gill Sans"/>
          <w:noProof/>
          <w:sz w:val="22"/>
          <w:szCs w:val="22"/>
        </w:rPr>
        <w:t xml:space="preserve">postponed </w:t>
      </w:r>
      <w:r w:rsidR="00B506C7">
        <w:rPr>
          <w:rFonts w:ascii="Gill Sans" w:hAnsi="Gill Sans" w:cs="Gill Sans"/>
          <w:noProof/>
          <w:sz w:val="22"/>
          <w:szCs w:val="22"/>
        </w:rPr>
        <w:t>the start date</w:t>
      </w:r>
      <w:r w:rsidR="00A47BBF">
        <w:rPr>
          <w:rFonts w:ascii="Gill Sans" w:hAnsi="Gill Sans" w:cs="Gill Sans"/>
          <w:noProof/>
          <w:sz w:val="22"/>
          <w:szCs w:val="22"/>
        </w:rPr>
        <w:t xml:space="preserve">, which </w:t>
      </w:r>
      <w:r w:rsidR="00B506C7">
        <w:rPr>
          <w:rFonts w:ascii="Gill Sans" w:hAnsi="Gill Sans" w:cs="Gill Sans"/>
          <w:noProof/>
          <w:sz w:val="22"/>
          <w:szCs w:val="22"/>
        </w:rPr>
        <w:t xml:space="preserve">was changed to 1 September 2016. The UNDP covered </w:t>
      </w:r>
      <w:r w:rsidR="004A5E8D">
        <w:rPr>
          <w:rFonts w:ascii="Gill Sans" w:hAnsi="Gill Sans" w:cs="Gill Sans"/>
          <w:noProof/>
          <w:sz w:val="22"/>
          <w:szCs w:val="22"/>
        </w:rPr>
        <w:t xml:space="preserve">the </w:t>
      </w:r>
      <w:r w:rsidR="00B506C7">
        <w:rPr>
          <w:rFonts w:ascii="Gill Sans" w:hAnsi="Gill Sans" w:cs="Gill Sans"/>
          <w:noProof/>
          <w:sz w:val="22"/>
          <w:szCs w:val="22"/>
        </w:rPr>
        <w:t xml:space="preserve">expenses related </w:t>
      </w:r>
      <w:r w:rsidR="00511ECB">
        <w:rPr>
          <w:rFonts w:ascii="Gill Sans" w:hAnsi="Gill Sans" w:cs="Gill Sans"/>
          <w:noProof/>
          <w:sz w:val="22"/>
          <w:szCs w:val="22"/>
        </w:rPr>
        <w:t>to</w:t>
      </w:r>
      <w:r w:rsidR="00B506C7">
        <w:rPr>
          <w:rFonts w:ascii="Gill Sans" w:hAnsi="Gill Sans" w:cs="Gill Sans"/>
          <w:noProof/>
          <w:sz w:val="22"/>
          <w:szCs w:val="22"/>
        </w:rPr>
        <w:t xml:space="preserve"> the </w:t>
      </w:r>
      <w:r w:rsidR="00511ECB">
        <w:rPr>
          <w:rFonts w:ascii="Gill Sans" w:hAnsi="Gill Sans" w:cs="Gill Sans"/>
          <w:noProof/>
          <w:sz w:val="22"/>
          <w:szCs w:val="22"/>
        </w:rPr>
        <w:t>e-</w:t>
      </w:r>
      <w:r w:rsidR="00B506C7">
        <w:rPr>
          <w:rFonts w:ascii="Gill Sans" w:hAnsi="Gill Sans" w:cs="Gill Sans"/>
          <w:noProof/>
          <w:sz w:val="22"/>
          <w:szCs w:val="22"/>
        </w:rPr>
        <w:t>system’s hosting during the initial period.</w:t>
      </w:r>
      <w:r w:rsidR="00511ECB">
        <w:rPr>
          <w:rFonts w:ascii="Gill Sans" w:hAnsi="Gill Sans" w:cs="Gill Sans"/>
          <w:noProof/>
          <w:sz w:val="22"/>
          <w:szCs w:val="22"/>
        </w:rPr>
        <w:t xml:space="preserve"> The system was launched </w:t>
      </w:r>
      <w:r w:rsidR="004A5E8D">
        <w:rPr>
          <w:rFonts w:ascii="Gill Sans" w:hAnsi="Gill Sans" w:cs="Gill Sans"/>
          <w:noProof/>
          <w:sz w:val="22"/>
          <w:szCs w:val="22"/>
        </w:rPr>
        <w:t xml:space="preserve">successfully </w:t>
      </w:r>
      <w:r w:rsidR="00511ECB">
        <w:rPr>
          <w:rFonts w:ascii="Gill Sans" w:hAnsi="Gill Sans" w:cs="Gill Sans"/>
          <w:noProof/>
          <w:sz w:val="22"/>
          <w:szCs w:val="22"/>
        </w:rPr>
        <w:t>on 1 September 2016</w:t>
      </w:r>
      <w:r w:rsidR="00A47BBF">
        <w:rPr>
          <w:rFonts w:ascii="Gill Sans" w:hAnsi="Gill Sans" w:cs="Gill Sans"/>
          <w:noProof/>
          <w:sz w:val="22"/>
          <w:szCs w:val="22"/>
        </w:rPr>
        <w:t>,</w:t>
      </w:r>
      <w:r w:rsidR="00511ECB">
        <w:rPr>
          <w:rFonts w:ascii="Gill Sans" w:hAnsi="Gill Sans" w:cs="Gill Sans"/>
          <w:noProof/>
          <w:sz w:val="22"/>
          <w:szCs w:val="22"/>
        </w:rPr>
        <w:t xml:space="preserve"> despite technical issues related to the declarants’ authorisation in the system, saving of data</w:t>
      </w:r>
      <w:r w:rsidR="00A47BBF">
        <w:rPr>
          <w:rFonts w:ascii="Gill Sans" w:hAnsi="Gill Sans" w:cs="Gill Sans"/>
          <w:noProof/>
          <w:sz w:val="22"/>
          <w:szCs w:val="22"/>
        </w:rPr>
        <w:t>,</w:t>
      </w:r>
      <w:r w:rsidR="00511ECB">
        <w:rPr>
          <w:rFonts w:ascii="Gill Sans" w:hAnsi="Gill Sans" w:cs="Gill Sans"/>
          <w:noProof/>
          <w:sz w:val="22"/>
          <w:szCs w:val="22"/>
        </w:rPr>
        <w:t xml:space="preserve"> and revised e-declaration form. During the first stage (1 September </w:t>
      </w:r>
      <w:r w:rsidR="00A47BBF">
        <w:rPr>
          <w:rFonts w:ascii="Gill Sans" w:hAnsi="Gill Sans" w:cs="Gill Sans"/>
          <w:noProof/>
          <w:sz w:val="22"/>
          <w:szCs w:val="22"/>
        </w:rPr>
        <w:t xml:space="preserve">to </w:t>
      </w:r>
      <w:r w:rsidR="00511ECB">
        <w:rPr>
          <w:rFonts w:ascii="Gill Sans" w:hAnsi="Gill Sans" w:cs="Gill Sans"/>
          <w:noProof/>
          <w:sz w:val="22"/>
          <w:szCs w:val="22"/>
        </w:rPr>
        <w:t xml:space="preserve">30 October), more than 100,000 declarants filed their first </w:t>
      </w:r>
      <w:r w:rsidR="00E829D5">
        <w:rPr>
          <w:rFonts w:ascii="Gill Sans" w:hAnsi="Gill Sans" w:cs="Gill Sans"/>
          <w:noProof/>
          <w:sz w:val="22"/>
          <w:szCs w:val="22"/>
        </w:rPr>
        <w:t xml:space="preserve">annual </w:t>
      </w:r>
      <w:r w:rsidR="00511ECB">
        <w:rPr>
          <w:rFonts w:ascii="Gill Sans" w:hAnsi="Gill Sans" w:cs="Gill Sans"/>
          <w:noProof/>
          <w:sz w:val="22"/>
          <w:szCs w:val="22"/>
        </w:rPr>
        <w:t xml:space="preserve">electronic declarations </w:t>
      </w:r>
      <w:r w:rsidR="00A47BBF">
        <w:rPr>
          <w:rFonts w:ascii="Gill Sans" w:hAnsi="Gill Sans" w:cs="Gill Sans"/>
          <w:noProof/>
          <w:sz w:val="22"/>
          <w:szCs w:val="22"/>
        </w:rPr>
        <w:t xml:space="preserve">for </w:t>
      </w:r>
      <w:r w:rsidR="00511ECB">
        <w:rPr>
          <w:rFonts w:ascii="Gill Sans" w:hAnsi="Gill Sans" w:cs="Gill Sans"/>
          <w:noProof/>
          <w:sz w:val="22"/>
          <w:szCs w:val="22"/>
        </w:rPr>
        <w:t>2015</w:t>
      </w:r>
      <w:r w:rsidR="004A5E8D">
        <w:rPr>
          <w:rFonts w:ascii="Gill Sans" w:hAnsi="Gill Sans" w:cs="Gill Sans"/>
          <w:noProof/>
          <w:sz w:val="22"/>
          <w:szCs w:val="22"/>
        </w:rPr>
        <w:t xml:space="preserve">. </w:t>
      </w:r>
      <w:r w:rsidR="00A47BBF">
        <w:rPr>
          <w:rFonts w:ascii="Gill Sans" w:hAnsi="Gill Sans" w:cs="Gill Sans"/>
          <w:noProof/>
          <w:sz w:val="22"/>
          <w:szCs w:val="22"/>
        </w:rPr>
        <w:t>A</w:t>
      </w:r>
      <w:r w:rsidR="00511ECB">
        <w:rPr>
          <w:rFonts w:ascii="Gill Sans" w:hAnsi="Gill Sans" w:cs="Gill Sans"/>
          <w:noProof/>
          <w:sz w:val="22"/>
          <w:szCs w:val="22"/>
        </w:rPr>
        <w:t>s of the end of December 2016, the public web</w:t>
      </w:r>
      <w:r w:rsidR="004A5E8D">
        <w:rPr>
          <w:rFonts w:ascii="Gill Sans" w:hAnsi="Gill Sans" w:cs="Gill Sans"/>
          <w:noProof/>
          <w:sz w:val="22"/>
          <w:szCs w:val="22"/>
        </w:rPr>
        <w:t xml:space="preserve"> </w:t>
      </w:r>
      <w:r w:rsidR="00511ECB">
        <w:rPr>
          <w:rFonts w:ascii="Gill Sans" w:hAnsi="Gill Sans" w:cs="Gill Sans"/>
          <w:noProof/>
          <w:sz w:val="22"/>
          <w:szCs w:val="22"/>
        </w:rPr>
        <w:t xml:space="preserve">portal contained more than 135,00 electronic documents (declarations of different types, notifications of significant </w:t>
      </w:r>
      <w:r w:rsidR="007B45C2">
        <w:rPr>
          <w:rFonts w:ascii="Gill Sans" w:hAnsi="Gill Sans" w:cs="Gill Sans"/>
          <w:noProof/>
          <w:sz w:val="22"/>
          <w:szCs w:val="22"/>
        </w:rPr>
        <w:t>changes in declarant’s assets</w:t>
      </w:r>
      <w:r w:rsidR="00511ECB">
        <w:rPr>
          <w:rFonts w:ascii="Gill Sans" w:hAnsi="Gill Sans" w:cs="Gill Sans"/>
          <w:noProof/>
          <w:sz w:val="22"/>
          <w:szCs w:val="22"/>
        </w:rPr>
        <w:t>)</w:t>
      </w:r>
      <w:r w:rsidR="007B45C2">
        <w:rPr>
          <w:rFonts w:ascii="Gill Sans" w:hAnsi="Gill Sans" w:cs="Gill Sans"/>
          <w:noProof/>
          <w:sz w:val="22"/>
          <w:szCs w:val="22"/>
        </w:rPr>
        <w:t xml:space="preserve"> for public scrutiny, including in machine-readable format. </w:t>
      </w:r>
      <w:r w:rsidR="00511ECB">
        <w:rPr>
          <w:rFonts w:ascii="Gill Sans" w:hAnsi="Gill Sans" w:cs="Gill Sans"/>
          <w:noProof/>
          <w:sz w:val="22"/>
          <w:szCs w:val="22"/>
        </w:rPr>
        <w:t xml:space="preserve"> </w:t>
      </w:r>
    </w:p>
    <w:p w14:paraId="4559D682" w14:textId="77777777" w:rsidR="00043CC2" w:rsidRPr="00BB3451" w:rsidRDefault="00043CC2" w:rsidP="006319F4">
      <w:pPr>
        <w:pStyle w:val="Heading3"/>
      </w:pPr>
      <w:r w:rsidRPr="00BB3451">
        <w:t>Did it open government?</w:t>
      </w:r>
    </w:p>
    <w:p w14:paraId="7B075565" w14:textId="2D40634A" w:rsidR="004875C1" w:rsidRPr="00583C5A" w:rsidRDefault="00043CC2" w:rsidP="00163080">
      <w:pPr>
        <w:rPr>
          <w:rFonts w:ascii="Gill Sans" w:hAnsi="Gill Sans" w:cs="Gill Sans"/>
          <w:b/>
          <w:color w:val="000000" w:themeColor="text1"/>
          <w:sz w:val="22"/>
          <w:szCs w:val="22"/>
          <w:lang w:val="en-GB"/>
        </w:rPr>
      </w:pPr>
      <w:r>
        <w:rPr>
          <w:rFonts w:ascii="Gill Sans" w:hAnsi="Gill Sans" w:cs="Gill Sans"/>
          <w:b/>
          <w:color w:val="000000" w:themeColor="text1"/>
          <w:sz w:val="22"/>
          <w:szCs w:val="22"/>
          <w:lang w:val="en-GB"/>
        </w:rPr>
        <w:t>Access to information</w:t>
      </w:r>
      <w:r w:rsidR="004875C1" w:rsidRPr="00583C5A">
        <w:rPr>
          <w:rFonts w:ascii="Gill Sans" w:hAnsi="Gill Sans" w:cs="Gill Sans"/>
          <w:b/>
          <w:color w:val="000000" w:themeColor="text1"/>
          <w:sz w:val="22"/>
          <w:szCs w:val="22"/>
          <w:lang w:val="en-GB"/>
        </w:rPr>
        <w:t xml:space="preserve">: </w:t>
      </w:r>
      <w:r w:rsidR="00A97FC1">
        <w:rPr>
          <w:rFonts w:ascii="Gill Sans" w:hAnsi="Gill Sans" w:cs="Gill Sans"/>
          <w:b/>
          <w:color w:val="000000" w:themeColor="text1"/>
          <w:sz w:val="22"/>
          <w:szCs w:val="22"/>
          <w:lang w:val="en-GB"/>
        </w:rPr>
        <w:t>Outstanding</w:t>
      </w:r>
    </w:p>
    <w:p w14:paraId="6363FF8C" w14:textId="16E651BD" w:rsidR="004875C1" w:rsidRPr="00583C5A" w:rsidRDefault="004875C1" w:rsidP="004875C1">
      <w:pPr>
        <w:spacing w:after="120"/>
        <w:rPr>
          <w:rFonts w:ascii="Gill Sans" w:hAnsi="Gill Sans" w:cs="Gill Sans"/>
          <w:b/>
          <w:color w:val="000000" w:themeColor="text1"/>
          <w:sz w:val="22"/>
          <w:szCs w:val="22"/>
          <w:lang w:val="en-GB"/>
        </w:rPr>
      </w:pPr>
      <w:r w:rsidRPr="00583C5A">
        <w:rPr>
          <w:rFonts w:ascii="Gill Sans" w:hAnsi="Gill Sans" w:cs="Gill Sans"/>
          <w:b/>
          <w:color w:val="000000" w:themeColor="text1"/>
          <w:sz w:val="22"/>
          <w:szCs w:val="22"/>
          <w:lang w:val="en-GB"/>
        </w:rPr>
        <w:t xml:space="preserve">Public accountability: </w:t>
      </w:r>
      <w:r w:rsidR="007C2BC9">
        <w:rPr>
          <w:rFonts w:ascii="Gill Sans" w:hAnsi="Gill Sans" w:cs="Gill Sans"/>
          <w:b/>
          <w:color w:val="000000" w:themeColor="text1"/>
          <w:sz w:val="22"/>
          <w:szCs w:val="22"/>
          <w:lang w:val="en-GB"/>
        </w:rPr>
        <w:t xml:space="preserve">Outstanding </w:t>
      </w:r>
    </w:p>
    <w:p w14:paraId="0E4F8171" w14:textId="3FE9CB5C" w:rsidR="004875C1" w:rsidRPr="00184DAA" w:rsidRDefault="00833335" w:rsidP="003C61C9">
      <w:pPr>
        <w:spacing w:after="120"/>
        <w:rPr>
          <w:rFonts w:ascii="Gill Sans" w:hAnsi="Gill Sans" w:cs="Gill Sans"/>
          <w:sz w:val="22"/>
          <w:szCs w:val="22"/>
          <w:lang w:val="uk-UA"/>
        </w:rPr>
      </w:pPr>
      <w:r>
        <w:rPr>
          <w:rFonts w:ascii="Gill Sans" w:hAnsi="Gill Sans" w:cs="Gill Sans"/>
          <w:sz w:val="22"/>
          <w:szCs w:val="22"/>
          <w:lang w:val="en-GB"/>
        </w:rPr>
        <w:t>The new electronic asset disclosure system for public officials replaced the previous ineffective paper-based system</w:t>
      </w:r>
      <w:r w:rsidR="00947598">
        <w:rPr>
          <w:rFonts w:ascii="Gill Sans" w:hAnsi="Gill Sans" w:cs="Gill Sans"/>
          <w:sz w:val="22"/>
          <w:szCs w:val="22"/>
          <w:lang w:val="en-GB"/>
        </w:rPr>
        <w:t>,</w:t>
      </w:r>
      <w:r>
        <w:rPr>
          <w:rFonts w:ascii="Gill Sans" w:hAnsi="Gill Sans" w:cs="Gill Sans"/>
          <w:sz w:val="22"/>
          <w:szCs w:val="22"/>
          <w:lang w:val="en-GB"/>
        </w:rPr>
        <w:t xml:space="preserve"> and allowed an unprecedented level of transparency of </w:t>
      </w:r>
      <w:r w:rsidR="00184DAA">
        <w:rPr>
          <w:rFonts w:ascii="Gill Sans" w:hAnsi="Gill Sans" w:cs="Gill Sans"/>
          <w:sz w:val="22"/>
          <w:szCs w:val="22"/>
          <w:lang w:val="en-GB"/>
        </w:rPr>
        <w:t xml:space="preserve">public officials’ assets. It is a powerful tool </w:t>
      </w:r>
      <w:r w:rsidR="003D2358">
        <w:rPr>
          <w:rFonts w:ascii="Gill Sans" w:hAnsi="Gill Sans" w:cs="Gill Sans"/>
          <w:sz w:val="22"/>
          <w:szCs w:val="22"/>
          <w:lang w:val="en-GB"/>
        </w:rPr>
        <w:t xml:space="preserve">against </w:t>
      </w:r>
      <w:r w:rsidR="00184DAA">
        <w:rPr>
          <w:rFonts w:ascii="Gill Sans" w:hAnsi="Gill Sans" w:cs="Gill Sans"/>
          <w:sz w:val="22"/>
          <w:szCs w:val="22"/>
          <w:lang w:val="en-GB"/>
        </w:rPr>
        <w:t>corruption by making it easier to detect and prosecute illicit enrichment and conflicts of interests. The new system was launched 1 September 2016</w:t>
      </w:r>
      <w:r w:rsidR="003D2358">
        <w:rPr>
          <w:rFonts w:ascii="Gill Sans" w:hAnsi="Gill Sans" w:cs="Gill Sans"/>
          <w:sz w:val="22"/>
          <w:szCs w:val="22"/>
          <w:lang w:val="en-GB"/>
        </w:rPr>
        <w:t>,</w:t>
      </w:r>
      <w:r w:rsidR="00184DAA">
        <w:rPr>
          <w:rFonts w:ascii="Gill Sans" w:hAnsi="Gill Sans" w:cs="Gill Sans"/>
          <w:sz w:val="22"/>
          <w:szCs w:val="22"/>
          <w:lang w:val="en-GB"/>
        </w:rPr>
        <w:t xml:space="preserve"> and drew enormous </w:t>
      </w:r>
      <w:r w:rsidR="003D2358">
        <w:rPr>
          <w:rFonts w:ascii="Gill Sans" w:hAnsi="Gill Sans" w:cs="Gill Sans"/>
          <w:sz w:val="22"/>
          <w:szCs w:val="22"/>
          <w:lang w:val="en-GB"/>
        </w:rPr>
        <w:t xml:space="preserve">media and public </w:t>
      </w:r>
      <w:r w:rsidR="00184DAA">
        <w:rPr>
          <w:rFonts w:ascii="Gill Sans" w:hAnsi="Gill Sans" w:cs="Gill Sans"/>
          <w:sz w:val="22"/>
          <w:szCs w:val="22"/>
          <w:lang w:val="en-GB"/>
        </w:rPr>
        <w:t>attention. It resulted in numerous journalist investigations and media reports in the national and foreign press.</w:t>
      </w:r>
      <w:r w:rsidR="00446CAF">
        <w:rPr>
          <w:rStyle w:val="EndnoteReference"/>
          <w:rFonts w:ascii="Gill Sans" w:hAnsi="Gill Sans" w:cs="Gill Sans"/>
          <w:sz w:val="22"/>
          <w:szCs w:val="22"/>
          <w:lang w:val="en-GB"/>
        </w:rPr>
        <w:endnoteReference w:id="59"/>
      </w:r>
      <w:r w:rsidR="00184DAA">
        <w:rPr>
          <w:rFonts w:ascii="Gill Sans" w:hAnsi="Gill Sans" w:cs="Gill Sans"/>
          <w:sz w:val="22"/>
          <w:szCs w:val="22"/>
          <w:lang w:val="en-GB"/>
        </w:rPr>
        <w:t xml:space="preserve"> </w:t>
      </w:r>
      <w:r w:rsidR="0059786B">
        <w:rPr>
          <w:rFonts w:ascii="Gill Sans" w:hAnsi="Gill Sans" w:cs="Gill Sans"/>
          <w:sz w:val="22"/>
          <w:szCs w:val="22"/>
          <w:lang w:val="en-GB"/>
        </w:rPr>
        <w:t xml:space="preserve">The portal </w:t>
      </w:r>
      <w:r w:rsidR="00631489">
        <w:rPr>
          <w:rFonts w:ascii="Gill Sans" w:hAnsi="Gill Sans" w:cs="Gill Sans"/>
          <w:sz w:val="22"/>
          <w:szCs w:val="22"/>
          <w:lang w:val="en-GB"/>
        </w:rPr>
        <w:t xml:space="preserve">has helped </w:t>
      </w:r>
      <w:r w:rsidR="007C2BC9">
        <w:rPr>
          <w:rFonts w:ascii="Gill Sans" w:hAnsi="Gill Sans" w:cs="Gill Sans"/>
          <w:sz w:val="22"/>
          <w:szCs w:val="22"/>
          <w:lang w:val="en-GB"/>
        </w:rPr>
        <w:t xml:space="preserve">create greater public demand for accountability of public officials whose wealth was revealed </w:t>
      </w:r>
      <w:r w:rsidR="003D2358">
        <w:rPr>
          <w:rFonts w:ascii="Gill Sans" w:hAnsi="Gill Sans" w:cs="Gill Sans"/>
          <w:sz w:val="22"/>
          <w:szCs w:val="22"/>
          <w:lang w:val="en-GB"/>
        </w:rPr>
        <w:t>by</w:t>
      </w:r>
      <w:r w:rsidR="007C2BC9">
        <w:rPr>
          <w:rFonts w:ascii="Gill Sans" w:hAnsi="Gill Sans" w:cs="Gill Sans"/>
          <w:sz w:val="22"/>
          <w:szCs w:val="22"/>
          <w:lang w:val="en-GB"/>
        </w:rPr>
        <w:t xml:space="preserve"> the e-declaration system.</w:t>
      </w:r>
      <w:r w:rsidR="0059786B">
        <w:rPr>
          <w:rFonts w:ascii="Gill Sans" w:hAnsi="Gill Sans" w:cs="Gill Sans"/>
          <w:sz w:val="22"/>
          <w:szCs w:val="22"/>
          <w:lang w:val="en-GB"/>
        </w:rPr>
        <w:t xml:space="preserve"> Declarations are automatically made public once submitted, and NGOs, media watchdogs, and citizens can report irregularities detected in the declarations to authorities. </w:t>
      </w:r>
      <w:r w:rsidR="00F53135">
        <w:rPr>
          <w:rFonts w:ascii="Gill Sans" w:hAnsi="Gill Sans" w:cs="Gill Sans"/>
          <w:sz w:val="22"/>
          <w:szCs w:val="22"/>
          <w:lang w:val="en-GB"/>
        </w:rPr>
        <w:t xml:space="preserve">Under the </w:t>
      </w:r>
      <w:r w:rsidR="004A5E8D">
        <w:rPr>
          <w:rFonts w:ascii="Gill Sans" w:hAnsi="Gill Sans" w:cs="Gill Sans"/>
          <w:sz w:val="22"/>
          <w:szCs w:val="22"/>
          <w:lang w:val="en-GB"/>
        </w:rPr>
        <w:t>c</w:t>
      </w:r>
      <w:r w:rsidR="00F53135">
        <w:rPr>
          <w:rFonts w:ascii="Gill Sans" w:hAnsi="Gill Sans" w:cs="Gill Sans"/>
          <w:sz w:val="22"/>
          <w:szCs w:val="22"/>
          <w:lang w:val="en-GB"/>
        </w:rPr>
        <w:t xml:space="preserve">orruption </w:t>
      </w:r>
      <w:r w:rsidR="004A5E8D">
        <w:rPr>
          <w:rFonts w:ascii="Gill Sans" w:hAnsi="Gill Sans" w:cs="Gill Sans"/>
          <w:sz w:val="22"/>
          <w:szCs w:val="22"/>
          <w:lang w:val="en-GB"/>
        </w:rPr>
        <w:t>p</w:t>
      </w:r>
      <w:r w:rsidR="00F53135">
        <w:rPr>
          <w:rFonts w:ascii="Gill Sans" w:hAnsi="Gill Sans" w:cs="Gill Sans"/>
          <w:sz w:val="22"/>
          <w:szCs w:val="22"/>
          <w:lang w:val="en-GB"/>
        </w:rPr>
        <w:t xml:space="preserve">revention </w:t>
      </w:r>
      <w:r w:rsidR="004A5E8D">
        <w:rPr>
          <w:rFonts w:ascii="Gill Sans" w:hAnsi="Gill Sans" w:cs="Gill Sans"/>
          <w:sz w:val="22"/>
          <w:szCs w:val="22"/>
          <w:lang w:val="en-GB"/>
        </w:rPr>
        <w:t>l</w:t>
      </w:r>
      <w:r w:rsidR="00F53135">
        <w:rPr>
          <w:rFonts w:ascii="Gill Sans" w:hAnsi="Gill Sans" w:cs="Gill Sans"/>
          <w:sz w:val="22"/>
          <w:szCs w:val="22"/>
          <w:lang w:val="en-GB"/>
        </w:rPr>
        <w:t>aw (Article 50)</w:t>
      </w:r>
      <w:r w:rsidR="003D2358">
        <w:rPr>
          <w:rFonts w:ascii="Gill Sans" w:hAnsi="Gill Sans" w:cs="Gill Sans"/>
          <w:sz w:val="22"/>
          <w:szCs w:val="22"/>
          <w:lang w:val="en-GB"/>
        </w:rPr>
        <w:t>,</w:t>
      </w:r>
      <w:r w:rsidR="00F53135">
        <w:rPr>
          <w:rStyle w:val="EndnoteReference"/>
          <w:rFonts w:ascii="Gill Sans" w:hAnsi="Gill Sans" w:cs="Gill Sans"/>
          <w:sz w:val="22"/>
          <w:szCs w:val="22"/>
          <w:lang w:val="en-GB"/>
        </w:rPr>
        <w:endnoteReference w:id="60"/>
      </w:r>
      <w:r w:rsidR="00F53135">
        <w:rPr>
          <w:rFonts w:ascii="Gill Sans" w:hAnsi="Gill Sans" w:cs="Gill Sans"/>
          <w:sz w:val="22"/>
          <w:szCs w:val="22"/>
          <w:lang w:val="en-GB"/>
        </w:rPr>
        <w:t xml:space="preserve"> the </w:t>
      </w:r>
      <w:r w:rsidR="004A5E8D">
        <w:rPr>
          <w:rFonts w:ascii="Gill Sans" w:hAnsi="Gill Sans" w:cs="Gill Sans"/>
          <w:sz w:val="22"/>
          <w:szCs w:val="22"/>
          <w:lang w:val="en-GB"/>
        </w:rPr>
        <w:t xml:space="preserve">NACP </w:t>
      </w:r>
      <w:r w:rsidR="00F53135">
        <w:rPr>
          <w:rFonts w:ascii="Gill Sans" w:hAnsi="Gill Sans" w:cs="Gill Sans"/>
          <w:sz w:val="22"/>
          <w:szCs w:val="22"/>
          <w:lang w:val="en-GB"/>
        </w:rPr>
        <w:t xml:space="preserve">is required to investigate irregularities or complaints of fraudulent asset declarations. The verification process </w:t>
      </w:r>
      <w:r w:rsidR="003C61C9">
        <w:rPr>
          <w:rFonts w:ascii="Gill Sans" w:hAnsi="Gill Sans" w:cs="Gill Sans"/>
          <w:sz w:val="22"/>
          <w:szCs w:val="22"/>
          <w:lang w:val="en-GB"/>
        </w:rPr>
        <w:t>can result in a criminal investigation (under</w:t>
      </w:r>
      <w:r w:rsidR="00F53135">
        <w:rPr>
          <w:rFonts w:ascii="Gill Sans" w:hAnsi="Gill Sans" w:cs="Gill Sans"/>
          <w:sz w:val="22"/>
          <w:szCs w:val="22"/>
          <w:lang w:val="en-GB"/>
        </w:rPr>
        <w:t xml:space="preserve"> criminal procedure code (Article 214)</w:t>
      </w:r>
      <w:r w:rsidR="003C61C9">
        <w:rPr>
          <w:rFonts w:ascii="Gill Sans" w:hAnsi="Gill Sans" w:cs="Gill Sans"/>
          <w:sz w:val="22"/>
          <w:szCs w:val="22"/>
          <w:lang w:val="en-GB"/>
        </w:rPr>
        <w:t>)</w:t>
      </w:r>
      <w:r w:rsidR="00F53135">
        <w:rPr>
          <w:rFonts w:ascii="Gill Sans" w:hAnsi="Gill Sans" w:cs="Gill Sans"/>
          <w:sz w:val="22"/>
          <w:szCs w:val="22"/>
          <w:lang w:val="en-GB"/>
        </w:rPr>
        <w:t>,</w:t>
      </w:r>
      <w:r w:rsidR="00F53135">
        <w:rPr>
          <w:rStyle w:val="EndnoteReference"/>
          <w:rFonts w:ascii="Gill Sans" w:hAnsi="Gill Sans" w:cs="Gill Sans"/>
          <w:sz w:val="22"/>
          <w:szCs w:val="22"/>
          <w:lang w:val="en-GB"/>
        </w:rPr>
        <w:endnoteReference w:id="61"/>
      </w:r>
      <w:r w:rsidR="00F53135">
        <w:rPr>
          <w:rFonts w:ascii="Gill Sans" w:hAnsi="Gill Sans" w:cs="Gill Sans"/>
          <w:sz w:val="22"/>
          <w:szCs w:val="22"/>
          <w:lang w:val="en-GB"/>
        </w:rPr>
        <w:t xml:space="preserve"> thereby creating an accountability mechanism for following up on irregularities discovered through increased transparency. </w:t>
      </w:r>
      <w:r w:rsidR="00184DAA">
        <w:rPr>
          <w:rFonts w:ascii="Gill Sans" w:hAnsi="Gill Sans" w:cs="Gill Sans"/>
          <w:sz w:val="22"/>
          <w:szCs w:val="22"/>
          <w:lang w:val="en-GB"/>
        </w:rPr>
        <w:t>The National Anti-Corruption Bureau started several criminal investigations into unjustified wealth and false statements</w:t>
      </w:r>
      <w:r w:rsidR="00DF02D5">
        <w:rPr>
          <w:rFonts w:ascii="Gill Sans" w:hAnsi="Gill Sans" w:cs="Gill Sans"/>
          <w:sz w:val="22"/>
          <w:szCs w:val="22"/>
          <w:lang w:val="en-GB"/>
        </w:rPr>
        <w:t>,</w:t>
      </w:r>
      <w:r w:rsidR="00184DAA">
        <w:rPr>
          <w:rFonts w:ascii="Gill Sans" w:hAnsi="Gill Sans" w:cs="Gill Sans"/>
          <w:sz w:val="22"/>
          <w:szCs w:val="22"/>
          <w:lang w:val="en-GB"/>
        </w:rPr>
        <w:t xml:space="preserve"> based on the new e-declarations.</w:t>
      </w:r>
      <w:r w:rsidR="00184DAA">
        <w:rPr>
          <w:rStyle w:val="EndnoteReference"/>
          <w:rFonts w:ascii="Gill Sans" w:hAnsi="Gill Sans" w:cs="Gill Sans"/>
          <w:sz w:val="22"/>
          <w:szCs w:val="22"/>
          <w:lang w:val="en-GB"/>
        </w:rPr>
        <w:endnoteReference w:id="62"/>
      </w:r>
      <w:r w:rsidR="00446CAF">
        <w:rPr>
          <w:rFonts w:ascii="Gill Sans" w:hAnsi="Gill Sans" w:cs="Gill Sans"/>
          <w:sz w:val="22"/>
          <w:szCs w:val="22"/>
          <w:lang w:val="en-GB"/>
        </w:rPr>
        <w:t xml:space="preserve"> International organisations and foreign governments recognised the new e-declarations system </w:t>
      </w:r>
      <w:r w:rsidR="003D2358">
        <w:rPr>
          <w:rFonts w:ascii="Gill Sans" w:hAnsi="Gill Sans" w:cs="Gill Sans"/>
          <w:sz w:val="22"/>
          <w:szCs w:val="22"/>
          <w:lang w:val="en-GB"/>
        </w:rPr>
        <w:t>as</w:t>
      </w:r>
      <w:r w:rsidR="00446CAF">
        <w:rPr>
          <w:rFonts w:ascii="Gill Sans" w:hAnsi="Gill Sans" w:cs="Gill Sans"/>
          <w:sz w:val="22"/>
          <w:szCs w:val="22"/>
          <w:lang w:val="en-GB"/>
        </w:rPr>
        <w:t xml:space="preserve"> a major breakthrough.</w:t>
      </w:r>
      <w:r w:rsidR="00446CAF">
        <w:rPr>
          <w:rStyle w:val="EndnoteReference"/>
          <w:rFonts w:ascii="Gill Sans" w:hAnsi="Gill Sans" w:cs="Gill Sans"/>
          <w:sz w:val="22"/>
          <w:szCs w:val="22"/>
          <w:lang w:val="en-GB"/>
        </w:rPr>
        <w:endnoteReference w:id="63"/>
      </w:r>
      <w:r w:rsidR="00061FED">
        <w:rPr>
          <w:rFonts w:ascii="Gill Sans" w:hAnsi="Gill Sans" w:cs="Gill Sans"/>
          <w:sz w:val="22"/>
          <w:szCs w:val="22"/>
          <w:lang w:val="en-GB"/>
        </w:rPr>
        <w:t xml:space="preserve"> </w:t>
      </w:r>
      <w:r w:rsidR="00E829D5">
        <w:rPr>
          <w:rFonts w:ascii="Gill Sans" w:hAnsi="Gill Sans" w:cs="Gill Sans"/>
          <w:sz w:val="22"/>
          <w:szCs w:val="22"/>
          <w:lang w:val="en-GB"/>
        </w:rPr>
        <w:t>According to t</w:t>
      </w:r>
      <w:r w:rsidR="00061FED">
        <w:rPr>
          <w:rFonts w:ascii="Gill Sans" w:hAnsi="Gill Sans" w:cs="Gill Sans"/>
          <w:sz w:val="22"/>
          <w:szCs w:val="22"/>
          <w:lang w:val="en-GB"/>
        </w:rPr>
        <w:t>he December 2016 national poll</w:t>
      </w:r>
      <w:r w:rsidR="00E829D5">
        <w:rPr>
          <w:rFonts w:ascii="Gill Sans" w:hAnsi="Gill Sans" w:cs="Gill Sans"/>
          <w:sz w:val="22"/>
          <w:szCs w:val="22"/>
          <w:lang w:val="en-GB"/>
        </w:rPr>
        <w:t>,</w:t>
      </w:r>
      <w:r w:rsidR="00061FED">
        <w:rPr>
          <w:rFonts w:ascii="Gill Sans" w:hAnsi="Gill Sans" w:cs="Gill Sans"/>
          <w:sz w:val="22"/>
          <w:szCs w:val="22"/>
          <w:lang w:val="en-GB"/>
        </w:rPr>
        <w:t xml:space="preserve"> Ukrainian citizens </w:t>
      </w:r>
      <w:r w:rsidR="00DF02D5">
        <w:rPr>
          <w:rFonts w:ascii="Gill Sans" w:hAnsi="Gill Sans" w:cs="Gill Sans"/>
          <w:sz w:val="22"/>
          <w:szCs w:val="22"/>
          <w:lang w:val="en-GB"/>
        </w:rPr>
        <w:t xml:space="preserve">also </w:t>
      </w:r>
      <w:r w:rsidR="00061FED">
        <w:rPr>
          <w:rFonts w:ascii="Gill Sans" w:hAnsi="Gill Sans" w:cs="Gill Sans"/>
          <w:sz w:val="22"/>
          <w:szCs w:val="22"/>
          <w:lang w:val="en-GB"/>
        </w:rPr>
        <w:t>consider</w:t>
      </w:r>
      <w:r w:rsidR="00E829D5">
        <w:rPr>
          <w:rFonts w:ascii="Gill Sans" w:hAnsi="Gill Sans" w:cs="Gill Sans"/>
          <w:sz w:val="22"/>
          <w:szCs w:val="22"/>
          <w:lang w:val="en-GB"/>
        </w:rPr>
        <w:t>ed</w:t>
      </w:r>
      <w:r w:rsidR="00061FED">
        <w:rPr>
          <w:rFonts w:ascii="Gill Sans" w:hAnsi="Gill Sans" w:cs="Gill Sans"/>
          <w:sz w:val="22"/>
          <w:szCs w:val="22"/>
          <w:lang w:val="en-GB"/>
        </w:rPr>
        <w:t xml:space="preserve"> the e-declarations system </w:t>
      </w:r>
      <w:r w:rsidR="00E829D5">
        <w:rPr>
          <w:rFonts w:ascii="Gill Sans" w:hAnsi="Gill Sans" w:cs="Gill Sans"/>
          <w:sz w:val="22"/>
          <w:szCs w:val="22"/>
          <w:lang w:val="en-GB"/>
        </w:rPr>
        <w:t xml:space="preserve">launch </w:t>
      </w:r>
      <w:r w:rsidR="00061FED">
        <w:rPr>
          <w:rFonts w:ascii="Gill Sans" w:hAnsi="Gill Sans" w:cs="Gill Sans"/>
          <w:sz w:val="22"/>
          <w:szCs w:val="22"/>
          <w:lang w:val="en-GB"/>
        </w:rPr>
        <w:t>to be the fourth most successful event of 2016.</w:t>
      </w:r>
      <w:r w:rsidR="000242C8">
        <w:rPr>
          <w:rStyle w:val="EndnoteReference"/>
          <w:rFonts w:ascii="Gill Sans" w:hAnsi="Gill Sans" w:cs="Gill Sans"/>
          <w:sz w:val="22"/>
          <w:szCs w:val="22"/>
          <w:lang w:val="en-GB"/>
        </w:rPr>
        <w:endnoteReference w:id="64"/>
      </w:r>
      <w:r w:rsidR="0059786B">
        <w:rPr>
          <w:rFonts w:ascii="Gill Sans" w:hAnsi="Gill Sans" w:cs="Gill Sans"/>
          <w:sz w:val="22"/>
          <w:szCs w:val="22"/>
          <w:lang w:val="en-GB"/>
        </w:rPr>
        <w:t xml:space="preserve"> </w:t>
      </w:r>
    </w:p>
    <w:p w14:paraId="1B258EE4" w14:textId="77777777" w:rsidR="004875C1" w:rsidRPr="0073097B" w:rsidRDefault="004875C1" w:rsidP="006319F4">
      <w:pPr>
        <w:pStyle w:val="Heading3"/>
      </w:pPr>
      <w:r w:rsidRPr="0073097B">
        <w:lastRenderedPageBreak/>
        <w:t>Carried forward?</w:t>
      </w:r>
    </w:p>
    <w:p w14:paraId="5CA4195F" w14:textId="7174AAC6" w:rsidR="00C3016D" w:rsidRDefault="004875C1" w:rsidP="007229C4">
      <w:pPr>
        <w:rPr>
          <w:rFonts w:ascii="Gill Sans" w:hAnsi="Gill Sans" w:cs="Gill Sans"/>
          <w:noProof/>
          <w:sz w:val="22"/>
          <w:szCs w:val="22"/>
          <w:lang w:val="en-GB"/>
        </w:rPr>
      </w:pPr>
      <w:r w:rsidRPr="004F2F5D">
        <w:rPr>
          <w:rFonts w:ascii="Gill Sans" w:hAnsi="Gill Sans" w:cs="Gill Sans"/>
          <w:noProof/>
          <w:sz w:val="22"/>
          <w:szCs w:val="22"/>
          <w:lang w:val="en-GB"/>
        </w:rPr>
        <w:t xml:space="preserve">The commitment was carried over to the new action plan. </w:t>
      </w:r>
      <w:r w:rsidR="00DC04D6">
        <w:rPr>
          <w:rFonts w:ascii="Gill Sans" w:hAnsi="Gill Sans" w:cs="Gill Sans"/>
          <w:noProof/>
          <w:sz w:val="22"/>
          <w:szCs w:val="22"/>
          <w:lang w:val="en-GB"/>
        </w:rPr>
        <w:t xml:space="preserve">It is important to ensure </w:t>
      </w:r>
      <w:r w:rsidR="007229C4">
        <w:rPr>
          <w:rFonts w:ascii="Gill Sans" w:hAnsi="Gill Sans" w:cs="Gill Sans"/>
          <w:noProof/>
          <w:sz w:val="22"/>
          <w:szCs w:val="22"/>
          <w:lang w:val="en-GB"/>
        </w:rPr>
        <w:t>that</w:t>
      </w:r>
      <w:r w:rsidR="00DC04D6">
        <w:rPr>
          <w:rFonts w:ascii="Gill Sans" w:hAnsi="Gill Sans" w:cs="Gill Sans"/>
          <w:noProof/>
          <w:sz w:val="22"/>
          <w:szCs w:val="22"/>
          <w:lang w:val="en-GB"/>
        </w:rPr>
        <w:t xml:space="preserve"> the</w:t>
      </w:r>
      <w:r w:rsidR="007229C4">
        <w:rPr>
          <w:rFonts w:ascii="Gill Sans" w:hAnsi="Gill Sans" w:cs="Gill Sans"/>
          <w:noProof/>
          <w:sz w:val="22"/>
          <w:szCs w:val="22"/>
          <w:lang w:val="en-GB"/>
        </w:rPr>
        <w:t xml:space="preserve"> system operates</w:t>
      </w:r>
      <w:r w:rsidR="00DC04D6">
        <w:rPr>
          <w:rFonts w:ascii="Gill Sans" w:hAnsi="Gill Sans" w:cs="Gill Sans"/>
          <w:noProof/>
          <w:sz w:val="22"/>
          <w:szCs w:val="22"/>
          <w:lang w:val="en-GB"/>
        </w:rPr>
        <w:t xml:space="preserve"> smooth</w:t>
      </w:r>
      <w:r w:rsidR="007229C4">
        <w:rPr>
          <w:rFonts w:ascii="Gill Sans" w:hAnsi="Gill Sans" w:cs="Gill Sans"/>
          <w:noProof/>
          <w:sz w:val="22"/>
          <w:szCs w:val="22"/>
          <w:lang w:val="en-GB"/>
        </w:rPr>
        <w:t>ly</w:t>
      </w:r>
      <w:r w:rsidR="00DC04D6">
        <w:rPr>
          <w:rFonts w:ascii="Gill Sans" w:hAnsi="Gill Sans" w:cs="Gill Sans"/>
          <w:noProof/>
          <w:sz w:val="22"/>
          <w:szCs w:val="22"/>
          <w:lang w:val="en-GB"/>
        </w:rPr>
        <w:t xml:space="preserve"> after 1 January 2017, </w:t>
      </w:r>
      <w:r w:rsidR="007229C4">
        <w:rPr>
          <w:rFonts w:ascii="Gill Sans" w:hAnsi="Gill Sans" w:cs="Gill Sans"/>
          <w:noProof/>
          <w:sz w:val="22"/>
          <w:szCs w:val="22"/>
          <w:lang w:val="en-GB"/>
        </w:rPr>
        <w:t xml:space="preserve">and that an effective procedure for verification of the submitted declarations by the NACP is </w:t>
      </w:r>
      <w:r w:rsidR="00DC04D6">
        <w:rPr>
          <w:rFonts w:ascii="Gill Sans" w:hAnsi="Gill Sans" w:cs="Gill Sans"/>
          <w:noProof/>
          <w:sz w:val="22"/>
          <w:szCs w:val="22"/>
          <w:lang w:val="en-GB"/>
        </w:rPr>
        <w:t>introduc</w:t>
      </w:r>
      <w:r w:rsidR="007229C4">
        <w:rPr>
          <w:rFonts w:ascii="Gill Sans" w:hAnsi="Gill Sans" w:cs="Gill Sans"/>
          <w:noProof/>
          <w:sz w:val="22"/>
          <w:szCs w:val="22"/>
          <w:lang w:val="en-GB"/>
        </w:rPr>
        <w:t>ed</w:t>
      </w:r>
      <w:r w:rsidR="00DC04D6">
        <w:rPr>
          <w:rFonts w:ascii="Gill Sans" w:hAnsi="Gill Sans" w:cs="Gill Sans"/>
          <w:noProof/>
          <w:sz w:val="22"/>
          <w:szCs w:val="22"/>
          <w:lang w:val="en-GB"/>
        </w:rPr>
        <w:t>. For this</w:t>
      </w:r>
      <w:r w:rsidR="007229C4">
        <w:rPr>
          <w:rFonts w:ascii="Gill Sans" w:hAnsi="Gill Sans" w:cs="Gill Sans"/>
          <w:noProof/>
          <w:sz w:val="22"/>
          <w:szCs w:val="22"/>
          <w:lang w:val="en-GB"/>
        </w:rPr>
        <w:t xml:space="preserve"> to occur,</w:t>
      </w:r>
      <w:r w:rsidR="00DC04D6">
        <w:rPr>
          <w:rFonts w:ascii="Gill Sans" w:hAnsi="Gill Sans" w:cs="Gill Sans"/>
          <w:noProof/>
          <w:sz w:val="22"/>
          <w:szCs w:val="22"/>
          <w:lang w:val="en-GB"/>
        </w:rPr>
        <w:t xml:space="preserve"> the NACP has to adopt</w:t>
      </w:r>
      <w:r w:rsidR="007229C4">
        <w:rPr>
          <w:rFonts w:ascii="Gill Sans" w:hAnsi="Gill Sans" w:cs="Gill Sans"/>
          <w:noProof/>
          <w:sz w:val="22"/>
          <w:szCs w:val="22"/>
          <w:lang w:val="en-GB"/>
        </w:rPr>
        <w:t>,</w:t>
      </w:r>
      <w:r w:rsidR="00DC04D6">
        <w:rPr>
          <w:rFonts w:ascii="Gill Sans" w:hAnsi="Gill Sans" w:cs="Gill Sans"/>
          <w:noProof/>
          <w:sz w:val="22"/>
          <w:szCs w:val="22"/>
          <w:lang w:val="en-GB"/>
        </w:rPr>
        <w:t xml:space="preserve"> and the Ministry of Justice register and publish</w:t>
      </w:r>
      <w:r w:rsidR="007229C4">
        <w:rPr>
          <w:rFonts w:ascii="Gill Sans" w:hAnsi="Gill Sans" w:cs="Gill Sans"/>
          <w:noProof/>
          <w:sz w:val="22"/>
          <w:szCs w:val="22"/>
          <w:lang w:val="en-GB"/>
        </w:rPr>
        <w:t>,</w:t>
      </w:r>
      <w:r w:rsidR="00DC04D6">
        <w:rPr>
          <w:rFonts w:ascii="Gill Sans" w:hAnsi="Gill Sans" w:cs="Gill Sans"/>
          <w:noProof/>
          <w:sz w:val="22"/>
          <w:szCs w:val="22"/>
          <w:lang w:val="en-GB"/>
        </w:rPr>
        <w:t xml:space="preserve"> relevant bylaws</w:t>
      </w:r>
      <w:r w:rsidR="00DF02D5">
        <w:rPr>
          <w:rFonts w:ascii="Gill Sans" w:hAnsi="Gill Sans" w:cs="Gill Sans"/>
          <w:noProof/>
          <w:sz w:val="22"/>
          <w:szCs w:val="22"/>
          <w:lang w:val="en-GB"/>
        </w:rPr>
        <w:t>; t</w:t>
      </w:r>
      <w:r w:rsidR="00DC04D6">
        <w:rPr>
          <w:rFonts w:ascii="Gill Sans" w:hAnsi="Gill Sans" w:cs="Gill Sans"/>
          <w:noProof/>
          <w:sz w:val="22"/>
          <w:szCs w:val="22"/>
          <w:lang w:val="en-GB"/>
        </w:rPr>
        <w:t xml:space="preserve">he NACP has to obtain direct and automated access to registers and databases held by various </w:t>
      </w:r>
      <w:r w:rsidR="00E829D5">
        <w:rPr>
          <w:rFonts w:ascii="Gill Sans" w:hAnsi="Gill Sans" w:cs="Gill Sans"/>
          <w:noProof/>
          <w:sz w:val="22"/>
          <w:szCs w:val="22"/>
          <w:lang w:val="en-GB"/>
        </w:rPr>
        <w:t>p</w:t>
      </w:r>
      <w:r w:rsidR="00DC04D6">
        <w:rPr>
          <w:rFonts w:ascii="Gill Sans" w:hAnsi="Gill Sans" w:cs="Gill Sans"/>
          <w:noProof/>
          <w:sz w:val="22"/>
          <w:szCs w:val="22"/>
          <w:lang w:val="en-GB"/>
        </w:rPr>
        <w:t>ublic authorities</w:t>
      </w:r>
      <w:r w:rsidR="007229C4">
        <w:rPr>
          <w:rFonts w:ascii="Gill Sans" w:hAnsi="Gill Sans" w:cs="Gill Sans"/>
          <w:noProof/>
          <w:sz w:val="22"/>
          <w:szCs w:val="22"/>
          <w:lang w:val="en-GB"/>
        </w:rPr>
        <w:t>; and</w:t>
      </w:r>
      <w:r w:rsidR="00DC04D6">
        <w:rPr>
          <w:rFonts w:ascii="Gill Sans" w:hAnsi="Gill Sans" w:cs="Gill Sans"/>
          <w:noProof/>
          <w:sz w:val="22"/>
          <w:szCs w:val="22"/>
          <w:lang w:val="en-GB"/>
        </w:rPr>
        <w:t xml:space="preserve"> the e-declarations software has to be upgraded to allow integration with</w:t>
      </w:r>
      <w:r w:rsidR="00E829D5">
        <w:rPr>
          <w:rFonts w:ascii="Gill Sans" w:hAnsi="Gill Sans" w:cs="Gill Sans"/>
          <w:noProof/>
          <w:sz w:val="22"/>
          <w:szCs w:val="22"/>
          <w:lang w:val="en-GB"/>
        </w:rPr>
        <w:t xml:space="preserve"> external registers and automat</w:t>
      </w:r>
      <w:r w:rsidR="00DC04D6">
        <w:rPr>
          <w:rFonts w:ascii="Gill Sans" w:hAnsi="Gill Sans" w:cs="Gill Sans"/>
          <w:noProof/>
          <w:sz w:val="22"/>
          <w:szCs w:val="22"/>
          <w:lang w:val="en-GB"/>
        </w:rPr>
        <w:t xml:space="preserve">ed verification of declarations. </w:t>
      </w:r>
      <w:r w:rsidR="00C3016D">
        <w:rPr>
          <w:rFonts w:ascii="Gill Sans" w:hAnsi="Gill Sans" w:cs="Gill Sans"/>
          <w:noProof/>
          <w:sz w:val="22"/>
          <w:szCs w:val="22"/>
          <w:lang w:val="en-GB"/>
        </w:rPr>
        <w:t xml:space="preserve">The NACP should be </w:t>
      </w:r>
      <w:r w:rsidR="007229C4">
        <w:rPr>
          <w:rFonts w:ascii="Gill Sans" w:hAnsi="Gill Sans" w:cs="Gill Sans"/>
          <w:noProof/>
          <w:sz w:val="22"/>
          <w:szCs w:val="22"/>
          <w:lang w:val="en-GB"/>
        </w:rPr>
        <w:t>granted</w:t>
      </w:r>
      <w:r w:rsidR="00C3016D">
        <w:rPr>
          <w:rFonts w:ascii="Gill Sans" w:hAnsi="Gill Sans" w:cs="Gill Sans"/>
          <w:noProof/>
          <w:sz w:val="22"/>
          <w:szCs w:val="22"/>
          <w:lang w:val="en-GB"/>
        </w:rPr>
        <w:t xml:space="preserve"> sufficient funds to build the capacity to host and run the system securely within the NACP. The NACP </w:t>
      </w:r>
      <w:r w:rsidR="007229C4">
        <w:rPr>
          <w:rFonts w:ascii="Gill Sans" w:hAnsi="Gill Sans" w:cs="Gill Sans"/>
          <w:noProof/>
          <w:sz w:val="22"/>
          <w:szCs w:val="22"/>
          <w:lang w:val="en-GB"/>
        </w:rPr>
        <w:t xml:space="preserve">should </w:t>
      </w:r>
      <w:r w:rsidR="00C3016D" w:rsidRPr="00C3016D">
        <w:rPr>
          <w:rFonts w:ascii="Gill Sans" w:hAnsi="Gill Sans" w:cs="Gill Sans"/>
          <w:noProof/>
          <w:sz w:val="22"/>
          <w:szCs w:val="22"/>
          <w:lang w:val="en-GB"/>
        </w:rPr>
        <w:t>also conti</w:t>
      </w:r>
      <w:r w:rsidR="00E829D5">
        <w:rPr>
          <w:rFonts w:ascii="Gill Sans" w:hAnsi="Gill Sans" w:cs="Gill Sans"/>
          <w:noProof/>
          <w:sz w:val="22"/>
          <w:szCs w:val="22"/>
          <w:lang w:val="en-GB"/>
        </w:rPr>
        <w:t>nue conducting a</w:t>
      </w:r>
      <w:r w:rsidR="007229C4">
        <w:rPr>
          <w:rFonts w:ascii="Gill Sans" w:hAnsi="Gill Sans" w:cs="Gill Sans"/>
          <w:noProof/>
          <w:sz w:val="22"/>
          <w:szCs w:val="22"/>
          <w:lang w:val="en-GB"/>
        </w:rPr>
        <w:t xml:space="preserve">n extensive </w:t>
      </w:r>
      <w:r w:rsidR="00E829D5">
        <w:rPr>
          <w:rFonts w:ascii="Gill Sans" w:hAnsi="Gill Sans" w:cs="Gill Sans"/>
          <w:noProof/>
          <w:sz w:val="22"/>
          <w:szCs w:val="22"/>
          <w:lang w:val="en-GB"/>
        </w:rPr>
        <w:t>awareness-raising campaign and train</w:t>
      </w:r>
      <w:r w:rsidR="00C3016D" w:rsidRPr="00C3016D">
        <w:rPr>
          <w:rFonts w:ascii="Gill Sans" w:hAnsi="Gill Sans" w:cs="Gill Sans"/>
          <w:noProof/>
          <w:sz w:val="22"/>
          <w:szCs w:val="22"/>
          <w:lang w:val="en-GB"/>
        </w:rPr>
        <w:t xml:space="preserve"> public officials </w:t>
      </w:r>
      <w:r w:rsidR="00E829D5">
        <w:rPr>
          <w:rFonts w:ascii="Gill Sans" w:hAnsi="Gill Sans" w:cs="Gill Sans"/>
          <w:noProof/>
          <w:sz w:val="22"/>
          <w:szCs w:val="22"/>
          <w:lang w:val="en-GB"/>
        </w:rPr>
        <w:t xml:space="preserve">on </w:t>
      </w:r>
      <w:r w:rsidR="00C3016D" w:rsidRPr="00C3016D">
        <w:rPr>
          <w:rFonts w:ascii="Gill Sans" w:hAnsi="Gill Sans" w:cs="Gill Sans"/>
          <w:noProof/>
          <w:sz w:val="22"/>
          <w:szCs w:val="22"/>
          <w:lang w:val="en-GB"/>
        </w:rPr>
        <w:t>how to use the e-declarations system.</w:t>
      </w:r>
    </w:p>
    <w:p w14:paraId="50A1B617" w14:textId="77777777" w:rsidR="00CE7362" w:rsidRDefault="00CE7362" w:rsidP="00C3016D">
      <w:pPr>
        <w:rPr>
          <w:rFonts w:ascii="Gill Sans" w:hAnsi="Gill Sans" w:cs="Gill Sans"/>
          <w:noProof/>
          <w:sz w:val="22"/>
          <w:szCs w:val="22"/>
          <w:lang w:val="en-GB"/>
        </w:rPr>
        <w:sectPr w:rsidR="00CE7362" w:rsidSect="00F561B7">
          <w:endnotePr>
            <w:numFmt w:val="decimal"/>
            <w:numRestart w:val="eachSect"/>
          </w:endnotePr>
          <w:pgSz w:w="12240" w:h="15840"/>
          <w:pgMar w:top="1440" w:right="1800" w:bottom="1440" w:left="1800" w:header="720" w:footer="720" w:gutter="0"/>
          <w:cols w:space="720"/>
          <w:docGrid w:linePitch="360"/>
        </w:sectPr>
      </w:pPr>
    </w:p>
    <w:p w14:paraId="5C00DF02" w14:textId="377C32DA" w:rsidR="00EB22DF" w:rsidRPr="00D307EB" w:rsidRDefault="00EB22DF" w:rsidP="00EB22DF">
      <w:pPr>
        <w:pStyle w:val="Heading2"/>
        <w:spacing w:before="0" w:after="120"/>
        <w:rPr>
          <w:noProof/>
          <w:lang w:val="en-GB"/>
        </w:rPr>
      </w:pPr>
      <w:bookmarkStart w:id="3" w:name="_Toc437543871"/>
      <w:r w:rsidRPr="00D307EB">
        <w:rPr>
          <w:noProof/>
          <w:lang w:val="en-GB"/>
        </w:rPr>
        <w:lastRenderedPageBreak/>
        <w:t xml:space="preserve">Theme </w:t>
      </w:r>
      <w:r w:rsidR="0020660D">
        <w:rPr>
          <w:noProof/>
          <w:lang w:val="en-GB"/>
        </w:rPr>
        <w:t>IV</w:t>
      </w:r>
      <w:r w:rsidRPr="00D307EB">
        <w:rPr>
          <w:noProof/>
          <w:lang w:val="en-GB"/>
        </w:rPr>
        <w:t>. Administrative and social service provision</w:t>
      </w:r>
      <w:bookmarkEnd w:id="3"/>
    </w:p>
    <w:p w14:paraId="3AADD905" w14:textId="063FC4E7" w:rsidR="00EB22DF" w:rsidRPr="00EB22DF" w:rsidRDefault="00EB22DF" w:rsidP="00EB22DF">
      <w:pPr>
        <w:pStyle w:val="Heading2"/>
        <w:spacing w:before="0" w:after="120"/>
        <w:rPr>
          <w:rFonts w:eastAsiaTheme="minorEastAsia"/>
          <w:bCs w:val="0"/>
          <w:color w:val="222222"/>
          <w:sz w:val="22"/>
          <w:szCs w:val="22"/>
          <w:lang w:val="en-GB"/>
        </w:rPr>
      </w:pPr>
      <w:bookmarkStart w:id="4" w:name="_Toc437543872"/>
      <w:r w:rsidRPr="00EB22DF">
        <w:rPr>
          <w:rFonts w:eastAsiaTheme="minorEastAsia"/>
          <w:bCs w:val="0"/>
          <w:color w:val="222222"/>
          <w:sz w:val="22"/>
          <w:szCs w:val="22"/>
          <w:lang w:val="en-GB"/>
        </w:rPr>
        <w:t>13. Law on administrative procedure</w:t>
      </w:r>
      <w:bookmarkEnd w:id="4"/>
    </w:p>
    <w:p w14:paraId="44D787D8" w14:textId="5C818113" w:rsidR="00EB22DF" w:rsidRPr="00EB22DF" w:rsidRDefault="005B3A16" w:rsidP="00EB22DF">
      <w:pPr>
        <w:spacing w:after="120"/>
        <w:rPr>
          <w:rFonts w:ascii="Gill Sans" w:hAnsi="Gill Sans" w:cs="Gill Sans"/>
          <w:i/>
          <w:noProof/>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EB22DF" w:rsidRPr="00EB22DF">
        <w:rPr>
          <w:rFonts w:ascii="Gill Sans" w:hAnsi="Gill Sans" w:cs="Gill Sans"/>
          <w:i/>
          <w:noProof/>
          <w:sz w:val="22"/>
          <w:szCs w:val="22"/>
          <w:lang w:val="en-GB"/>
        </w:rPr>
        <w:t>13. Developing and submitting to the Cabinet of Ministers of Ukraine in due course a draft Law of Ukraine on the Administrative Procedure</w:t>
      </w:r>
      <w:r w:rsidR="0040091A">
        <w:rPr>
          <w:rFonts w:ascii="Gill Sans" w:hAnsi="Gill Sans" w:cs="Gill Sans"/>
          <w:i/>
          <w:noProof/>
          <w:sz w:val="22"/>
          <w:szCs w:val="22"/>
          <w:lang w:val="en-GB"/>
        </w:rPr>
        <w:t>.</w:t>
      </w:r>
      <w:r w:rsidR="00EB22DF" w:rsidRPr="00EB22DF">
        <w:rPr>
          <w:rFonts w:ascii="Gill Sans" w:hAnsi="Gill Sans" w:cs="Gill Sans"/>
          <w:i/>
          <w:noProof/>
          <w:sz w:val="22"/>
          <w:szCs w:val="22"/>
          <w:lang w:val="en-GB"/>
        </w:rPr>
        <w:t xml:space="preserve"> </w:t>
      </w:r>
    </w:p>
    <w:p w14:paraId="1B833EF7" w14:textId="6F41A159" w:rsidR="00EB22DF" w:rsidRPr="00EB22DF" w:rsidRDefault="00EB22DF" w:rsidP="00EB22DF">
      <w:pPr>
        <w:spacing w:after="120"/>
        <w:rPr>
          <w:rFonts w:ascii="Gill Sans" w:hAnsi="Gill Sans" w:cs="Gill Sans"/>
          <w:i/>
          <w:noProof/>
          <w:sz w:val="22"/>
          <w:szCs w:val="22"/>
          <w:lang w:val="en-GB"/>
        </w:rPr>
      </w:pPr>
      <w:r w:rsidRPr="00EB22DF">
        <w:rPr>
          <w:rFonts w:ascii="Gill Sans" w:hAnsi="Gill Sans" w:cs="Gill Sans"/>
          <w:i/>
          <w:noProof/>
          <w:sz w:val="22"/>
          <w:szCs w:val="22"/>
          <w:lang w:val="en-GB"/>
        </w:rPr>
        <w:t xml:space="preserve">Expected result: </w:t>
      </w:r>
      <w:r w:rsidRPr="00EB22DF">
        <w:rPr>
          <w:rFonts w:ascii="Gill Sans" w:hAnsi="Gill Sans" w:cs="Gill Sans"/>
          <w:i/>
          <w:sz w:val="22"/>
          <w:szCs w:val="22"/>
          <w:lang w:val="en-GB"/>
        </w:rPr>
        <w:t xml:space="preserve">relevant draft law endorsed by the Cabinet of Ministers of Ukraine, submitted to the </w:t>
      </w:r>
      <w:proofErr w:type="spellStart"/>
      <w:r w:rsidRPr="00EB22DF">
        <w:rPr>
          <w:rFonts w:ascii="Gill Sans" w:hAnsi="Gill Sans" w:cs="Gill Sans"/>
          <w:i/>
          <w:sz w:val="22"/>
          <w:szCs w:val="22"/>
          <w:lang w:val="en-GB"/>
        </w:rPr>
        <w:t>Verkhovna</w:t>
      </w:r>
      <w:proofErr w:type="spellEnd"/>
      <w:r w:rsidRPr="00EB22DF">
        <w:rPr>
          <w:rFonts w:ascii="Gill Sans" w:hAnsi="Gill Sans" w:cs="Gill Sans"/>
          <w:i/>
          <w:sz w:val="22"/>
          <w:szCs w:val="22"/>
          <w:lang w:val="en-GB"/>
        </w:rPr>
        <w:t xml:space="preserve"> Rada of Ukraine, and followed up until adoption</w:t>
      </w:r>
      <w:r w:rsidR="0040091A">
        <w:rPr>
          <w:rFonts w:ascii="Gill Sans" w:hAnsi="Gill Sans" w:cs="Gill Sans"/>
          <w:i/>
          <w:sz w:val="22"/>
          <w:szCs w:val="22"/>
          <w:lang w:val="en-GB"/>
        </w:rPr>
        <w:t>.</w:t>
      </w:r>
    </w:p>
    <w:p w14:paraId="151346E0" w14:textId="43D7BF4E" w:rsidR="00EB22DF" w:rsidRPr="00EB22DF" w:rsidRDefault="00EB22DF" w:rsidP="00EB22DF">
      <w:pPr>
        <w:spacing w:after="120"/>
        <w:rPr>
          <w:rFonts w:ascii="Gill Sans" w:hAnsi="Gill Sans" w:cs="Gill Sans"/>
          <w:noProof/>
          <w:sz w:val="22"/>
          <w:szCs w:val="22"/>
          <w:lang w:val="en-GB"/>
        </w:rPr>
      </w:pPr>
      <w:r w:rsidRPr="00EB22DF">
        <w:rPr>
          <w:rFonts w:ascii="Gill Sans" w:hAnsi="Gill Sans" w:cs="Gill Sans"/>
          <w:noProof/>
          <w:sz w:val="22"/>
          <w:szCs w:val="22"/>
          <w:lang w:val="en-GB"/>
        </w:rPr>
        <w:t>Lead institution</w:t>
      </w:r>
      <w:r w:rsidR="0040091A">
        <w:rPr>
          <w:rFonts w:ascii="Gill Sans" w:hAnsi="Gill Sans" w:cs="Gill Sans"/>
          <w:noProof/>
          <w:sz w:val="22"/>
          <w:szCs w:val="22"/>
          <w:lang w:val="en-GB"/>
        </w:rPr>
        <w:t>(s)</w:t>
      </w:r>
      <w:r w:rsidRPr="00EB22DF">
        <w:rPr>
          <w:rFonts w:ascii="Gill Sans" w:hAnsi="Gill Sans" w:cs="Gill Sans"/>
          <w:noProof/>
          <w:sz w:val="22"/>
          <w:szCs w:val="22"/>
          <w:lang w:val="en-GB"/>
        </w:rPr>
        <w:t xml:space="preserve">: Ministry of Justice </w:t>
      </w:r>
    </w:p>
    <w:p w14:paraId="1F92BB3F" w14:textId="236BF9D5" w:rsidR="00EB22DF" w:rsidRPr="00EB22DF" w:rsidRDefault="00EB22DF" w:rsidP="00EB22DF">
      <w:pPr>
        <w:spacing w:after="120"/>
        <w:rPr>
          <w:rFonts w:ascii="Gill Sans" w:hAnsi="Gill Sans" w:cs="Gill Sans"/>
          <w:noProof/>
          <w:sz w:val="22"/>
          <w:szCs w:val="22"/>
          <w:lang w:val="en-GB"/>
        </w:rPr>
      </w:pPr>
      <w:r w:rsidRPr="00EB22DF">
        <w:rPr>
          <w:rFonts w:ascii="Gill Sans" w:hAnsi="Gill Sans" w:cs="Gill Sans"/>
          <w:noProof/>
          <w:sz w:val="22"/>
          <w:szCs w:val="22"/>
          <w:lang w:val="en-GB"/>
        </w:rPr>
        <w:t>Supporting institution</w:t>
      </w:r>
      <w:r w:rsidR="0040091A">
        <w:rPr>
          <w:rFonts w:ascii="Gill Sans" w:hAnsi="Gill Sans" w:cs="Gill Sans"/>
          <w:noProof/>
          <w:sz w:val="22"/>
          <w:szCs w:val="22"/>
          <w:lang w:val="en-GB"/>
        </w:rPr>
        <w:t>(</w:t>
      </w:r>
      <w:r w:rsidRPr="00EB22DF">
        <w:rPr>
          <w:rFonts w:ascii="Gill Sans" w:hAnsi="Gill Sans" w:cs="Gill Sans"/>
          <w:noProof/>
          <w:sz w:val="22"/>
          <w:szCs w:val="22"/>
          <w:lang w:val="en-GB"/>
        </w:rPr>
        <w:t>s</w:t>
      </w:r>
      <w:r w:rsidR="0040091A">
        <w:rPr>
          <w:rFonts w:ascii="Gill Sans" w:hAnsi="Gill Sans" w:cs="Gill Sans"/>
          <w:noProof/>
          <w:sz w:val="22"/>
          <w:szCs w:val="22"/>
          <w:lang w:val="en-GB"/>
        </w:rPr>
        <w:t>)</w:t>
      </w:r>
      <w:r w:rsidRPr="00EB22DF">
        <w:rPr>
          <w:rFonts w:ascii="Gill Sans" w:hAnsi="Gill Sans" w:cs="Gill Sans"/>
          <w:noProof/>
          <w:sz w:val="22"/>
          <w:szCs w:val="22"/>
          <w:lang w:val="en-GB"/>
        </w:rPr>
        <w:t>: NGO Centre for Political and Legal Reforms, other unspecified NGOs and international organisations</w:t>
      </w:r>
    </w:p>
    <w:p w14:paraId="5B261862" w14:textId="26AC61DE" w:rsidR="00EB22DF" w:rsidRPr="00EB22DF" w:rsidRDefault="00EB22DF" w:rsidP="0040091A">
      <w:pPr>
        <w:spacing w:after="120"/>
        <w:rPr>
          <w:rFonts w:ascii="Gill Sans" w:hAnsi="Gill Sans" w:cs="Gill Sans"/>
          <w:noProof/>
          <w:sz w:val="22"/>
          <w:szCs w:val="22"/>
          <w:lang w:val="en-GB"/>
        </w:rPr>
      </w:pPr>
      <w:r w:rsidRPr="00EB22DF">
        <w:rPr>
          <w:rFonts w:ascii="Gill Sans" w:hAnsi="Gill Sans" w:cs="Gill Sans"/>
          <w:noProof/>
          <w:sz w:val="22"/>
          <w:szCs w:val="22"/>
          <w:lang w:val="en-GB"/>
        </w:rPr>
        <w:t xml:space="preserve">Start </w:t>
      </w:r>
      <w:r w:rsidR="0040091A">
        <w:rPr>
          <w:rFonts w:ascii="Gill Sans" w:hAnsi="Gill Sans" w:cs="Gill Sans"/>
          <w:noProof/>
          <w:sz w:val="22"/>
          <w:szCs w:val="22"/>
          <w:lang w:val="en-GB"/>
        </w:rPr>
        <w:t>D</w:t>
      </w:r>
      <w:r w:rsidR="0040091A" w:rsidRPr="00EB22DF">
        <w:rPr>
          <w:rFonts w:ascii="Gill Sans" w:hAnsi="Gill Sans" w:cs="Gill Sans"/>
          <w:noProof/>
          <w:sz w:val="22"/>
          <w:szCs w:val="22"/>
          <w:lang w:val="en-GB"/>
        </w:rPr>
        <w:t>ate</w:t>
      </w:r>
      <w:r w:rsidRPr="00EB22DF">
        <w:rPr>
          <w:rFonts w:ascii="Gill Sans" w:hAnsi="Gill Sans" w:cs="Gill Sans"/>
          <w:noProof/>
          <w:sz w:val="22"/>
          <w:szCs w:val="22"/>
          <w:lang w:val="en-GB"/>
        </w:rPr>
        <w:t xml:space="preserve">: Not specified </w:t>
      </w:r>
      <w:r w:rsidRPr="00EB22DF">
        <w:rPr>
          <w:rFonts w:ascii="Gill Sans" w:hAnsi="Gill Sans" w:cs="Gill Sans"/>
          <w:noProof/>
          <w:sz w:val="22"/>
          <w:szCs w:val="22"/>
          <w:lang w:val="en-GB"/>
        </w:rPr>
        <w:tab/>
      </w:r>
      <w:r w:rsidRPr="00EB22DF">
        <w:rPr>
          <w:rFonts w:ascii="Gill Sans" w:hAnsi="Gill Sans" w:cs="Gill Sans"/>
          <w:noProof/>
          <w:sz w:val="22"/>
          <w:szCs w:val="22"/>
          <w:lang w:val="en-GB"/>
        </w:rPr>
        <w:tab/>
      </w:r>
      <w:r w:rsidRPr="00EB22DF">
        <w:rPr>
          <w:rFonts w:ascii="Gill Sans" w:hAnsi="Gill Sans" w:cs="Gill Sans"/>
          <w:noProof/>
          <w:sz w:val="22"/>
          <w:szCs w:val="22"/>
          <w:lang w:val="en-GB"/>
        </w:rPr>
        <w:tab/>
      </w:r>
      <w:r w:rsidR="0020660D">
        <w:rPr>
          <w:rFonts w:ascii="Gill Sans" w:hAnsi="Gill Sans" w:cs="Gill Sans"/>
          <w:noProof/>
          <w:sz w:val="22"/>
          <w:szCs w:val="22"/>
          <w:lang w:val="en-GB"/>
        </w:rPr>
        <w:tab/>
      </w:r>
      <w:r w:rsidR="0020660D">
        <w:rPr>
          <w:rFonts w:ascii="Gill Sans" w:hAnsi="Gill Sans" w:cs="Gill Sans"/>
          <w:noProof/>
          <w:sz w:val="22"/>
          <w:szCs w:val="22"/>
          <w:lang w:val="en-GB"/>
        </w:rPr>
        <w:tab/>
      </w:r>
      <w:r w:rsidRPr="00EB22DF">
        <w:rPr>
          <w:rFonts w:ascii="Gill Sans" w:hAnsi="Gill Sans" w:cs="Gill Sans"/>
          <w:noProof/>
          <w:sz w:val="22"/>
          <w:szCs w:val="22"/>
          <w:lang w:val="en-GB"/>
        </w:rPr>
        <w:t xml:space="preserve">End </w:t>
      </w:r>
      <w:r w:rsidR="0040091A">
        <w:rPr>
          <w:rFonts w:ascii="Gill Sans" w:hAnsi="Gill Sans" w:cs="Gill Sans"/>
          <w:noProof/>
          <w:sz w:val="22"/>
          <w:szCs w:val="22"/>
          <w:lang w:val="en-GB"/>
        </w:rPr>
        <w:t>D</w:t>
      </w:r>
      <w:r w:rsidRPr="00EB22DF">
        <w:rPr>
          <w:rFonts w:ascii="Gill Sans" w:hAnsi="Gill Sans" w:cs="Gill Sans"/>
          <w:noProof/>
          <w:sz w:val="22"/>
          <w:szCs w:val="22"/>
          <w:lang w:val="en-GB"/>
        </w:rPr>
        <w:t>ate: 31 December 2014</w:t>
      </w:r>
    </w:p>
    <w:p w14:paraId="306C9AB1" w14:textId="77777777" w:rsidR="00EB22DF" w:rsidRPr="000B2CCA" w:rsidRDefault="00EB22DF" w:rsidP="00EB22DF">
      <w:pPr>
        <w:spacing w:after="120"/>
        <w:rPr>
          <w:rFonts w:ascii="Gill Sans" w:hAnsi="Gill Sans" w:cs="Gill Sans"/>
          <w:noProof/>
          <w:sz w:val="22"/>
          <w:szCs w:val="22"/>
          <w:lang w:val="en-GB"/>
        </w:rPr>
      </w:pPr>
    </w:p>
    <w:tbl>
      <w:tblPr>
        <w:tblpPr w:leftFromText="180" w:rightFromText="180" w:vertAnchor="page" w:horzAnchor="page" w:tblpX="1168" w:tblpY="5225"/>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348"/>
        <w:gridCol w:w="344"/>
        <w:gridCol w:w="344"/>
        <w:gridCol w:w="423"/>
        <w:gridCol w:w="344"/>
        <w:gridCol w:w="344"/>
        <w:gridCol w:w="344"/>
        <w:gridCol w:w="815"/>
        <w:gridCol w:w="344"/>
        <w:gridCol w:w="423"/>
        <w:gridCol w:w="423"/>
        <w:gridCol w:w="344"/>
        <w:gridCol w:w="501"/>
        <w:gridCol w:w="501"/>
        <w:gridCol w:w="423"/>
        <w:gridCol w:w="501"/>
        <w:gridCol w:w="344"/>
        <w:gridCol w:w="423"/>
        <w:gridCol w:w="423"/>
        <w:gridCol w:w="344"/>
        <w:gridCol w:w="423"/>
      </w:tblGrid>
      <w:tr w:rsidR="0020660D" w:rsidRPr="009651AC" w14:paraId="4A8FC84A" w14:textId="77777777" w:rsidTr="000D7BDC">
        <w:trPr>
          <w:trHeight w:val="405"/>
        </w:trPr>
        <w:tc>
          <w:tcPr>
            <w:tcW w:w="1459" w:type="dxa"/>
            <w:vMerge w:val="restart"/>
            <w:tcBorders>
              <w:top w:val="single" w:sz="18" w:space="0" w:color="FFFFFF"/>
              <w:left w:val="single" w:sz="4" w:space="0" w:color="FFFFFF"/>
              <w:right w:val="single" w:sz="18" w:space="0" w:color="FFFFFF"/>
            </w:tcBorders>
            <w:shd w:val="clear" w:color="auto" w:fill="000000"/>
          </w:tcPr>
          <w:p w14:paraId="55A45184" w14:textId="77777777" w:rsidR="0020660D" w:rsidRPr="009651AC" w:rsidRDefault="0020660D" w:rsidP="000D7BDC">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51774361" w14:textId="5F545ED9" w:rsidR="0020660D" w:rsidRPr="009651AC" w:rsidRDefault="0020660D" w:rsidP="000D7BDC">
            <w:pPr>
              <w:rPr>
                <w:rFonts w:ascii="Gill Sans" w:hAnsi="Gill Sans" w:cs="Gill Sans"/>
                <w:color w:val="FFFFFF" w:themeColor="background1"/>
                <w:sz w:val="22"/>
                <w:szCs w:val="22"/>
                <w:lang w:val="en-GB"/>
              </w:rPr>
            </w:pPr>
          </w:p>
        </w:tc>
        <w:tc>
          <w:tcPr>
            <w:tcW w:w="1459" w:type="dxa"/>
            <w:gridSpan w:val="4"/>
            <w:vMerge w:val="restart"/>
            <w:tcBorders>
              <w:top w:val="single" w:sz="18" w:space="0" w:color="FFFFFF"/>
              <w:left w:val="single" w:sz="18" w:space="0" w:color="FFFFFF"/>
              <w:right w:val="single" w:sz="18" w:space="0" w:color="FFFFFF"/>
            </w:tcBorders>
            <w:shd w:val="clear" w:color="auto" w:fill="D6E3BC"/>
          </w:tcPr>
          <w:p w14:paraId="6760BA3A"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Specificity</w:t>
            </w:r>
          </w:p>
        </w:tc>
        <w:tc>
          <w:tcPr>
            <w:tcW w:w="1847" w:type="dxa"/>
            <w:gridSpan w:val="4"/>
            <w:vMerge w:val="restart"/>
            <w:tcBorders>
              <w:top w:val="single" w:sz="18" w:space="0" w:color="FFFFFF"/>
              <w:left w:val="single" w:sz="18" w:space="0" w:color="FFFFFF"/>
              <w:right w:val="single" w:sz="18" w:space="0" w:color="FFFFFF"/>
            </w:tcBorders>
            <w:shd w:val="clear" w:color="auto" w:fill="FBD4B4"/>
          </w:tcPr>
          <w:p w14:paraId="04D522AF" w14:textId="3D719CB3"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534" w:type="dxa"/>
            <w:gridSpan w:val="4"/>
            <w:vMerge w:val="restart"/>
            <w:tcBorders>
              <w:top w:val="single" w:sz="18" w:space="0" w:color="FFFFFF"/>
              <w:left w:val="single" w:sz="18" w:space="0" w:color="FFFFFF"/>
              <w:right w:val="single" w:sz="18" w:space="0" w:color="FFFFFF"/>
            </w:tcBorders>
            <w:shd w:val="clear" w:color="auto" w:fill="CCC0D9"/>
          </w:tcPr>
          <w:p w14:paraId="7FA03E5B"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02" w:type="dxa"/>
            <w:gridSpan w:val="2"/>
            <w:vMerge w:val="restart"/>
            <w:tcBorders>
              <w:top w:val="single" w:sz="18" w:space="0" w:color="FFFFFF"/>
              <w:left w:val="single" w:sz="18" w:space="0" w:color="FFFFFF"/>
              <w:right w:val="single" w:sz="2" w:space="0" w:color="FFFFFF"/>
            </w:tcBorders>
            <w:shd w:val="clear" w:color="auto" w:fill="B8CCE4"/>
          </w:tcPr>
          <w:p w14:paraId="41851E66" w14:textId="4030ACD1" w:rsidR="0020660D" w:rsidRPr="009651AC" w:rsidRDefault="0020660D" w:rsidP="000D7BDC">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24"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2AEBF3EA"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Midterm</w:t>
            </w:r>
          </w:p>
        </w:tc>
        <w:tc>
          <w:tcPr>
            <w:tcW w:w="1957" w:type="dxa"/>
            <w:gridSpan w:val="5"/>
            <w:vMerge w:val="restart"/>
            <w:tcBorders>
              <w:top w:val="single" w:sz="18" w:space="0" w:color="FFFFFF"/>
              <w:left w:val="single" w:sz="18" w:space="0" w:color="FFFFFF"/>
              <w:right w:val="single" w:sz="18" w:space="0" w:color="FFFFFF"/>
            </w:tcBorders>
            <w:shd w:val="clear" w:color="auto" w:fill="D99594"/>
          </w:tcPr>
          <w:p w14:paraId="38F92F13" w14:textId="5F39E5EA"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20660D" w:rsidRPr="009651AC" w14:paraId="21FF463F" w14:textId="77777777" w:rsidTr="000D7BDC">
        <w:trPr>
          <w:trHeight w:val="373"/>
        </w:trPr>
        <w:tc>
          <w:tcPr>
            <w:tcW w:w="1459" w:type="dxa"/>
            <w:vMerge/>
            <w:tcBorders>
              <w:left w:val="single" w:sz="4" w:space="0" w:color="FFFFFF"/>
              <w:right w:val="single" w:sz="18" w:space="0" w:color="FFFFFF"/>
            </w:tcBorders>
            <w:shd w:val="clear" w:color="auto" w:fill="000000"/>
          </w:tcPr>
          <w:p w14:paraId="0903974D" w14:textId="004AEE4B" w:rsidR="0020660D" w:rsidRPr="009651AC" w:rsidRDefault="0020660D" w:rsidP="000D7BDC">
            <w:pPr>
              <w:rPr>
                <w:rFonts w:ascii="Gill Sans" w:hAnsi="Gill Sans" w:cs="Gill Sans"/>
                <w:color w:val="FFFFFF" w:themeColor="background1"/>
                <w:sz w:val="22"/>
                <w:szCs w:val="22"/>
                <w:lang w:val="en-GB"/>
              </w:rPr>
            </w:pPr>
          </w:p>
        </w:tc>
        <w:tc>
          <w:tcPr>
            <w:tcW w:w="1459" w:type="dxa"/>
            <w:gridSpan w:val="4"/>
            <w:vMerge/>
            <w:tcBorders>
              <w:left w:val="single" w:sz="18" w:space="0" w:color="FFFFFF"/>
              <w:bottom w:val="single" w:sz="18" w:space="0" w:color="FFFFFF"/>
              <w:right w:val="single" w:sz="18" w:space="0" w:color="FFFFFF"/>
            </w:tcBorders>
            <w:shd w:val="clear" w:color="auto" w:fill="D6E3BC"/>
          </w:tcPr>
          <w:p w14:paraId="69D02555" w14:textId="77777777" w:rsidR="0020660D" w:rsidRPr="009651AC" w:rsidRDefault="0020660D" w:rsidP="000D7BDC">
            <w:pPr>
              <w:rPr>
                <w:rFonts w:ascii="Gill Sans" w:hAnsi="Gill Sans" w:cs="Gill Sans"/>
                <w:sz w:val="22"/>
                <w:szCs w:val="22"/>
                <w:lang w:val="en-GB"/>
              </w:rPr>
            </w:pPr>
          </w:p>
        </w:tc>
        <w:tc>
          <w:tcPr>
            <w:tcW w:w="1847" w:type="dxa"/>
            <w:gridSpan w:val="4"/>
            <w:vMerge/>
            <w:tcBorders>
              <w:left w:val="single" w:sz="18" w:space="0" w:color="FFFFFF"/>
              <w:bottom w:val="single" w:sz="18" w:space="0" w:color="FFFFFF"/>
              <w:right w:val="single" w:sz="18" w:space="0" w:color="FFFFFF"/>
            </w:tcBorders>
            <w:shd w:val="clear" w:color="auto" w:fill="FBD4B4"/>
          </w:tcPr>
          <w:p w14:paraId="71352F34" w14:textId="77777777" w:rsidR="0020660D" w:rsidRPr="009651AC" w:rsidRDefault="0020660D" w:rsidP="000D7BDC">
            <w:pPr>
              <w:rPr>
                <w:rFonts w:ascii="Gill Sans" w:hAnsi="Gill Sans" w:cs="Gill Sans"/>
                <w:sz w:val="22"/>
                <w:szCs w:val="22"/>
                <w:lang w:val="en-GB"/>
              </w:rPr>
            </w:pPr>
          </w:p>
        </w:tc>
        <w:tc>
          <w:tcPr>
            <w:tcW w:w="1534" w:type="dxa"/>
            <w:gridSpan w:val="4"/>
            <w:vMerge/>
            <w:tcBorders>
              <w:left w:val="single" w:sz="18" w:space="0" w:color="FFFFFF"/>
              <w:bottom w:val="single" w:sz="18" w:space="0" w:color="FFFFFF"/>
              <w:right w:val="single" w:sz="18" w:space="0" w:color="FFFFFF"/>
            </w:tcBorders>
            <w:shd w:val="clear" w:color="auto" w:fill="CCC0D9"/>
          </w:tcPr>
          <w:p w14:paraId="2060CB5D" w14:textId="77777777" w:rsidR="0020660D" w:rsidRPr="009651AC" w:rsidRDefault="0020660D" w:rsidP="000D7BDC">
            <w:pPr>
              <w:rPr>
                <w:rFonts w:ascii="Gill Sans" w:hAnsi="Gill Sans" w:cs="Gill Sans"/>
                <w:sz w:val="22"/>
                <w:szCs w:val="22"/>
                <w:lang w:val="en-GB"/>
              </w:rPr>
            </w:pPr>
          </w:p>
        </w:tc>
        <w:tc>
          <w:tcPr>
            <w:tcW w:w="1002" w:type="dxa"/>
            <w:gridSpan w:val="2"/>
            <w:vMerge/>
            <w:tcBorders>
              <w:left w:val="single" w:sz="18" w:space="0" w:color="FFFFFF"/>
              <w:bottom w:val="single" w:sz="18" w:space="0" w:color="FFFFFF"/>
              <w:right w:val="single" w:sz="2" w:space="0" w:color="FFFFFF"/>
            </w:tcBorders>
            <w:shd w:val="clear" w:color="auto" w:fill="B8CCE4"/>
          </w:tcPr>
          <w:p w14:paraId="3C6670CC" w14:textId="77777777" w:rsidR="0020660D" w:rsidRPr="009651AC" w:rsidRDefault="0020660D" w:rsidP="000D7BDC">
            <w:pPr>
              <w:rPr>
                <w:rFonts w:ascii="Gill Sans" w:hAnsi="Gill Sans" w:cs="Gill Sans"/>
                <w:sz w:val="22"/>
                <w:szCs w:val="22"/>
                <w:lang w:val="en-GB"/>
              </w:rPr>
            </w:pPr>
          </w:p>
        </w:tc>
        <w:tc>
          <w:tcPr>
            <w:tcW w:w="924"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41021CEC" w14:textId="4B361C12"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1957" w:type="dxa"/>
            <w:gridSpan w:val="5"/>
            <w:vMerge/>
            <w:tcBorders>
              <w:left w:val="single" w:sz="18" w:space="0" w:color="FFFFFF"/>
              <w:bottom w:val="single" w:sz="18" w:space="0" w:color="FFFFFF"/>
              <w:right w:val="single" w:sz="18" w:space="0" w:color="FFFFFF"/>
            </w:tcBorders>
            <w:shd w:val="clear" w:color="auto" w:fill="D99594"/>
          </w:tcPr>
          <w:p w14:paraId="091C6946" w14:textId="77777777" w:rsidR="0020660D" w:rsidRPr="009651AC" w:rsidRDefault="0020660D" w:rsidP="000D7BDC">
            <w:pPr>
              <w:rPr>
                <w:rFonts w:ascii="Gill Sans" w:hAnsi="Gill Sans" w:cs="Gill Sans"/>
                <w:sz w:val="22"/>
                <w:szCs w:val="22"/>
                <w:lang w:val="en-GB"/>
              </w:rPr>
            </w:pPr>
          </w:p>
        </w:tc>
      </w:tr>
      <w:tr w:rsidR="0020660D" w:rsidRPr="009651AC" w14:paraId="66F1C3EC" w14:textId="77777777" w:rsidTr="000D7BDC">
        <w:trPr>
          <w:cantSplit/>
          <w:trHeight w:val="2336"/>
        </w:trPr>
        <w:tc>
          <w:tcPr>
            <w:tcW w:w="1459" w:type="dxa"/>
            <w:vMerge/>
            <w:tcBorders>
              <w:left w:val="single" w:sz="4" w:space="0" w:color="FFFFFF"/>
              <w:right w:val="single" w:sz="18" w:space="0" w:color="FFFFFF"/>
            </w:tcBorders>
            <w:shd w:val="clear" w:color="auto" w:fill="000000"/>
          </w:tcPr>
          <w:p w14:paraId="5936B1FB" w14:textId="50C71FF9" w:rsidR="0020660D" w:rsidRPr="009651AC" w:rsidRDefault="0020660D" w:rsidP="000D7BDC">
            <w:pPr>
              <w:rPr>
                <w:rFonts w:ascii="Gill Sans" w:hAnsi="Gill Sans" w:cs="Gill Sans"/>
                <w:color w:val="FFFFFF" w:themeColor="background1"/>
                <w:sz w:val="22"/>
                <w:szCs w:val="22"/>
                <w:lang w:val="en-GB"/>
              </w:rPr>
            </w:pPr>
          </w:p>
        </w:tc>
        <w:tc>
          <w:tcPr>
            <w:tcW w:w="348"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2256D4E2"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None</w:t>
            </w:r>
          </w:p>
        </w:tc>
        <w:tc>
          <w:tcPr>
            <w:tcW w:w="344"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7831AEC0"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Low</w:t>
            </w:r>
          </w:p>
        </w:tc>
        <w:tc>
          <w:tcPr>
            <w:tcW w:w="344"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2509F4FC"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Medium</w:t>
            </w:r>
          </w:p>
        </w:tc>
        <w:tc>
          <w:tcPr>
            <w:tcW w:w="423"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0A083D7E"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High</w:t>
            </w:r>
          </w:p>
        </w:tc>
        <w:tc>
          <w:tcPr>
            <w:tcW w:w="344"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792BCB5C"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44"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2025784B"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44"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58849010"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815"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7097A634"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44"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04D0046B"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None</w:t>
            </w:r>
          </w:p>
        </w:tc>
        <w:tc>
          <w:tcPr>
            <w:tcW w:w="423"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3B462329"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Minor</w:t>
            </w:r>
          </w:p>
        </w:tc>
        <w:tc>
          <w:tcPr>
            <w:tcW w:w="423"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0CBFAEC5"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Moderate</w:t>
            </w:r>
          </w:p>
        </w:tc>
        <w:tc>
          <w:tcPr>
            <w:tcW w:w="344"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30A06AFF"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501"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153591A8" w14:textId="75DFC51D"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501"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4321856A"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Limited</w:t>
            </w:r>
          </w:p>
        </w:tc>
        <w:tc>
          <w:tcPr>
            <w:tcW w:w="423"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780813DD"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Substantial</w:t>
            </w:r>
          </w:p>
        </w:tc>
        <w:tc>
          <w:tcPr>
            <w:tcW w:w="501"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68EEF5C0"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Completed</w:t>
            </w:r>
          </w:p>
        </w:tc>
        <w:tc>
          <w:tcPr>
            <w:tcW w:w="344"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3256B951" w14:textId="2D4F5636"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423"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41027DA" w14:textId="3DBD3F72"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423"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AD59E5A"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Marginal</w:t>
            </w:r>
          </w:p>
        </w:tc>
        <w:tc>
          <w:tcPr>
            <w:tcW w:w="3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028B977"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23"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255FCABF" w14:textId="77777777" w:rsidR="0020660D" w:rsidRPr="009651AC" w:rsidRDefault="0020660D" w:rsidP="000D7BDC">
            <w:pPr>
              <w:rPr>
                <w:rFonts w:ascii="Gill Sans" w:hAnsi="Gill Sans" w:cs="Gill Sans"/>
                <w:sz w:val="22"/>
                <w:szCs w:val="22"/>
                <w:lang w:val="en-GB"/>
              </w:rPr>
            </w:pPr>
            <w:r w:rsidRPr="009651AC">
              <w:rPr>
                <w:rFonts w:ascii="Gill Sans" w:hAnsi="Gill Sans" w:cs="Gill Sans"/>
                <w:sz w:val="22"/>
                <w:szCs w:val="22"/>
                <w:lang w:val="en-GB"/>
              </w:rPr>
              <w:t>Outstanding</w:t>
            </w:r>
          </w:p>
        </w:tc>
      </w:tr>
      <w:tr w:rsidR="0020660D" w:rsidRPr="009651AC" w14:paraId="6DBAD36D" w14:textId="77777777" w:rsidTr="000D7BDC">
        <w:trPr>
          <w:trHeight w:val="340"/>
        </w:trPr>
        <w:tc>
          <w:tcPr>
            <w:tcW w:w="1459" w:type="dxa"/>
            <w:vMerge/>
            <w:tcBorders>
              <w:left w:val="single" w:sz="4" w:space="0" w:color="FFFFFF"/>
              <w:right w:val="single" w:sz="18" w:space="0" w:color="FFFFFF"/>
            </w:tcBorders>
            <w:shd w:val="clear" w:color="auto" w:fill="000000"/>
          </w:tcPr>
          <w:p w14:paraId="63F619F6" w14:textId="4F77B1DF" w:rsidR="0020660D" w:rsidRPr="009651AC" w:rsidRDefault="0020660D" w:rsidP="000D7BDC">
            <w:pPr>
              <w:rPr>
                <w:rFonts w:ascii="Gill Sans" w:hAnsi="Gill Sans" w:cs="Gill Sans"/>
                <w:noProof/>
                <w:color w:val="FFFFFF" w:themeColor="background1"/>
                <w:sz w:val="22"/>
                <w:szCs w:val="22"/>
                <w:lang w:val="en-GB"/>
              </w:rPr>
            </w:pPr>
          </w:p>
        </w:tc>
        <w:tc>
          <w:tcPr>
            <w:tcW w:w="348" w:type="dxa"/>
            <w:vMerge w:val="restart"/>
            <w:tcBorders>
              <w:top w:val="single" w:sz="18" w:space="0" w:color="FFFFFF"/>
              <w:left w:val="single" w:sz="18" w:space="0" w:color="FFFFFF"/>
              <w:right w:val="single" w:sz="2" w:space="0" w:color="FFFFFF"/>
            </w:tcBorders>
            <w:shd w:val="clear" w:color="auto" w:fill="D6E3BC"/>
          </w:tcPr>
          <w:p w14:paraId="734EDB6A" w14:textId="77777777" w:rsidR="0020660D" w:rsidRPr="009651AC" w:rsidRDefault="0020660D" w:rsidP="000D7BDC">
            <w:pPr>
              <w:jc w:val="center"/>
              <w:rPr>
                <w:rFonts w:ascii="Gill Sans" w:hAnsi="Gill Sans" w:cs="Gill Sans"/>
                <w:sz w:val="22"/>
                <w:szCs w:val="22"/>
                <w:lang w:val="en-GB"/>
              </w:rPr>
            </w:pPr>
          </w:p>
        </w:tc>
        <w:tc>
          <w:tcPr>
            <w:tcW w:w="344" w:type="dxa"/>
            <w:vMerge w:val="restart"/>
            <w:tcBorders>
              <w:top w:val="single" w:sz="18" w:space="0" w:color="FFFFFF"/>
              <w:left w:val="single" w:sz="2" w:space="0" w:color="FFFFFF"/>
              <w:right w:val="single" w:sz="2" w:space="0" w:color="FFFFFF"/>
            </w:tcBorders>
            <w:shd w:val="clear" w:color="auto" w:fill="D6E3BC"/>
          </w:tcPr>
          <w:p w14:paraId="334464AC" w14:textId="77777777" w:rsidR="0020660D" w:rsidRPr="009651AC" w:rsidRDefault="0020660D" w:rsidP="000D7BDC">
            <w:pPr>
              <w:jc w:val="center"/>
              <w:rPr>
                <w:rFonts w:ascii="Gill Sans" w:hAnsi="Gill Sans" w:cs="Gill Sans"/>
                <w:sz w:val="22"/>
                <w:szCs w:val="22"/>
                <w:lang w:val="en-GB"/>
              </w:rPr>
            </w:pPr>
          </w:p>
        </w:tc>
        <w:tc>
          <w:tcPr>
            <w:tcW w:w="344" w:type="dxa"/>
            <w:vMerge w:val="restart"/>
            <w:tcBorders>
              <w:top w:val="single" w:sz="18" w:space="0" w:color="FFFFFF"/>
              <w:left w:val="single" w:sz="2" w:space="0" w:color="FFFFFF"/>
              <w:right w:val="single" w:sz="2" w:space="0" w:color="FFFFFF"/>
            </w:tcBorders>
            <w:shd w:val="clear" w:color="auto" w:fill="D6E3BC"/>
          </w:tcPr>
          <w:p w14:paraId="61D6FB5D" w14:textId="77777777" w:rsidR="0020660D" w:rsidRPr="00466E44" w:rsidRDefault="0020660D" w:rsidP="000D7BDC">
            <w:pPr>
              <w:jc w:val="center"/>
              <w:rPr>
                <w:rFonts w:ascii="Zapf Dingbats" w:hAnsi="Zapf Dingbats" w:cs="Gill Sans"/>
                <w:sz w:val="22"/>
                <w:szCs w:val="22"/>
                <w:lang w:val="en-GB"/>
              </w:rPr>
            </w:pPr>
          </w:p>
        </w:tc>
        <w:tc>
          <w:tcPr>
            <w:tcW w:w="423" w:type="dxa"/>
            <w:vMerge w:val="restart"/>
            <w:tcBorders>
              <w:top w:val="single" w:sz="18" w:space="0" w:color="FFFFFF"/>
              <w:left w:val="single" w:sz="2" w:space="0" w:color="FFFFFF"/>
              <w:right w:val="single" w:sz="18" w:space="0" w:color="FFFFFF"/>
            </w:tcBorders>
            <w:shd w:val="clear" w:color="auto" w:fill="D6E3BC"/>
          </w:tcPr>
          <w:p w14:paraId="0F7619AC" w14:textId="77777777" w:rsidR="0020660D" w:rsidRPr="00466E44" w:rsidRDefault="0020660D" w:rsidP="000D7BDC">
            <w:pPr>
              <w:jc w:val="cente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344" w:type="dxa"/>
            <w:vMerge w:val="restart"/>
            <w:tcBorders>
              <w:top w:val="single" w:sz="18" w:space="0" w:color="FFFFFF"/>
              <w:left w:val="single" w:sz="2" w:space="0" w:color="FFFFFF"/>
              <w:right w:val="single" w:sz="2" w:space="0" w:color="FFFFFF"/>
            </w:tcBorders>
            <w:shd w:val="clear" w:color="auto" w:fill="FBD4B4"/>
          </w:tcPr>
          <w:p w14:paraId="40C38AC4" w14:textId="77777777" w:rsidR="0020660D" w:rsidRPr="00466E44" w:rsidRDefault="0020660D" w:rsidP="000D7BDC">
            <w:pPr>
              <w:jc w:val="cente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344" w:type="dxa"/>
            <w:vMerge w:val="restart"/>
            <w:tcBorders>
              <w:top w:val="single" w:sz="18" w:space="0" w:color="FFFFFF"/>
              <w:left w:val="single" w:sz="2" w:space="0" w:color="FFFFFF"/>
              <w:right w:val="single" w:sz="2" w:space="0" w:color="FFFFFF"/>
            </w:tcBorders>
            <w:shd w:val="clear" w:color="auto" w:fill="FBD4B4"/>
          </w:tcPr>
          <w:p w14:paraId="28AF4C48" w14:textId="77777777" w:rsidR="0020660D" w:rsidRPr="00466E44" w:rsidRDefault="0020660D" w:rsidP="000D7BDC">
            <w:pPr>
              <w:jc w:val="center"/>
              <w:rPr>
                <w:rFonts w:ascii="Zapf Dingbats" w:hAnsi="Zapf Dingbats" w:cs="Gill Sans"/>
                <w:noProof/>
                <w:sz w:val="22"/>
                <w:szCs w:val="22"/>
                <w:lang w:val="en-GB"/>
              </w:rPr>
            </w:pPr>
          </w:p>
        </w:tc>
        <w:tc>
          <w:tcPr>
            <w:tcW w:w="344" w:type="dxa"/>
            <w:vMerge w:val="restart"/>
            <w:tcBorders>
              <w:top w:val="single" w:sz="18" w:space="0" w:color="FFFFFF"/>
              <w:left w:val="single" w:sz="2" w:space="0" w:color="FFFFFF"/>
              <w:right w:val="single" w:sz="2" w:space="0" w:color="FFFFFF"/>
            </w:tcBorders>
            <w:shd w:val="clear" w:color="auto" w:fill="FBD4B4"/>
          </w:tcPr>
          <w:p w14:paraId="680E4025" w14:textId="77777777" w:rsidR="0020660D" w:rsidRPr="00466E44" w:rsidRDefault="0020660D" w:rsidP="000D7BDC">
            <w:pPr>
              <w:jc w:val="cente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815" w:type="dxa"/>
            <w:vMerge w:val="restart"/>
            <w:tcBorders>
              <w:top w:val="single" w:sz="18" w:space="0" w:color="FFFFFF"/>
              <w:left w:val="single" w:sz="2" w:space="0" w:color="FFFFFF"/>
              <w:right w:val="single" w:sz="18" w:space="0" w:color="FFFFFF"/>
            </w:tcBorders>
            <w:shd w:val="clear" w:color="auto" w:fill="FBD4B4"/>
          </w:tcPr>
          <w:p w14:paraId="05BFAB0E" w14:textId="6BB19267" w:rsidR="0020660D" w:rsidRPr="00466E44" w:rsidRDefault="0020660D" w:rsidP="000D7BDC">
            <w:pPr>
              <w:jc w:val="center"/>
              <w:rPr>
                <w:rFonts w:ascii="Zapf Dingbats" w:hAnsi="Zapf Dingbats" w:cs="Gill Sans"/>
                <w:sz w:val="22"/>
                <w:szCs w:val="22"/>
                <w:lang w:val="en-GB"/>
              </w:rPr>
            </w:pPr>
          </w:p>
        </w:tc>
        <w:tc>
          <w:tcPr>
            <w:tcW w:w="344" w:type="dxa"/>
            <w:vMerge w:val="restart"/>
            <w:tcBorders>
              <w:top w:val="single" w:sz="18" w:space="0" w:color="FFFFFF"/>
              <w:left w:val="single" w:sz="18" w:space="0" w:color="FFFFFF"/>
              <w:right w:val="single" w:sz="2" w:space="0" w:color="FFFFFF"/>
            </w:tcBorders>
            <w:shd w:val="clear" w:color="auto" w:fill="CCC0D9"/>
          </w:tcPr>
          <w:p w14:paraId="2511E2DF" w14:textId="77777777" w:rsidR="0020660D" w:rsidRPr="00466E44" w:rsidRDefault="0020660D" w:rsidP="000D7BDC">
            <w:pPr>
              <w:jc w:val="center"/>
              <w:rPr>
                <w:rFonts w:ascii="Zapf Dingbats" w:hAnsi="Zapf Dingbats" w:cs="Gill Sans"/>
                <w:sz w:val="22"/>
                <w:szCs w:val="22"/>
                <w:lang w:val="en-GB"/>
              </w:rPr>
            </w:pPr>
          </w:p>
        </w:tc>
        <w:tc>
          <w:tcPr>
            <w:tcW w:w="423" w:type="dxa"/>
            <w:vMerge w:val="restart"/>
            <w:tcBorders>
              <w:top w:val="single" w:sz="18" w:space="0" w:color="FFFFFF"/>
              <w:left w:val="single" w:sz="2" w:space="0" w:color="FFFFFF"/>
              <w:right w:val="single" w:sz="2" w:space="0" w:color="FFFFFF"/>
            </w:tcBorders>
            <w:shd w:val="clear" w:color="auto" w:fill="CCC0D9"/>
          </w:tcPr>
          <w:p w14:paraId="3A3953FD" w14:textId="77777777" w:rsidR="0020660D" w:rsidRPr="00466E44" w:rsidRDefault="0020660D" w:rsidP="000D7BDC">
            <w:pPr>
              <w:jc w:val="center"/>
              <w:rPr>
                <w:rFonts w:ascii="Zapf Dingbats" w:hAnsi="Zapf Dingbats" w:cs="Gill Sans"/>
                <w:sz w:val="22"/>
                <w:szCs w:val="22"/>
                <w:lang w:val="en-GB"/>
              </w:rPr>
            </w:pPr>
          </w:p>
        </w:tc>
        <w:tc>
          <w:tcPr>
            <w:tcW w:w="423" w:type="dxa"/>
            <w:vMerge w:val="restart"/>
            <w:tcBorders>
              <w:top w:val="single" w:sz="18" w:space="0" w:color="FFFFFF"/>
              <w:left w:val="single" w:sz="2" w:space="0" w:color="FFFFFF"/>
              <w:right w:val="single" w:sz="2" w:space="0" w:color="FFFFFF"/>
            </w:tcBorders>
            <w:shd w:val="clear" w:color="auto" w:fill="CCC0D9"/>
          </w:tcPr>
          <w:p w14:paraId="4457D59F" w14:textId="77777777" w:rsidR="0020660D" w:rsidRPr="00466E44" w:rsidRDefault="0020660D" w:rsidP="000D7BDC">
            <w:pPr>
              <w:jc w:val="center"/>
              <w:rPr>
                <w:rFonts w:ascii="Zapf Dingbats" w:hAnsi="Zapf Dingbats" w:cs="Gill Sans"/>
                <w:noProof/>
                <w:sz w:val="22"/>
                <w:szCs w:val="22"/>
                <w:lang w:val="en-GB"/>
              </w:rPr>
            </w:pPr>
          </w:p>
        </w:tc>
        <w:tc>
          <w:tcPr>
            <w:tcW w:w="344" w:type="dxa"/>
            <w:vMerge w:val="restart"/>
            <w:tcBorders>
              <w:top w:val="single" w:sz="18" w:space="0" w:color="FFFFFF"/>
              <w:left w:val="single" w:sz="2" w:space="0" w:color="FFFFFF"/>
              <w:right w:val="single" w:sz="18" w:space="0" w:color="FFFFFF"/>
            </w:tcBorders>
            <w:shd w:val="clear" w:color="auto" w:fill="CCC0D9"/>
          </w:tcPr>
          <w:p w14:paraId="78AAFDE3" w14:textId="77777777" w:rsidR="0020660D" w:rsidRPr="00466E44" w:rsidRDefault="0020660D" w:rsidP="000D7BDC">
            <w:pPr>
              <w:jc w:val="cente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501"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52DAF875" w14:textId="77777777" w:rsidR="0020660D" w:rsidRPr="00466E44" w:rsidRDefault="0020660D" w:rsidP="000D7BDC">
            <w:pPr>
              <w:jc w:val="center"/>
              <w:rPr>
                <w:rFonts w:ascii="Zapf Dingbats" w:hAnsi="Zapf Dingbats" w:cs="Gill Sans"/>
                <w:sz w:val="22"/>
                <w:szCs w:val="22"/>
                <w:lang w:val="en-GB"/>
              </w:rPr>
            </w:pPr>
          </w:p>
        </w:tc>
        <w:tc>
          <w:tcPr>
            <w:tcW w:w="50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57A783F" w14:textId="77777777" w:rsidR="0020660D" w:rsidRPr="00466E44" w:rsidRDefault="0020660D" w:rsidP="000D7BDC">
            <w:pPr>
              <w:jc w:val="cente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423"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663D743" w14:textId="77777777" w:rsidR="0020660D" w:rsidRPr="00466E44" w:rsidRDefault="0020660D" w:rsidP="000D7BDC">
            <w:pPr>
              <w:jc w:val="center"/>
              <w:rPr>
                <w:rFonts w:ascii="Zapf Dingbats" w:hAnsi="Zapf Dingbats" w:cs="Gill Sans"/>
                <w:sz w:val="22"/>
                <w:szCs w:val="22"/>
                <w:lang w:val="en-GB"/>
              </w:rPr>
            </w:pPr>
          </w:p>
        </w:tc>
        <w:tc>
          <w:tcPr>
            <w:tcW w:w="501"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2F45FF08" w14:textId="77777777" w:rsidR="0020660D" w:rsidRPr="00466E44" w:rsidRDefault="0020660D" w:rsidP="000D7BDC">
            <w:pPr>
              <w:jc w:val="center"/>
              <w:rPr>
                <w:rFonts w:ascii="Zapf Dingbats" w:hAnsi="Zapf Dingbats" w:cs="Gill Sans"/>
                <w:sz w:val="22"/>
                <w:szCs w:val="22"/>
                <w:lang w:val="en-GB"/>
              </w:rPr>
            </w:pPr>
          </w:p>
        </w:tc>
        <w:tc>
          <w:tcPr>
            <w:tcW w:w="344" w:type="dxa"/>
            <w:vMerge w:val="restart"/>
            <w:tcBorders>
              <w:top w:val="single" w:sz="18" w:space="0" w:color="FFFFFF"/>
              <w:left w:val="single" w:sz="18" w:space="0" w:color="FFFFFF"/>
              <w:right w:val="single" w:sz="2" w:space="0" w:color="FFFFFF"/>
            </w:tcBorders>
            <w:shd w:val="clear" w:color="auto" w:fill="D99594"/>
          </w:tcPr>
          <w:p w14:paraId="2B5599A5" w14:textId="77777777" w:rsidR="0020660D" w:rsidRPr="00466E44" w:rsidRDefault="0020660D" w:rsidP="000D7BDC">
            <w:pPr>
              <w:jc w:val="center"/>
              <w:rPr>
                <w:rFonts w:ascii="Zapf Dingbats" w:hAnsi="Zapf Dingbats" w:cs="Gill Sans"/>
                <w:sz w:val="22"/>
                <w:szCs w:val="22"/>
                <w:lang w:val="en-GB"/>
              </w:rPr>
            </w:pPr>
          </w:p>
        </w:tc>
        <w:tc>
          <w:tcPr>
            <w:tcW w:w="423" w:type="dxa"/>
            <w:vMerge w:val="restart"/>
            <w:tcBorders>
              <w:top w:val="single" w:sz="18" w:space="0" w:color="FFFFFF"/>
              <w:left w:val="single" w:sz="2" w:space="0" w:color="FFFFFF"/>
              <w:right w:val="single" w:sz="2" w:space="0" w:color="FFFFFF"/>
            </w:tcBorders>
            <w:shd w:val="clear" w:color="auto" w:fill="D99594"/>
          </w:tcPr>
          <w:p w14:paraId="0DF40A37" w14:textId="0F31B05F" w:rsidR="0020660D" w:rsidRPr="00466E44" w:rsidRDefault="0020660D" w:rsidP="000D7BDC">
            <w:pPr>
              <w:jc w:val="cente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423" w:type="dxa"/>
            <w:vMerge w:val="restart"/>
            <w:tcBorders>
              <w:top w:val="single" w:sz="18" w:space="0" w:color="FFFFFF"/>
              <w:left w:val="single" w:sz="2" w:space="0" w:color="FFFFFF"/>
              <w:right w:val="single" w:sz="2" w:space="0" w:color="FFFFFF"/>
            </w:tcBorders>
            <w:shd w:val="clear" w:color="auto" w:fill="D99594"/>
          </w:tcPr>
          <w:p w14:paraId="66388717" w14:textId="77777777" w:rsidR="0020660D" w:rsidRPr="009651AC" w:rsidRDefault="0020660D" w:rsidP="000D7BDC">
            <w:pPr>
              <w:jc w:val="center"/>
              <w:rPr>
                <w:rFonts w:ascii="Gill Sans" w:hAnsi="Gill Sans" w:cs="Gill Sans"/>
                <w:sz w:val="22"/>
                <w:szCs w:val="22"/>
                <w:lang w:val="uk-UA"/>
              </w:rPr>
            </w:pPr>
          </w:p>
        </w:tc>
        <w:tc>
          <w:tcPr>
            <w:tcW w:w="344" w:type="dxa"/>
            <w:vMerge w:val="restart"/>
            <w:tcBorders>
              <w:top w:val="single" w:sz="18" w:space="0" w:color="FFFFFF"/>
              <w:left w:val="single" w:sz="2" w:space="0" w:color="FFFFFF"/>
              <w:right w:val="single" w:sz="2" w:space="0" w:color="FFFFFF"/>
            </w:tcBorders>
            <w:shd w:val="clear" w:color="auto" w:fill="D99594"/>
          </w:tcPr>
          <w:p w14:paraId="21A37684" w14:textId="77777777" w:rsidR="0020660D" w:rsidRPr="008E2D1E" w:rsidRDefault="0020660D" w:rsidP="000D7BDC">
            <w:pPr>
              <w:jc w:val="center"/>
              <w:rPr>
                <w:rFonts w:ascii="Gill Sans" w:hAnsi="Gill Sans" w:cs="Gill Sans"/>
                <w:noProof/>
                <w:sz w:val="22"/>
                <w:szCs w:val="22"/>
              </w:rPr>
            </w:pPr>
          </w:p>
        </w:tc>
        <w:tc>
          <w:tcPr>
            <w:tcW w:w="423" w:type="dxa"/>
            <w:vMerge w:val="restart"/>
            <w:tcBorders>
              <w:top w:val="single" w:sz="18" w:space="0" w:color="FFFFFF"/>
              <w:left w:val="single" w:sz="2" w:space="0" w:color="FFFFFF"/>
              <w:right w:val="single" w:sz="18" w:space="0" w:color="FFFFFF"/>
            </w:tcBorders>
            <w:shd w:val="clear" w:color="auto" w:fill="D99594"/>
          </w:tcPr>
          <w:p w14:paraId="170674C8" w14:textId="0047E516" w:rsidR="0020660D" w:rsidRPr="009651AC" w:rsidRDefault="0020660D" w:rsidP="000D7BDC">
            <w:pPr>
              <w:jc w:val="center"/>
              <w:rPr>
                <w:rFonts w:ascii="Gill Sans" w:hAnsi="Gill Sans" w:cs="Gill Sans"/>
                <w:sz w:val="22"/>
                <w:szCs w:val="22"/>
                <w:lang w:val="en-GB"/>
              </w:rPr>
            </w:pPr>
          </w:p>
        </w:tc>
      </w:tr>
      <w:tr w:rsidR="0020660D" w:rsidRPr="009651AC" w14:paraId="28427355" w14:textId="77777777" w:rsidTr="000D7BDC">
        <w:trPr>
          <w:trHeight w:val="340"/>
        </w:trPr>
        <w:tc>
          <w:tcPr>
            <w:tcW w:w="1459" w:type="dxa"/>
            <w:vMerge/>
            <w:tcBorders>
              <w:left w:val="single" w:sz="4" w:space="0" w:color="FFFFFF"/>
              <w:right w:val="single" w:sz="18" w:space="0" w:color="FFFFFF"/>
            </w:tcBorders>
            <w:shd w:val="clear" w:color="auto" w:fill="000000"/>
          </w:tcPr>
          <w:p w14:paraId="334DF456" w14:textId="77777777" w:rsidR="0020660D" w:rsidRPr="009651AC" w:rsidRDefault="0020660D" w:rsidP="000D7BDC">
            <w:pPr>
              <w:rPr>
                <w:rFonts w:ascii="Gill Sans" w:hAnsi="Gill Sans" w:cs="Gill Sans"/>
                <w:color w:val="FFFFFF" w:themeColor="background1"/>
                <w:sz w:val="22"/>
                <w:szCs w:val="22"/>
                <w:lang w:val="en-GB"/>
              </w:rPr>
            </w:pPr>
          </w:p>
        </w:tc>
        <w:tc>
          <w:tcPr>
            <w:tcW w:w="348" w:type="dxa"/>
            <w:vMerge/>
            <w:tcBorders>
              <w:left w:val="single" w:sz="18" w:space="0" w:color="FFFFFF"/>
              <w:right w:val="single" w:sz="2" w:space="0" w:color="FFFFFF"/>
            </w:tcBorders>
            <w:shd w:val="clear" w:color="auto" w:fill="D6E3BC"/>
          </w:tcPr>
          <w:p w14:paraId="50A344E8" w14:textId="77777777" w:rsidR="0020660D" w:rsidRPr="009651AC" w:rsidRDefault="0020660D" w:rsidP="000D7BDC">
            <w:pPr>
              <w:rPr>
                <w:rFonts w:ascii="Gill Sans" w:hAnsi="Gill Sans" w:cs="Gill Sans"/>
                <w:sz w:val="22"/>
                <w:szCs w:val="22"/>
                <w:lang w:val="en-GB"/>
              </w:rPr>
            </w:pPr>
          </w:p>
        </w:tc>
        <w:tc>
          <w:tcPr>
            <w:tcW w:w="344" w:type="dxa"/>
            <w:vMerge/>
            <w:tcBorders>
              <w:left w:val="single" w:sz="2" w:space="0" w:color="FFFFFF"/>
              <w:right w:val="single" w:sz="2" w:space="0" w:color="FFFFFF"/>
            </w:tcBorders>
            <w:shd w:val="clear" w:color="auto" w:fill="D6E3BC"/>
          </w:tcPr>
          <w:p w14:paraId="229764EE" w14:textId="77777777" w:rsidR="0020660D" w:rsidRPr="009651AC" w:rsidRDefault="0020660D" w:rsidP="000D7BDC">
            <w:pPr>
              <w:rPr>
                <w:rFonts w:ascii="Gill Sans" w:hAnsi="Gill Sans" w:cs="Gill Sans"/>
                <w:sz w:val="22"/>
                <w:szCs w:val="22"/>
                <w:lang w:val="en-GB"/>
              </w:rPr>
            </w:pPr>
          </w:p>
        </w:tc>
        <w:tc>
          <w:tcPr>
            <w:tcW w:w="344" w:type="dxa"/>
            <w:vMerge/>
            <w:tcBorders>
              <w:left w:val="single" w:sz="2" w:space="0" w:color="FFFFFF"/>
              <w:right w:val="single" w:sz="2" w:space="0" w:color="FFFFFF"/>
            </w:tcBorders>
            <w:shd w:val="clear" w:color="auto" w:fill="D6E3BC"/>
          </w:tcPr>
          <w:p w14:paraId="2507C07A" w14:textId="77777777" w:rsidR="0020660D" w:rsidRPr="009651AC" w:rsidRDefault="0020660D" w:rsidP="000D7BDC">
            <w:pPr>
              <w:rPr>
                <w:rFonts w:ascii="Gill Sans" w:hAnsi="Gill Sans" w:cs="Gill Sans"/>
                <w:sz w:val="22"/>
                <w:szCs w:val="22"/>
                <w:lang w:val="en-GB"/>
              </w:rPr>
            </w:pPr>
          </w:p>
        </w:tc>
        <w:tc>
          <w:tcPr>
            <w:tcW w:w="423" w:type="dxa"/>
            <w:vMerge/>
            <w:tcBorders>
              <w:left w:val="single" w:sz="2" w:space="0" w:color="FFFFFF"/>
              <w:right w:val="single" w:sz="18" w:space="0" w:color="FFFFFF"/>
            </w:tcBorders>
            <w:shd w:val="clear" w:color="auto" w:fill="D6E3BC"/>
          </w:tcPr>
          <w:p w14:paraId="356FBCC5" w14:textId="77777777" w:rsidR="0020660D" w:rsidRPr="009651AC" w:rsidRDefault="0020660D" w:rsidP="000D7BDC">
            <w:pPr>
              <w:rPr>
                <w:rFonts w:ascii="Gill Sans" w:hAnsi="Gill Sans" w:cs="Gill Sans"/>
                <w:noProof/>
                <w:sz w:val="22"/>
                <w:szCs w:val="22"/>
                <w:lang w:val="en-GB"/>
              </w:rPr>
            </w:pPr>
          </w:p>
        </w:tc>
        <w:tc>
          <w:tcPr>
            <w:tcW w:w="344" w:type="dxa"/>
            <w:vMerge/>
            <w:tcBorders>
              <w:left w:val="single" w:sz="2" w:space="0" w:color="FFFFFF"/>
              <w:right w:val="single" w:sz="2" w:space="0" w:color="FFFFFF"/>
            </w:tcBorders>
            <w:shd w:val="clear" w:color="auto" w:fill="FBD4B4"/>
          </w:tcPr>
          <w:p w14:paraId="1AA9B11A" w14:textId="77777777" w:rsidR="0020660D" w:rsidRPr="009651AC" w:rsidRDefault="0020660D" w:rsidP="000D7BDC">
            <w:pPr>
              <w:rPr>
                <w:rFonts w:ascii="Gill Sans" w:hAnsi="Gill Sans" w:cs="Gill Sans"/>
                <w:sz w:val="22"/>
                <w:szCs w:val="22"/>
                <w:lang w:val="en-GB"/>
              </w:rPr>
            </w:pPr>
          </w:p>
        </w:tc>
        <w:tc>
          <w:tcPr>
            <w:tcW w:w="344" w:type="dxa"/>
            <w:vMerge/>
            <w:tcBorders>
              <w:left w:val="single" w:sz="2" w:space="0" w:color="FFFFFF"/>
              <w:right w:val="single" w:sz="2" w:space="0" w:color="FFFFFF"/>
            </w:tcBorders>
            <w:shd w:val="clear" w:color="auto" w:fill="FBD4B4"/>
          </w:tcPr>
          <w:p w14:paraId="7AFBFC9F" w14:textId="77777777" w:rsidR="0020660D" w:rsidRPr="009651AC" w:rsidRDefault="0020660D" w:rsidP="000D7BDC">
            <w:pPr>
              <w:rPr>
                <w:rFonts w:ascii="Gill Sans" w:hAnsi="Gill Sans" w:cs="Gill Sans"/>
                <w:noProof/>
                <w:sz w:val="22"/>
                <w:szCs w:val="22"/>
                <w:lang w:val="en-GB"/>
              </w:rPr>
            </w:pPr>
          </w:p>
        </w:tc>
        <w:tc>
          <w:tcPr>
            <w:tcW w:w="344" w:type="dxa"/>
            <w:vMerge/>
            <w:tcBorders>
              <w:left w:val="single" w:sz="2" w:space="0" w:color="FFFFFF"/>
              <w:right w:val="single" w:sz="2" w:space="0" w:color="FFFFFF"/>
            </w:tcBorders>
            <w:shd w:val="clear" w:color="auto" w:fill="FBD4B4"/>
          </w:tcPr>
          <w:p w14:paraId="30175939" w14:textId="77777777" w:rsidR="0020660D" w:rsidRPr="009651AC" w:rsidRDefault="0020660D" w:rsidP="000D7BDC">
            <w:pPr>
              <w:rPr>
                <w:rFonts w:ascii="Gill Sans" w:hAnsi="Gill Sans" w:cs="Gill Sans"/>
                <w:noProof/>
                <w:sz w:val="22"/>
                <w:szCs w:val="22"/>
                <w:lang w:val="en-GB"/>
              </w:rPr>
            </w:pPr>
          </w:p>
        </w:tc>
        <w:tc>
          <w:tcPr>
            <w:tcW w:w="815" w:type="dxa"/>
            <w:vMerge/>
            <w:tcBorders>
              <w:left w:val="single" w:sz="2" w:space="0" w:color="FFFFFF"/>
              <w:right w:val="single" w:sz="18" w:space="0" w:color="FFFFFF"/>
            </w:tcBorders>
            <w:shd w:val="clear" w:color="auto" w:fill="FBD4B4"/>
          </w:tcPr>
          <w:p w14:paraId="0AC6A41F" w14:textId="77777777" w:rsidR="0020660D" w:rsidRPr="009651AC" w:rsidRDefault="0020660D" w:rsidP="000D7BDC">
            <w:pPr>
              <w:rPr>
                <w:rFonts w:ascii="Gill Sans" w:hAnsi="Gill Sans" w:cs="Gill Sans"/>
                <w:sz w:val="22"/>
                <w:szCs w:val="22"/>
                <w:lang w:val="en-GB"/>
              </w:rPr>
            </w:pPr>
          </w:p>
        </w:tc>
        <w:tc>
          <w:tcPr>
            <w:tcW w:w="344" w:type="dxa"/>
            <w:vMerge/>
            <w:tcBorders>
              <w:left w:val="single" w:sz="18" w:space="0" w:color="FFFFFF"/>
              <w:right w:val="single" w:sz="2" w:space="0" w:color="FFFFFF"/>
            </w:tcBorders>
            <w:shd w:val="clear" w:color="auto" w:fill="CCC0D9"/>
          </w:tcPr>
          <w:p w14:paraId="0192E686" w14:textId="77777777" w:rsidR="0020660D" w:rsidRPr="009651AC" w:rsidRDefault="0020660D" w:rsidP="000D7BDC">
            <w:pPr>
              <w:rPr>
                <w:rFonts w:ascii="Gill Sans" w:hAnsi="Gill Sans" w:cs="Gill Sans"/>
                <w:sz w:val="22"/>
                <w:szCs w:val="22"/>
                <w:lang w:val="en-GB"/>
              </w:rPr>
            </w:pPr>
          </w:p>
        </w:tc>
        <w:tc>
          <w:tcPr>
            <w:tcW w:w="423" w:type="dxa"/>
            <w:vMerge/>
            <w:tcBorders>
              <w:left w:val="single" w:sz="2" w:space="0" w:color="FFFFFF"/>
              <w:right w:val="single" w:sz="2" w:space="0" w:color="FFFFFF"/>
            </w:tcBorders>
            <w:shd w:val="clear" w:color="auto" w:fill="CCC0D9"/>
          </w:tcPr>
          <w:p w14:paraId="7BA24B10" w14:textId="77777777" w:rsidR="0020660D" w:rsidRPr="009651AC" w:rsidRDefault="0020660D" w:rsidP="000D7BDC">
            <w:pPr>
              <w:rPr>
                <w:rFonts w:ascii="Gill Sans" w:hAnsi="Gill Sans" w:cs="Gill Sans"/>
                <w:sz w:val="22"/>
                <w:szCs w:val="22"/>
                <w:lang w:val="en-GB"/>
              </w:rPr>
            </w:pPr>
          </w:p>
        </w:tc>
        <w:tc>
          <w:tcPr>
            <w:tcW w:w="423" w:type="dxa"/>
            <w:vMerge/>
            <w:tcBorders>
              <w:left w:val="single" w:sz="2" w:space="0" w:color="FFFFFF"/>
              <w:right w:val="single" w:sz="2" w:space="0" w:color="FFFFFF"/>
            </w:tcBorders>
            <w:shd w:val="clear" w:color="auto" w:fill="CCC0D9"/>
          </w:tcPr>
          <w:p w14:paraId="1C26A159" w14:textId="77777777" w:rsidR="0020660D" w:rsidRPr="009651AC" w:rsidRDefault="0020660D" w:rsidP="000D7BDC">
            <w:pPr>
              <w:rPr>
                <w:rFonts w:ascii="Gill Sans" w:hAnsi="Gill Sans" w:cs="Gill Sans"/>
                <w:noProof/>
                <w:sz w:val="22"/>
                <w:szCs w:val="22"/>
                <w:lang w:val="en-GB"/>
              </w:rPr>
            </w:pPr>
          </w:p>
        </w:tc>
        <w:tc>
          <w:tcPr>
            <w:tcW w:w="344" w:type="dxa"/>
            <w:vMerge/>
            <w:tcBorders>
              <w:left w:val="single" w:sz="2" w:space="0" w:color="FFFFFF"/>
              <w:right w:val="single" w:sz="18" w:space="0" w:color="FFFFFF"/>
            </w:tcBorders>
            <w:shd w:val="clear" w:color="auto" w:fill="CCC0D9"/>
          </w:tcPr>
          <w:p w14:paraId="11088E01" w14:textId="77777777" w:rsidR="0020660D" w:rsidRPr="009651AC" w:rsidRDefault="0020660D" w:rsidP="000D7BDC">
            <w:pPr>
              <w:rPr>
                <w:rFonts w:ascii="Gill Sans" w:hAnsi="Gill Sans" w:cs="Gill Sans"/>
                <w:sz w:val="22"/>
                <w:szCs w:val="22"/>
                <w:lang w:val="en-GB"/>
              </w:rPr>
            </w:pPr>
          </w:p>
        </w:tc>
        <w:tc>
          <w:tcPr>
            <w:tcW w:w="501"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103C7876" w14:textId="77777777" w:rsidR="0020660D" w:rsidRPr="009651AC" w:rsidRDefault="0020660D" w:rsidP="000D7BDC">
            <w:pPr>
              <w:rPr>
                <w:rFonts w:ascii="Gill Sans" w:hAnsi="Gill Sans" w:cs="Gill Sans"/>
                <w:sz w:val="22"/>
                <w:szCs w:val="22"/>
                <w:lang w:val="en-GB"/>
              </w:rPr>
            </w:pPr>
          </w:p>
        </w:tc>
        <w:tc>
          <w:tcPr>
            <w:tcW w:w="501"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7AE5EDE7" w14:textId="161A6F6F" w:rsidR="0020660D" w:rsidRPr="00466E44" w:rsidRDefault="0020660D" w:rsidP="000D7BDC">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423"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1E4A91B" w14:textId="77777777" w:rsidR="0020660D" w:rsidRPr="009651AC" w:rsidRDefault="0020660D" w:rsidP="000D7BDC">
            <w:pPr>
              <w:rPr>
                <w:rFonts w:ascii="Gill Sans" w:hAnsi="Gill Sans" w:cs="Gill Sans"/>
                <w:sz w:val="22"/>
                <w:szCs w:val="22"/>
                <w:lang w:val="en-GB"/>
              </w:rPr>
            </w:pPr>
          </w:p>
        </w:tc>
        <w:tc>
          <w:tcPr>
            <w:tcW w:w="501"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1C386A1F" w14:textId="4542288C" w:rsidR="0020660D" w:rsidRPr="009651AC" w:rsidRDefault="0020660D" w:rsidP="000D7BDC">
            <w:pPr>
              <w:jc w:val="center"/>
              <w:rPr>
                <w:rFonts w:ascii="Gill Sans" w:hAnsi="Gill Sans" w:cs="Gill Sans"/>
                <w:sz w:val="22"/>
                <w:szCs w:val="22"/>
                <w:lang w:val="en-GB"/>
              </w:rPr>
            </w:pPr>
          </w:p>
        </w:tc>
        <w:tc>
          <w:tcPr>
            <w:tcW w:w="344" w:type="dxa"/>
            <w:vMerge/>
            <w:tcBorders>
              <w:left w:val="single" w:sz="18" w:space="0" w:color="FFFFFF"/>
              <w:right w:val="single" w:sz="2" w:space="0" w:color="FFFFFF"/>
            </w:tcBorders>
            <w:shd w:val="clear" w:color="auto" w:fill="D99594"/>
          </w:tcPr>
          <w:p w14:paraId="3B4BDDA9" w14:textId="77777777" w:rsidR="0020660D" w:rsidRPr="009651AC" w:rsidRDefault="0020660D" w:rsidP="000D7BDC">
            <w:pPr>
              <w:rPr>
                <w:rFonts w:ascii="Gill Sans" w:hAnsi="Gill Sans" w:cs="Gill Sans"/>
                <w:sz w:val="22"/>
                <w:szCs w:val="22"/>
                <w:lang w:val="en-GB"/>
              </w:rPr>
            </w:pPr>
          </w:p>
        </w:tc>
        <w:tc>
          <w:tcPr>
            <w:tcW w:w="423" w:type="dxa"/>
            <w:vMerge/>
            <w:tcBorders>
              <w:left w:val="single" w:sz="2" w:space="0" w:color="FFFFFF"/>
              <w:right w:val="single" w:sz="2" w:space="0" w:color="FFFFFF"/>
            </w:tcBorders>
            <w:shd w:val="clear" w:color="auto" w:fill="D99594"/>
          </w:tcPr>
          <w:p w14:paraId="68837149" w14:textId="77777777" w:rsidR="0020660D" w:rsidRPr="009651AC" w:rsidRDefault="0020660D" w:rsidP="000D7BDC">
            <w:pPr>
              <w:rPr>
                <w:rFonts w:ascii="Gill Sans" w:hAnsi="Gill Sans" w:cs="Gill Sans"/>
                <w:sz w:val="22"/>
                <w:szCs w:val="22"/>
                <w:lang w:val="en-GB"/>
              </w:rPr>
            </w:pPr>
          </w:p>
        </w:tc>
        <w:tc>
          <w:tcPr>
            <w:tcW w:w="423" w:type="dxa"/>
            <w:vMerge/>
            <w:tcBorders>
              <w:left w:val="single" w:sz="2" w:space="0" w:color="FFFFFF"/>
              <w:right w:val="single" w:sz="2" w:space="0" w:color="FFFFFF"/>
            </w:tcBorders>
            <w:shd w:val="clear" w:color="auto" w:fill="D99594"/>
          </w:tcPr>
          <w:p w14:paraId="159DF602" w14:textId="77777777" w:rsidR="0020660D" w:rsidRPr="009651AC" w:rsidRDefault="0020660D" w:rsidP="000D7BDC">
            <w:pPr>
              <w:rPr>
                <w:rFonts w:ascii="Gill Sans" w:hAnsi="Gill Sans" w:cs="Gill Sans"/>
                <w:sz w:val="22"/>
                <w:szCs w:val="22"/>
                <w:lang w:val="en-GB"/>
              </w:rPr>
            </w:pPr>
          </w:p>
        </w:tc>
        <w:tc>
          <w:tcPr>
            <w:tcW w:w="344" w:type="dxa"/>
            <w:vMerge/>
            <w:tcBorders>
              <w:left w:val="single" w:sz="2" w:space="0" w:color="FFFFFF"/>
              <w:right w:val="single" w:sz="2" w:space="0" w:color="FFFFFF"/>
            </w:tcBorders>
            <w:shd w:val="clear" w:color="auto" w:fill="D99594"/>
          </w:tcPr>
          <w:p w14:paraId="67F36133" w14:textId="77777777" w:rsidR="0020660D" w:rsidRPr="009651AC" w:rsidRDefault="0020660D" w:rsidP="000D7BDC">
            <w:pPr>
              <w:rPr>
                <w:rFonts w:ascii="Gill Sans" w:hAnsi="Gill Sans" w:cs="Gill Sans"/>
                <w:noProof/>
                <w:sz w:val="22"/>
                <w:szCs w:val="22"/>
                <w:lang w:val="en-GB"/>
              </w:rPr>
            </w:pPr>
          </w:p>
        </w:tc>
        <w:tc>
          <w:tcPr>
            <w:tcW w:w="423" w:type="dxa"/>
            <w:vMerge/>
            <w:tcBorders>
              <w:left w:val="single" w:sz="2" w:space="0" w:color="FFFFFF"/>
              <w:right w:val="single" w:sz="18" w:space="0" w:color="FFFFFF"/>
            </w:tcBorders>
            <w:shd w:val="clear" w:color="auto" w:fill="D99594"/>
          </w:tcPr>
          <w:p w14:paraId="7EE4BD63" w14:textId="77777777" w:rsidR="0020660D" w:rsidRPr="009651AC" w:rsidRDefault="0020660D" w:rsidP="000D7BDC">
            <w:pPr>
              <w:rPr>
                <w:rFonts w:ascii="Gill Sans" w:hAnsi="Gill Sans" w:cs="Gill Sans"/>
                <w:sz w:val="22"/>
                <w:szCs w:val="22"/>
                <w:lang w:val="en-GB"/>
              </w:rPr>
            </w:pPr>
          </w:p>
        </w:tc>
      </w:tr>
    </w:tbl>
    <w:p w14:paraId="2121C6CB" w14:textId="77777777" w:rsidR="007C72A9" w:rsidRDefault="007C72A9" w:rsidP="006319F4">
      <w:pPr>
        <w:pStyle w:val="Heading3"/>
      </w:pPr>
    </w:p>
    <w:p w14:paraId="184F3ACE" w14:textId="1A97E19F" w:rsidR="00EB22DF" w:rsidRPr="00352741" w:rsidRDefault="00EB22DF" w:rsidP="00163080">
      <w:pPr>
        <w:pStyle w:val="Heading3"/>
      </w:pPr>
      <w:r w:rsidRPr="00352741">
        <w:t xml:space="preserve">Commitment </w:t>
      </w:r>
      <w:r w:rsidR="007C72A9">
        <w:t>a</w:t>
      </w:r>
      <w:r w:rsidRPr="00352741">
        <w:t>im</w:t>
      </w:r>
    </w:p>
    <w:p w14:paraId="180C6377" w14:textId="2FB5BCDC" w:rsidR="006B4829" w:rsidRPr="00BD3B00" w:rsidRDefault="006B4829" w:rsidP="007C4F60">
      <w:pPr>
        <w:spacing w:after="120"/>
        <w:rPr>
          <w:rFonts w:ascii="Gill Sans" w:hAnsi="Gill Sans" w:cs="Gill Sans"/>
          <w:noProof/>
          <w:sz w:val="22"/>
          <w:szCs w:val="22"/>
          <w:lang w:val="en-GB"/>
        </w:rPr>
      </w:pPr>
      <w:r w:rsidRPr="00BD3B00">
        <w:rPr>
          <w:rFonts w:ascii="Gill Sans" w:hAnsi="Gill Sans" w:cs="Gill Sans"/>
          <w:noProof/>
          <w:sz w:val="22"/>
          <w:szCs w:val="22"/>
          <w:lang w:val="en-GB"/>
        </w:rPr>
        <w:t xml:space="preserve">The commitment </w:t>
      </w:r>
      <w:r w:rsidR="003D2E83">
        <w:rPr>
          <w:rFonts w:ascii="Gill Sans" w:hAnsi="Gill Sans" w:cs="Gill Sans"/>
          <w:noProof/>
          <w:sz w:val="22"/>
          <w:szCs w:val="22"/>
          <w:lang w:val="en-GB"/>
        </w:rPr>
        <w:t>sought</w:t>
      </w:r>
      <w:r w:rsidRPr="00BD3B00">
        <w:rPr>
          <w:rFonts w:ascii="Gill Sans" w:hAnsi="Gill Sans" w:cs="Gill Sans"/>
          <w:noProof/>
          <w:sz w:val="22"/>
          <w:szCs w:val="22"/>
          <w:lang w:val="en-GB"/>
        </w:rPr>
        <w:t xml:space="preserve"> to establish a legal framework for the operation of the public administration. The </w:t>
      </w:r>
      <w:r w:rsidR="007C4F60">
        <w:rPr>
          <w:rFonts w:ascii="Gill Sans" w:hAnsi="Gill Sans" w:cs="Gill Sans"/>
          <w:noProof/>
          <w:sz w:val="22"/>
          <w:szCs w:val="22"/>
          <w:lang w:val="en-GB"/>
        </w:rPr>
        <w:t>Law</w:t>
      </w:r>
      <w:r w:rsidRPr="00BD3B00">
        <w:rPr>
          <w:rFonts w:ascii="Gill Sans" w:hAnsi="Gill Sans" w:cs="Gill Sans"/>
          <w:noProof/>
          <w:sz w:val="22"/>
          <w:szCs w:val="22"/>
          <w:lang w:val="en-GB"/>
        </w:rPr>
        <w:t xml:space="preserve"> on </w:t>
      </w:r>
      <w:r w:rsidR="007C4F60">
        <w:rPr>
          <w:rFonts w:ascii="Gill Sans" w:hAnsi="Gill Sans" w:cs="Gill Sans"/>
          <w:noProof/>
          <w:sz w:val="22"/>
          <w:szCs w:val="22"/>
          <w:lang w:val="en-GB"/>
        </w:rPr>
        <w:t>A</w:t>
      </w:r>
      <w:r w:rsidRPr="00BD3B00">
        <w:rPr>
          <w:rFonts w:ascii="Gill Sans" w:hAnsi="Gill Sans" w:cs="Gill Sans"/>
          <w:noProof/>
          <w:sz w:val="22"/>
          <w:szCs w:val="22"/>
          <w:lang w:val="en-GB"/>
        </w:rPr>
        <w:t xml:space="preserve">dministrative </w:t>
      </w:r>
      <w:r w:rsidR="007C4F60">
        <w:rPr>
          <w:rFonts w:ascii="Gill Sans" w:hAnsi="Gill Sans" w:cs="Gill Sans"/>
          <w:noProof/>
          <w:sz w:val="22"/>
          <w:szCs w:val="22"/>
          <w:lang w:val="en-GB"/>
        </w:rPr>
        <w:t>P</w:t>
      </w:r>
      <w:r w:rsidRPr="00BD3B00">
        <w:rPr>
          <w:rFonts w:ascii="Gill Sans" w:hAnsi="Gill Sans" w:cs="Gill Sans"/>
          <w:noProof/>
          <w:sz w:val="22"/>
          <w:szCs w:val="22"/>
          <w:lang w:val="en-GB"/>
        </w:rPr>
        <w:t xml:space="preserve">rocedure is supposed to regulate how </w:t>
      </w:r>
      <w:r w:rsidR="007C72A9">
        <w:rPr>
          <w:rFonts w:ascii="Gill Sans" w:hAnsi="Gill Sans" w:cs="Gill Sans"/>
          <w:noProof/>
          <w:sz w:val="22"/>
          <w:szCs w:val="22"/>
          <w:lang w:val="en-GB"/>
        </w:rPr>
        <w:t xml:space="preserve">the </w:t>
      </w:r>
      <w:r w:rsidRPr="00BD3B00">
        <w:rPr>
          <w:rFonts w:ascii="Gill Sans" w:hAnsi="Gill Sans" w:cs="Gill Sans"/>
          <w:noProof/>
          <w:sz w:val="22"/>
          <w:szCs w:val="22"/>
          <w:lang w:val="en-GB"/>
        </w:rPr>
        <w:t xml:space="preserve">public administration and its officials perform their functions. </w:t>
      </w:r>
      <w:r w:rsidR="007C72A9">
        <w:rPr>
          <w:rFonts w:ascii="Gill Sans" w:hAnsi="Gill Sans" w:cs="Gill Sans"/>
          <w:noProof/>
          <w:sz w:val="22"/>
          <w:szCs w:val="22"/>
          <w:lang w:val="en-GB"/>
        </w:rPr>
        <w:t>The act</w:t>
      </w:r>
      <w:r w:rsidR="007C72A9" w:rsidRPr="00BD3B00">
        <w:rPr>
          <w:rFonts w:ascii="Gill Sans" w:hAnsi="Gill Sans" w:cs="Gill Sans"/>
          <w:noProof/>
          <w:sz w:val="22"/>
          <w:szCs w:val="22"/>
          <w:lang w:val="en-GB"/>
        </w:rPr>
        <w:t xml:space="preserve"> </w:t>
      </w:r>
      <w:r w:rsidRPr="00BD3B00">
        <w:rPr>
          <w:rFonts w:ascii="Gill Sans" w:hAnsi="Gill Sans" w:cs="Gill Sans"/>
          <w:noProof/>
          <w:sz w:val="22"/>
          <w:szCs w:val="22"/>
          <w:lang w:val="en-GB"/>
        </w:rPr>
        <w:t>is important for establishing the rule of law and accountabi</w:t>
      </w:r>
      <w:r w:rsidR="00724DF5">
        <w:rPr>
          <w:rFonts w:ascii="Gill Sans" w:hAnsi="Gill Sans" w:cs="Gill Sans"/>
          <w:noProof/>
          <w:sz w:val="22"/>
          <w:szCs w:val="22"/>
          <w:lang w:val="en-GB"/>
        </w:rPr>
        <w:t xml:space="preserve">lity of public officials, </w:t>
      </w:r>
      <w:r w:rsidR="003D2E83">
        <w:rPr>
          <w:rFonts w:ascii="Gill Sans" w:hAnsi="Gill Sans" w:cs="Gill Sans"/>
          <w:noProof/>
          <w:sz w:val="22"/>
          <w:szCs w:val="22"/>
          <w:lang w:val="en-GB"/>
        </w:rPr>
        <w:t xml:space="preserve">thereby </w:t>
      </w:r>
      <w:r w:rsidR="00724DF5">
        <w:rPr>
          <w:rFonts w:ascii="Gill Sans" w:hAnsi="Gill Sans" w:cs="Gill Sans"/>
          <w:noProof/>
          <w:sz w:val="22"/>
          <w:szCs w:val="22"/>
          <w:lang w:val="en-GB"/>
        </w:rPr>
        <w:t>reducing</w:t>
      </w:r>
      <w:r w:rsidRPr="00BD3B00">
        <w:rPr>
          <w:rFonts w:ascii="Gill Sans" w:hAnsi="Gill Sans" w:cs="Gill Sans"/>
          <w:noProof/>
          <w:sz w:val="22"/>
          <w:szCs w:val="22"/>
          <w:lang w:val="en-GB"/>
        </w:rPr>
        <w:t xml:space="preserve"> corruption by limiting discretion and ensuring legal certainty</w:t>
      </w:r>
      <w:r w:rsidR="003E2313" w:rsidRPr="00BD3B00">
        <w:rPr>
          <w:rFonts w:ascii="Gill Sans" w:hAnsi="Gill Sans" w:cs="Gill Sans"/>
          <w:noProof/>
          <w:sz w:val="22"/>
          <w:szCs w:val="22"/>
          <w:lang w:val="en-GB"/>
        </w:rPr>
        <w:t>. It</w:t>
      </w:r>
      <w:r w:rsidRPr="00BD3B00">
        <w:rPr>
          <w:rFonts w:ascii="Gill Sans" w:hAnsi="Gill Sans" w:cs="Gill Sans"/>
          <w:noProof/>
          <w:sz w:val="22"/>
          <w:szCs w:val="22"/>
          <w:lang w:val="en-GB"/>
        </w:rPr>
        <w:t xml:space="preserve"> is also </w:t>
      </w:r>
      <w:r w:rsidR="00724DF5">
        <w:rPr>
          <w:rFonts w:ascii="Gill Sans" w:hAnsi="Gill Sans" w:cs="Gill Sans"/>
          <w:noProof/>
          <w:sz w:val="22"/>
          <w:szCs w:val="22"/>
          <w:lang w:val="en-GB"/>
        </w:rPr>
        <w:t xml:space="preserve">essential for </w:t>
      </w:r>
      <w:r w:rsidRPr="00BD3B00">
        <w:rPr>
          <w:rFonts w:ascii="Gill Sans" w:hAnsi="Gill Sans" w:cs="Gill Sans"/>
          <w:noProof/>
          <w:sz w:val="22"/>
          <w:szCs w:val="22"/>
          <w:lang w:val="en-GB"/>
        </w:rPr>
        <w:t xml:space="preserve">good governance. </w:t>
      </w:r>
      <w:r w:rsidR="00724DF5">
        <w:rPr>
          <w:rFonts w:ascii="Gill Sans" w:hAnsi="Gill Sans" w:cs="Gill Sans"/>
          <w:noProof/>
          <w:sz w:val="22"/>
          <w:szCs w:val="22"/>
          <w:lang w:val="en-GB"/>
        </w:rPr>
        <w:t>Currently</w:t>
      </w:r>
      <w:r w:rsidR="003D2E83">
        <w:rPr>
          <w:rFonts w:ascii="Gill Sans" w:hAnsi="Gill Sans" w:cs="Gill Sans"/>
          <w:noProof/>
          <w:sz w:val="22"/>
          <w:szCs w:val="22"/>
          <w:lang w:val="en-GB"/>
        </w:rPr>
        <w:t>,</w:t>
      </w:r>
      <w:r w:rsidR="00724DF5">
        <w:rPr>
          <w:rFonts w:ascii="Gill Sans" w:hAnsi="Gill Sans" w:cs="Gill Sans"/>
          <w:noProof/>
          <w:sz w:val="22"/>
          <w:szCs w:val="22"/>
          <w:lang w:val="en-GB"/>
        </w:rPr>
        <w:t xml:space="preserve"> administrative procedures in Ukraine are regulated mainly by secondary legislation</w:t>
      </w:r>
      <w:r w:rsidR="003D2E83">
        <w:rPr>
          <w:rFonts w:ascii="Gill Sans" w:hAnsi="Gill Sans" w:cs="Gill Sans"/>
          <w:noProof/>
          <w:sz w:val="22"/>
          <w:szCs w:val="22"/>
          <w:lang w:val="en-GB"/>
        </w:rPr>
        <w:t>,</w:t>
      </w:r>
      <w:r w:rsidR="00724DF5">
        <w:rPr>
          <w:rFonts w:ascii="Gill Sans" w:hAnsi="Gill Sans" w:cs="Gill Sans"/>
          <w:noProof/>
          <w:sz w:val="22"/>
          <w:szCs w:val="22"/>
          <w:lang w:val="en-GB"/>
        </w:rPr>
        <w:t xml:space="preserve"> and do not provide necessary safeguards.</w:t>
      </w:r>
    </w:p>
    <w:p w14:paraId="4C71394B" w14:textId="2C8E1C4F" w:rsidR="00EB22DF" w:rsidRPr="00BD3B00" w:rsidRDefault="00EB22DF" w:rsidP="006319F4">
      <w:pPr>
        <w:pStyle w:val="Heading3"/>
      </w:pPr>
      <w:r w:rsidRPr="00BD3B00">
        <w:t>Status</w:t>
      </w:r>
    </w:p>
    <w:p w14:paraId="2EAFD1B5" w14:textId="62E0C16A" w:rsidR="00EB22DF" w:rsidRPr="00BD3B00" w:rsidRDefault="00EB22DF" w:rsidP="00BD3B00">
      <w:pPr>
        <w:pStyle w:val="Normalrglronly"/>
        <w:rPr>
          <w:b/>
          <w:lang w:val="en-GB"/>
        </w:rPr>
      </w:pPr>
      <w:r w:rsidRPr="00BD3B00">
        <w:rPr>
          <w:b/>
          <w:lang w:val="en-GB"/>
        </w:rPr>
        <w:t>Midterm: Limited</w:t>
      </w:r>
    </w:p>
    <w:p w14:paraId="2B1FEE2C" w14:textId="0F5BBCBA" w:rsidR="006B4829" w:rsidRPr="00BD3B00" w:rsidRDefault="006B4829" w:rsidP="007C33CF">
      <w:pPr>
        <w:spacing w:after="120"/>
        <w:rPr>
          <w:rFonts w:ascii="Gill Sans" w:hAnsi="Gill Sans" w:cs="Gill Sans"/>
          <w:noProof/>
          <w:sz w:val="22"/>
          <w:szCs w:val="22"/>
          <w:lang w:val="en-GB"/>
        </w:rPr>
      </w:pPr>
      <w:r w:rsidRPr="00BD3B00">
        <w:rPr>
          <w:rFonts w:ascii="Gill Sans" w:hAnsi="Gill Sans" w:cs="Gill Sans"/>
          <w:noProof/>
          <w:sz w:val="22"/>
          <w:szCs w:val="22"/>
          <w:lang w:val="en-GB"/>
        </w:rPr>
        <w:t>Adoption of the Code of Administrative Procedure (later named</w:t>
      </w:r>
      <w:r w:rsidR="006E2E3D">
        <w:rPr>
          <w:rFonts w:ascii="Gill Sans" w:hAnsi="Gill Sans" w:cs="Gill Sans"/>
          <w:noProof/>
          <w:sz w:val="22"/>
          <w:szCs w:val="22"/>
          <w:lang w:val="en-GB"/>
        </w:rPr>
        <w:t xml:space="preserve"> the</w:t>
      </w:r>
      <w:r w:rsidRPr="00BD3B00">
        <w:rPr>
          <w:rFonts w:ascii="Gill Sans" w:hAnsi="Gill Sans" w:cs="Gill Sans"/>
          <w:noProof/>
          <w:sz w:val="22"/>
          <w:szCs w:val="22"/>
          <w:lang w:val="en-GB"/>
        </w:rPr>
        <w:t xml:space="preserve"> Law on Administrative Procedure) has been a long-standing government commitment. The </w:t>
      </w:r>
      <w:r w:rsidR="00FD46D4">
        <w:rPr>
          <w:rFonts w:ascii="Gill Sans" w:hAnsi="Gill Sans" w:cs="Gill Sans"/>
          <w:noProof/>
          <w:sz w:val="22"/>
          <w:szCs w:val="22"/>
          <w:lang w:val="en-GB"/>
        </w:rPr>
        <w:t xml:space="preserve">government </w:t>
      </w:r>
      <w:r w:rsidR="00B51E3A">
        <w:rPr>
          <w:rFonts w:ascii="Gill Sans" w:hAnsi="Gill Sans" w:cs="Gill Sans"/>
          <w:noProof/>
          <w:sz w:val="22"/>
          <w:szCs w:val="22"/>
          <w:lang w:val="en-GB"/>
        </w:rPr>
        <w:t xml:space="preserve">submitted its </w:t>
      </w:r>
      <w:r w:rsidRPr="00BD3B00">
        <w:rPr>
          <w:rFonts w:ascii="Gill Sans" w:hAnsi="Gill Sans" w:cs="Gill Sans"/>
          <w:noProof/>
          <w:sz w:val="22"/>
          <w:szCs w:val="22"/>
          <w:lang w:val="en-GB"/>
        </w:rPr>
        <w:t>first draft text to parliament in 2001</w:t>
      </w:r>
      <w:r w:rsidR="0067061B">
        <w:rPr>
          <w:rFonts w:ascii="Gill Sans" w:hAnsi="Gill Sans" w:cs="Gill Sans"/>
          <w:noProof/>
          <w:sz w:val="22"/>
          <w:szCs w:val="22"/>
          <w:lang w:val="en-GB"/>
        </w:rPr>
        <w:t>;</w:t>
      </w:r>
      <w:r w:rsidR="007C4F60">
        <w:rPr>
          <w:rFonts w:ascii="Gill Sans" w:hAnsi="Gill Sans" w:cs="Gill Sans"/>
          <w:noProof/>
          <w:sz w:val="22"/>
          <w:szCs w:val="22"/>
          <w:lang w:val="en-GB"/>
        </w:rPr>
        <w:t xml:space="preserve"> subsequent</w:t>
      </w:r>
      <w:r w:rsidR="009265F0" w:rsidRPr="00BD3B00">
        <w:rPr>
          <w:rFonts w:ascii="Gill Sans" w:hAnsi="Gill Sans" w:cs="Gill Sans"/>
          <w:noProof/>
          <w:sz w:val="22"/>
          <w:szCs w:val="22"/>
          <w:lang w:val="en-GB"/>
        </w:rPr>
        <w:t xml:space="preserve"> governments </w:t>
      </w:r>
      <w:r w:rsidRPr="00BD3B00">
        <w:rPr>
          <w:rFonts w:ascii="Gill Sans" w:hAnsi="Gill Sans" w:cs="Gill Sans"/>
          <w:noProof/>
          <w:sz w:val="22"/>
          <w:szCs w:val="22"/>
          <w:lang w:val="en-GB"/>
        </w:rPr>
        <w:t xml:space="preserve">resubmitted </w:t>
      </w:r>
      <w:r w:rsidR="007C33CF">
        <w:rPr>
          <w:rFonts w:ascii="Gill Sans" w:hAnsi="Gill Sans" w:cs="Gill Sans"/>
          <w:noProof/>
          <w:sz w:val="22"/>
          <w:szCs w:val="22"/>
          <w:lang w:val="en-GB"/>
        </w:rPr>
        <w:t xml:space="preserve">the draft </w:t>
      </w:r>
      <w:r w:rsidRPr="00BD3B00">
        <w:rPr>
          <w:rFonts w:ascii="Gill Sans" w:hAnsi="Gill Sans" w:cs="Gill Sans"/>
          <w:noProof/>
          <w:sz w:val="22"/>
          <w:szCs w:val="22"/>
          <w:lang w:val="en-GB"/>
        </w:rPr>
        <w:t>a number of times.</w:t>
      </w:r>
      <w:r w:rsidR="003E2313" w:rsidRPr="00BD3B00">
        <w:rPr>
          <w:rFonts w:ascii="Gill Sans" w:hAnsi="Gill Sans" w:cs="Gill Sans"/>
          <w:noProof/>
          <w:sz w:val="22"/>
          <w:szCs w:val="22"/>
          <w:lang w:val="en-GB"/>
        </w:rPr>
        <w:t xml:space="preserve"> </w:t>
      </w:r>
      <w:r w:rsidR="009F73E0">
        <w:rPr>
          <w:rFonts w:ascii="Gill Sans" w:hAnsi="Gill Sans" w:cs="Gill Sans"/>
          <w:noProof/>
          <w:sz w:val="22"/>
          <w:szCs w:val="22"/>
          <w:lang w:val="en-GB"/>
        </w:rPr>
        <w:t>International anti-corruption monitoring mechanisms (</w:t>
      </w:r>
      <w:r w:rsidR="000772E8">
        <w:rPr>
          <w:rFonts w:ascii="Gill Sans" w:hAnsi="Gill Sans" w:cs="Gill Sans"/>
          <w:noProof/>
          <w:sz w:val="22"/>
          <w:szCs w:val="22"/>
        </w:rPr>
        <w:t xml:space="preserve">Council of Europe’s </w:t>
      </w:r>
      <w:r w:rsidRPr="00BD3B00">
        <w:rPr>
          <w:rFonts w:ascii="Gill Sans" w:hAnsi="Gill Sans" w:cs="Gill Sans"/>
          <w:noProof/>
          <w:sz w:val="22"/>
          <w:szCs w:val="22"/>
          <w:lang w:val="en-GB"/>
        </w:rPr>
        <w:t>Group of States against Corruption</w:t>
      </w:r>
      <w:r w:rsidR="00E8083B">
        <w:rPr>
          <w:rFonts w:ascii="Gill Sans" w:hAnsi="Gill Sans" w:cs="Gill Sans"/>
          <w:noProof/>
          <w:sz w:val="22"/>
          <w:szCs w:val="22"/>
          <w:lang w:val="en-GB"/>
        </w:rPr>
        <w:t>,</w:t>
      </w:r>
      <w:r w:rsidRPr="00BD3B00">
        <w:rPr>
          <w:rFonts w:ascii="Gill Sans" w:hAnsi="Gill Sans" w:cs="Gill Sans"/>
          <w:noProof/>
          <w:sz w:val="22"/>
          <w:szCs w:val="22"/>
          <w:lang w:val="en-GB"/>
        </w:rPr>
        <w:t xml:space="preserve"> </w:t>
      </w:r>
      <w:r w:rsidR="00E8083B">
        <w:rPr>
          <w:rFonts w:ascii="Gill Sans" w:hAnsi="Gill Sans" w:cs="Gill Sans"/>
          <w:noProof/>
          <w:sz w:val="22"/>
          <w:szCs w:val="22"/>
          <w:lang w:val="en-GB"/>
        </w:rPr>
        <w:t>OECD’s</w:t>
      </w:r>
      <w:r w:rsidR="00E8083B" w:rsidRPr="00BD3B00">
        <w:rPr>
          <w:rFonts w:ascii="Gill Sans" w:hAnsi="Gill Sans" w:cs="Gill Sans"/>
          <w:noProof/>
          <w:sz w:val="22"/>
          <w:szCs w:val="22"/>
          <w:lang w:val="en-GB"/>
        </w:rPr>
        <w:t xml:space="preserve"> Anti-Corruption Network for Eastern Europe and Central Asia</w:t>
      </w:r>
      <w:r w:rsidR="000772E8">
        <w:rPr>
          <w:rFonts w:ascii="Gill Sans" w:hAnsi="Gill Sans" w:cs="Gill Sans"/>
          <w:noProof/>
          <w:sz w:val="22"/>
          <w:szCs w:val="22"/>
          <w:lang w:val="en-GB"/>
        </w:rPr>
        <w:t xml:space="preserve"> under the</w:t>
      </w:r>
      <w:r w:rsidR="00E8083B" w:rsidRPr="00BD3B00">
        <w:rPr>
          <w:rFonts w:ascii="Gill Sans" w:hAnsi="Gill Sans" w:cs="Gill Sans"/>
          <w:noProof/>
          <w:sz w:val="22"/>
          <w:szCs w:val="22"/>
          <w:lang w:val="en-GB"/>
        </w:rPr>
        <w:t xml:space="preserve"> Istanbul Action Plan</w:t>
      </w:r>
      <w:r w:rsidR="003C61C9">
        <w:rPr>
          <w:rStyle w:val="EndnoteReference"/>
          <w:rFonts w:ascii="Gill Sans" w:hAnsi="Gill Sans" w:cs="Gill Sans"/>
          <w:noProof/>
          <w:sz w:val="22"/>
          <w:szCs w:val="22"/>
          <w:lang w:val="en-GB"/>
        </w:rPr>
        <w:endnoteReference w:id="65"/>
      </w:r>
      <w:r w:rsidR="00E8083B">
        <w:rPr>
          <w:rFonts w:ascii="Gill Sans" w:hAnsi="Gill Sans" w:cs="Gill Sans"/>
          <w:noProof/>
          <w:sz w:val="22"/>
          <w:szCs w:val="22"/>
          <w:lang w:val="en-GB"/>
        </w:rPr>
        <w:t>)</w:t>
      </w:r>
      <w:r w:rsidR="00E8083B" w:rsidRPr="00BD3B00">
        <w:rPr>
          <w:rFonts w:ascii="Gill Sans" w:hAnsi="Gill Sans" w:cs="Gill Sans"/>
          <w:noProof/>
          <w:sz w:val="22"/>
          <w:szCs w:val="22"/>
          <w:lang w:val="en-GB"/>
        </w:rPr>
        <w:t xml:space="preserve"> </w:t>
      </w:r>
      <w:r w:rsidRPr="00BD3B00">
        <w:rPr>
          <w:rFonts w:ascii="Gill Sans" w:hAnsi="Gill Sans" w:cs="Gill Sans"/>
          <w:noProof/>
          <w:sz w:val="22"/>
          <w:szCs w:val="22"/>
          <w:lang w:val="en-GB"/>
        </w:rPr>
        <w:t xml:space="preserve">recommended that Ukraine adopt a clear set of rules </w:t>
      </w:r>
      <w:r w:rsidRPr="00BD3B00">
        <w:rPr>
          <w:rFonts w:ascii="Gill Sans" w:hAnsi="Gill Sans" w:cs="Gill Sans"/>
          <w:noProof/>
          <w:sz w:val="22"/>
          <w:szCs w:val="22"/>
          <w:lang w:val="en-GB"/>
        </w:rPr>
        <w:lastRenderedPageBreak/>
        <w:t>governing</w:t>
      </w:r>
      <w:r w:rsidR="001B6779">
        <w:rPr>
          <w:rFonts w:ascii="Gill Sans" w:hAnsi="Gill Sans" w:cs="Gill Sans"/>
          <w:noProof/>
          <w:sz w:val="22"/>
          <w:szCs w:val="22"/>
          <w:lang w:val="en-GB"/>
        </w:rPr>
        <w:t xml:space="preserve"> the</w:t>
      </w:r>
      <w:r w:rsidRPr="00BD3B00">
        <w:rPr>
          <w:rFonts w:ascii="Gill Sans" w:hAnsi="Gill Sans" w:cs="Gill Sans"/>
          <w:noProof/>
          <w:sz w:val="22"/>
          <w:szCs w:val="22"/>
          <w:lang w:val="en-GB"/>
        </w:rPr>
        <w:t xml:space="preserve"> administrative process and decision making</w:t>
      </w:r>
      <w:r w:rsidR="00E8083B">
        <w:rPr>
          <w:rFonts w:ascii="Gill Sans" w:hAnsi="Gill Sans" w:cs="Gill Sans"/>
          <w:noProof/>
          <w:sz w:val="22"/>
          <w:szCs w:val="22"/>
          <w:lang w:val="en-GB"/>
        </w:rPr>
        <w:t>.</w:t>
      </w:r>
      <w:r w:rsidRPr="00BD3B00">
        <w:rPr>
          <w:rStyle w:val="EndnoteReference"/>
          <w:rFonts w:ascii="Gill Sans" w:hAnsi="Gill Sans" w:cs="Gill Sans"/>
          <w:noProof/>
          <w:sz w:val="22"/>
          <w:szCs w:val="22"/>
          <w:lang w:val="en-GB"/>
        </w:rPr>
        <w:endnoteReference w:id="66"/>
      </w:r>
      <w:r w:rsidRPr="00BD3B00">
        <w:rPr>
          <w:rFonts w:ascii="Gill Sans" w:hAnsi="Gill Sans" w:cs="Gill Sans"/>
          <w:noProof/>
          <w:sz w:val="22"/>
          <w:szCs w:val="22"/>
          <w:lang w:val="en-GB"/>
        </w:rPr>
        <w:t xml:space="preserve"> A number of official action plans included commitments to develop and adopt an administrative procedures law</w:t>
      </w:r>
      <w:r w:rsidR="00E8083B">
        <w:rPr>
          <w:rFonts w:ascii="Gill Sans" w:hAnsi="Gill Sans" w:cs="Gill Sans"/>
          <w:noProof/>
          <w:sz w:val="22"/>
          <w:szCs w:val="22"/>
          <w:lang w:val="en-GB"/>
        </w:rPr>
        <w:t>.</w:t>
      </w:r>
      <w:r w:rsidRPr="00BD3B00">
        <w:rPr>
          <w:rStyle w:val="EndnoteReference"/>
          <w:rFonts w:ascii="Gill Sans" w:hAnsi="Gill Sans" w:cs="Gill Sans"/>
          <w:noProof/>
          <w:sz w:val="22"/>
          <w:szCs w:val="22"/>
          <w:lang w:val="en-GB"/>
        </w:rPr>
        <w:endnoteReference w:id="67"/>
      </w:r>
      <w:r w:rsidRPr="00BD3B00">
        <w:rPr>
          <w:rFonts w:ascii="Gill Sans" w:hAnsi="Gill Sans" w:cs="Gill Sans"/>
          <w:noProof/>
          <w:sz w:val="22"/>
          <w:szCs w:val="22"/>
          <w:lang w:val="en-GB"/>
        </w:rPr>
        <w:t xml:space="preserve"> </w:t>
      </w:r>
    </w:p>
    <w:p w14:paraId="2A0CCFF7" w14:textId="7914C28E" w:rsidR="00EB22DF" w:rsidRPr="00BD3B00" w:rsidRDefault="006B4829" w:rsidP="007C4F60">
      <w:pPr>
        <w:spacing w:after="120"/>
        <w:rPr>
          <w:rFonts w:ascii="Gill Sans" w:hAnsi="Gill Sans" w:cs="Gill Sans"/>
          <w:noProof/>
          <w:sz w:val="22"/>
          <w:szCs w:val="22"/>
          <w:lang w:val="en-GB"/>
        </w:rPr>
      </w:pPr>
      <w:r w:rsidRPr="00BD3B00">
        <w:rPr>
          <w:rFonts w:ascii="Gill Sans" w:hAnsi="Gill Sans" w:cs="Gill Sans"/>
          <w:sz w:val="22"/>
          <w:szCs w:val="22"/>
          <w:lang w:val="en-GB"/>
        </w:rPr>
        <w:t xml:space="preserve">The government reported that the Ministry of Justice had prepared </w:t>
      </w:r>
      <w:r w:rsidR="007C4F60">
        <w:rPr>
          <w:rFonts w:ascii="Gill Sans" w:hAnsi="Gill Sans" w:cs="Gill Sans"/>
          <w:sz w:val="22"/>
          <w:szCs w:val="22"/>
          <w:lang w:val="en-GB"/>
        </w:rPr>
        <w:t>a</w:t>
      </w:r>
      <w:r w:rsidR="007C4F60" w:rsidRPr="00BD3B00">
        <w:rPr>
          <w:rFonts w:ascii="Gill Sans" w:hAnsi="Gill Sans" w:cs="Gill Sans"/>
          <w:sz w:val="22"/>
          <w:szCs w:val="22"/>
          <w:lang w:val="en-GB"/>
        </w:rPr>
        <w:t xml:space="preserve"> </w:t>
      </w:r>
      <w:r w:rsidRPr="00BD3B00">
        <w:rPr>
          <w:rFonts w:ascii="Gill Sans" w:hAnsi="Gill Sans" w:cs="Gill Sans"/>
          <w:sz w:val="22"/>
          <w:szCs w:val="22"/>
          <w:lang w:val="en-GB"/>
        </w:rPr>
        <w:t>draft law on administrative procedure</w:t>
      </w:r>
      <w:r w:rsidR="003B41F1">
        <w:rPr>
          <w:rFonts w:ascii="Gill Sans" w:hAnsi="Gill Sans" w:cs="Gill Sans"/>
          <w:sz w:val="22"/>
          <w:szCs w:val="22"/>
          <w:lang w:val="en-GB"/>
        </w:rPr>
        <w:t>, which took</w:t>
      </w:r>
      <w:r w:rsidRPr="00BD3B00">
        <w:rPr>
          <w:rFonts w:ascii="Gill Sans" w:hAnsi="Gill Sans" w:cs="Gill Sans"/>
          <w:sz w:val="22"/>
          <w:szCs w:val="22"/>
          <w:lang w:val="en-GB"/>
        </w:rPr>
        <w:t xml:space="preserve"> into account international practice, comments of </w:t>
      </w:r>
      <w:r w:rsidR="00D04B53">
        <w:rPr>
          <w:rFonts w:ascii="Gill Sans" w:hAnsi="Gill Sans" w:cs="Gill Sans"/>
          <w:sz w:val="22"/>
          <w:szCs w:val="22"/>
          <w:lang w:val="en-GB"/>
        </w:rPr>
        <w:t xml:space="preserve">the </w:t>
      </w:r>
      <w:r w:rsidR="00731BFB" w:rsidRPr="00BD3B00">
        <w:rPr>
          <w:rFonts w:ascii="Gill Sans" w:hAnsi="Gill Sans" w:cs="Gill Sans"/>
          <w:sz w:val="22"/>
          <w:szCs w:val="22"/>
          <w:lang w:val="en-GB"/>
        </w:rPr>
        <w:t xml:space="preserve">EU/OECD </w:t>
      </w:r>
      <w:r w:rsidRPr="00BD3B00">
        <w:rPr>
          <w:rFonts w:ascii="Gill Sans" w:hAnsi="Gill Sans" w:cs="Gill Sans"/>
          <w:sz w:val="22"/>
          <w:szCs w:val="22"/>
          <w:lang w:val="en-GB"/>
        </w:rPr>
        <w:t>SIGMA</w:t>
      </w:r>
      <w:r w:rsidR="00731BFB" w:rsidRPr="00BD3B00">
        <w:rPr>
          <w:rFonts w:ascii="Gill Sans" w:hAnsi="Gill Sans" w:cs="Gill Sans"/>
          <w:sz w:val="22"/>
          <w:szCs w:val="22"/>
          <w:lang w:val="en-GB"/>
        </w:rPr>
        <w:t xml:space="preserve"> Programme</w:t>
      </w:r>
      <w:r w:rsidRPr="00BD3B00">
        <w:rPr>
          <w:rFonts w:ascii="Gill Sans" w:hAnsi="Gill Sans" w:cs="Gill Sans"/>
          <w:sz w:val="22"/>
          <w:szCs w:val="22"/>
          <w:lang w:val="en-GB"/>
        </w:rPr>
        <w:t xml:space="preserve">, and comments </w:t>
      </w:r>
      <w:r w:rsidR="001176C7">
        <w:rPr>
          <w:rFonts w:ascii="Gill Sans" w:hAnsi="Gill Sans" w:cs="Gill Sans"/>
          <w:sz w:val="22"/>
          <w:szCs w:val="22"/>
          <w:lang w:val="en-GB"/>
        </w:rPr>
        <w:t>from</w:t>
      </w:r>
      <w:r w:rsidR="001176C7" w:rsidRPr="00BD3B00">
        <w:rPr>
          <w:rFonts w:ascii="Gill Sans" w:hAnsi="Gill Sans" w:cs="Gill Sans"/>
          <w:sz w:val="22"/>
          <w:szCs w:val="22"/>
          <w:lang w:val="en-GB"/>
        </w:rPr>
        <w:t xml:space="preserve"> </w:t>
      </w:r>
      <w:r w:rsidRPr="00BD3B00">
        <w:rPr>
          <w:rFonts w:ascii="Gill Sans" w:hAnsi="Gill Sans" w:cs="Gill Sans"/>
          <w:sz w:val="22"/>
          <w:szCs w:val="22"/>
          <w:lang w:val="en-GB"/>
        </w:rPr>
        <w:t>members of the working group set up</w:t>
      </w:r>
      <w:r w:rsidR="00C11C07">
        <w:rPr>
          <w:rFonts w:ascii="Gill Sans" w:hAnsi="Gill Sans" w:cs="Gill Sans"/>
          <w:sz w:val="22"/>
          <w:szCs w:val="22"/>
          <w:lang w:val="en-GB"/>
        </w:rPr>
        <w:t xml:space="preserve"> by the </w:t>
      </w:r>
      <w:r w:rsidR="00C11C07" w:rsidRPr="00BD3B00">
        <w:rPr>
          <w:rFonts w:ascii="Gill Sans" w:hAnsi="Gill Sans" w:cs="Gill Sans"/>
          <w:sz w:val="22"/>
          <w:szCs w:val="22"/>
          <w:lang w:val="en-GB"/>
        </w:rPr>
        <w:t>ministry</w:t>
      </w:r>
      <w:r w:rsidRPr="00BD3B00">
        <w:rPr>
          <w:rFonts w:ascii="Gill Sans" w:hAnsi="Gill Sans" w:cs="Gill Sans"/>
          <w:sz w:val="22"/>
          <w:szCs w:val="22"/>
          <w:lang w:val="en-GB"/>
        </w:rPr>
        <w:t xml:space="preserve"> in 2014. The ministry submitted the draft law to the government in January 2015, but it was returned for revision in March 2015. In August</w:t>
      </w:r>
      <w:r w:rsidR="0068256B">
        <w:rPr>
          <w:rFonts w:ascii="Gill Sans" w:hAnsi="Gill Sans" w:cs="Gill Sans"/>
          <w:sz w:val="22"/>
          <w:szCs w:val="22"/>
          <w:lang w:val="en-GB"/>
        </w:rPr>
        <w:t xml:space="preserve"> 2015</w:t>
      </w:r>
      <w:r w:rsidRPr="00BD3B00">
        <w:rPr>
          <w:rFonts w:ascii="Gill Sans" w:hAnsi="Gill Sans" w:cs="Gill Sans"/>
          <w:sz w:val="22"/>
          <w:szCs w:val="22"/>
          <w:lang w:val="en-GB"/>
        </w:rPr>
        <w:t>, the ministry re-submitted the draft law to the government, but it was again returned to the ministry.</w:t>
      </w:r>
      <w:r w:rsidR="00EB22DF" w:rsidRPr="00BD3B00">
        <w:rPr>
          <w:rStyle w:val="EndnoteReference"/>
          <w:rFonts w:ascii="Gill Sans" w:hAnsi="Gill Sans" w:cs="Gill Sans"/>
          <w:noProof/>
          <w:sz w:val="22"/>
          <w:szCs w:val="22"/>
          <w:lang w:val="en-GB"/>
        </w:rPr>
        <w:endnoteReference w:id="68"/>
      </w:r>
    </w:p>
    <w:p w14:paraId="07D5DF56" w14:textId="7B12BCB9" w:rsidR="00EB22DF" w:rsidRPr="00662C6C" w:rsidRDefault="00EB22DF" w:rsidP="00EB22DF">
      <w:pPr>
        <w:pStyle w:val="Normalrglronly"/>
        <w:rPr>
          <w:b/>
          <w:lang w:val="en-US"/>
        </w:rPr>
      </w:pPr>
      <w:r w:rsidRPr="00662C6C">
        <w:rPr>
          <w:b/>
          <w:lang w:val="en-GB"/>
        </w:rPr>
        <w:t xml:space="preserve">End of term: </w:t>
      </w:r>
      <w:r w:rsidR="007A7581" w:rsidRPr="00BD3B00">
        <w:rPr>
          <w:b/>
          <w:lang w:val="en-GB"/>
        </w:rPr>
        <w:t>Limited</w:t>
      </w:r>
    </w:p>
    <w:p w14:paraId="32E5A75B" w14:textId="0AFB593B" w:rsidR="00EB22DF" w:rsidRPr="00161CF6" w:rsidRDefault="004A0579" w:rsidP="007729D3">
      <w:pPr>
        <w:spacing w:after="120"/>
        <w:rPr>
          <w:rFonts w:ascii="Gill Sans" w:hAnsi="Gill Sans" w:cs="Gill Sans"/>
          <w:noProof/>
          <w:sz w:val="22"/>
          <w:szCs w:val="22"/>
          <w:lang w:val="en-GB"/>
        </w:rPr>
      </w:pPr>
      <w:r>
        <w:rPr>
          <w:rFonts w:ascii="Gill Sans" w:hAnsi="Gill Sans" w:cs="Gill Sans"/>
          <w:noProof/>
          <w:sz w:val="22"/>
          <w:szCs w:val="22"/>
          <w:lang w:val="en-GB"/>
        </w:rPr>
        <w:t xml:space="preserve">The </w:t>
      </w:r>
      <w:r w:rsidR="00C11C07">
        <w:rPr>
          <w:rFonts w:ascii="Gill Sans" w:hAnsi="Gill Sans" w:cs="Gill Sans"/>
          <w:noProof/>
          <w:sz w:val="22"/>
          <w:szCs w:val="22"/>
          <w:lang w:val="en-GB"/>
        </w:rPr>
        <w:t>g</w:t>
      </w:r>
      <w:r>
        <w:rPr>
          <w:rFonts w:ascii="Gill Sans" w:hAnsi="Gill Sans" w:cs="Gill Sans"/>
          <w:noProof/>
          <w:sz w:val="22"/>
          <w:szCs w:val="22"/>
          <w:lang w:val="en-GB"/>
        </w:rPr>
        <w:t>overnment failed to achi</w:t>
      </w:r>
      <w:r w:rsidR="00C11C07">
        <w:rPr>
          <w:rFonts w:ascii="Gill Sans" w:hAnsi="Gill Sans" w:cs="Gill Sans"/>
          <w:noProof/>
          <w:sz w:val="22"/>
          <w:szCs w:val="22"/>
          <w:lang w:val="en-GB"/>
        </w:rPr>
        <w:t>e</w:t>
      </w:r>
      <w:r>
        <w:rPr>
          <w:rFonts w:ascii="Gill Sans" w:hAnsi="Gill Sans" w:cs="Gill Sans"/>
          <w:noProof/>
          <w:sz w:val="22"/>
          <w:szCs w:val="22"/>
          <w:lang w:val="en-GB"/>
        </w:rPr>
        <w:t xml:space="preserve">ve progress </w:t>
      </w:r>
      <w:r w:rsidR="00C11C07">
        <w:rPr>
          <w:rFonts w:ascii="Gill Sans" w:hAnsi="Gill Sans" w:cs="Gill Sans"/>
          <w:noProof/>
          <w:sz w:val="22"/>
          <w:szCs w:val="22"/>
          <w:lang w:val="en-GB"/>
        </w:rPr>
        <w:t>in</w:t>
      </w:r>
      <w:r>
        <w:rPr>
          <w:rFonts w:ascii="Gill Sans" w:hAnsi="Gill Sans" w:cs="Gill Sans"/>
          <w:noProof/>
          <w:sz w:val="22"/>
          <w:szCs w:val="22"/>
          <w:lang w:val="en-GB"/>
        </w:rPr>
        <w:t xml:space="preserve"> implement</w:t>
      </w:r>
      <w:r w:rsidR="00C11C07">
        <w:rPr>
          <w:rFonts w:ascii="Gill Sans" w:hAnsi="Gill Sans" w:cs="Gill Sans"/>
          <w:noProof/>
          <w:sz w:val="22"/>
          <w:szCs w:val="22"/>
          <w:lang w:val="en-GB"/>
        </w:rPr>
        <w:t>ing</w:t>
      </w:r>
      <w:r>
        <w:rPr>
          <w:rFonts w:ascii="Gill Sans" w:hAnsi="Gill Sans" w:cs="Gill Sans"/>
          <w:noProof/>
          <w:sz w:val="22"/>
          <w:szCs w:val="22"/>
          <w:lang w:val="en-GB"/>
        </w:rPr>
        <w:t xml:space="preserve"> this commitment since the </w:t>
      </w:r>
      <w:r w:rsidR="00C11C07">
        <w:rPr>
          <w:rFonts w:ascii="Gill Sans" w:hAnsi="Gill Sans" w:cs="Gill Sans"/>
          <w:noProof/>
          <w:sz w:val="22"/>
          <w:szCs w:val="22"/>
          <w:lang w:val="en-GB"/>
        </w:rPr>
        <w:t xml:space="preserve">midterm </w:t>
      </w:r>
      <w:r>
        <w:rPr>
          <w:rFonts w:ascii="Gill Sans" w:hAnsi="Gill Sans" w:cs="Gill Sans"/>
          <w:noProof/>
          <w:sz w:val="22"/>
          <w:szCs w:val="22"/>
          <w:lang w:val="en-GB"/>
        </w:rPr>
        <w:t xml:space="preserve">report. </w:t>
      </w:r>
      <w:r w:rsidR="00C11C07">
        <w:rPr>
          <w:rFonts w:ascii="Gill Sans" w:hAnsi="Gill Sans" w:cs="Gill Sans"/>
          <w:noProof/>
          <w:sz w:val="22"/>
          <w:szCs w:val="22"/>
          <w:lang w:val="en-GB"/>
        </w:rPr>
        <w:t>I</w:t>
      </w:r>
      <w:r>
        <w:rPr>
          <w:rFonts w:ascii="Gill Sans" w:hAnsi="Gill Sans" w:cs="Gill Sans"/>
          <w:noProof/>
          <w:sz w:val="22"/>
          <w:szCs w:val="22"/>
          <w:lang w:val="en-GB"/>
        </w:rPr>
        <w:t>n June 2016</w:t>
      </w:r>
      <w:r w:rsidR="00C11C07">
        <w:rPr>
          <w:rFonts w:ascii="Gill Sans" w:hAnsi="Gill Sans" w:cs="Gill Sans"/>
          <w:noProof/>
          <w:sz w:val="22"/>
          <w:szCs w:val="22"/>
          <w:lang w:val="en-GB"/>
        </w:rPr>
        <w:t>,</w:t>
      </w:r>
      <w:r>
        <w:rPr>
          <w:rFonts w:ascii="Gill Sans" w:hAnsi="Gill Sans" w:cs="Gill Sans"/>
          <w:noProof/>
          <w:sz w:val="22"/>
          <w:szCs w:val="22"/>
          <w:lang w:val="en-GB"/>
        </w:rPr>
        <w:t xml:space="preserve"> </w:t>
      </w:r>
      <w:r w:rsidR="00C11C07">
        <w:rPr>
          <w:rFonts w:ascii="Gill Sans" w:hAnsi="Gill Sans" w:cs="Gill Sans"/>
          <w:noProof/>
          <w:sz w:val="22"/>
          <w:szCs w:val="22"/>
          <w:lang w:val="en-GB"/>
        </w:rPr>
        <w:t xml:space="preserve">it </w:t>
      </w:r>
      <w:r>
        <w:rPr>
          <w:rFonts w:ascii="Gill Sans" w:hAnsi="Gill Sans" w:cs="Gill Sans"/>
          <w:noProof/>
          <w:sz w:val="22"/>
          <w:szCs w:val="22"/>
          <w:lang w:val="en-GB"/>
        </w:rPr>
        <w:t xml:space="preserve">adopted </w:t>
      </w:r>
      <w:r w:rsidR="00C11C07">
        <w:rPr>
          <w:rFonts w:ascii="Gill Sans" w:hAnsi="Gill Sans" w:cs="Gill Sans"/>
          <w:noProof/>
          <w:sz w:val="22"/>
          <w:szCs w:val="22"/>
          <w:lang w:val="en-GB"/>
        </w:rPr>
        <w:t xml:space="preserve">the </w:t>
      </w:r>
      <w:r>
        <w:rPr>
          <w:rFonts w:ascii="Gill Sans" w:hAnsi="Gill Sans" w:cs="Gill Sans"/>
          <w:noProof/>
          <w:sz w:val="22"/>
          <w:szCs w:val="22"/>
          <w:lang w:val="en-GB"/>
        </w:rPr>
        <w:t xml:space="preserve">Strategy for </w:t>
      </w:r>
      <w:r w:rsidR="0020660D">
        <w:rPr>
          <w:rFonts w:ascii="Gill Sans" w:hAnsi="Gill Sans" w:cs="Gill Sans"/>
          <w:noProof/>
          <w:sz w:val="22"/>
          <w:szCs w:val="22"/>
          <w:lang w:val="en-GB"/>
        </w:rPr>
        <w:t>R</w:t>
      </w:r>
      <w:r>
        <w:rPr>
          <w:rFonts w:ascii="Gill Sans" w:hAnsi="Gill Sans" w:cs="Gill Sans"/>
          <w:noProof/>
          <w:sz w:val="22"/>
          <w:szCs w:val="22"/>
          <w:lang w:val="en-GB"/>
        </w:rPr>
        <w:t xml:space="preserve">eforming </w:t>
      </w:r>
      <w:r w:rsidR="0020660D">
        <w:rPr>
          <w:rFonts w:ascii="Gill Sans" w:hAnsi="Gill Sans" w:cs="Gill Sans"/>
          <w:noProof/>
          <w:sz w:val="22"/>
          <w:szCs w:val="22"/>
          <w:lang w:val="en-GB"/>
        </w:rPr>
        <w:t>P</w:t>
      </w:r>
      <w:r>
        <w:rPr>
          <w:rFonts w:ascii="Gill Sans" w:hAnsi="Gill Sans" w:cs="Gill Sans"/>
          <w:noProof/>
          <w:sz w:val="22"/>
          <w:szCs w:val="22"/>
          <w:lang w:val="en-GB"/>
        </w:rPr>
        <w:t xml:space="preserve">ublic </w:t>
      </w:r>
      <w:r w:rsidR="0020660D">
        <w:rPr>
          <w:rFonts w:ascii="Gill Sans" w:hAnsi="Gill Sans" w:cs="Gill Sans"/>
          <w:noProof/>
          <w:sz w:val="22"/>
          <w:szCs w:val="22"/>
          <w:lang w:val="en-GB"/>
        </w:rPr>
        <w:t>G</w:t>
      </w:r>
      <w:r>
        <w:rPr>
          <w:rFonts w:ascii="Gill Sans" w:hAnsi="Gill Sans" w:cs="Gill Sans"/>
          <w:noProof/>
          <w:sz w:val="22"/>
          <w:szCs w:val="22"/>
          <w:lang w:val="en-GB"/>
        </w:rPr>
        <w:t>overnance in Ukraine in 2016-2020</w:t>
      </w:r>
      <w:r w:rsidR="00C11C07">
        <w:rPr>
          <w:rFonts w:ascii="Gill Sans" w:hAnsi="Gill Sans" w:cs="Gill Sans"/>
          <w:noProof/>
          <w:sz w:val="22"/>
          <w:szCs w:val="22"/>
          <w:lang w:val="en-GB"/>
        </w:rPr>
        <w:t>,</w:t>
      </w:r>
      <w:r>
        <w:rPr>
          <w:rFonts w:ascii="Gill Sans" w:hAnsi="Gill Sans" w:cs="Gill Sans"/>
          <w:noProof/>
          <w:sz w:val="22"/>
          <w:szCs w:val="22"/>
          <w:lang w:val="en-GB"/>
        </w:rPr>
        <w:t xml:space="preserve"> and </w:t>
      </w:r>
      <w:r w:rsidR="007729D3">
        <w:rPr>
          <w:rFonts w:ascii="Gill Sans" w:hAnsi="Gill Sans" w:cs="Gill Sans"/>
          <w:noProof/>
          <w:sz w:val="22"/>
          <w:szCs w:val="22"/>
          <w:lang w:val="en-GB"/>
        </w:rPr>
        <w:t>an action plan</w:t>
      </w:r>
      <w:r>
        <w:rPr>
          <w:rFonts w:ascii="Gill Sans" w:hAnsi="Gill Sans" w:cs="Gill Sans"/>
          <w:noProof/>
          <w:sz w:val="22"/>
          <w:szCs w:val="22"/>
          <w:lang w:val="en-GB"/>
        </w:rPr>
        <w:t xml:space="preserve"> to implement the </w:t>
      </w:r>
      <w:r w:rsidR="007C4F60">
        <w:rPr>
          <w:rFonts w:ascii="Gill Sans" w:hAnsi="Gill Sans" w:cs="Gill Sans"/>
          <w:noProof/>
          <w:sz w:val="22"/>
          <w:szCs w:val="22"/>
          <w:lang w:val="en-GB"/>
        </w:rPr>
        <w:t>s</w:t>
      </w:r>
      <w:r>
        <w:rPr>
          <w:rFonts w:ascii="Gill Sans" w:hAnsi="Gill Sans" w:cs="Gill Sans"/>
          <w:noProof/>
          <w:sz w:val="22"/>
          <w:szCs w:val="22"/>
          <w:lang w:val="en-GB"/>
        </w:rPr>
        <w:t>tr</w:t>
      </w:r>
      <w:r w:rsidR="0068256B">
        <w:rPr>
          <w:rFonts w:ascii="Gill Sans" w:hAnsi="Gill Sans" w:cs="Gill Sans"/>
          <w:noProof/>
          <w:sz w:val="22"/>
          <w:szCs w:val="22"/>
          <w:lang w:val="en-GB"/>
        </w:rPr>
        <w:t>ategy. The action plan postponed</w:t>
      </w:r>
      <w:r w:rsidR="007C4F60">
        <w:rPr>
          <w:rFonts w:ascii="Gill Sans" w:hAnsi="Gill Sans" w:cs="Gill Sans"/>
          <w:noProof/>
          <w:sz w:val="22"/>
          <w:szCs w:val="22"/>
          <w:lang w:val="en-GB"/>
        </w:rPr>
        <w:t xml:space="preserve"> the</w:t>
      </w:r>
      <w:r>
        <w:rPr>
          <w:rFonts w:ascii="Gill Sans" w:hAnsi="Gill Sans" w:cs="Gill Sans"/>
          <w:noProof/>
          <w:sz w:val="22"/>
          <w:szCs w:val="22"/>
          <w:lang w:val="en-GB"/>
        </w:rPr>
        <w:t xml:space="preserve"> development of the Law on Administrative Procedure </w:t>
      </w:r>
      <w:r w:rsidR="00C11C07">
        <w:rPr>
          <w:rFonts w:ascii="Gill Sans" w:hAnsi="Gill Sans" w:cs="Gill Sans"/>
          <w:noProof/>
          <w:sz w:val="22"/>
          <w:szCs w:val="22"/>
          <w:lang w:val="en-GB"/>
        </w:rPr>
        <w:t xml:space="preserve">until </w:t>
      </w:r>
      <w:r w:rsidRPr="00161CF6">
        <w:rPr>
          <w:rFonts w:ascii="Gill Sans" w:hAnsi="Gill Sans" w:cs="Gill Sans"/>
          <w:noProof/>
          <w:sz w:val="22"/>
          <w:szCs w:val="22"/>
          <w:lang w:val="en-GB"/>
        </w:rPr>
        <w:t>mid-2018.</w:t>
      </w:r>
    </w:p>
    <w:p w14:paraId="2F5221FB" w14:textId="77777777" w:rsidR="00EB22DF" w:rsidRPr="00161CF6" w:rsidRDefault="00EB22DF" w:rsidP="006319F4">
      <w:pPr>
        <w:pStyle w:val="Heading3"/>
      </w:pPr>
      <w:r w:rsidRPr="00161CF6">
        <w:t>Did it open government?</w:t>
      </w:r>
    </w:p>
    <w:p w14:paraId="7CEE5E71" w14:textId="523535F3" w:rsidR="00EB22DF" w:rsidRPr="00161CF6" w:rsidRDefault="00EB22DF" w:rsidP="00163080">
      <w:pPr>
        <w:rPr>
          <w:rFonts w:ascii="Gill Sans" w:hAnsi="Gill Sans" w:cs="Gill Sans"/>
          <w:b/>
          <w:color w:val="000000" w:themeColor="text1"/>
          <w:sz w:val="22"/>
          <w:szCs w:val="22"/>
          <w:lang w:val="en-GB"/>
        </w:rPr>
      </w:pPr>
      <w:r w:rsidRPr="00161CF6">
        <w:rPr>
          <w:rFonts w:ascii="Gill Sans" w:hAnsi="Gill Sans" w:cs="Gill Sans"/>
          <w:b/>
          <w:color w:val="000000" w:themeColor="text1"/>
          <w:sz w:val="22"/>
          <w:szCs w:val="22"/>
          <w:lang w:val="en-GB"/>
        </w:rPr>
        <w:t xml:space="preserve">Access to information: </w:t>
      </w:r>
      <w:r w:rsidR="004A0579" w:rsidRPr="00161CF6">
        <w:rPr>
          <w:rFonts w:ascii="Gill Sans" w:hAnsi="Gill Sans" w:cs="Gill Sans"/>
          <w:b/>
          <w:color w:val="000000" w:themeColor="text1"/>
          <w:sz w:val="22"/>
          <w:szCs w:val="22"/>
          <w:lang w:val="en-GB"/>
        </w:rPr>
        <w:t>Did not change</w:t>
      </w:r>
    </w:p>
    <w:p w14:paraId="5FAA0119" w14:textId="0B7CA4C8" w:rsidR="00EB22DF" w:rsidRPr="00161CF6" w:rsidRDefault="00EB22DF" w:rsidP="00161CF6">
      <w:pPr>
        <w:spacing w:after="120"/>
        <w:rPr>
          <w:rFonts w:ascii="Gill Sans" w:hAnsi="Gill Sans" w:cs="Gill Sans"/>
          <w:b/>
          <w:color w:val="000000" w:themeColor="text1"/>
          <w:sz w:val="22"/>
          <w:szCs w:val="22"/>
          <w:lang w:val="en-GB"/>
        </w:rPr>
      </w:pPr>
      <w:r w:rsidRPr="00161CF6">
        <w:rPr>
          <w:rFonts w:ascii="Gill Sans" w:hAnsi="Gill Sans" w:cs="Gill Sans"/>
          <w:b/>
          <w:color w:val="000000" w:themeColor="text1"/>
          <w:sz w:val="22"/>
          <w:szCs w:val="22"/>
          <w:lang w:val="en-GB"/>
        </w:rPr>
        <w:t xml:space="preserve">Public accountability: </w:t>
      </w:r>
      <w:r w:rsidR="004A0579" w:rsidRPr="00161CF6">
        <w:rPr>
          <w:rFonts w:ascii="Gill Sans" w:hAnsi="Gill Sans" w:cs="Gill Sans"/>
          <w:b/>
          <w:color w:val="000000" w:themeColor="text1"/>
          <w:sz w:val="22"/>
          <w:szCs w:val="22"/>
          <w:lang w:val="en-GB"/>
        </w:rPr>
        <w:t>Did not change</w:t>
      </w:r>
    </w:p>
    <w:p w14:paraId="62161B1D" w14:textId="729155BA" w:rsidR="004A0579" w:rsidRPr="00AE24E7" w:rsidRDefault="004A0579" w:rsidP="00C11C07">
      <w:pPr>
        <w:spacing w:after="120"/>
        <w:rPr>
          <w:rFonts w:ascii="Gill Sans" w:hAnsi="Gill Sans" w:cs="Gill Sans"/>
          <w:noProof/>
          <w:sz w:val="22"/>
          <w:szCs w:val="22"/>
        </w:rPr>
      </w:pPr>
      <w:r w:rsidRPr="00161CF6">
        <w:rPr>
          <w:rFonts w:ascii="Gill Sans" w:hAnsi="Gill Sans" w:cs="Gill Sans"/>
          <w:noProof/>
          <w:sz w:val="22"/>
          <w:szCs w:val="22"/>
          <w:lang w:val="en-GB"/>
        </w:rPr>
        <w:t>The Law o</w:t>
      </w:r>
      <w:r w:rsidR="007C4F60">
        <w:rPr>
          <w:rFonts w:ascii="Gill Sans" w:hAnsi="Gill Sans" w:cs="Gill Sans"/>
          <w:noProof/>
          <w:sz w:val="22"/>
          <w:szCs w:val="22"/>
          <w:lang w:val="en-GB"/>
        </w:rPr>
        <w:t>n</w:t>
      </w:r>
      <w:r w:rsidRPr="00161CF6">
        <w:rPr>
          <w:rFonts w:ascii="Gill Sans" w:hAnsi="Gill Sans" w:cs="Gill Sans"/>
          <w:noProof/>
          <w:sz w:val="22"/>
          <w:szCs w:val="22"/>
          <w:lang w:val="en-GB"/>
        </w:rPr>
        <w:t xml:space="preserve"> Administrative Procedure is an important piece of legislation </w:t>
      </w:r>
      <w:r w:rsidR="00C11C07">
        <w:rPr>
          <w:rFonts w:ascii="Gill Sans" w:hAnsi="Gill Sans" w:cs="Gill Sans"/>
          <w:noProof/>
          <w:sz w:val="22"/>
          <w:szCs w:val="22"/>
          <w:lang w:val="en-GB"/>
        </w:rPr>
        <w:t xml:space="preserve">that </w:t>
      </w:r>
      <w:r w:rsidRPr="00161CF6">
        <w:rPr>
          <w:rFonts w:ascii="Gill Sans" w:hAnsi="Gill Sans" w:cs="Gill Sans"/>
          <w:noProof/>
          <w:sz w:val="22"/>
          <w:szCs w:val="22"/>
          <w:lang w:val="en-GB"/>
        </w:rPr>
        <w:t>regulat</w:t>
      </w:r>
      <w:r w:rsidR="00C11C07">
        <w:rPr>
          <w:rFonts w:ascii="Gill Sans" w:hAnsi="Gill Sans" w:cs="Gill Sans"/>
          <w:noProof/>
          <w:sz w:val="22"/>
          <w:szCs w:val="22"/>
          <w:lang w:val="en-GB"/>
        </w:rPr>
        <w:t>es</w:t>
      </w:r>
      <w:r w:rsidRPr="00161CF6">
        <w:rPr>
          <w:rFonts w:ascii="Gill Sans" w:hAnsi="Gill Sans" w:cs="Gill Sans"/>
          <w:noProof/>
          <w:sz w:val="22"/>
          <w:szCs w:val="22"/>
          <w:lang w:val="en-GB"/>
        </w:rPr>
        <w:t xml:space="preserve"> the interaction </w:t>
      </w:r>
      <w:r w:rsidR="00C11C07">
        <w:rPr>
          <w:rFonts w:ascii="Gill Sans" w:hAnsi="Gill Sans" w:cs="Gill Sans"/>
          <w:noProof/>
          <w:sz w:val="22"/>
          <w:szCs w:val="22"/>
          <w:lang w:val="en-GB"/>
        </w:rPr>
        <w:t xml:space="preserve">between </w:t>
      </w:r>
      <w:r w:rsidRPr="00161CF6">
        <w:rPr>
          <w:rFonts w:ascii="Gill Sans" w:hAnsi="Gill Sans" w:cs="Gill Sans"/>
          <w:noProof/>
          <w:sz w:val="22"/>
          <w:szCs w:val="22"/>
          <w:lang w:val="en-GB"/>
        </w:rPr>
        <w:t xml:space="preserve">public </w:t>
      </w:r>
      <w:r w:rsidR="00C11C07">
        <w:rPr>
          <w:rFonts w:ascii="Gill Sans" w:hAnsi="Gill Sans" w:cs="Gill Sans"/>
          <w:noProof/>
          <w:sz w:val="22"/>
          <w:szCs w:val="22"/>
          <w:lang w:val="en-GB"/>
        </w:rPr>
        <w:t>officials and</w:t>
      </w:r>
      <w:r w:rsidRPr="00161CF6">
        <w:rPr>
          <w:rFonts w:ascii="Gill Sans" w:hAnsi="Gill Sans" w:cs="Gill Sans"/>
          <w:noProof/>
          <w:sz w:val="22"/>
          <w:szCs w:val="22"/>
          <w:lang w:val="en-GB"/>
        </w:rPr>
        <w:t xml:space="preserve"> individuals and legal entities, the processing of administrative cases, administrative appeals, etc. The law is essential for ensuring legal certainty and </w:t>
      </w:r>
      <w:r w:rsidR="0068256B">
        <w:rPr>
          <w:rFonts w:ascii="Gill Sans" w:hAnsi="Gill Sans" w:cs="Gill Sans"/>
          <w:noProof/>
          <w:sz w:val="22"/>
          <w:szCs w:val="22"/>
          <w:lang w:val="en-GB"/>
        </w:rPr>
        <w:t>safeguarding</w:t>
      </w:r>
      <w:r w:rsidRPr="00161CF6">
        <w:rPr>
          <w:rFonts w:ascii="Gill Sans" w:hAnsi="Gill Sans" w:cs="Gill Sans"/>
          <w:noProof/>
          <w:sz w:val="22"/>
          <w:szCs w:val="22"/>
          <w:lang w:val="en-GB"/>
        </w:rPr>
        <w:t xml:space="preserve"> </w:t>
      </w:r>
      <w:r w:rsidR="00C11C07">
        <w:rPr>
          <w:rFonts w:ascii="Gill Sans" w:hAnsi="Gill Sans" w:cs="Gill Sans"/>
          <w:noProof/>
          <w:sz w:val="22"/>
          <w:szCs w:val="22"/>
          <w:lang w:val="en-GB"/>
        </w:rPr>
        <w:t xml:space="preserve">the </w:t>
      </w:r>
      <w:r w:rsidRPr="00161CF6">
        <w:rPr>
          <w:rFonts w:ascii="Gill Sans" w:hAnsi="Gill Sans" w:cs="Gill Sans"/>
          <w:noProof/>
          <w:sz w:val="22"/>
          <w:szCs w:val="22"/>
          <w:lang w:val="en-GB"/>
        </w:rPr>
        <w:t>rights of persons in their interaction with the public administration</w:t>
      </w:r>
      <w:r w:rsidR="00AA1D76">
        <w:rPr>
          <w:rFonts w:ascii="Gill Sans" w:hAnsi="Gill Sans" w:cs="Gill Sans"/>
          <w:noProof/>
          <w:sz w:val="22"/>
          <w:szCs w:val="22"/>
          <w:lang w:val="en-GB"/>
        </w:rPr>
        <w:t>, including facilitating access to information and providing procedure</w:t>
      </w:r>
      <w:r w:rsidR="00C11C07">
        <w:rPr>
          <w:rFonts w:ascii="Gill Sans" w:hAnsi="Gill Sans" w:cs="Gill Sans"/>
          <w:noProof/>
          <w:sz w:val="22"/>
          <w:szCs w:val="22"/>
          <w:lang w:val="en-GB"/>
        </w:rPr>
        <w:t>s</w:t>
      </w:r>
      <w:r w:rsidR="00AA1D76">
        <w:rPr>
          <w:rFonts w:ascii="Gill Sans" w:hAnsi="Gill Sans" w:cs="Gill Sans"/>
          <w:noProof/>
          <w:sz w:val="22"/>
          <w:szCs w:val="22"/>
          <w:lang w:val="en-GB"/>
        </w:rPr>
        <w:t xml:space="preserve"> for challenging administrative decisions</w:t>
      </w:r>
      <w:r w:rsidRPr="00161CF6">
        <w:rPr>
          <w:rFonts w:ascii="Gill Sans" w:hAnsi="Gill Sans" w:cs="Gill Sans"/>
          <w:noProof/>
          <w:sz w:val="22"/>
          <w:szCs w:val="22"/>
          <w:lang w:val="en-GB"/>
        </w:rPr>
        <w:t>. The law is also important to ensur</w:t>
      </w:r>
      <w:r w:rsidR="00C11C07">
        <w:rPr>
          <w:rFonts w:ascii="Gill Sans" w:hAnsi="Gill Sans" w:cs="Gill Sans"/>
          <w:noProof/>
          <w:sz w:val="22"/>
          <w:szCs w:val="22"/>
          <w:lang w:val="en-GB"/>
        </w:rPr>
        <w:t>ing</w:t>
      </w:r>
      <w:r w:rsidRPr="00161CF6">
        <w:rPr>
          <w:rFonts w:ascii="Gill Sans" w:hAnsi="Gill Sans" w:cs="Gill Sans"/>
          <w:noProof/>
          <w:sz w:val="22"/>
          <w:szCs w:val="22"/>
          <w:lang w:val="en-GB"/>
        </w:rPr>
        <w:t xml:space="preserve"> the accountability of public authorities</w:t>
      </w:r>
      <w:r w:rsidR="007C4F60">
        <w:rPr>
          <w:rFonts w:ascii="Gill Sans" w:hAnsi="Gill Sans" w:cs="Gill Sans"/>
          <w:noProof/>
          <w:sz w:val="22"/>
          <w:szCs w:val="22"/>
          <w:lang w:val="en-GB"/>
        </w:rPr>
        <w:t>,</w:t>
      </w:r>
      <w:r w:rsidRPr="00161CF6">
        <w:rPr>
          <w:rFonts w:ascii="Gill Sans" w:hAnsi="Gill Sans" w:cs="Gill Sans"/>
          <w:noProof/>
          <w:sz w:val="22"/>
          <w:szCs w:val="22"/>
          <w:lang w:val="en-GB"/>
        </w:rPr>
        <w:t xml:space="preserve"> and limit</w:t>
      </w:r>
      <w:r w:rsidR="00C11C07">
        <w:rPr>
          <w:rFonts w:ascii="Gill Sans" w:hAnsi="Gill Sans" w:cs="Gill Sans"/>
          <w:noProof/>
          <w:sz w:val="22"/>
          <w:szCs w:val="22"/>
          <w:lang w:val="en-GB"/>
        </w:rPr>
        <w:t>ing</w:t>
      </w:r>
      <w:r w:rsidRPr="00161CF6">
        <w:rPr>
          <w:rFonts w:ascii="Gill Sans" w:hAnsi="Gill Sans" w:cs="Gill Sans"/>
          <w:noProof/>
          <w:sz w:val="22"/>
          <w:szCs w:val="22"/>
          <w:lang w:val="en-GB"/>
        </w:rPr>
        <w:t xml:space="preserve"> administrative discretion that fosters corruption. </w:t>
      </w:r>
      <w:r w:rsidR="007C4F60">
        <w:rPr>
          <w:rFonts w:ascii="Gill Sans" w:hAnsi="Gill Sans" w:cs="Gill Sans"/>
          <w:noProof/>
          <w:sz w:val="22"/>
          <w:szCs w:val="22"/>
          <w:lang w:val="en-GB"/>
        </w:rPr>
        <w:t>However, t</w:t>
      </w:r>
      <w:r w:rsidRPr="00161CF6">
        <w:rPr>
          <w:rFonts w:ascii="Gill Sans" w:hAnsi="Gill Sans" w:cs="Gill Sans"/>
          <w:noProof/>
          <w:sz w:val="22"/>
          <w:szCs w:val="22"/>
          <w:lang w:val="en-GB"/>
        </w:rPr>
        <w:t xml:space="preserve">he draft law has a long and unsuccessful history in Ukraine. As noted in the </w:t>
      </w:r>
      <w:r w:rsidR="0068256B">
        <w:rPr>
          <w:rFonts w:ascii="Gill Sans" w:hAnsi="Gill Sans" w:cs="Gill Sans"/>
          <w:noProof/>
          <w:sz w:val="22"/>
          <w:szCs w:val="22"/>
          <w:lang w:val="en-GB"/>
        </w:rPr>
        <w:t xml:space="preserve">IRM </w:t>
      </w:r>
      <w:r w:rsidRPr="00161CF6">
        <w:rPr>
          <w:rFonts w:ascii="Gill Sans" w:hAnsi="Gill Sans" w:cs="Gill Sans"/>
          <w:noProof/>
          <w:sz w:val="22"/>
          <w:szCs w:val="22"/>
          <w:lang w:val="en-GB"/>
        </w:rPr>
        <w:t xml:space="preserve">progress report, there appears to be a lack of understanding among high-level officials about the law’s importance as a basic legal act for public administration operations. Its history also shows that the government lacks genuine commitment and political will </w:t>
      </w:r>
      <w:r w:rsidR="00C11C07">
        <w:rPr>
          <w:rFonts w:ascii="Gill Sans" w:hAnsi="Gill Sans" w:cs="Gill Sans"/>
          <w:noProof/>
          <w:sz w:val="22"/>
          <w:szCs w:val="22"/>
          <w:lang w:val="en-GB"/>
        </w:rPr>
        <w:t>to</w:t>
      </w:r>
      <w:r w:rsidR="00C11C07" w:rsidRPr="00161CF6">
        <w:rPr>
          <w:rFonts w:ascii="Gill Sans" w:hAnsi="Gill Sans" w:cs="Gill Sans"/>
          <w:noProof/>
          <w:sz w:val="22"/>
          <w:szCs w:val="22"/>
          <w:lang w:val="en-GB"/>
        </w:rPr>
        <w:t xml:space="preserve"> </w:t>
      </w:r>
      <w:r w:rsidRPr="00161CF6">
        <w:rPr>
          <w:rFonts w:ascii="Gill Sans" w:hAnsi="Gill Sans" w:cs="Gill Sans"/>
          <w:noProof/>
          <w:sz w:val="22"/>
          <w:szCs w:val="22"/>
          <w:lang w:val="en-GB"/>
        </w:rPr>
        <w:t>adopt the law</w:t>
      </w:r>
      <w:r w:rsidR="00C11C07">
        <w:rPr>
          <w:rFonts w:ascii="Gill Sans" w:hAnsi="Gill Sans" w:cs="Gill Sans"/>
          <w:noProof/>
          <w:sz w:val="22"/>
          <w:szCs w:val="22"/>
          <w:lang w:val="en-GB"/>
        </w:rPr>
        <w:t>,</w:t>
      </w:r>
      <w:r w:rsidRPr="00161CF6">
        <w:rPr>
          <w:rFonts w:ascii="Gill Sans" w:hAnsi="Gill Sans" w:cs="Gill Sans"/>
          <w:noProof/>
          <w:sz w:val="22"/>
          <w:szCs w:val="22"/>
          <w:lang w:val="en-GB"/>
        </w:rPr>
        <w:t xml:space="preserve"> and deliberately delays its consideration.</w:t>
      </w:r>
      <w:r w:rsidRPr="00161CF6">
        <w:rPr>
          <w:rStyle w:val="EndnoteReference"/>
          <w:rFonts w:ascii="Gill Sans" w:hAnsi="Gill Sans" w:cs="Gill Sans"/>
          <w:noProof/>
          <w:sz w:val="22"/>
          <w:szCs w:val="22"/>
          <w:lang w:val="en-GB"/>
        </w:rPr>
        <w:endnoteReference w:id="69"/>
      </w:r>
      <w:r w:rsidR="001F4062">
        <w:rPr>
          <w:rFonts w:ascii="Gill Sans" w:hAnsi="Gill Sans" w:cs="Gill Sans"/>
          <w:noProof/>
          <w:sz w:val="22"/>
          <w:szCs w:val="22"/>
          <w:lang w:val="en-GB"/>
        </w:rPr>
        <w:t xml:space="preserve"> The latest </w:t>
      </w:r>
      <w:r w:rsidR="00C11C07">
        <w:rPr>
          <w:rFonts w:ascii="Gill Sans" w:hAnsi="Gill Sans" w:cs="Gill Sans"/>
          <w:noProof/>
          <w:sz w:val="22"/>
          <w:szCs w:val="22"/>
          <w:lang w:val="en-GB"/>
        </w:rPr>
        <w:t>g</w:t>
      </w:r>
      <w:r w:rsidR="001F4062">
        <w:rPr>
          <w:rFonts w:ascii="Gill Sans" w:hAnsi="Gill Sans" w:cs="Gill Sans"/>
          <w:noProof/>
          <w:sz w:val="22"/>
          <w:szCs w:val="22"/>
          <w:lang w:val="en-GB"/>
        </w:rPr>
        <w:t xml:space="preserve">overnment decision to postpone preparation of the draft law </w:t>
      </w:r>
      <w:r w:rsidR="00C11C07">
        <w:rPr>
          <w:rFonts w:ascii="Gill Sans" w:hAnsi="Gill Sans" w:cs="Gill Sans"/>
          <w:noProof/>
          <w:sz w:val="22"/>
          <w:szCs w:val="22"/>
          <w:lang w:val="en-GB"/>
        </w:rPr>
        <w:t xml:space="preserve">until </w:t>
      </w:r>
      <w:r w:rsidR="001F4062">
        <w:rPr>
          <w:rFonts w:ascii="Gill Sans" w:hAnsi="Gill Sans" w:cs="Gill Sans"/>
          <w:noProof/>
          <w:sz w:val="22"/>
          <w:szCs w:val="22"/>
          <w:lang w:val="en-GB"/>
        </w:rPr>
        <w:t>2018 confirms this assessment.</w:t>
      </w:r>
    </w:p>
    <w:p w14:paraId="4497B510" w14:textId="77777777" w:rsidR="00EB22DF" w:rsidRPr="00161CF6" w:rsidRDefault="00EB22DF" w:rsidP="006319F4">
      <w:pPr>
        <w:pStyle w:val="Heading3"/>
      </w:pPr>
      <w:r w:rsidRPr="00161CF6">
        <w:t>Carried forward?</w:t>
      </w:r>
    </w:p>
    <w:p w14:paraId="0B09FB1C" w14:textId="020E27BF" w:rsidR="00EB22DF" w:rsidRDefault="00EB22DF" w:rsidP="00161CF6">
      <w:pPr>
        <w:spacing w:after="120"/>
        <w:rPr>
          <w:rFonts w:ascii="Gill Sans" w:hAnsi="Gill Sans" w:cs="Gill Sans"/>
          <w:noProof/>
          <w:sz w:val="22"/>
          <w:szCs w:val="22"/>
          <w:lang w:val="en-GB"/>
        </w:rPr>
      </w:pPr>
      <w:r w:rsidRPr="00161CF6">
        <w:rPr>
          <w:rFonts w:ascii="Gill Sans" w:hAnsi="Gill Sans" w:cs="Gill Sans"/>
          <w:noProof/>
          <w:sz w:val="22"/>
          <w:szCs w:val="22"/>
          <w:lang w:val="en-GB"/>
        </w:rPr>
        <w:t xml:space="preserve">The commitment was </w:t>
      </w:r>
      <w:r w:rsidR="00597BD6">
        <w:rPr>
          <w:rFonts w:ascii="Gill Sans" w:hAnsi="Gill Sans" w:cs="Gill Sans"/>
          <w:noProof/>
          <w:sz w:val="22"/>
          <w:szCs w:val="22"/>
          <w:lang w:val="en-GB"/>
        </w:rPr>
        <w:t xml:space="preserve">not </w:t>
      </w:r>
      <w:r w:rsidRPr="00161CF6">
        <w:rPr>
          <w:rFonts w:ascii="Gill Sans" w:hAnsi="Gill Sans" w:cs="Gill Sans"/>
          <w:noProof/>
          <w:sz w:val="22"/>
          <w:szCs w:val="22"/>
          <w:lang w:val="en-GB"/>
        </w:rPr>
        <w:t xml:space="preserve">carried over to the new action plan. </w:t>
      </w:r>
    </w:p>
    <w:p w14:paraId="266AC5C3" w14:textId="77777777" w:rsidR="006D2ECF" w:rsidRDefault="006D2ECF" w:rsidP="00EB22DF">
      <w:pPr>
        <w:tabs>
          <w:tab w:val="left" w:pos="3037"/>
        </w:tabs>
        <w:rPr>
          <w:lang w:val="en-GB"/>
        </w:rPr>
        <w:sectPr w:rsidR="006D2ECF" w:rsidSect="00F561B7">
          <w:endnotePr>
            <w:numFmt w:val="decimal"/>
            <w:numRestart w:val="eachSect"/>
          </w:endnotePr>
          <w:pgSz w:w="12240" w:h="15840"/>
          <w:pgMar w:top="1440" w:right="1800" w:bottom="1440" w:left="1800" w:header="720" w:footer="720" w:gutter="0"/>
          <w:cols w:space="720"/>
          <w:docGrid w:linePitch="360"/>
        </w:sectPr>
      </w:pPr>
    </w:p>
    <w:p w14:paraId="6B6CD628" w14:textId="679AE11B" w:rsidR="00BA033F" w:rsidRPr="000D2EE2" w:rsidRDefault="00BA033F" w:rsidP="00BA033F">
      <w:pPr>
        <w:pStyle w:val="Heading2"/>
        <w:spacing w:before="0" w:after="120"/>
        <w:rPr>
          <w:rFonts w:eastAsiaTheme="minorEastAsia"/>
          <w:bCs w:val="0"/>
          <w:color w:val="222222"/>
          <w:sz w:val="22"/>
          <w:szCs w:val="22"/>
          <w:lang w:val="en-GB"/>
        </w:rPr>
      </w:pPr>
      <w:r w:rsidRPr="00C11C07">
        <w:rPr>
          <w:rFonts w:eastAsiaTheme="minorEastAsia"/>
          <w:bCs w:val="0"/>
          <w:color w:val="222222"/>
          <w:sz w:val="22"/>
          <w:szCs w:val="22"/>
          <w:lang w:val="en-GB"/>
        </w:rPr>
        <w:lastRenderedPageBreak/>
        <w:t>14. Streamline payment of administrative fees</w:t>
      </w:r>
      <w:r w:rsidRPr="000D2EE2">
        <w:rPr>
          <w:rFonts w:eastAsiaTheme="minorEastAsia"/>
          <w:bCs w:val="0"/>
          <w:color w:val="222222"/>
          <w:sz w:val="22"/>
          <w:szCs w:val="22"/>
          <w:lang w:val="en-GB"/>
        </w:rPr>
        <w:t xml:space="preserve"> </w:t>
      </w:r>
    </w:p>
    <w:p w14:paraId="696EDBB5" w14:textId="77777777" w:rsidR="00BA033F" w:rsidRPr="000D2EE2" w:rsidRDefault="00BA033F" w:rsidP="00BA033F">
      <w:pPr>
        <w:spacing w:after="120"/>
        <w:rPr>
          <w:rFonts w:ascii="Gill Sans" w:hAnsi="Gill Sans" w:cs="Gill Sans"/>
          <w:i/>
          <w:noProof/>
          <w:sz w:val="22"/>
          <w:szCs w:val="22"/>
          <w:lang w:val="en-GB"/>
        </w:rPr>
      </w:pPr>
      <w:r w:rsidRPr="000D2EE2">
        <w:rPr>
          <w:rFonts w:ascii="Gill Sans" w:hAnsi="Gill Sans" w:cs="Gill Sans"/>
          <w:i/>
          <w:noProof/>
          <w:sz w:val="22"/>
          <w:szCs w:val="22"/>
          <w:lang w:val="en-GB"/>
        </w:rPr>
        <w:t>5-B) Streamlining Payment of Administrative Services Fee</w:t>
      </w:r>
    </w:p>
    <w:p w14:paraId="5CEF8E23" w14:textId="134EF4B9" w:rsidR="00BA033F" w:rsidRPr="000D2EE2" w:rsidRDefault="005B3A16" w:rsidP="0068256B">
      <w:pPr>
        <w:spacing w:after="120"/>
        <w:rPr>
          <w:rFonts w:ascii="Gill Sans" w:hAnsi="Gill Sans" w:cs="Gill Sans"/>
          <w:i/>
          <w:noProof/>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BA033F" w:rsidRPr="000D2EE2">
        <w:rPr>
          <w:rFonts w:ascii="Gill Sans" w:hAnsi="Gill Sans" w:cs="Gill Sans"/>
          <w:i/>
          <w:noProof/>
          <w:sz w:val="22"/>
          <w:szCs w:val="22"/>
          <w:lang w:val="en-GB"/>
        </w:rPr>
        <w:t>14. Developing and submitting to the Cabinet of Ministers of Ukraine in due course a draft law on streamlining of relations concerning payment for administrative services</w:t>
      </w:r>
      <w:r w:rsidR="00C11C07">
        <w:rPr>
          <w:rFonts w:ascii="Gill Sans" w:hAnsi="Gill Sans" w:cs="Gill Sans"/>
          <w:i/>
          <w:noProof/>
          <w:sz w:val="22"/>
          <w:szCs w:val="22"/>
          <w:lang w:val="en-GB"/>
        </w:rPr>
        <w:t>.</w:t>
      </w:r>
    </w:p>
    <w:p w14:paraId="6D2CB751" w14:textId="570F1E65" w:rsidR="00BA033F" w:rsidRPr="000D2EE2" w:rsidRDefault="00BA033F" w:rsidP="0068256B">
      <w:pPr>
        <w:spacing w:after="120"/>
        <w:rPr>
          <w:rFonts w:ascii="Gill Sans" w:hAnsi="Gill Sans" w:cs="Gill Sans"/>
          <w:i/>
          <w:noProof/>
          <w:sz w:val="22"/>
          <w:szCs w:val="22"/>
          <w:lang w:val="en-GB"/>
        </w:rPr>
      </w:pPr>
      <w:r w:rsidRPr="000D2EE2">
        <w:rPr>
          <w:rFonts w:ascii="Gill Sans" w:hAnsi="Gill Sans" w:cs="Gill Sans"/>
          <w:i/>
          <w:noProof/>
          <w:sz w:val="22"/>
          <w:szCs w:val="22"/>
          <w:lang w:val="en-GB"/>
        </w:rPr>
        <w:t xml:space="preserve">Expected result: </w:t>
      </w:r>
      <w:r w:rsidRPr="000D2EE2">
        <w:rPr>
          <w:rFonts w:ascii="Gill Sans" w:hAnsi="Gill Sans" w:cs="Gill Sans"/>
          <w:i/>
          <w:sz w:val="22"/>
          <w:szCs w:val="22"/>
          <w:lang w:val="en-GB"/>
        </w:rPr>
        <w:t xml:space="preserve">relevant draft law endorsed by the Cabinet of Ministers of Ukraine, submitted to the </w:t>
      </w:r>
      <w:proofErr w:type="spellStart"/>
      <w:r w:rsidRPr="000D2EE2">
        <w:rPr>
          <w:rFonts w:ascii="Gill Sans" w:hAnsi="Gill Sans" w:cs="Gill Sans"/>
          <w:i/>
          <w:sz w:val="22"/>
          <w:szCs w:val="22"/>
          <w:lang w:val="en-GB"/>
        </w:rPr>
        <w:t>Verkhovna</w:t>
      </w:r>
      <w:proofErr w:type="spellEnd"/>
      <w:r w:rsidRPr="000D2EE2">
        <w:rPr>
          <w:rFonts w:ascii="Gill Sans" w:hAnsi="Gill Sans" w:cs="Gill Sans"/>
          <w:i/>
          <w:sz w:val="22"/>
          <w:szCs w:val="22"/>
          <w:lang w:val="en-GB"/>
        </w:rPr>
        <w:t xml:space="preserve"> Rada of Ukraine, and followed up until adoption</w:t>
      </w:r>
      <w:r w:rsidR="00C11C07">
        <w:rPr>
          <w:rFonts w:ascii="Gill Sans" w:hAnsi="Gill Sans" w:cs="Gill Sans"/>
          <w:i/>
          <w:sz w:val="22"/>
          <w:szCs w:val="22"/>
          <w:lang w:val="en-GB"/>
        </w:rPr>
        <w:t>.</w:t>
      </w:r>
    </w:p>
    <w:p w14:paraId="63F07B44" w14:textId="3BBABD3F" w:rsidR="0068256B" w:rsidRPr="002C5FF4" w:rsidRDefault="0068256B" w:rsidP="0068256B">
      <w:pPr>
        <w:pStyle w:val="Heading2"/>
        <w:spacing w:before="0" w:after="120"/>
        <w:rPr>
          <w:rFonts w:eastAsiaTheme="minorEastAsia"/>
          <w:bCs w:val="0"/>
          <w:color w:val="222222"/>
          <w:sz w:val="22"/>
          <w:szCs w:val="22"/>
          <w:lang w:val="en-US"/>
        </w:rPr>
      </w:pPr>
      <w:bookmarkStart w:id="6" w:name="_Toc437543874"/>
      <w:r w:rsidRPr="000D2EE2">
        <w:rPr>
          <w:rFonts w:eastAsiaTheme="minorEastAsia"/>
          <w:bCs w:val="0"/>
          <w:color w:val="222222"/>
          <w:sz w:val="22"/>
          <w:szCs w:val="22"/>
          <w:lang w:val="en-GB"/>
        </w:rPr>
        <w:t>16. Decentralise administrative services</w:t>
      </w:r>
      <w:bookmarkEnd w:id="6"/>
    </w:p>
    <w:p w14:paraId="6781A020" w14:textId="77777777" w:rsidR="00BA033F" w:rsidRPr="00BA033F" w:rsidRDefault="00BA033F" w:rsidP="0068256B">
      <w:pPr>
        <w:spacing w:after="120"/>
        <w:rPr>
          <w:rFonts w:ascii="Gill Sans" w:hAnsi="Gill Sans" w:cs="Gill Sans"/>
          <w:i/>
          <w:noProof/>
          <w:sz w:val="22"/>
          <w:szCs w:val="22"/>
          <w:lang w:val="en-GB"/>
        </w:rPr>
      </w:pPr>
      <w:r w:rsidRPr="00BA033F">
        <w:rPr>
          <w:rFonts w:ascii="Gill Sans" w:hAnsi="Gill Sans" w:cs="Gill Sans"/>
          <w:i/>
          <w:noProof/>
          <w:sz w:val="22"/>
          <w:szCs w:val="22"/>
          <w:lang w:val="en-GB"/>
        </w:rPr>
        <w:t>5-C) Decentralisation of Administrative Services</w:t>
      </w:r>
    </w:p>
    <w:p w14:paraId="72E8D5A5" w14:textId="0208BB01" w:rsidR="00BA033F" w:rsidRPr="00BA033F" w:rsidRDefault="005B3A16" w:rsidP="00BA033F">
      <w:pPr>
        <w:spacing w:after="120"/>
        <w:rPr>
          <w:rFonts w:ascii="Gill Sans" w:hAnsi="Gill Sans" w:cs="Gill Sans"/>
          <w:i/>
          <w:noProof/>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BA033F" w:rsidRPr="00BA033F">
        <w:rPr>
          <w:rFonts w:ascii="Gill Sans" w:hAnsi="Gill Sans" w:cs="Gill Sans"/>
          <w:i/>
          <w:noProof/>
          <w:sz w:val="22"/>
          <w:szCs w:val="22"/>
          <w:lang w:val="en-GB"/>
        </w:rPr>
        <w:t>16. Developing and submitting to the Cabinet of Ministers of Ukraine in due course a draft law on decentralisation of powers concerning the provision of administrative services, most important to citizens, in particular to ensure their provision through Administrative Service Provision Centres, namely:</w:t>
      </w:r>
    </w:p>
    <w:p w14:paraId="69591BF7" w14:textId="77777777" w:rsidR="00BA033F" w:rsidRPr="00BA033F" w:rsidRDefault="00BA033F" w:rsidP="00BA033F">
      <w:pPr>
        <w:spacing w:after="120"/>
        <w:rPr>
          <w:rFonts w:ascii="Gill Sans" w:hAnsi="Gill Sans" w:cs="Gill Sans"/>
          <w:i/>
          <w:noProof/>
          <w:sz w:val="22"/>
          <w:szCs w:val="22"/>
          <w:lang w:val="en-GB"/>
        </w:rPr>
      </w:pPr>
      <w:r w:rsidRPr="00BA033F">
        <w:rPr>
          <w:rFonts w:ascii="Gill Sans" w:hAnsi="Gill Sans" w:cs="Gill Sans"/>
          <w:i/>
          <w:noProof/>
          <w:sz w:val="22"/>
          <w:szCs w:val="22"/>
          <w:lang w:val="en-GB"/>
        </w:rPr>
        <w:t>- registration of residence (stay), issuing of identity documents, including for leaving abroad;</w:t>
      </w:r>
    </w:p>
    <w:p w14:paraId="1A92CAD8" w14:textId="77777777" w:rsidR="00BA033F" w:rsidRPr="00BA033F" w:rsidRDefault="00BA033F" w:rsidP="00BA033F">
      <w:pPr>
        <w:spacing w:after="120"/>
        <w:rPr>
          <w:rFonts w:ascii="Gill Sans" w:hAnsi="Gill Sans" w:cs="Gill Sans"/>
          <w:i/>
          <w:noProof/>
          <w:sz w:val="22"/>
          <w:szCs w:val="22"/>
          <w:lang w:val="en-GB"/>
        </w:rPr>
      </w:pPr>
      <w:r w:rsidRPr="00BA033F">
        <w:rPr>
          <w:rFonts w:ascii="Gill Sans" w:hAnsi="Gill Sans" w:cs="Gill Sans"/>
          <w:i/>
          <w:noProof/>
          <w:sz w:val="22"/>
          <w:szCs w:val="22"/>
          <w:lang w:val="en-GB"/>
        </w:rPr>
        <w:t>- state registration of legal entities and individual entrepreneurs, real estate rights and their encumbrances, citizens’ associations, and civil status;</w:t>
      </w:r>
    </w:p>
    <w:p w14:paraId="0C7C7A77" w14:textId="77777777" w:rsidR="00BA033F" w:rsidRPr="00BA033F" w:rsidRDefault="00BA033F" w:rsidP="00BA033F">
      <w:pPr>
        <w:spacing w:after="120"/>
        <w:rPr>
          <w:rFonts w:ascii="Gill Sans" w:hAnsi="Gill Sans" w:cs="Gill Sans"/>
          <w:i/>
          <w:noProof/>
          <w:sz w:val="22"/>
          <w:szCs w:val="22"/>
          <w:lang w:val="en-GB"/>
        </w:rPr>
      </w:pPr>
      <w:r w:rsidRPr="00BA033F">
        <w:rPr>
          <w:rFonts w:ascii="Gill Sans" w:hAnsi="Gill Sans" w:cs="Gill Sans"/>
          <w:i/>
          <w:noProof/>
          <w:sz w:val="22"/>
          <w:szCs w:val="22"/>
          <w:lang w:val="en-GB"/>
        </w:rPr>
        <w:t>-state registration of land plots, entry and issuance of data from the State Land Cadastre;</w:t>
      </w:r>
    </w:p>
    <w:p w14:paraId="1E72F156" w14:textId="77777777" w:rsidR="00BA033F" w:rsidRPr="00BA033F" w:rsidRDefault="00BA033F" w:rsidP="00BA033F">
      <w:pPr>
        <w:spacing w:after="120"/>
        <w:rPr>
          <w:rFonts w:ascii="Gill Sans" w:hAnsi="Gill Sans" w:cs="Gill Sans"/>
          <w:i/>
          <w:noProof/>
          <w:sz w:val="22"/>
          <w:szCs w:val="22"/>
          <w:lang w:val="en-GB"/>
        </w:rPr>
      </w:pPr>
      <w:r w:rsidRPr="00BA033F">
        <w:rPr>
          <w:rFonts w:ascii="Gill Sans" w:hAnsi="Gill Sans" w:cs="Gill Sans"/>
          <w:i/>
          <w:noProof/>
          <w:sz w:val="22"/>
          <w:szCs w:val="22"/>
          <w:lang w:val="en-GB"/>
        </w:rPr>
        <w:t>-registration of vehicles, execution of driver’s licences.</w:t>
      </w:r>
    </w:p>
    <w:p w14:paraId="3AA13C5F" w14:textId="7A0DE394" w:rsidR="00BA033F" w:rsidRPr="00BA033F" w:rsidRDefault="00BA033F" w:rsidP="00BA033F">
      <w:pPr>
        <w:spacing w:after="120"/>
        <w:rPr>
          <w:rFonts w:ascii="Gill Sans" w:hAnsi="Gill Sans" w:cs="Gill Sans"/>
          <w:i/>
          <w:noProof/>
          <w:sz w:val="22"/>
          <w:szCs w:val="22"/>
          <w:lang w:val="en-GB"/>
        </w:rPr>
      </w:pPr>
      <w:r w:rsidRPr="00BA033F">
        <w:rPr>
          <w:rFonts w:ascii="Gill Sans" w:hAnsi="Gill Sans" w:cs="Gill Sans"/>
          <w:i/>
          <w:noProof/>
          <w:sz w:val="22"/>
          <w:szCs w:val="22"/>
          <w:lang w:val="en-GB"/>
        </w:rPr>
        <w:t xml:space="preserve">Expected result: </w:t>
      </w:r>
      <w:r w:rsidRPr="00BA033F">
        <w:rPr>
          <w:rFonts w:ascii="Gill Sans" w:hAnsi="Gill Sans" w:cs="Gill Sans"/>
          <w:i/>
          <w:sz w:val="22"/>
          <w:szCs w:val="22"/>
          <w:lang w:val="en-GB"/>
        </w:rPr>
        <w:t>powers in question delegated to local self-governance bodies and local executive authorities</w:t>
      </w:r>
      <w:r w:rsidR="00C11C07">
        <w:rPr>
          <w:rFonts w:ascii="Gill Sans" w:hAnsi="Gill Sans" w:cs="Gill Sans"/>
          <w:i/>
          <w:sz w:val="22"/>
          <w:szCs w:val="22"/>
          <w:lang w:val="en-GB"/>
        </w:rPr>
        <w:t>.</w:t>
      </w:r>
    </w:p>
    <w:p w14:paraId="5695D0F7" w14:textId="06B9B418" w:rsidR="00BA033F" w:rsidRPr="00BA033F" w:rsidRDefault="00BA033F" w:rsidP="00BA033F">
      <w:pPr>
        <w:spacing w:after="120"/>
        <w:rPr>
          <w:rFonts w:ascii="Gill Sans" w:hAnsi="Gill Sans" w:cs="Gill Sans"/>
          <w:sz w:val="22"/>
          <w:szCs w:val="22"/>
          <w:lang w:val="en-GB"/>
        </w:rPr>
      </w:pPr>
      <w:r w:rsidRPr="00BA033F">
        <w:rPr>
          <w:rFonts w:ascii="Gill Sans" w:hAnsi="Gill Sans" w:cs="Gill Sans"/>
          <w:sz w:val="22"/>
          <w:szCs w:val="22"/>
          <w:lang w:val="en-GB"/>
        </w:rPr>
        <w:t>Lead institution</w:t>
      </w:r>
      <w:r w:rsidR="00C11C07">
        <w:rPr>
          <w:rFonts w:ascii="Gill Sans" w:hAnsi="Gill Sans" w:cs="Gill Sans"/>
          <w:sz w:val="22"/>
          <w:szCs w:val="22"/>
          <w:lang w:val="en-GB"/>
        </w:rPr>
        <w:t>(s)</w:t>
      </w:r>
      <w:r w:rsidRPr="00BA033F">
        <w:rPr>
          <w:rFonts w:ascii="Gill Sans" w:hAnsi="Gill Sans" w:cs="Gill Sans"/>
          <w:sz w:val="22"/>
          <w:szCs w:val="22"/>
          <w:lang w:val="en-GB"/>
        </w:rPr>
        <w:t>: Ministry of Economic Development (commitment 14); Ministry of Regional Development (</w:t>
      </w:r>
      <w:r w:rsidR="0020660D">
        <w:rPr>
          <w:rFonts w:ascii="Gill Sans" w:hAnsi="Gill Sans" w:cs="Gill Sans"/>
          <w:sz w:val="22"/>
          <w:szCs w:val="22"/>
          <w:lang w:val="en-GB"/>
        </w:rPr>
        <w:t>C</w:t>
      </w:r>
      <w:r w:rsidRPr="00BA033F">
        <w:rPr>
          <w:rFonts w:ascii="Gill Sans" w:hAnsi="Gill Sans" w:cs="Gill Sans"/>
          <w:sz w:val="22"/>
          <w:szCs w:val="22"/>
          <w:lang w:val="en-GB"/>
        </w:rPr>
        <w:t>ommitment 16)</w:t>
      </w:r>
    </w:p>
    <w:p w14:paraId="4C7E865F" w14:textId="1D3EA269" w:rsidR="00BA033F" w:rsidRPr="00BA033F" w:rsidRDefault="00BA033F" w:rsidP="00BA033F">
      <w:pPr>
        <w:spacing w:after="120"/>
        <w:rPr>
          <w:rFonts w:ascii="Gill Sans" w:hAnsi="Gill Sans" w:cs="Gill Sans"/>
          <w:sz w:val="22"/>
          <w:szCs w:val="22"/>
          <w:lang w:val="en-GB"/>
        </w:rPr>
      </w:pPr>
      <w:r w:rsidRPr="00BA033F">
        <w:rPr>
          <w:rFonts w:ascii="Gill Sans" w:hAnsi="Gill Sans" w:cs="Gill Sans"/>
          <w:sz w:val="22"/>
          <w:szCs w:val="22"/>
          <w:lang w:val="en-GB"/>
        </w:rPr>
        <w:t>Supporting institution</w:t>
      </w:r>
      <w:r w:rsidR="00C11C07">
        <w:rPr>
          <w:rFonts w:ascii="Gill Sans" w:hAnsi="Gill Sans" w:cs="Gill Sans"/>
          <w:sz w:val="22"/>
          <w:szCs w:val="22"/>
          <w:lang w:val="en-GB"/>
        </w:rPr>
        <w:t>(</w:t>
      </w:r>
      <w:r w:rsidRPr="00BA033F">
        <w:rPr>
          <w:rFonts w:ascii="Gill Sans" w:hAnsi="Gill Sans" w:cs="Gill Sans"/>
          <w:sz w:val="22"/>
          <w:szCs w:val="22"/>
          <w:lang w:val="en-GB"/>
        </w:rPr>
        <w:t>s</w:t>
      </w:r>
      <w:r w:rsidR="00C11C07">
        <w:rPr>
          <w:rFonts w:ascii="Gill Sans" w:hAnsi="Gill Sans" w:cs="Gill Sans"/>
          <w:sz w:val="22"/>
          <w:szCs w:val="22"/>
          <w:lang w:val="en-GB"/>
        </w:rPr>
        <w:t>)</w:t>
      </w:r>
      <w:r w:rsidRPr="00BA033F">
        <w:rPr>
          <w:rFonts w:ascii="Gill Sans" w:hAnsi="Gill Sans" w:cs="Gill Sans"/>
          <w:sz w:val="22"/>
          <w:szCs w:val="22"/>
          <w:lang w:val="en-GB"/>
        </w:rPr>
        <w:t xml:space="preserve">: </w:t>
      </w:r>
      <w:r w:rsidRPr="00BA033F">
        <w:rPr>
          <w:rFonts w:ascii="Gill Sans" w:hAnsi="Gill Sans" w:cs="Gill Sans"/>
          <w:noProof/>
          <w:sz w:val="22"/>
          <w:szCs w:val="22"/>
          <w:lang w:val="en-GB"/>
        </w:rPr>
        <w:t>Ministry of Justice, Ministry of Regional Development, NGO Centre for Political and Legal Reforms, other non-specified NGOs and international organisations (commitment 14); Ministry of Justice, Ministry of Internal Affairs, Ministry of Agricultural Policy, Ministry of Economic Development, State Registration Service, State Migration Service, State Agency for Land Resources, unspecified NGOs and international organisations (</w:t>
      </w:r>
      <w:r w:rsidR="0020660D">
        <w:rPr>
          <w:rFonts w:ascii="Gill Sans" w:hAnsi="Gill Sans" w:cs="Gill Sans"/>
          <w:noProof/>
          <w:sz w:val="22"/>
          <w:szCs w:val="22"/>
          <w:lang w:val="en-GB"/>
        </w:rPr>
        <w:t>C</w:t>
      </w:r>
      <w:r w:rsidRPr="00BA033F">
        <w:rPr>
          <w:rFonts w:ascii="Gill Sans" w:hAnsi="Gill Sans" w:cs="Gill Sans"/>
          <w:noProof/>
          <w:sz w:val="22"/>
          <w:szCs w:val="22"/>
          <w:lang w:val="en-GB"/>
        </w:rPr>
        <w:t>ommitment 16)</w:t>
      </w:r>
    </w:p>
    <w:p w14:paraId="072876EA" w14:textId="06E957A3" w:rsidR="003B6CC9" w:rsidRDefault="00BA033F" w:rsidP="00163080">
      <w:pPr>
        <w:rPr>
          <w:rFonts w:ascii="Gill Sans" w:hAnsi="Gill Sans" w:cs="Gill Sans"/>
          <w:sz w:val="22"/>
          <w:szCs w:val="22"/>
          <w:lang w:val="en-GB"/>
        </w:rPr>
      </w:pPr>
      <w:r w:rsidRPr="00BA033F">
        <w:rPr>
          <w:rFonts w:ascii="Gill Sans" w:hAnsi="Gill Sans" w:cs="Gill Sans"/>
          <w:sz w:val="22"/>
          <w:szCs w:val="22"/>
          <w:lang w:val="en-GB"/>
        </w:rPr>
        <w:t xml:space="preserve">Start </w:t>
      </w:r>
      <w:r w:rsidR="003B6CC9">
        <w:rPr>
          <w:rFonts w:ascii="Gill Sans" w:hAnsi="Gill Sans" w:cs="Gill Sans"/>
          <w:sz w:val="22"/>
          <w:szCs w:val="22"/>
          <w:lang w:val="en-GB"/>
        </w:rPr>
        <w:t>D</w:t>
      </w:r>
      <w:r w:rsidRPr="00BA033F">
        <w:rPr>
          <w:rFonts w:ascii="Gill Sans" w:hAnsi="Gill Sans" w:cs="Gill Sans"/>
          <w:sz w:val="22"/>
          <w:szCs w:val="22"/>
          <w:lang w:val="en-GB"/>
        </w:rPr>
        <w:t>ate: Not specified</w:t>
      </w:r>
      <w:r w:rsidRPr="00BA033F">
        <w:rPr>
          <w:rFonts w:ascii="Gill Sans" w:hAnsi="Gill Sans" w:cs="Gill Sans"/>
          <w:sz w:val="22"/>
          <w:szCs w:val="22"/>
          <w:lang w:val="en-GB"/>
        </w:rPr>
        <w:tab/>
      </w:r>
      <w:r w:rsidRPr="00BA033F">
        <w:rPr>
          <w:rFonts w:ascii="Gill Sans" w:hAnsi="Gill Sans" w:cs="Gill Sans"/>
          <w:sz w:val="22"/>
          <w:szCs w:val="22"/>
          <w:lang w:val="en-GB"/>
        </w:rPr>
        <w:tab/>
      </w:r>
      <w:r w:rsidR="0020660D">
        <w:rPr>
          <w:rFonts w:ascii="Gill Sans" w:hAnsi="Gill Sans" w:cs="Gill Sans"/>
          <w:sz w:val="22"/>
          <w:szCs w:val="22"/>
          <w:lang w:val="en-GB"/>
        </w:rPr>
        <w:tab/>
      </w:r>
      <w:r w:rsidRPr="00BA033F">
        <w:rPr>
          <w:rFonts w:ascii="Gill Sans" w:hAnsi="Gill Sans" w:cs="Gill Sans"/>
          <w:sz w:val="22"/>
          <w:szCs w:val="22"/>
          <w:lang w:val="en-GB"/>
        </w:rPr>
        <w:t xml:space="preserve">End </w:t>
      </w:r>
      <w:r w:rsidR="003B6CC9">
        <w:rPr>
          <w:rFonts w:ascii="Gill Sans" w:hAnsi="Gill Sans" w:cs="Gill Sans"/>
          <w:sz w:val="22"/>
          <w:szCs w:val="22"/>
          <w:lang w:val="en-GB"/>
        </w:rPr>
        <w:t>D</w:t>
      </w:r>
      <w:r w:rsidRPr="00BA033F">
        <w:rPr>
          <w:rFonts w:ascii="Gill Sans" w:hAnsi="Gill Sans" w:cs="Gill Sans"/>
          <w:sz w:val="22"/>
          <w:szCs w:val="22"/>
          <w:lang w:val="en-GB"/>
        </w:rPr>
        <w:t>ate: 30 June 2015 (</w:t>
      </w:r>
      <w:r w:rsidR="0020660D">
        <w:rPr>
          <w:rFonts w:ascii="Gill Sans" w:hAnsi="Gill Sans" w:cs="Gill Sans"/>
          <w:sz w:val="22"/>
          <w:szCs w:val="22"/>
          <w:lang w:val="en-GB"/>
        </w:rPr>
        <w:t>C</w:t>
      </w:r>
      <w:r w:rsidRPr="00BA033F">
        <w:rPr>
          <w:rFonts w:ascii="Gill Sans" w:hAnsi="Gill Sans" w:cs="Gill Sans"/>
          <w:sz w:val="22"/>
          <w:szCs w:val="22"/>
          <w:lang w:val="en-GB"/>
        </w:rPr>
        <w:t xml:space="preserve">ommitment 14); </w:t>
      </w:r>
    </w:p>
    <w:p w14:paraId="5E092589" w14:textId="40D3B240" w:rsidR="00BA033F" w:rsidRDefault="00BA033F" w:rsidP="006023C3">
      <w:pPr>
        <w:ind w:left="3600" w:firstLine="720"/>
        <w:rPr>
          <w:rFonts w:ascii="Gill Sans" w:hAnsi="Gill Sans" w:cs="Gill Sans"/>
          <w:sz w:val="22"/>
          <w:szCs w:val="22"/>
          <w:lang w:val="en-GB"/>
        </w:rPr>
      </w:pPr>
      <w:r w:rsidRPr="00BA033F">
        <w:rPr>
          <w:rFonts w:ascii="Gill Sans" w:hAnsi="Gill Sans" w:cs="Gill Sans"/>
          <w:sz w:val="22"/>
          <w:szCs w:val="22"/>
          <w:lang w:val="en-GB"/>
        </w:rPr>
        <w:t>31 December 2015 (</w:t>
      </w:r>
      <w:r w:rsidR="0020660D">
        <w:rPr>
          <w:rFonts w:ascii="Gill Sans" w:hAnsi="Gill Sans" w:cs="Gill Sans"/>
          <w:sz w:val="22"/>
          <w:szCs w:val="22"/>
          <w:lang w:val="en-GB"/>
        </w:rPr>
        <w:t>C</w:t>
      </w:r>
      <w:r w:rsidRPr="00BA033F">
        <w:rPr>
          <w:rFonts w:ascii="Gill Sans" w:hAnsi="Gill Sans" w:cs="Gill Sans"/>
          <w:sz w:val="22"/>
          <w:szCs w:val="22"/>
          <w:lang w:val="en-GB"/>
        </w:rPr>
        <w:t>ommitment 16)</w:t>
      </w:r>
    </w:p>
    <w:p w14:paraId="6C244723" w14:textId="77777777" w:rsidR="0020660D" w:rsidRDefault="0020660D" w:rsidP="006023C3">
      <w:pPr>
        <w:ind w:left="3600" w:firstLine="720"/>
        <w:rPr>
          <w:rFonts w:ascii="Gill Sans" w:hAnsi="Gill Sans" w:cs="Gill Sans"/>
          <w:sz w:val="22"/>
          <w:szCs w:val="22"/>
          <w:lang w:val="en-GB"/>
        </w:rPr>
      </w:pPr>
    </w:p>
    <w:p w14:paraId="46C9F77C" w14:textId="77777777" w:rsidR="0020660D" w:rsidRDefault="0020660D" w:rsidP="006023C3">
      <w:pPr>
        <w:ind w:left="3600" w:firstLine="720"/>
        <w:rPr>
          <w:rFonts w:ascii="Gill Sans" w:hAnsi="Gill Sans" w:cs="Gill Sans"/>
          <w:sz w:val="22"/>
          <w:szCs w:val="22"/>
          <w:lang w:val="en-GB"/>
        </w:rPr>
      </w:pPr>
    </w:p>
    <w:p w14:paraId="4D282DEE" w14:textId="77777777" w:rsidR="0020660D" w:rsidRDefault="0020660D" w:rsidP="006023C3">
      <w:pPr>
        <w:ind w:left="3600" w:firstLine="720"/>
        <w:rPr>
          <w:rFonts w:ascii="Gill Sans" w:hAnsi="Gill Sans" w:cs="Gill Sans"/>
          <w:sz w:val="22"/>
          <w:szCs w:val="22"/>
          <w:lang w:val="en-GB"/>
        </w:rPr>
      </w:pPr>
    </w:p>
    <w:p w14:paraId="1976F428" w14:textId="77777777" w:rsidR="0020660D" w:rsidRDefault="0020660D" w:rsidP="006023C3">
      <w:pPr>
        <w:ind w:left="3600" w:firstLine="720"/>
        <w:rPr>
          <w:rFonts w:ascii="Gill Sans" w:hAnsi="Gill Sans" w:cs="Gill Sans"/>
          <w:sz w:val="22"/>
          <w:szCs w:val="22"/>
          <w:lang w:val="en-GB"/>
        </w:rPr>
      </w:pPr>
    </w:p>
    <w:p w14:paraId="03815D34" w14:textId="77777777" w:rsidR="0020660D" w:rsidRDefault="0020660D" w:rsidP="006023C3">
      <w:pPr>
        <w:ind w:left="3600" w:firstLine="720"/>
        <w:rPr>
          <w:rFonts w:ascii="Gill Sans" w:hAnsi="Gill Sans" w:cs="Gill Sans"/>
          <w:sz w:val="22"/>
          <w:szCs w:val="22"/>
          <w:lang w:val="en-GB"/>
        </w:rPr>
      </w:pPr>
    </w:p>
    <w:p w14:paraId="14E14FFC" w14:textId="77777777" w:rsidR="0020660D" w:rsidRDefault="0020660D" w:rsidP="006023C3">
      <w:pPr>
        <w:ind w:left="3600" w:firstLine="720"/>
        <w:rPr>
          <w:rFonts w:ascii="Gill Sans" w:hAnsi="Gill Sans" w:cs="Gill Sans"/>
          <w:sz w:val="22"/>
          <w:szCs w:val="22"/>
          <w:lang w:val="en-GB"/>
        </w:rPr>
      </w:pPr>
    </w:p>
    <w:p w14:paraId="22C643F3" w14:textId="77777777" w:rsidR="0020660D" w:rsidRDefault="0020660D" w:rsidP="006023C3">
      <w:pPr>
        <w:ind w:left="3600" w:firstLine="720"/>
        <w:rPr>
          <w:rFonts w:ascii="Gill Sans" w:hAnsi="Gill Sans" w:cs="Gill Sans"/>
          <w:sz w:val="22"/>
          <w:szCs w:val="22"/>
          <w:lang w:val="en-GB"/>
        </w:rPr>
      </w:pPr>
    </w:p>
    <w:p w14:paraId="2B298D1B" w14:textId="77777777" w:rsidR="0020660D" w:rsidRDefault="0020660D" w:rsidP="006023C3">
      <w:pPr>
        <w:ind w:left="3600" w:firstLine="720"/>
        <w:rPr>
          <w:rFonts w:ascii="Gill Sans" w:hAnsi="Gill Sans" w:cs="Gill Sans"/>
          <w:sz w:val="22"/>
          <w:szCs w:val="22"/>
          <w:lang w:val="en-GB"/>
        </w:rPr>
      </w:pPr>
    </w:p>
    <w:p w14:paraId="741717C0" w14:textId="77777777" w:rsidR="0020660D" w:rsidRDefault="0020660D" w:rsidP="006023C3">
      <w:pPr>
        <w:ind w:left="3600" w:firstLine="720"/>
        <w:rPr>
          <w:rFonts w:ascii="Gill Sans" w:hAnsi="Gill Sans" w:cs="Gill Sans"/>
          <w:sz w:val="22"/>
          <w:szCs w:val="22"/>
          <w:lang w:val="en-GB"/>
        </w:rPr>
      </w:pPr>
    </w:p>
    <w:p w14:paraId="34F723E0" w14:textId="77777777" w:rsidR="0020660D" w:rsidRDefault="0020660D" w:rsidP="006023C3">
      <w:pPr>
        <w:ind w:left="3600" w:firstLine="720"/>
        <w:rPr>
          <w:rFonts w:ascii="Gill Sans" w:hAnsi="Gill Sans" w:cs="Gill Sans"/>
          <w:sz w:val="22"/>
          <w:szCs w:val="22"/>
          <w:lang w:val="en-GB"/>
        </w:rPr>
      </w:pPr>
    </w:p>
    <w:p w14:paraId="08281D6C" w14:textId="77777777" w:rsidR="0020660D" w:rsidRDefault="0020660D" w:rsidP="006023C3">
      <w:pPr>
        <w:ind w:left="3600" w:firstLine="720"/>
        <w:rPr>
          <w:rFonts w:ascii="Gill Sans" w:hAnsi="Gill Sans" w:cs="Gill Sans"/>
          <w:sz w:val="22"/>
          <w:szCs w:val="22"/>
          <w:lang w:val="en-GB"/>
        </w:rPr>
      </w:pPr>
    </w:p>
    <w:p w14:paraId="05FD71EF" w14:textId="77777777" w:rsidR="0020660D" w:rsidRDefault="0020660D" w:rsidP="006023C3">
      <w:pPr>
        <w:ind w:left="3600" w:firstLine="720"/>
        <w:rPr>
          <w:rFonts w:ascii="Gill Sans" w:hAnsi="Gill Sans" w:cs="Gill Sans"/>
          <w:sz w:val="22"/>
          <w:szCs w:val="22"/>
          <w:lang w:val="en-GB"/>
        </w:rPr>
      </w:pPr>
    </w:p>
    <w:p w14:paraId="67088C0E" w14:textId="77777777" w:rsidR="0020660D" w:rsidRDefault="0020660D" w:rsidP="006023C3">
      <w:pPr>
        <w:ind w:left="3600" w:firstLine="720"/>
        <w:rPr>
          <w:rFonts w:ascii="Gill Sans" w:hAnsi="Gill Sans" w:cs="Gill Sans"/>
          <w:sz w:val="22"/>
          <w:szCs w:val="22"/>
          <w:lang w:val="en-GB"/>
        </w:rPr>
      </w:pPr>
    </w:p>
    <w:p w14:paraId="510686FC" w14:textId="77777777" w:rsidR="0020660D" w:rsidRDefault="0020660D" w:rsidP="006023C3">
      <w:pPr>
        <w:ind w:left="3600" w:firstLine="720"/>
        <w:rPr>
          <w:rFonts w:ascii="Gill Sans" w:hAnsi="Gill Sans" w:cs="Gill Sans"/>
          <w:sz w:val="22"/>
          <w:szCs w:val="22"/>
          <w:lang w:val="en-GB"/>
        </w:rPr>
      </w:pPr>
    </w:p>
    <w:p w14:paraId="08A619B2" w14:textId="77777777" w:rsidR="003B6CC9" w:rsidRPr="00CA5EDC" w:rsidRDefault="003B6CC9" w:rsidP="00163080">
      <w:pPr>
        <w:ind w:left="2880" w:firstLine="720"/>
        <w:rPr>
          <w:rFonts w:ascii="Gill Sans" w:hAnsi="Gill Sans" w:cs="Gill Sans"/>
          <w:sz w:val="22"/>
          <w:szCs w:val="22"/>
          <w:lang w:val="en-GB"/>
        </w:rPr>
      </w:pPr>
    </w:p>
    <w:tbl>
      <w:tblPr>
        <w:tblW w:w="1020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95"/>
        <w:gridCol w:w="507"/>
        <w:gridCol w:w="345"/>
        <w:gridCol w:w="346"/>
        <w:gridCol w:w="368"/>
        <w:gridCol w:w="367"/>
        <w:gridCol w:w="368"/>
        <w:gridCol w:w="800"/>
        <w:gridCol w:w="366"/>
        <w:gridCol w:w="343"/>
        <w:gridCol w:w="421"/>
        <w:gridCol w:w="343"/>
        <w:gridCol w:w="553"/>
        <w:gridCol w:w="421"/>
        <w:gridCol w:w="421"/>
        <w:gridCol w:w="499"/>
        <w:gridCol w:w="376"/>
        <w:gridCol w:w="388"/>
        <w:gridCol w:w="343"/>
        <w:gridCol w:w="343"/>
        <w:gridCol w:w="421"/>
      </w:tblGrid>
      <w:tr w:rsidR="009C0C84" w:rsidRPr="009651AC" w14:paraId="2F727FC7" w14:textId="77777777" w:rsidTr="00B223BA">
        <w:trPr>
          <w:trHeight w:val="405"/>
        </w:trPr>
        <w:tc>
          <w:tcPr>
            <w:tcW w:w="1474" w:type="dxa"/>
            <w:vMerge w:val="restart"/>
            <w:tcBorders>
              <w:top w:val="single" w:sz="18" w:space="0" w:color="FFFFFF"/>
              <w:left w:val="single" w:sz="4" w:space="0" w:color="FFFFFF"/>
              <w:right w:val="single" w:sz="18" w:space="0" w:color="FFFFFF"/>
            </w:tcBorders>
            <w:shd w:val="clear" w:color="auto" w:fill="000000"/>
          </w:tcPr>
          <w:p w14:paraId="0F69C9CB" w14:textId="77777777" w:rsidR="002A5063" w:rsidRPr="009651AC" w:rsidRDefault="002A5063" w:rsidP="002A5063">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tc>
        <w:tc>
          <w:tcPr>
            <w:tcW w:w="1593" w:type="dxa"/>
            <w:gridSpan w:val="4"/>
            <w:vMerge w:val="restart"/>
            <w:tcBorders>
              <w:top w:val="single" w:sz="18" w:space="0" w:color="FFFFFF"/>
              <w:left w:val="single" w:sz="18" w:space="0" w:color="FFFFFF"/>
              <w:right w:val="single" w:sz="18" w:space="0" w:color="FFFFFF"/>
            </w:tcBorders>
            <w:shd w:val="clear" w:color="auto" w:fill="D6E3BC"/>
          </w:tcPr>
          <w:p w14:paraId="686F32C1"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Specificity</w:t>
            </w:r>
          </w:p>
        </w:tc>
        <w:tc>
          <w:tcPr>
            <w:tcW w:w="1903" w:type="dxa"/>
            <w:gridSpan w:val="4"/>
            <w:vMerge w:val="restart"/>
            <w:tcBorders>
              <w:top w:val="single" w:sz="18" w:space="0" w:color="FFFFFF"/>
              <w:left w:val="single" w:sz="18" w:space="0" w:color="FFFFFF"/>
              <w:right w:val="single" w:sz="18" w:space="0" w:color="FFFFFF"/>
            </w:tcBorders>
            <w:shd w:val="clear" w:color="auto" w:fill="FBD4B4"/>
          </w:tcPr>
          <w:p w14:paraId="0CFB174B" w14:textId="6B34AFF4"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 xml:space="preserve">OGP </w:t>
            </w:r>
            <w:r w:rsidR="009C0C84">
              <w:rPr>
                <w:rFonts w:ascii="Gill Sans" w:hAnsi="Gill Sans" w:cs="Gill Sans"/>
                <w:sz w:val="22"/>
                <w:szCs w:val="22"/>
                <w:lang w:val="en-GB"/>
              </w:rPr>
              <w:t>V</w:t>
            </w:r>
            <w:r w:rsidRPr="009651AC">
              <w:rPr>
                <w:rFonts w:ascii="Gill Sans" w:hAnsi="Gill Sans" w:cs="Gill Sans"/>
                <w:sz w:val="22"/>
                <w:szCs w:val="22"/>
                <w:lang w:val="en-GB"/>
              </w:rPr>
              <w:t xml:space="preserve">alue </w:t>
            </w:r>
            <w:r w:rsidR="009C0C84">
              <w:rPr>
                <w:rFonts w:ascii="Gill Sans" w:hAnsi="Gill Sans" w:cs="Gill Sans"/>
                <w:sz w:val="22"/>
                <w:szCs w:val="22"/>
                <w:lang w:val="en-GB"/>
              </w:rPr>
              <w:t>R</w:t>
            </w:r>
            <w:r w:rsidRPr="009651AC">
              <w:rPr>
                <w:rFonts w:ascii="Gill Sans" w:hAnsi="Gill Sans" w:cs="Gill Sans"/>
                <w:sz w:val="22"/>
                <w:szCs w:val="22"/>
                <w:lang w:val="en-GB"/>
              </w:rPr>
              <w:t>elevance</w:t>
            </w:r>
            <w:r w:rsidR="009C0C84">
              <w:rPr>
                <w:rFonts w:ascii="Gill Sans" w:hAnsi="Gill Sans" w:cs="Gill Sans"/>
                <w:sz w:val="22"/>
                <w:szCs w:val="22"/>
                <w:lang w:val="en-GB"/>
              </w:rPr>
              <w:t xml:space="preserve"> (as written)</w:t>
            </w:r>
          </w:p>
        </w:tc>
        <w:tc>
          <w:tcPr>
            <w:tcW w:w="1473" w:type="dxa"/>
            <w:gridSpan w:val="4"/>
            <w:vMerge w:val="restart"/>
            <w:tcBorders>
              <w:top w:val="single" w:sz="18" w:space="0" w:color="FFFFFF"/>
              <w:left w:val="single" w:sz="18" w:space="0" w:color="FFFFFF"/>
              <w:right w:val="single" w:sz="18" w:space="0" w:color="FFFFFF"/>
            </w:tcBorders>
            <w:shd w:val="clear" w:color="auto" w:fill="CCC0D9"/>
          </w:tcPr>
          <w:p w14:paraId="17B9516B"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974" w:type="dxa"/>
            <w:gridSpan w:val="2"/>
            <w:vMerge w:val="restart"/>
            <w:tcBorders>
              <w:top w:val="single" w:sz="18" w:space="0" w:color="FFFFFF"/>
              <w:left w:val="single" w:sz="18" w:space="0" w:color="FFFFFF"/>
              <w:right w:val="single" w:sz="2" w:space="0" w:color="FFFFFF"/>
            </w:tcBorders>
            <w:shd w:val="clear" w:color="auto" w:fill="B8CCE4"/>
          </w:tcPr>
          <w:p w14:paraId="3B75400D" w14:textId="7C8FDD10" w:rsidR="002A5063" w:rsidRPr="009651AC" w:rsidRDefault="002A5063" w:rsidP="002A5063">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sidR="009C0C84">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20"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1C2705D2"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Midterm</w:t>
            </w:r>
          </w:p>
        </w:tc>
        <w:tc>
          <w:tcPr>
            <w:tcW w:w="1871" w:type="dxa"/>
            <w:gridSpan w:val="5"/>
            <w:vMerge w:val="restart"/>
            <w:tcBorders>
              <w:top w:val="single" w:sz="18" w:space="0" w:color="FFFFFF"/>
              <w:left w:val="single" w:sz="18" w:space="0" w:color="FFFFFF"/>
              <w:right w:val="single" w:sz="18" w:space="0" w:color="FFFFFF"/>
            </w:tcBorders>
            <w:shd w:val="clear" w:color="auto" w:fill="D99594"/>
          </w:tcPr>
          <w:p w14:paraId="20170DA0" w14:textId="79640FB2"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 xml:space="preserve">Did it </w:t>
            </w:r>
            <w:r w:rsidR="009C0C84">
              <w:rPr>
                <w:rFonts w:ascii="Gill Sans" w:hAnsi="Gill Sans" w:cs="Gill Sans"/>
                <w:sz w:val="22"/>
                <w:szCs w:val="22"/>
                <w:lang w:val="en-GB"/>
              </w:rPr>
              <w:t>O</w:t>
            </w:r>
            <w:r w:rsidRPr="009651AC">
              <w:rPr>
                <w:rFonts w:ascii="Gill Sans" w:hAnsi="Gill Sans" w:cs="Gill Sans"/>
                <w:sz w:val="22"/>
                <w:szCs w:val="22"/>
                <w:lang w:val="en-GB"/>
              </w:rPr>
              <w:t xml:space="preserve">pen </w:t>
            </w:r>
            <w:r w:rsidR="009C0C84">
              <w:rPr>
                <w:rFonts w:ascii="Gill Sans" w:hAnsi="Gill Sans" w:cs="Gill Sans"/>
                <w:sz w:val="22"/>
                <w:szCs w:val="22"/>
                <w:lang w:val="en-GB"/>
              </w:rPr>
              <w:t>G</w:t>
            </w:r>
            <w:r w:rsidRPr="009651AC">
              <w:rPr>
                <w:rFonts w:ascii="Gill Sans" w:hAnsi="Gill Sans" w:cs="Gill Sans"/>
                <w:sz w:val="22"/>
                <w:szCs w:val="22"/>
                <w:lang w:val="en-GB"/>
              </w:rPr>
              <w:t>overnment?</w:t>
            </w:r>
          </w:p>
        </w:tc>
      </w:tr>
      <w:tr w:rsidR="009C0C84" w:rsidRPr="009651AC" w14:paraId="1706D759" w14:textId="77777777" w:rsidTr="00B223BA">
        <w:trPr>
          <w:trHeight w:val="373"/>
        </w:trPr>
        <w:tc>
          <w:tcPr>
            <w:tcW w:w="1474" w:type="dxa"/>
            <w:vMerge/>
            <w:tcBorders>
              <w:left w:val="single" w:sz="4" w:space="0" w:color="FFFFFF"/>
              <w:right w:val="single" w:sz="18" w:space="0" w:color="FFFFFF"/>
            </w:tcBorders>
            <w:shd w:val="clear" w:color="auto" w:fill="000000"/>
          </w:tcPr>
          <w:p w14:paraId="569CC82A" w14:textId="77777777" w:rsidR="002A5063" w:rsidRPr="009651AC" w:rsidRDefault="002A5063" w:rsidP="002A5063">
            <w:pPr>
              <w:rPr>
                <w:rFonts w:ascii="Gill Sans" w:hAnsi="Gill Sans" w:cs="Gill Sans"/>
                <w:color w:val="FFFFFF" w:themeColor="background1"/>
                <w:sz w:val="22"/>
                <w:szCs w:val="22"/>
                <w:lang w:val="en-GB"/>
              </w:rPr>
            </w:pPr>
          </w:p>
        </w:tc>
        <w:tc>
          <w:tcPr>
            <w:tcW w:w="1593" w:type="dxa"/>
            <w:gridSpan w:val="4"/>
            <w:vMerge/>
            <w:tcBorders>
              <w:left w:val="single" w:sz="18" w:space="0" w:color="FFFFFF"/>
              <w:bottom w:val="single" w:sz="18" w:space="0" w:color="FFFFFF"/>
              <w:right w:val="single" w:sz="18" w:space="0" w:color="FFFFFF"/>
            </w:tcBorders>
            <w:shd w:val="clear" w:color="auto" w:fill="D6E3BC"/>
          </w:tcPr>
          <w:p w14:paraId="57B7C90D" w14:textId="77777777" w:rsidR="002A5063" w:rsidRPr="009651AC" w:rsidRDefault="002A5063" w:rsidP="002A5063">
            <w:pPr>
              <w:rPr>
                <w:rFonts w:ascii="Gill Sans" w:hAnsi="Gill Sans" w:cs="Gill Sans"/>
                <w:sz w:val="22"/>
                <w:szCs w:val="22"/>
                <w:lang w:val="en-GB"/>
              </w:rPr>
            </w:pPr>
          </w:p>
        </w:tc>
        <w:tc>
          <w:tcPr>
            <w:tcW w:w="1903" w:type="dxa"/>
            <w:gridSpan w:val="4"/>
            <w:vMerge/>
            <w:tcBorders>
              <w:left w:val="single" w:sz="18" w:space="0" w:color="FFFFFF"/>
              <w:bottom w:val="single" w:sz="18" w:space="0" w:color="FFFFFF"/>
              <w:right w:val="single" w:sz="18" w:space="0" w:color="FFFFFF"/>
            </w:tcBorders>
            <w:shd w:val="clear" w:color="auto" w:fill="FBD4B4"/>
          </w:tcPr>
          <w:p w14:paraId="40A8D0BD" w14:textId="77777777" w:rsidR="002A5063" w:rsidRPr="009651AC" w:rsidRDefault="002A5063" w:rsidP="002A5063">
            <w:pPr>
              <w:rPr>
                <w:rFonts w:ascii="Gill Sans" w:hAnsi="Gill Sans" w:cs="Gill Sans"/>
                <w:sz w:val="22"/>
                <w:szCs w:val="22"/>
                <w:lang w:val="en-GB"/>
              </w:rPr>
            </w:pPr>
          </w:p>
        </w:tc>
        <w:tc>
          <w:tcPr>
            <w:tcW w:w="1473" w:type="dxa"/>
            <w:gridSpan w:val="4"/>
            <w:vMerge/>
            <w:tcBorders>
              <w:left w:val="single" w:sz="18" w:space="0" w:color="FFFFFF"/>
              <w:bottom w:val="single" w:sz="18" w:space="0" w:color="FFFFFF"/>
              <w:right w:val="single" w:sz="18" w:space="0" w:color="FFFFFF"/>
            </w:tcBorders>
            <w:shd w:val="clear" w:color="auto" w:fill="CCC0D9"/>
          </w:tcPr>
          <w:p w14:paraId="275CB469" w14:textId="77777777" w:rsidR="002A5063" w:rsidRPr="009651AC" w:rsidRDefault="002A5063" w:rsidP="002A5063">
            <w:pPr>
              <w:rPr>
                <w:rFonts w:ascii="Gill Sans" w:hAnsi="Gill Sans" w:cs="Gill Sans"/>
                <w:sz w:val="22"/>
                <w:szCs w:val="22"/>
                <w:lang w:val="en-GB"/>
              </w:rPr>
            </w:pPr>
          </w:p>
        </w:tc>
        <w:tc>
          <w:tcPr>
            <w:tcW w:w="974" w:type="dxa"/>
            <w:gridSpan w:val="2"/>
            <w:vMerge/>
            <w:tcBorders>
              <w:left w:val="single" w:sz="18" w:space="0" w:color="FFFFFF"/>
              <w:bottom w:val="single" w:sz="18" w:space="0" w:color="FFFFFF"/>
              <w:right w:val="single" w:sz="2" w:space="0" w:color="FFFFFF"/>
            </w:tcBorders>
            <w:shd w:val="clear" w:color="auto" w:fill="B8CCE4"/>
          </w:tcPr>
          <w:p w14:paraId="2A81DA24" w14:textId="77777777" w:rsidR="002A5063" w:rsidRPr="009651AC" w:rsidRDefault="002A5063" w:rsidP="002A5063">
            <w:pPr>
              <w:rPr>
                <w:rFonts w:ascii="Gill Sans" w:hAnsi="Gill Sans" w:cs="Gill Sans"/>
                <w:sz w:val="22"/>
                <w:szCs w:val="22"/>
                <w:lang w:val="en-GB"/>
              </w:rPr>
            </w:pPr>
          </w:p>
        </w:tc>
        <w:tc>
          <w:tcPr>
            <w:tcW w:w="920"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29A612E" w14:textId="0EBB0652"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 xml:space="preserve">End of </w:t>
            </w:r>
            <w:r w:rsidR="009C0C84">
              <w:rPr>
                <w:rFonts w:ascii="Gill Sans" w:hAnsi="Gill Sans" w:cs="Gill Sans"/>
                <w:sz w:val="22"/>
                <w:szCs w:val="22"/>
                <w:lang w:val="en-GB"/>
              </w:rPr>
              <w:t>T</w:t>
            </w:r>
            <w:r w:rsidRPr="009651AC">
              <w:rPr>
                <w:rFonts w:ascii="Gill Sans" w:hAnsi="Gill Sans" w:cs="Gill Sans"/>
                <w:sz w:val="22"/>
                <w:szCs w:val="22"/>
                <w:lang w:val="en-GB"/>
              </w:rPr>
              <w:t>erm</w:t>
            </w:r>
          </w:p>
        </w:tc>
        <w:tc>
          <w:tcPr>
            <w:tcW w:w="1871" w:type="dxa"/>
            <w:gridSpan w:val="5"/>
            <w:vMerge/>
            <w:tcBorders>
              <w:left w:val="single" w:sz="18" w:space="0" w:color="FFFFFF"/>
              <w:bottom w:val="single" w:sz="18" w:space="0" w:color="FFFFFF"/>
              <w:right w:val="single" w:sz="18" w:space="0" w:color="FFFFFF"/>
            </w:tcBorders>
            <w:shd w:val="clear" w:color="auto" w:fill="D99594"/>
          </w:tcPr>
          <w:p w14:paraId="078F1435" w14:textId="77777777" w:rsidR="002A5063" w:rsidRPr="009651AC" w:rsidRDefault="002A5063" w:rsidP="002A5063">
            <w:pPr>
              <w:rPr>
                <w:rFonts w:ascii="Gill Sans" w:hAnsi="Gill Sans" w:cs="Gill Sans"/>
                <w:sz w:val="22"/>
                <w:szCs w:val="22"/>
                <w:lang w:val="en-GB"/>
              </w:rPr>
            </w:pPr>
          </w:p>
        </w:tc>
      </w:tr>
      <w:tr w:rsidR="000D183E" w:rsidRPr="009651AC" w14:paraId="7FAD8037" w14:textId="77777777" w:rsidTr="00B223BA">
        <w:trPr>
          <w:cantSplit/>
          <w:trHeight w:val="2336"/>
        </w:trPr>
        <w:tc>
          <w:tcPr>
            <w:tcW w:w="1474" w:type="dxa"/>
            <w:vMerge/>
            <w:tcBorders>
              <w:left w:val="single" w:sz="4" w:space="0" w:color="FFFFFF"/>
              <w:bottom w:val="single" w:sz="18" w:space="0" w:color="FFFFFF"/>
              <w:right w:val="single" w:sz="18" w:space="0" w:color="FFFFFF"/>
            </w:tcBorders>
            <w:shd w:val="clear" w:color="auto" w:fill="000000"/>
          </w:tcPr>
          <w:p w14:paraId="7C803D9B" w14:textId="77777777" w:rsidR="002A5063" w:rsidRPr="009651AC" w:rsidRDefault="002A5063" w:rsidP="002A5063">
            <w:pPr>
              <w:rPr>
                <w:rFonts w:ascii="Gill Sans" w:hAnsi="Gill Sans" w:cs="Gill Sans"/>
                <w:color w:val="FFFFFF" w:themeColor="background1"/>
                <w:sz w:val="22"/>
                <w:szCs w:val="22"/>
                <w:lang w:val="en-GB"/>
              </w:rPr>
            </w:pPr>
          </w:p>
        </w:tc>
        <w:tc>
          <w:tcPr>
            <w:tcW w:w="395"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5EC86010"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None</w:t>
            </w:r>
          </w:p>
        </w:tc>
        <w:tc>
          <w:tcPr>
            <w:tcW w:w="507"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481A3049"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Low</w:t>
            </w:r>
          </w:p>
        </w:tc>
        <w:tc>
          <w:tcPr>
            <w:tcW w:w="345"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2FBB3EA1"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Medium</w:t>
            </w:r>
          </w:p>
        </w:tc>
        <w:tc>
          <w:tcPr>
            <w:tcW w:w="346"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3D5E85B9"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High</w:t>
            </w:r>
          </w:p>
        </w:tc>
        <w:tc>
          <w:tcPr>
            <w:tcW w:w="368"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6E3CDEE0"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67"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303F1AF5"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68"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7FF9EBE9"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800"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31DC51B7"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66"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6C37ADEC"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None</w:t>
            </w:r>
          </w:p>
        </w:tc>
        <w:tc>
          <w:tcPr>
            <w:tcW w:w="343"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2F182BC6"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Minor</w:t>
            </w:r>
          </w:p>
        </w:tc>
        <w:tc>
          <w:tcPr>
            <w:tcW w:w="421"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4D541A47"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Moderate</w:t>
            </w:r>
          </w:p>
        </w:tc>
        <w:tc>
          <w:tcPr>
            <w:tcW w:w="343"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2E80FD58"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553"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2583F3DC" w14:textId="37EE2592"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 xml:space="preserve">Not </w:t>
            </w:r>
            <w:r w:rsidR="009C0C84">
              <w:rPr>
                <w:rFonts w:ascii="Gill Sans" w:hAnsi="Gill Sans" w:cs="Gill Sans"/>
                <w:sz w:val="22"/>
                <w:szCs w:val="22"/>
                <w:lang w:val="en-GB"/>
              </w:rPr>
              <w:t>S</w:t>
            </w:r>
            <w:r w:rsidRPr="009651AC">
              <w:rPr>
                <w:rFonts w:ascii="Gill Sans" w:hAnsi="Gill Sans" w:cs="Gill Sans"/>
                <w:sz w:val="22"/>
                <w:szCs w:val="22"/>
                <w:lang w:val="en-GB"/>
              </w:rPr>
              <w:t>tarted</w:t>
            </w:r>
          </w:p>
        </w:tc>
        <w:tc>
          <w:tcPr>
            <w:tcW w:w="421"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522EFF0F"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Limited</w:t>
            </w:r>
          </w:p>
        </w:tc>
        <w:tc>
          <w:tcPr>
            <w:tcW w:w="421"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6FFBCEDE"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Substantial</w:t>
            </w:r>
          </w:p>
        </w:tc>
        <w:tc>
          <w:tcPr>
            <w:tcW w:w="499"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2A3C147C"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Completed</w:t>
            </w:r>
          </w:p>
        </w:tc>
        <w:tc>
          <w:tcPr>
            <w:tcW w:w="376"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DEA9A02" w14:textId="6445B482"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Worsen</w:t>
            </w:r>
            <w:r w:rsidR="007729D3">
              <w:rPr>
                <w:rFonts w:ascii="Gill Sans" w:hAnsi="Gill Sans" w:cs="Gill Sans"/>
                <w:sz w:val="22"/>
                <w:szCs w:val="22"/>
                <w:lang w:val="en-GB"/>
              </w:rPr>
              <w:t>ed</w:t>
            </w:r>
          </w:p>
        </w:tc>
        <w:tc>
          <w:tcPr>
            <w:tcW w:w="388"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C232B14" w14:textId="749A4992"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 xml:space="preserve">Did </w:t>
            </w:r>
            <w:r w:rsidR="009C0C84">
              <w:rPr>
                <w:rFonts w:ascii="Gill Sans" w:hAnsi="Gill Sans" w:cs="Gill Sans"/>
                <w:sz w:val="22"/>
                <w:szCs w:val="22"/>
                <w:lang w:val="en-GB"/>
              </w:rPr>
              <w:t>N</w:t>
            </w:r>
            <w:r w:rsidRPr="009651AC">
              <w:rPr>
                <w:rFonts w:ascii="Gill Sans" w:hAnsi="Gill Sans" w:cs="Gill Sans"/>
                <w:sz w:val="22"/>
                <w:szCs w:val="22"/>
                <w:lang w:val="en-GB"/>
              </w:rPr>
              <w:t xml:space="preserve">ot </w:t>
            </w:r>
            <w:r w:rsidR="009C0C84">
              <w:rPr>
                <w:rFonts w:ascii="Gill Sans" w:hAnsi="Gill Sans" w:cs="Gill Sans"/>
                <w:sz w:val="22"/>
                <w:szCs w:val="22"/>
                <w:lang w:val="en-GB"/>
              </w:rPr>
              <w:t>C</w:t>
            </w:r>
            <w:r w:rsidRPr="009651AC">
              <w:rPr>
                <w:rFonts w:ascii="Gill Sans" w:hAnsi="Gill Sans" w:cs="Gill Sans"/>
                <w:sz w:val="22"/>
                <w:szCs w:val="22"/>
                <w:lang w:val="en-GB"/>
              </w:rPr>
              <w:t>hange</w:t>
            </w:r>
          </w:p>
        </w:tc>
        <w:tc>
          <w:tcPr>
            <w:tcW w:w="343"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C384468"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Marginal</w:t>
            </w:r>
          </w:p>
        </w:tc>
        <w:tc>
          <w:tcPr>
            <w:tcW w:w="343"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5A50EB7"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21"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38326084" w14:textId="77777777" w:rsidR="002A5063" w:rsidRPr="009651AC" w:rsidRDefault="002A5063" w:rsidP="002A5063">
            <w:pPr>
              <w:rPr>
                <w:rFonts w:ascii="Gill Sans" w:hAnsi="Gill Sans" w:cs="Gill Sans"/>
                <w:sz w:val="22"/>
                <w:szCs w:val="22"/>
                <w:lang w:val="en-GB"/>
              </w:rPr>
            </w:pPr>
            <w:r w:rsidRPr="009651AC">
              <w:rPr>
                <w:rFonts w:ascii="Gill Sans" w:hAnsi="Gill Sans" w:cs="Gill Sans"/>
                <w:sz w:val="22"/>
                <w:szCs w:val="22"/>
                <w:lang w:val="en-GB"/>
              </w:rPr>
              <w:t>Outstanding</w:t>
            </w:r>
          </w:p>
        </w:tc>
      </w:tr>
      <w:tr w:rsidR="000D183E" w:rsidRPr="009651AC" w14:paraId="621662FC" w14:textId="77777777" w:rsidTr="00B223BA">
        <w:trPr>
          <w:trHeight w:val="340"/>
        </w:trPr>
        <w:tc>
          <w:tcPr>
            <w:tcW w:w="1474" w:type="dxa"/>
            <w:vMerge w:val="restart"/>
            <w:tcBorders>
              <w:top w:val="single" w:sz="18" w:space="0" w:color="FFFFFF"/>
              <w:left w:val="single" w:sz="4" w:space="0" w:color="FFFFFF"/>
            </w:tcBorders>
            <w:shd w:val="clear" w:color="auto" w:fill="000000"/>
          </w:tcPr>
          <w:p w14:paraId="3E1CBD22" w14:textId="76EEC70D" w:rsidR="00744206" w:rsidRPr="009651AC" w:rsidRDefault="00744206" w:rsidP="002A5063">
            <w:pPr>
              <w:rPr>
                <w:rFonts w:ascii="Gill Sans" w:hAnsi="Gill Sans" w:cs="Gill Sans"/>
                <w:color w:val="FFFFFF" w:themeColor="background1"/>
                <w:sz w:val="22"/>
                <w:szCs w:val="22"/>
                <w:lang w:val="en-GB"/>
              </w:rPr>
            </w:pPr>
            <w:r>
              <w:rPr>
                <w:rFonts w:ascii="Gill Sans" w:hAnsi="Gill Sans" w:cs="Gill Sans"/>
                <w:color w:val="FFFFFF" w:themeColor="background1"/>
                <w:sz w:val="22"/>
                <w:szCs w:val="22"/>
                <w:lang w:val="en-GB"/>
              </w:rPr>
              <w:t xml:space="preserve">14. </w:t>
            </w:r>
            <w:r w:rsidRPr="002A5063">
              <w:rPr>
                <w:rFonts w:ascii="Gill Sans" w:hAnsi="Gill Sans" w:cs="Gill Sans"/>
                <w:color w:val="FFFFFF" w:themeColor="background1"/>
                <w:sz w:val="22"/>
                <w:szCs w:val="22"/>
                <w:lang w:val="en-GB"/>
              </w:rPr>
              <w:t>Streamline payment of administrative fees</w:t>
            </w:r>
          </w:p>
        </w:tc>
        <w:tc>
          <w:tcPr>
            <w:tcW w:w="395" w:type="dxa"/>
            <w:vMerge w:val="restart"/>
            <w:tcBorders>
              <w:top w:val="single" w:sz="18" w:space="0" w:color="FFFFFF"/>
              <w:right w:val="single" w:sz="2" w:space="0" w:color="FFFFFF"/>
            </w:tcBorders>
            <w:shd w:val="clear" w:color="auto" w:fill="D6E3BC"/>
          </w:tcPr>
          <w:p w14:paraId="6F90A4A1" w14:textId="77777777" w:rsidR="00744206" w:rsidRPr="009651AC" w:rsidRDefault="00744206" w:rsidP="002A5063">
            <w:pPr>
              <w:rPr>
                <w:rFonts w:ascii="Gill Sans" w:hAnsi="Gill Sans" w:cs="Gill Sans"/>
                <w:sz w:val="22"/>
                <w:szCs w:val="22"/>
                <w:lang w:val="en-GB"/>
              </w:rPr>
            </w:pPr>
          </w:p>
        </w:tc>
        <w:tc>
          <w:tcPr>
            <w:tcW w:w="507" w:type="dxa"/>
            <w:vMerge w:val="restart"/>
            <w:tcBorders>
              <w:top w:val="single" w:sz="18" w:space="0" w:color="FFFFFF"/>
              <w:left w:val="single" w:sz="2" w:space="0" w:color="FFFFFF"/>
              <w:right w:val="single" w:sz="2" w:space="0" w:color="FFFFFF"/>
            </w:tcBorders>
            <w:shd w:val="clear" w:color="auto" w:fill="D6E3BC"/>
          </w:tcPr>
          <w:p w14:paraId="1B08A82E" w14:textId="77777777" w:rsidR="00744206" w:rsidRPr="009651AC" w:rsidRDefault="00744206" w:rsidP="002A5063">
            <w:pPr>
              <w:rPr>
                <w:rFonts w:ascii="Gill Sans" w:hAnsi="Gill Sans" w:cs="Gill Sans"/>
                <w:sz w:val="22"/>
                <w:szCs w:val="22"/>
                <w:lang w:val="en-GB"/>
              </w:rPr>
            </w:pPr>
          </w:p>
        </w:tc>
        <w:tc>
          <w:tcPr>
            <w:tcW w:w="345" w:type="dxa"/>
            <w:vMerge w:val="restart"/>
            <w:tcBorders>
              <w:top w:val="single" w:sz="18" w:space="0" w:color="FFFFFF"/>
              <w:left w:val="single" w:sz="2" w:space="0" w:color="FFFFFF"/>
              <w:right w:val="single" w:sz="2" w:space="0" w:color="FFFFFF"/>
            </w:tcBorders>
            <w:shd w:val="clear" w:color="auto" w:fill="D6E3BC"/>
          </w:tcPr>
          <w:p w14:paraId="3628B192" w14:textId="77777777" w:rsidR="00744206" w:rsidRPr="009651AC" w:rsidRDefault="00744206" w:rsidP="002A5063">
            <w:pPr>
              <w:rPr>
                <w:rFonts w:ascii="Gill Sans" w:hAnsi="Gill Sans" w:cs="Gill Sans"/>
                <w:sz w:val="22"/>
                <w:szCs w:val="22"/>
                <w:lang w:val="en-GB"/>
              </w:rPr>
            </w:pPr>
          </w:p>
        </w:tc>
        <w:tc>
          <w:tcPr>
            <w:tcW w:w="346" w:type="dxa"/>
            <w:vMerge w:val="restart"/>
            <w:tcBorders>
              <w:top w:val="single" w:sz="18" w:space="0" w:color="FFFFFF"/>
              <w:left w:val="single" w:sz="2" w:space="0" w:color="FFFFFF"/>
              <w:right w:val="single" w:sz="18" w:space="0" w:color="FFFFFF"/>
            </w:tcBorders>
            <w:shd w:val="clear" w:color="auto" w:fill="D6E3BC"/>
          </w:tcPr>
          <w:p w14:paraId="5231051B" w14:textId="77777777" w:rsidR="00744206" w:rsidRPr="00466E44" w:rsidRDefault="00744206" w:rsidP="002A5063">
            <w:pPr>
              <w:rPr>
                <w:rFonts w:ascii="Zapf Dingbats" w:hAnsi="Zapf Dingbats" w:cs="Gill Sans"/>
                <w:noProof/>
                <w:sz w:val="22"/>
                <w:szCs w:val="22"/>
                <w:lang w:val="en-GB"/>
              </w:rPr>
            </w:pPr>
            <w:r w:rsidRPr="00466E44">
              <w:rPr>
                <w:rFonts w:ascii="Zapf Dingbats" w:eastAsia="MS Mincho" w:hAnsi="Zapf Dingbats" w:cs="MS Mincho"/>
                <w:noProof/>
                <w:sz w:val="22"/>
                <w:szCs w:val="22"/>
                <w:lang w:val="en-GB"/>
              </w:rPr>
              <w:t>✔</w:t>
            </w:r>
          </w:p>
        </w:tc>
        <w:tc>
          <w:tcPr>
            <w:tcW w:w="1903" w:type="dxa"/>
            <w:gridSpan w:val="4"/>
            <w:vMerge w:val="restart"/>
            <w:tcBorders>
              <w:top w:val="single" w:sz="18" w:space="0" w:color="FFFFFF"/>
              <w:left w:val="single" w:sz="2" w:space="0" w:color="FFFFFF"/>
              <w:right w:val="single" w:sz="18" w:space="0" w:color="FFFFFF"/>
            </w:tcBorders>
            <w:shd w:val="clear" w:color="auto" w:fill="FBD4B4"/>
          </w:tcPr>
          <w:p w14:paraId="03E823BE" w14:textId="251190C9" w:rsidR="00744206" w:rsidRPr="00744206" w:rsidRDefault="00744206" w:rsidP="00744206">
            <w:pPr>
              <w:jc w:val="center"/>
              <w:rPr>
                <w:rFonts w:ascii="Gill Sans" w:hAnsi="Gill Sans" w:cs="Gill Sans"/>
                <w:noProof/>
                <w:sz w:val="22"/>
                <w:szCs w:val="22"/>
                <w:lang w:val="en-GB"/>
              </w:rPr>
            </w:pPr>
            <w:r w:rsidRPr="00744206">
              <w:rPr>
                <w:rFonts w:ascii="Gill Sans" w:eastAsia="MS Mincho" w:hAnsi="Gill Sans" w:cs="Gill Sans"/>
                <w:noProof/>
                <w:sz w:val="22"/>
                <w:szCs w:val="22"/>
                <w:lang w:val="en-GB"/>
              </w:rPr>
              <w:t>Unclear</w:t>
            </w:r>
          </w:p>
        </w:tc>
        <w:tc>
          <w:tcPr>
            <w:tcW w:w="366" w:type="dxa"/>
            <w:vMerge w:val="restart"/>
            <w:tcBorders>
              <w:top w:val="single" w:sz="18" w:space="0" w:color="FFFFFF"/>
              <w:left w:val="single" w:sz="18" w:space="0" w:color="FFFFFF"/>
              <w:right w:val="single" w:sz="2" w:space="0" w:color="FFFFFF"/>
            </w:tcBorders>
            <w:shd w:val="clear" w:color="auto" w:fill="CCC0D9"/>
          </w:tcPr>
          <w:p w14:paraId="7BAFD0C4" w14:textId="77777777" w:rsidR="00744206" w:rsidRPr="00466E44" w:rsidRDefault="00744206" w:rsidP="002A5063">
            <w:pPr>
              <w:rPr>
                <w:rFonts w:ascii="Zapf Dingbats" w:hAnsi="Zapf Dingbats" w:cs="Gill Sans"/>
                <w:sz w:val="22"/>
                <w:szCs w:val="22"/>
                <w:lang w:val="en-GB"/>
              </w:rPr>
            </w:pPr>
          </w:p>
        </w:tc>
        <w:tc>
          <w:tcPr>
            <w:tcW w:w="343" w:type="dxa"/>
            <w:vMerge w:val="restart"/>
            <w:tcBorders>
              <w:top w:val="single" w:sz="18" w:space="0" w:color="FFFFFF"/>
              <w:left w:val="single" w:sz="2" w:space="0" w:color="FFFFFF"/>
              <w:right w:val="single" w:sz="2" w:space="0" w:color="FFFFFF"/>
            </w:tcBorders>
            <w:shd w:val="clear" w:color="auto" w:fill="CCC0D9"/>
          </w:tcPr>
          <w:p w14:paraId="22E8D781" w14:textId="3D1F7F4D" w:rsidR="00744206" w:rsidRPr="00466E44" w:rsidRDefault="00744206" w:rsidP="002A5063">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421" w:type="dxa"/>
            <w:vMerge w:val="restart"/>
            <w:tcBorders>
              <w:top w:val="single" w:sz="18" w:space="0" w:color="FFFFFF"/>
              <w:left w:val="single" w:sz="2" w:space="0" w:color="FFFFFF"/>
              <w:right w:val="single" w:sz="2" w:space="0" w:color="FFFFFF"/>
            </w:tcBorders>
            <w:shd w:val="clear" w:color="auto" w:fill="CCC0D9"/>
          </w:tcPr>
          <w:p w14:paraId="59A043B5" w14:textId="7B4264BC" w:rsidR="00744206" w:rsidRPr="00466E44" w:rsidRDefault="00744206" w:rsidP="002A5063">
            <w:pPr>
              <w:rPr>
                <w:rFonts w:ascii="Zapf Dingbats" w:hAnsi="Zapf Dingbats" w:cs="Gill Sans"/>
                <w:noProof/>
                <w:sz w:val="22"/>
                <w:szCs w:val="22"/>
                <w:lang w:val="en-GB"/>
              </w:rPr>
            </w:pPr>
          </w:p>
        </w:tc>
        <w:tc>
          <w:tcPr>
            <w:tcW w:w="343" w:type="dxa"/>
            <w:vMerge w:val="restart"/>
            <w:tcBorders>
              <w:top w:val="single" w:sz="18" w:space="0" w:color="FFFFFF"/>
              <w:left w:val="single" w:sz="2" w:space="0" w:color="FFFFFF"/>
              <w:right w:val="single" w:sz="18" w:space="0" w:color="FFFFFF"/>
            </w:tcBorders>
            <w:shd w:val="clear" w:color="auto" w:fill="CCC0D9"/>
          </w:tcPr>
          <w:p w14:paraId="74525A68" w14:textId="77777777" w:rsidR="00744206" w:rsidRPr="00466E44" w:rsidRDefault="00744206" w:rsidP="002A5063">
            <w:pPr>
              <w:rPr>
                <w:rFonts w:ascii="Zapf Dingbats" w:hAnsi="Zapf Dingbats" w:cs="Gill Sans"/>
                <w:sz w:val="22"/>
                <w:szCs w:val="22"/>
                <w:lang w:val="en-GB"/>
              </w:rPr>
            </w:pPr>
          </w:p>
        </w:tc>
        <w:tc>
          <w:tcPr>
            <w:tcW w:w="553"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66337F4" w14:textId="77777777" w:rsidR="00744206" w:rsidRPr="00466E44" w:rsidRDefault="00744206" w:rsidP="002A5063">
            <w:pPr>
              <w:rPr>
                <w:rFonts w:ascii="Zapf Dingbats" w:hAnsi="Zapf Dingbats" w:cs="Gill Sans"/>
                <w:sz w:val="22"/>
                <w:szCs w:val="22"/>
                <w:lang w:val="en-GB"/>
              </w:rPr>
            </w:pPr>
          </w:p>
        </w:tc>
        <w:tc>
          <w:tcPr>
            <w:tcW w:w="42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7663BF7" w14:textId="473024E5" w:rsidR="00744206" w:rsidRPr="00466E44" w:rsidRDefault="00744206" w:rsidP="002A5063">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42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8177901" w14:textId="77777777" w:rsidR="00744206" w:rsidRPr="00466E44" w:rsidRDefault="00744206" w:rsidP="002A5063">
            <w:pPr>
              <w:rPr>
                <w:rFonts w:ascii="Zapf Dingbats" w:hAnsi="Zapf Dingbats" w:cs="Gill Sans"/>
                <w:sz w:val="22"/>
                <w:szCs w:val="22"/>
                <w:lang w:val="en-GB"/>
              </w:rPr>
            </w:pPr>
          </w:p>
        </w:tc>
        <w:tc>
          <w:tcPr>
            <w:tcW w:w="499"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2789E206" w14:textId="1D04513E" w:rsidR="00744206" w:rsidRPr="009651AC" w:rsidRDefault="00744206" w:rsidP="002A5063">
            <w:pPr>
              <w:rPr>
                <w:rFonts w:ascii="Gill Sans" w:hAnsi="Gill Sans" w:cs="Gill Sans"/>
                <w:sz w:val="22"/>
                <w:szCs w:val="22"/>
                <w:lang w:val="en-GB"/>
              </w:rPr>
            </w:pPr>
          </w:p>
        </w:tc>
        <w:tc>
          <w:tcPr>
            <w:tcW w:w="376" w:type="dxa"/>
            <w:vMerge w:val="restart"/>
            <w:tcBorders>
              <w:top w:val="single" w:sz="18" w:space="0" w:color="FFFFFF"/>
              <w:left w:val="single" w:sz="18" w:space="0" w:color="FFFFFF"/>
              <w:right w:val="single" w:sz="2" w:space="0" w:color="FFFFFF"/>
            </w:tcBorders>
            <w:shd w:val="clear" w:color="auto" w:fill="D99594"/>
          </w:tcPr>
          <w:p w14:paraId="6FB0BEAB" w14:textId="77777777" w:rsidR="00744206" w:rsidRPr="009651AC" w:rsidRDefault="00744206" w:rsidP="002A5063">
            <w:pPr>
              <w:rPr>
                <w:rFonts w:ascii="Gill Sans" w:hAnsi="Gill Sans" w:cs="Gill Sans"/>
                <w:sz w:val="22"/>
                <w:szCs w:val="22"/>
                <w:lang w:val="en-GB"/>
              </w:rPr>
            </w:pPr>
          </w:p>
        </w:tc>
        <w:tc>
          <w:tcPr>
            <w:tcW w:w="388" w:type="dxa"/>
            <w:vMerge w:val="restart"/>
            <w:tcBorders>
              <w:top w:val="single" w:sz="18" w:space="0" w:color="FFFFFF"/>
              <w:left w:val="single" w:sz="2" w:space="0" w:color="FFFFFF"/>
              <w:right w:val="single" w:sz="2" w:space="0" w:color="FFFFFF"/>
            </w:tcBorders>
            <w:shd w:val="clear" w:color="auto" w:fill="D99594"/>
          </w:tcPr>
          <w:p w14:paraId="6A8F92B1" w14:textId="0EDB08DA" w:rsidR="00744206" w:rsidRPr="00466E44" w:rsidRDefault="00540420" w:rsidP="002A5063">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343" w:type="dxa"/>
            <w:vMerge w:val="restart"/>
            <w:tcBorders>
              <w:top w:val="single" w:sz="18" w:space="0" w:color="FFFFFF"/>
              <w:left w:val="single" w:sz="2" w:space="0" w:color="FFFFFF"/>
              <w:right w:val="single" w:sz="2" w:space="0" w:color="FFFFFF"/>
            </w:tcBorders>
            <w:shd w:val="clear" w:color="auto" w:fill="D99594"/>
          </w:tcPr>
          <w:p w14:paraId="20FB71C9" w14:textId="7115B1AC" w:rsidR="00744206" w:rsidRPr="009651AC" w:rsidRDefault="00744206" w:rsidP="002A5063">
            <w:pPr>
              <w:rPr>
                <w:rFonts w:ascii="Gill Sans" w:hAnsi="Gill Sans" w:cs="Gill Sans"/>
                <w:sz w:val="22"/>
                <w:szCs w:val="22"/>
                <w:lang w:val="en-GB"/>
              </w:rPr>
            </w:pPr>
          </w:p>
        </w:tc>
        <w:tc>
          <w:tcPr>
            <w:tcW w:w="343" w:type="dxa"/>
            <w:vMerge w:val="restart"/>
            <w:tcBorders>
              <w:top w:val="single" w:sz="18" w:space="0" w:color="FFFFFF"/>
              <w:left w:val="single" w:sz="2" w:space="0" w:color="FFFFFF"/>
              <w:right w:val="single" w:sz="2" w:space="0" w:color="FFFFFF"/>
            </w:tcBorders>
            <w:shd w:val="clear" w:color="auto" w:fill="D99594"/>
          </w:tcPr>
          <w:p w14:paraId="6948EB8E" w14:textId="77777777" w:rsidR="00744206" w:rsidRPr="009651AC" w:rsidRDefault="00744206" w:rsidP="002A5063">
            <w:pPr>
              <w:rPr>
                <w:rFonts w:ascii="Gill Sans" w:hAnsi="Gill Sans" w:cs="Gill Sans"/>
                <w:noProof/>
                <w:sz w:val="22"/>
                <w:szCs w:val="22"/>
                <w:lang w:val="en-GB"/>
              </w:rPr>
            </w:pPr>
          </w:p>
        </w:tc>
        <w:tc>
          <w:tcPr>
            <w:tcW w:w="421" w:type="dxa"/>
            <w:vMerge w:val="restart"/>
            <w:tcBorders>
              <w:top w:val="single" w:sz="18" w:space="0" w:color="FFFFFF"/>
              <w:left w:val="single" w:sz="2" w:space="0" w:color="FFFFFF"/>
              <w:right w:val="single" w:sz="18" w:space="0" w:color="FFFFFF"/>
            </w:tcBorders>
            <w:shd w:val="clear" w:color="auto" w:fill="D99594"/>
          </w:tcPr>
          <w:p w14:paraId="2D81A7FD" w14:textId="77777777" w:rsidR="00744206" w:rsidRPr="009651AC" w:rsidRDefault="00744206" w:rsidP="002A5063">
            <w:pPr>
              <w:rPr>
                <w:rFonts w:ascii="Gill Sans" w:hAnsi="Gill Sans" w:cs="Gill Sans"/>
                <w:sz w:val="22"/>
                <w:szCs w:val="22"/>
                <w:lang w:val="en-GB"/>
              </w:rPr>
            </w:pPr>
          </w:p>
        </w:tc>
      </w:tr>
      <w:tr w:rsidR="000D183E" w:rsidRPr="009651AC" w14:paraId="368BC945" w14:textId="77777777" w:rsidTr="00B223BA">
        <w:trPr>
          <w:trHeight w:val="340"/>
        </w:trPr>
        <w:tc>
          <w:tcPr>
            <w:tcW w:w="1474" w:type="dxa"/>
            <w:vMerge/>
            <w:tcBorders>
              <w:left w:val="single" w:sz="4" w:space="0" w:color="FFFFFF"/>
            </w:tcBorders>
            <w:shd w:val="clear" w:color="auto" w:fill="000000"/>
          </w:tcPr>
          <w:p w14:paraId="0FE041BB" w14:textId="77777777" w:rsidR="00744206" w:rsidRPr="009651AC" w:rsidRDefault="00744206" w:rsidP="002A5063">
            <w:pPr>
              <w:rPr>
                <w:rFonts w:ascii="Gill Sans" w:hAnsi="Gill Sans" w:cs="Gill Sans"/>
                <w:color w:val="FFFFFF" w:themeColor="background1"/>
                <w:sz w:val="22"/>
                <w:szCs w:val="22"/>
                <w:lang w:val="en-GB"/>
              </w:rPr>
            </w:pPr>
          </w:p>
        </w:tc>
        <w:tc>
          <w:tcPr>
            <w:tcW w:w="395" w:type="dxa"/>
            <w:vMerge/>
            <w:tcBorders>
              <w:right w:val="single" w:sz="2" w:space="0" w:color="FFFFFF"/>
            </w:tcBorders>
            <w:shd w:val="clear" w:color="auto" w:fill="D6E3BC"/>
          </w:tcPr>
          <w:p w14:paraId="294650CB" w14:textId="77777777" w:rsidR="00744206" w:rsidRPr="009651AC" w:rsidRDefault="00744206" w:rsidP="002A5063">
            <w:pPr>
              <w:rPr>
                <w:rFonts w:ascii="Gill Sans" w:hAnsi="Gill Sans" w:cs="Gill Sans"/>
                <w:sz w:val="22"/>
                <w:szCs w:val="22"/>
                <w:lang w:val="en-GB"/>
              </w:rPr>
            </w:pPr>
          </w:p>
        </w:tc>
        <w:tc>
          <w:tcPr>
            <w:tcW w:w="507" w:type="dxa"/>
            <w:vMerge/>
            <w:tcBorders>
              <w:left w:val="single" w:sz="2" w:space="0" w:color="FFFFFF"/>
              <w:right w:val="single" w:sz="2" w:space="0" w:color="FFFFFF"/>
            </w:tcBorders>
            <w:shd w:val="clear" w:color="auto" w:fill="D6E3BC"/>
          </w:tcPr>
          <w:p w14:paraId="09963585" w14:textId="77777777" w:rsidR="00744206" w:rsidRPr="009651AC" w:rsidRDefault="00744206" w:rsidP="002A5063">
            <w:pPr>
              <w:rPr>
                <w:rFonts w:ascii="Gill Sans" w:hAnsi="Gill Sans" w:cs="Gill Sans"/>
                <w:sz w:val="22"/>
                <w:szCs w:val="22"/>
                <w:lang w:val="en-GB"/>
              </w:rPr>
            </w:pPr>
          </w:p>
        </w:tc>
        <w:tc>
          <w:tcPr>
            <w:tcW w:w="345" w:type="dxa"/>
            <w:vMerge/>
            <w:tcBorders>
              <w:left w:val="single" w:sz="2" w:space="0" w:color="FFFFFF"/>
              <w:right w:val="single" w:sz="2" w:space="0" w:color="FFFFFF"/>
            </w:tcBorders>
            <w:shd w:val="clear" w:color="auto" w:fill="D6E3BC"/>
          </w:tcPr>
          <w:p w14:paraId="628FE484" w14:textId="77777777" w:rsidR="00744206" w:rsidRPr="009651AC" w:rsidRDefault="00744206" w:rsidP="002A5063">
            <w:pPr>
              <w:rPr>
                <w:rFonts w:ascii="Gill Sans" w:hAnsi="Gill Sans" w:cs="Gill Sans"/>
                <w:sz w:val="22"/>
                <w:szCs w:val="22"/>
                <w:lang w:val="en-GB"/>
              </w:rPr>
            </w:pPr>
          </w:p>
        </w:tc>
        <w:tc>
          <w:tcPr>
            <w:tcW w:w="346" w:type="dxa"/>
            <w:vMerge/>
            <w:tcBorders>
              <w:left w:val="single" w:sz="2" w:space="0" w:color="FFFFFF"/>
              <w:right w:val="single" w:sz="18" w:space="0" w:color="FFFFFF"/>
            </w:tcBorders>
            <w:shd w:val="clear" w:color="auto" w:fill="D6E3BC"/>
          </w:tcPr>
          <w:p w14:paraId="453E7472" w14:textId="77777777" w:rsidR="00744206" w:rsidRPr="009651AC" w:rsidRDefault="00744206" w:rsidP="002A5063">
            <w:pPr>
              <w:rPr>
                <w:rFonts w:ascii="Gill Sans" w:hAnsi="Gill Sans" w:cs="Gill Sans"/>
                <w:noProof/>
                <w:sz w:val="22"/>
                <w:szCs w:val="22"/>
                <w:lang w:val="en-GB"/>
              </w:rPr>
            </w:pPr>
          </w:p>
        </w:tc>
        <w:tc>
          <w:tcPr>
            <w:tcW w:w="1903" w:type="dxa"/>
            <w:gridSpan w:val="4"/>
            <w:vMerge/>
            <w:tcBorders>
              <w:left w:val="single" w:sz="2" w:space="0" w:color="FFFFFF"/>
              <w:right w:val="single" w:sz="18" w:space="0" w:color="FFFFFF"/>
            </w:tcBorders>
            <w:shd w:val="clear" w:color="auto" w:fill="FBD4B4"/>
          </w:tcPr>
          <w:p w14:paraId="794801C8" w14:textId="77777777" w:rsidR="00744206" w:rsidRPr="00744206" w:rsidRDefault="00744206" w:rsidP="00744206">
            <w:pPr>
              <w:jc w:val="center"/>
              <w:rPr>
                <w:rFonts w:ascii="Gill Sans" w:hAnsi="Gill Sans" w:cs="Gill Sans"/>
                <w:sz w:val="22"/>
                <w:szCs w:val="22"/>
                <w:lang w:val="en-GB"/>
              </w:rPr>
            </w:pPr>
          </w:p>
        </w:tc>
        <w:tc>
          <w:tcPr>
            <w:tcW w:w="366" w:type="dxa"/>
            <w:vMerge/>
            <w:tcBorders>
              <w:left w:val="single" w:sz="18" w:space="0" w:color="FFFFFF"/>
              <w:right w:val="single" w:sz="2" w:space="0" w:color="FFFFFF"/>
            </w:tcBorders>
            <w:shd w:val="clear" w:color="auto" w:fill="CCC0D9"/>
          </w:tcPr>
          <w:p w14:paraId="5A79619F" w14:textId="77777777" w:rsidR="00744206" w:rsidRPr="00466E44" w:rsidRDefault="00744206" w:rsidP="002A5063">
            <w:pPr>
              <w:rPr>
                <w:rFonts w:ascii="Zapf Dingbats" w:hAnsi="Zapf Dingbats" w:cs="Gill Sans"/>
                <w:sz w:val="22"/>
                <w:szCs w:val="22"/>
                <w:lang w:val="en-GB"/>
              </w:rPr>
            </w:pPr>
          </w:p>
        </w:tc>
        <w:tc>
          <w:tcPr>
            <w:tcW w:w="343" w:type="dxa"/>
            <w:vMerge/>
            <w:tcBorders>
              <w:left w:val="single" w:sz="2" w:space="0" w:color="FFFFFF"/>
              <w:right w:val="single" w:sz="2" w:space="0" w:color="FFFFFF"/>
            </w:tcBorders>
            <w:shd w:val="clear" w:color="auto" w:fill="CCC0D9"/>
          </w:tcPr>
          <w:p w14:paraId="7DA2F649" w14:textId="77777777" w:rsidR="00744206" w:rsidRPr="00466E44" w:rsidRDefault="00744206" w:rsidP="002A5063">
            <w:pPr>
              <w:rPr>
                <w:rFonts w:ascii="Zapf Dingbats" w:hAnsi="Zapf Dingbats" w:cs="Gill Sans"/>
                <w:sz w:val="22"/>
                <w:szCs w:val="22"/>
                <w:lang w:val="en-GB"/>
              </w:rPr>
            </w:pPr>
          </w:p>
        </w:tc>
        <w:tc>
          <w:tcPr>
            <w:tcW w:w="421" w:type="dxa"/>
            <w:vMerge/>
            <w:tcBorders>
              <w:left w:val="single" w:sz="2" w:space="0" w:color="FFFFFF"/>
              <w:right w:val="single" w:sz="2" w:space="0" w:color="FFFFFF"/>
            </w:tcBorders>
            <w:shd w:val="clear" w:color="auto" w:fill="CCC0D9"/>
          </w:tcPr>
          <w:p w14:paraId="6FCF5371" w14:textId="77777777" w:rsidR="00744206" w:rsidRPr="00466E44" w:rsidRDefault="00744206" w:rsidP="002A5063">
            <w:pPr>
              <w:rPr>
                <w:rFonts w:ascii="Zapf Dingbats" w:hAnsi="Zapf Dingbats" w:cs="Gill Sans"/>
                <w:noProof/>
                <w:sz w:val="22"/>
                <w:szCs w:val="22"/>
                <w:lang w:val="en-GB"/>
              </w:rPr>
            </w:pPr>
          </w:p>
        </w:tc>
        <w:tc>
          <w:tcPr>
            <w:tcW w:w="343" w:type="dxa"/>
            <w:vMerge/>
            <w:tcBorders>
              <w:left w:val="single" w:sz="2" w:space="0" w:color="FFFFFF"/>
              <w:right w:val="single" w:sz="18" w:space="0" w:color="FFFFFF"/>
            </w:tcBorders>
            <w:shd w:val="clear" w:color="auto" w:fill="CCC0D9"/>
          </w:tcPr>
          <w:p w14:paraId="7FC0F8E1" w14:textId="77777777" w:rsidR="00744206" w:rsidRPr="00466E44" w:rsidRDefault="00744206" w:rsidP="002A5063">
            <w:pPr>
              <w:rPr>
                <w:rFonts w:ascii="Zapf Dingbats" w:hAnsi="Zapf Dingbats" w:cs="Gill Sans"/>
                <w:sz w:val="22"/>
                <w:szCs w:val="22"/>
                <w:lang w:val="en-GB"/>
              </w:rPr>
            </w:pPr>
          </w:p>
        </w:tc>
        <w:tc>
          <w:tcPr>
            <w:tcW w:w="553"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2918C00F" w14:textId="77777777" w:rsidR="00744206" w:rsidRPr="00466E44" w:rsidRDefault="00744206" w:rsidP="002A5063">
            <w:pPr>
              <w:rPr>
                <w:rFonts w:ascii="Zapf Dingbats" w:hAnsi="Zapf Dingbats" w:cs="Gill Sans"/>
                <w:sz w:val="22"/>
                <w:szCs w:val="22"/>
                <w:lang w:val="en-GB"/>
              </w:rPr>
            </w:pPr>
          </w:p>
        </w:tc>
        <w:tc>
          <w:tcPr>
            <w:tcW w:w="421"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358CBDB7" w14:textId="0A95BA40" w:rsidR="00744206" w:rsidRPr="00466E44" w:rsidRDefault="00797D1E" w:rsidP="002A5063">
            <w:pPr>
              <w:rPr>
                <w:rFonts w:ascii="Zapf Dingbats" w:hAnsi="Zapf Dingbats" w:cs="Gill Sans"/>
                <w:sz w:val="22"/>
                <w:szCs w:val="22"/>
                <w:lang w:val="en-GB"/>
              </w:rPr>
            </w:pPr>
            <w:r w:rsidRPr="00466E44">
              <w:rPr>
                <w:rFonts w:ascii="Zapf Dingbats" w:eastAsia="MS Mincho" w:hAnsi="Zapf Dingbats" w:cs="MS Mincho"/>
                <w:noProof/>
                <w:sz w:val="22"/>
                <w:szCs w:val="22"/>
                <w:lang w:val="en-GB"/>
              </w:rPr>
              <w:t>✔</w:t>
            </w:r>
          </w:p>
        </w:tc>
        <w:tc>
          <w:tcPr>
            <w:tcW w:w="421"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7356ED25" w14:textId="77777777" w:rsidR="00744206" w:rsidRPr="00466E44" w:rsidRDefault="00744206" w:rsidP="002A5063">
            <w:pPr>
              <w:rPr>
                <w:rFonts w:ascii="Zapf Dingbats" w:hAnsi="Zapf Dingbats" w:cs="Gill Sans"/>
                <w:sz w:val="22"/>
                <w:szCs w:val="22"/>
                <w:lang w:val="en-GB"/>
              </w:rPr>
            </w:pPr>
          </w:p>
        </w:tc>
        <w:tc>
          <w:tcPr>
            <w:tcW w:w="499" w:type="dxa"/>
            <w:tcBorders>
              <w:top w:val="single" w:sz="8" w:space="0" w:color="FFFFFF" w:themeColor="background1"/>
              <w:left w:val="single" w:sz="4" w:space="0" w:color="FFFFFF" w:themeColor="background1"/>
              <w:bottom w:val="single" w:sz="18" w:space="0" w:color="FFFFFF"/>
              <w:right w:val="single" w:sz="18" w:space="0" w:color="FFFFFF"/>
            </w:tcBorders>
            <w:shd w:val="clear" w:color="auto" w:fill="B8CCE4"/>
          </w:tcPr>
          <w:p w14:paraId="68D49236" w14:textId="49AD6827" w:rsidR="00744206" w:rsidRPr="009651AC" w:rsidRDefault="00744206" w:rsidP="002A5063">
            <w:pPr>
              <w:rPr>
                <w:rFonts w:ascii="Gill Sans" w:hAnsi="Gill Sans" w:cs="Gill Sans"/>
                <w:sz w:val="22"/>
                <w:szCs w:val="22"/>
                <w:lang w:val="en-GB"/>
              </w:rPr>
            </w:pPr>
          </w:p>
        </w:tc>
        <w:tc>
          <w:tcPr>
            <w:tcW w:w="376" w:type="dxa"/>
            <w:vMerge/>
            <w:tcBorders>
              <w:left w:val="single" w:sz="18" w:space="0" w:color="FFFFFF"/>
              <w:right w:val="single" w:sz="2" w:space="0" w:color="FFFFFF"/>
            </w:tcBorders>
            <w:shd w:val="clear" w:color="auto" w:fill="D99594"/>
          </w:tcPr>
          <w:p w14:paraId="3DF9FF81" w14:textId="77777777" w:rsidR="00744206" w:rsidRPr="009651AC" w:rsidRDefault="00744206" w:rsidP="002A5063">
            <w:pPr>
              <w:rPr>
                <w:rFonts w:ascii="Gill Sans" w:hAnsi="Gill Sans" w:cs="Gill Sans"/>
                <w:sz w:val="22"/>
                <w:szCs w:val="22"/>
                <w:lang w:val="en-GB"/>
              </w:rPr>
            </w:pPr>
          </w:p>
        </w:tc>
        <w:tc>
          <w:tcPr>
            <w:tcW w:w="388" w:type="dxa"/>
            <w:vMerge/>
            <w:tcBorders>
              <w:left w:val="single" w:sz="2" w:space="0" w:color="FFFFFF"/>
              <w:right w:val="single" w:sz="2" w:space="0" w:color="FFFFFF"/>
            </w:tcBorders>
            <w:shd w:val="clear" w:color="auto" w:fill="D99594"/>
          </w:tcPr>
          <w:p w14:paraId="3ACBC231" w14:textId="77777777" w:rsidR="00744206" w:rsidRPr="009651AC" w:rsidRDefault="00744206" w:rsidP="002A5063">
            <w:pPr>
              <w:rPr>
                <w:rFonts w:ascii="Gill Sans" w:hAnsi="Gill Sans" w:cs="Gill Sans"/>
                <w:sz w:val="22"/>
                <w:szCs w:val="22"/>
                <w:lang w:val="en-GB"/>
              </w:rPr>
            </w:pPr>
          </w:p>
        </w:tc>
        <w:tc>
          <w:tcPr>
            <w:tcW w:w="343" w:type="dxa"/>
            <w:vMerge/>
            <w:tcBorders>
              <w:left w:val="single" w:sz="2" w:space="0" w:color="FFFFFF"/>
              <w:right w:val="single" w:sz="2" w:space="0" w:color="FFFFFF"/>
            </w:tcBorders>
            <w:shd w:val="clear" w:color="auto" w:fill="D99594"/>
          </w:tcPr>
          <w:p w14:paraId="35E5B2D5" w14:textId="77777777" w:rsidR="00744206" w:rsidRPr="009651AC" w:rsidRDefault="00744206" w:rsidP="002A5063">
            <w:pPr>
              <w:rPr>
                <w:rFonts w:ascii="Gill Sans" w:hAnsi="Gill Sans" w:cs="Gill Sans"/>
                <w:sz w:val="22"/>
                <w:szCs w:val="22"/>
                <w:lang w:val="en-GB"/>
              </w:rPr>
            </w:pPr>
          </w:p>
        </w:tc>
        <w:tc>
          <w:tcPr>
            <w:tcW w:w="343" w:type="dxa"/>
            <w:vMerge/>
            <w:tcBorders>
              <w:left w:val="single" w:sz="2" w:space="0" w:color="FFFFFF"/>
              <w:right w:val="single" w:sz="2" w:space="0" w:color="FFFFFF"/>
            </w:tcBorders>
            <w:shd w:val="clear" w:color="auto" w:fill="D99594"/>
          </w:tcPr>
          <w:p w14:paraId="480A77D6" w14:textId="77777777" w:rsidR="00744206" w:rsidRPr="009651AC" w:rsidRDefault="00744206" w:rsidP="002A5063">
            <w:pPr>
              <w:rPr>
                <w:rFonts w:ascii="Gill Sans" w:hAnsi="Gill Sans" w:cs="Gill Sans"/>
                <w:noProof/>
                <w:sz w:val="22"/>
                <w:szCs w:val="22"/>
                <w:lang w:val="en-GB"/>
              </w:rPr>
            </w:pPr>
          </w:p>
        </w:tc>
        <w:tc>
          <w:tcPr>
            <w:tcW w:w="421" w:type="dxa"/>
            <w:vMerge/>
            <w:tcBorders>
              <w:left w:val="single" w:sz="2" w:space="0" w:color="FFFFFF"/>
              <w:right w:val="single" w:sz="18" w:space="0" w:color="FFFFFF"/>
            </w:tcBorders>
            <w:shd w:val="clear" w:color="auto" w:fill="D99594"/>
          </w:tcPr>
          <w:p w14:paraId="54A41A24" w14:textId="77777777" w:rsidR="00744206" w:rsidRPr="009651AC" w:rsidRDefault="00744206" w:rsidP="002A5063">
            <w:pPr>
              <w:rPr>
                <w:rFonts w:ascii="Gill Sans" w:hAnsi="Gill Sans" w:cs="Gill Sans"/>
                <w:sz w:val="22"/>
                <w:szCs w:val="22"/>
                <w:lang w:val="en-GB"/>
              </w:rPr>
            </w:pPr>
          </w:p>
        </w:tc>
      </w:tr>
      <w:tr w:rsidR="000D183E" w:rsidRPr="009651AC" w14:paraId="75938007" w14:textId="77777777" w:rsidTr="00B223BA">
        <w:trPr>
          <w:trHeight w:val="600"/>
        </w:trPr>
        <w:tc>
          <w:tcPr>
            <w:tcW w:w="1474" w:type="dxa"/>
            <w:vMerge w:val="restart"/>
            <w:tcBorders>
              <w:top w:val="single" w:sz="18" w:space="0" w:color="FFFFFF"/>
              <w:left w:val="single" w:sz="4" w:space="0" w:color="FFFFFF"/>
            </w:tcBorders>
            <w:shd w:val="clear" w:color="auto" w:fill="000000"/>
          </w:tcPr>
          <w:p w14:paraId="2BB52F03" w14:textId="51AB7FBA" w:rsidR="00744206" w:rsidRPr="009651AC" w:rsidRDefault="00744206" w:rsidP="002A5063">
            <w:pPr>
              <w:rPr>
                <w:rFonts w:ascii="Gill Sans" w:hAnsi="Gill Sans" w:cs="Gill Sans"/>
                <w:color w:val="FFFFFF" w:themeColor="background1"/>
                <w:sz w:val="22"/>
                <w:szCs w:val="22"/>
                <w:lang w:val="en-GB"/>
              </w:rPr>
            </w:pPr>
            <w:r>
              <w:rPr>
                <w:rFonts w:ascii="Gill Sans" w:hAnsi="Gill Sans" w:cs="Gill Sans"/>
                <w:color w:val="FFFFFF" w:themeColor="background1"/>
                <w:sz w:val="22"/>
                <w:szCs w:val="22"/>
                <w:lang w:val="en-GB"/>
              </w:rPr>
              <w:t xml:space="preserve">16. </w:t>
            </w:r>
            <w:r w:rsidRPr="002A5063">
              <w:rPr>
                <w:rFonts w:ascii="Gill Sans" w:hAnsi="Gill Sans" w:cs="Gill Sans"/>
                <w:color w:val="FFFFFF" w:themeColor="background1"/>
                <w:sz w:val="22"/>
                <w:szCs w:val="22"/>
                <w:lang w:val="en-GB"/>
              </w:rPr>
              <w:t>Decentralise administrative services</w:t>
            </w:r>
          </w:p>
        </w:tc>
        <w:tc>
          <w:tcPr>
            <w:tcW w:w="395" w:type="dxa"/>
            <w:vMerge w:val="restart"/>
            <w:tcBorders>
              <w:top w:val="single" w:sz="18" w:space="0" w:color="FFFFFF"/>
              <w:right w:val="single" w:sz="2" w:space="0" w:color="FFFFFF"/>
            </w:tcBorders>
            <w:shd w:val="clear" w:color="auto" w:fill="D6E3BC"/>
          </w:tcPr>
          <w:p w14:paraId="60D962D9" w14:textId="77777777" w:rsidR="00744206" w:rsidRPr="009651AC" w:rsidRDefault="00744206" w:rsidP="002A5063">
            <w:pPr>
              <w:rPr>
                <w:rFonts w:ascii="Gill Sans" w:hAnsi="Gill Sans" w:cs="Gill Sans"/>
                <w:sz w:val="22"/>
                <w:szCs w:val="22"/>
                <w:lang w:val="en-GB"/>
              </w:rPr>
            </w:pPr>
          </w:p>
        </w:tc>
        <w:tc>
          <w:tcPr>
            <w:tcW w:w="507" w:type="dxa"/>
            <w:vMerge w:val="restart"/>
            <w:tcBorders>
              <w:top w:val="single" w:sz="18" w:space="0" w:color="FFFFFF"/>
              <w:left w:val="single" w:sz="2" w:space="0" w:color="FFFFFF"/>
              <w:right w:val="single" w:sz="2" w:space="0" w:color="FFFFFF"/>
            </w:tcBorders>
            <w:shd w:val="clear" w:color="auto" w:fill="D6E3BC"/>
          </w:tcPr>
          <w:p w14:paraId="0EB21A18" w14:textId="77777777" w:rsidR="00744206" w:rsidRPr="009651AC" w:rsidRDefault="00744206" w:rsidP="002A5063">
            <w:pPr>
              <w:rPr>
                <w:rFonts w:ascii="Gill Sans" w:hAnsi="Gill Sans" w:cs="Gill Sans"/>
                <w:sz w:val="22"/>
                <w:szCs w:val="22"/>
                <w:lang w:val="en-GB"/>
              </w:rPr>
            </w:pPr>
          </w:p>
        </w:tc>
        <w:tc>
          <w:tcPr>
            <w:tcW w:w="345" w:type="dxa"/>
            <w:vMerge w:val="restart"/>
            <w:tcBorders>
              <w:top w:val="single" w:sz="18" w:space="0" w:color="FFFFFF"/>
              <w:left w:val="single" w:sz="2" w:space="0" w:color="FFFFFF"/>
              <w:right w:val="single" w:sz="2" w:space="0" w:color="FFFFFF"/>
            </w:tcBorders>
            <w:shd w:val="clear" w:color="auto" w:fill="D6E3BC"/>
          </w:tcPr>
          <w:p w14:paraId="619FB67A" w14:textId="77777777" w:rsidR="00744206" w:rsidRPr="009651AC" w:rsidRDefault="00744206" w:rsidP="002A5063">
            <w:pPr>
              <w:rPr>
                <w:rFonts w:ascii="Gill Sans" w:hAnsi="Gill Sans" w:cs="Gill Sans"/>
                <w:sz w:val="22"/>
                <w:szCs w:val="22"/>
                <w:lang w:val="en-GB"/>
              </w:rPr>
            </w:pPr>
          </w:p>
        </w:tc>
        <w:tc>
          <w:tcPr>
            <w:tcW w:w="346" w:type="dxa"/>
            <w:vMerge w:val="restart"/>
            <w:tcBorders>
              <w:top w:val="single" w:sz="18" w:space="0" w:color="FFFFFF"/>
              <w:left w:val="single" w:sz="2" w:space="0" w:color="FFFFFF"/>
              <w:right w:val="single" w:sz="18" w:space="0" w:color="FFFFFF"/>
            </w:tcBorders>
            <w:shd w:val="clear" w:color="auto" w:fill="D6E3BC"/>
          </w:tcPr>
          <w:p w14:paraId="47284328" w14:textId="77777777" w:rsidR="00744206" w:rsidRPr="00F43B39" w:rsidRDefault="00744206" w:rsidP="002A5063">
            <w:pPr>
              <w:rPr>
                <w:rFonts w:ascii="Zapf Dingbats" w:eastAsia="MS Mincho" w:hAnsi="Zapf Dingbats" w:cs="MS Mincho"/>
                <w:noProof/>
                <w:sz w:val="22"/>
                <w:szCs w:val="22"/>
                <w:lang w:val="en-GB"/>
              </w:rPr>
            </w:pPr>
            <w:r w:rsidRPr="00F43B39">
              <w:rPr>
                <w:rFonts w:ascii="Zapf Dingbats" w:eastAsia="MS Mincho" w:hAnsi="Zapf Dingbats" w:cs="MS Mincho"/>
                <w:noProof/>
                <w:sz w:val="22"/>
                <w:szCs w:val="22"/>
                <w:lang w:val="en-GB"/>
              </w:rPr>
              <w:t>✔</w:t>
            </w:r>
          </w:p>
        </w:tc>
        <w:tc>
          <w:tcPr>
            <w:tcW w:w="1903" w:type="dxa"/>
            <w:gridSpan w:val="4"/>
            <w:vMerge w:val="restart"/>
            <w:tcBorders>
              <w:top w:val="single" w:sz="18" w:space="0" w:color="FFFFFF"/>
              <w:left w:val="single" w:sz="2" w:space="0" w:color="FFFFFF"/>
              <w:right w:val="single" w:sz="18" w:space="0" w:color="FFFFFF"/>
            </w:tcBorders>
            <w:shd w:val="clear" w:color="auto" w:fill="FBD4B4"/>
          </w:tcPr>
          <w:p w14:paraId="64C5B5CD" w14:textId="0751D525" w:rsidR="00744206" w:rsidRPr="00744206" w:rsidRDefault="00744206" w:rsidP="00744206">
            <w:pPr>
              <w:jc w:val="center"/>
              <w:rPr>
                <w:rFonts w:ascii="Gill Sans" w:hAnsi="Gill Sans" w:cs="Gill Sans"/>
                <w:sz w:val="22"/>
                <w:szCs w:val="22"/>
                <w:lang w:val="en-GB"/>
              </w:rPr>
            </w:pPr>
            <w:r w:rsidRPr="00744206">
              <w:rPr>
                <w:rFonts w:ascii="Gill Sans" w:hAnsi="Gill Sans" w:cs="Gill Sans"/>
                <w:sz w:val="22"/>
                <w:szCs w:val="22"/>
                <w:lang w:val="en-GB"/>
              </w:rPr>
              <w:t>Unclear</w:t>
            </w:r>
          </w:p>
        </w:tc>
        <w:tc>
          <w:tcPr>
            <w:tcW w:w="366" w:type="dxa"/>
            <w:vMerge w:val="restart"/>
            <w:tcBorders>
              <w:top w:val="single" w:sz="18" w:space="0" w:color="FFFFFF"/>
              <w:left w:val="single" w:sz="18" w:space="0" w:color="FFFFFF"/>
              <w:right w:val="single" w:sz="2" w:space="0" w:color="FFFFFF"/>
            </w:tcBorders>
            <w:shd w:val="clear" w:color="auto" w:fill="CCC0D9"/>
          </w:tcPr>
          <w:p w14:paraId="0FDC551D" w14:textId="77777777" w:rsidR="00744206" w:rsidRPr="009651AC" w:rsidRDefault="00744206" w:rsidP="002A5063">
            <w:pPr>
              <w:rPr>
                <w:rFonts w:ascii="Gill Sans" w:hAnsi="Gill Sans" w:cs="Gill Sans"/>
                <w:sz w:val="22"/>
                <w:szCs w:val="22"/>
                <w:lang w:val="en-GB"/>
              </w:rPr>
            </w:pPr>
          </w:p>
        </w:tc>
        <w:tc>
          <w:tcPr>
            <w:tcW w:w="343" w:type="dxa"/>
            <w:vMerge w:val="restart"/>
            <w:tcBorders>
              <w:top w:val="single" w:sz="18" w:space="0" w:color="FFFFFF"/>
              <w:left w:val="single" w:sz="2" w:space="0" w:color="FFFFFF"/>
              <w:right w:val="single" w:sz="2" w:space="0" w:color="FFFFFF"/>
            </w:tcBorders>
            <w:shd w:val="clear" w:color="auto" w:fill="CCC0D9"/>
          </w:tcPr>
          <w:p w14:paraId="12B9F2A2" w14:textId="77777777" w:rsidR="00744206" w:rsidRPr="009651AC" w:rsidRDefault="00744206" w:rsidP="002A5063">
            <w:pPr>
              <w:rPr>
                <w:rFonts w:ascii="Gill Sans" w:hAnsi="Gill Sans" w:cs="Gill Sans"/>
                <w:sz w:val="22"/>
                <w:szCs w:val="22"/>
                <w:lang w:val="en-GB"/>
              </w:rPr>
            </w:pPr>
          </w:p>
        </w:tc>
        <w:tc>
          <w:tcPr>
            <w:tcW w:w="421" w:type="dxa"/>
            <w:vMerge w:val="restart"/>
            <w:tcBorders>
              <w:top w:val="single" w:sz="18" w:space="0" w:color="FFFFFF"/>
              <w:left w:val="single" w:sz="2" w:space="0" w:color="FFFFFF"/>
              <w:right w:val="single" w:sz="2" w:space="0" w:color="FFFFFF"/>
            </w:tcBorders>
            <w:shd w:val="clear" w:color="auto" w:fill="CCC0D9"/>
          </w:tcPr>
          <w:p w14:paraId="029DF411" w14:textId="7C638250" w:rsidR="00744206" w:rsidRPr="00F43B39" w:rsidRDefault="00744206" w:rsidP="002A5063">
            <w:pPr>
              <w:rPr>
                <w:rFonts w:ascii="Zapf Dingbats" w:eastAsia="MS Mincho" w:hAnsi="Zapf Dingbats" w:cs="MS Mincho"/>
                <w:noProof/>
                <w:sz w:val="22"/>
                <w:szCs w:val="22"/>
                <w:lang w:val="en-GB"/>
              </w:rPr>
            </w:pPr>
          </w:p>
        </w:tc>
        <w:tc>
          <w:tcPr>
            <w:tcW w:w="343" w:type="dxa"/>
            <w:vMerge w:val="restart"/>
            <w:tcBorders>
              <w:top w:val="single" w:sz="18" w:space="0" w:color="FFFFFF"/>
              <w:left w:val="single" w:sz="2" w:space="0" w:color="FFFFFF"/>
              <w:right w:val="single" w:sz="18" w:space="0" w:color="FFFFFF"/>
            </w:tcBorders>
            <w:shd w:val="clear" w:color="auto" w:fill="CCC0D9"/>
          </w:tcPr>
          <w:p w14:paraId="00A8E109" w14:textId="108B32FF" w:rsidR="00744206" w:rsidRPr="00F43B39" w:rsidRDefault="00744206" w:rsidP="002A5063">
            <w:pPr>
              <w:rPr>
                <w:rFonts w:ascii="Zapf Dingbats" w:eastAsia="MS Mincho" w:hAnsi="Zapf Dingbats" w:cs="MS Mincho"/>
                <w:noProof/>
                <w:sz w:val="22"/>
                <w:szCs w:val="22"/>
                <w:lang w:val="en-GB"/>
              </w:rPr>
            </w:pPr>
            <w:r w:rsidRPr="00F43B39">
              <w:rPr>
                <w:rFonts w:ascii="Zapf Dingbats" w:eastAsia="MS Mincho" w:hAnsi="Zapf Dingbats" w:cs="MS Mincho"/>
                <w:noProof/>
                <w:sz w:val="22"/>
                <w:szCs w:val="22"/>
                <w:lang w:val="en-GB"/>
              </w:rPr>
              <w:t>✔</w:t>
            </w:r>
          </w:p>
        </w:tc>
        <w:tc>
          <w:tcPr>
            <w:tcW w:w="553"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69CDB3DE" w14:textId="77777777" w:rsidR="00744206" w:rsidRPr="00F43B39" w:rsidRDefault="00744206" w:rsidP="002A5063">
            <w:pPr>
              <w:rPr>
                <w:rFonts w:ascii="Zapf Dingbats" w:eastAsia="MS Mincho" w:hAnsi="Zapf Dingbats" w:cs="MS Mincho"/>
                <w:noProof/>
                <w:sz w:val="22"/>
                <w:szCs w:val="22"/>
                <w:lang w:val="en-GB"/>
              </w:rPr>
            </w:pPr>
          </w:p>
        </w:tc>
        <w:tc>
          <w:tcPr>
            <w:tcW w:w="42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37A32D2" w14:textId="1C817597" w:rsidR="00744206" w:rsidRPr="00F43B39" w:rsidRDefault="00744206" w:rsidP="002A5063">
            <w:pPr>
              <w:rPr>
                <w:rFonts w:ascii="Zapf Dingbats" w:eastAsia="MS Mincho" w:hAnsi="Zapf Dingbats" w:cs="MS Mincho"/>
                <w:noProof/>
                <w:sz w:val="22"/>
                <w:szCs w:val="22"/>
                <w:lang w:val="en-GB"/>
              </w:rPr>
            </w:pPr>
          </w:p>
        </w:tc>
        <w:tc>
          <w:tcPr>
            <w:tcW w:w="42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51FC6D97" w14:textId="2D88D808" w:rsidR="00744206" w:rsidRPr="00F43B39" w:rsidRDefault="00744206" w:rsidP="002A5063">
            <w:pPr>
              <w:rPr>
                <w:rFonts w:ascii="Zapf Dingbats" w:eastAsia="MS Mincho" w:hAnsi="Zapf Dingbats" w:cs="MS Mincho"/>
                <w:noProof/>
                <w:sz w:val="22"/>
                <w:szCs w:val="22"/>
                <w:lang w:val="en-GB"/>
              </w:rPr>
            </w:pPr>
            <w:r w:rsidRPr="00F43B39">
              <w:rPr>
                <w:rFonts w:ascii="Zapf Dingbats" w:eastAsia="MS Mincho" w:hAnsi="Zapf Dingbats" w:cs="MS Mincho"/>
                <w:noProof/>
                <w:sz w:val="22"/>
                <w:szCs w:val="22"/>
                <w:lang w:val="en-GB"/>
              </w:rPr>
              <w:t>✔</w:t>
            </w:r>
          </w:p>
        </w:tc>
        <w:tc>
          <w:tcPr>
            <w:tcW w:w="499"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5C0528BF" w14:textId="77777777" w:rsidR="00744206" w:rsidRPr="00F43B39" w:rsidRDefault="00744206" w:rsidP="002A5063">
            <w:pPr>
              <w:rPr>
                <w:rFonts w:ascii="Zapf Dingbats" w:eastAsia="MS Mincho" w:hAnsi="Zapf Dingbats" w:cs="MS Mincho"/>
                <w:noProof/>
                <w:sz w:val="22"/>
                <w:szCs w:val="22"/>
                <w:lang w:val="en-GB"/>
              </w:rPr>
            </w:pPr>
          </w:p>
        </w:tc>
        <w:tc>
          <w:tcPr>
            <w:tcW w:w="376" w:type="dxa"/>
            <w:vMerge w:val="restart"/>
            <w:tcBorders>
              <w:top w:val="single" w:sz="18" w:space="0" w:color="FFFFFF"/>
              <w:left w:val="single" w:sz="18" w:space="0" w:color="FFFFFF"/>
              <w:right w:val="single" w:sz="2" w:space="0" w:color="FFFFFF"/>
            </w:tcBorders>
            <w:shd w:val="clear" w:color="auto" w:fill="D99594"/>
          </w:tcPr>
          <w:p w14:paraId="4CF920FF" w14:textId="77777777" w:rsidR="00744206" w:rsidRPr="00F43B39" w:rsidRDefault="00744206" w:rsidP="002A5063">
            <w:pPr>
              <w:rPr>
                <w:rFonts w:ascii="Zapf Dingbats" w:eastAsia="MS Mincho" w:hAnsi="Zapf Dingbats" w:cs="MS Mincho"/>
                <w:noProof/>
                <w:sz w:val="22"/>
                <w:szCs w:val="22"/>
                <w:lang w:val="en-GB"/>
              </w:rPr>
            </w:pPr>
          </w:p>
        </w:tc>
        <w:tc>
          <w:tcPr>
            <w:tcW w:w="388" w:type="dxa"/>
            <w:vMerge w:val="restart"/>
            <w:tcBorders>
              <w:top w:val="single" w:sz="18" w:space="0" w:color="FFFFFF"/>
              <w:left w:val="single" w:sz="2" w:space="0" w:color="FFFFFF"/>
              <w:right w:val="single" w:sz="2" w:space="0" w:color="FFFFFF"/>
            </w:tcBorders>
            <w:shd w:val="clear" w:color="auto" w:fill="D99594"/>
          </w:tcPr>
          <w:p w14:paraId="0C73A8E9" w14:textId="218DD582" w:rsidR="00744206" w:rsidRPr="00F43B39" w:rsidRDefault="00835DF5" w:rsidP="002A5063">
            <w:pPr>
              <w:rPr>
                <w:rFonts w:ascii="Zapf Dingbats" w:eastAsia="MS Mincho" w:hAnsi="Zapf Dingbats" w:cs="MS Mincho"/>
                <w:noProof/>
                <w:sz w:val="22"/>
                <w:szCs w:val="22"/>
                <w:lang w:val="en-GB"/>
              </w:rPr>
            </w:pPr>
            <w:r w:rsidRPr="00F43B39">
              <w:rPr>
                <w:rFonts w:ascii="Zapf Dingbats" w:eastAsia="MS Mincho" w:hAnsi="Zapf Dingbats" w:cs="MS Mincho"/>
                <w:noProof/>
                <w:sz w:val="22"/>
                <w:szCs w:val="22"/>
                <w:lang w:val="en-GB"/>
              </w:rPr>
              <w:t>✔</w:t>
            </w:r>
          </w:p>
        </w:tc>
        <w:tc>
          <w:tcPr>
            <w:tcW w:w="343" w:type="dxa"/>
            <w:vMerge w:val="restart"/>
            <w:tcBorders>
              <w:top w:val="single" w:sz="18" w:space="0" w:color="FFFFFF"/>
              <w:left w:val="single" w:sz="2" w:space="0" w:color="FFFFFF"/>
              <w:right w:val="single" w:sz="2" w:space="0" w:color="FFFFFF"/>
            </w:tcBorders>
            <w:shd w:val="clear" w:color="auto" w:fill="D99594"/>
          </w:tcPr>
          <w:p w14:paraId="4C23B70E" w14:textId="2C9C5A97" w:rsidR="00744206" w:rsidRPr="009651AC" w:rsidRDefault="00744206" w:rsidP="002A5063">
            <w:pPr>
              <w:rPr>
                <w:rFonts w:ascii="Gill Sans" w:hAnsi="Gill Sans" w:cs="Gill Sans"/>
                <w:sz w:val="22"/>
                <w:szCs w:val="22"/>
                <w:lang w:val="en-GB"/>
              </w:rPr>
            </w:pPr>
          </w:p>
        </w:tc>
        <w:tc>
          <w:tcPr>
            <w:tcW w:w="343" w:type="dxa"/>
            <w:vMerge w:val="restart"/>
            <w:tcBorders>
              <w:top w:val="single" w:sz="18" w:space="0" w:color="FFFFFF"/>
              <w:left w:val="single" w:sz="2" w:space="0" w:color="FFFFFF"/>
              <w:right w:val="single" w:sz="2" w:space="0" w:color="FFFFFF"/>
            </w:tcBorders>
            <w:shd w:val="clear" w:color="auto" w:fill="D99594"/>
          </w:tcPr>
          <w:p w14:paraId="113267B6" w14:textId="77777777" w:rsidR="00744206" w:rsidRPr="009651AC" w:rsidRDefault="00744206" w:rsidP="002A5063">
            <w:pPr>
              <w:rPr>
                <w:rFonts w:ascii="Gill Sans" w:hAnsi="Gill Sans" w:cs="Gill Sans"/>
                <w:sz w:val="22"/>
                <w:szCs w:val="22"/>
                <w:lang w:val="en-GB"/>
              </w:rPr>
            </w:pPr>
          </w:p>
        </w:tc>
        <w:tc>
          <w:tcPr>
            <w:tcW w:w="421" w:type="dxa"/>
            <w:vMerge w:val="restart"/>
            <w:tcBorders>
              <w:top w:val="single" w:sz="18" w:space="0" w:color="FFFFFF"/>
              <w:left w:val="single" w:sz="2" w:space="0" w:color="FFFFFF"/>
              <w:right w:val="single" w:sz="18" w:space="0" w:color="FFFFFF"/>
            </w:tcBorders>
            <w:shd w:val="clear" w:color="auto" w:fill="D99594"/>
          </w:tcPr>
          <w:p w14:paraId="55C15981" w14:textId="77777777" w:rsidR="00744206" w:rsidRPr="009651AC" w:rsidRDefault="00744206" w:rsidP="002A5063">
            <w:pPr>
              <w:rPr>
                <w:rFonts w:ascii="Gill Sans" w:hAnsi="Gill Sans" w:cs="Gill Sans"/>
                <w:sz w:val="22"/>
                <w:szCs w:val="22"/>
                <w:lang w:val="en-GB"/>
              </w:rPr>
            </w:pPr>
          </w:p>
        </w:tc>
      </w:tr>
      <w:tr w:rsidR="000D183E" w:rsidRPr="009651AC" w14:paraId="3E591408" w14:textId="77777777" w:rsidTr="00B223BA">
        <w:trPr>
          <w:trHeight w:val="663"/>
        </w:trPr>
        <w:tc>
          <w:tcPr>
            <w:tcW w:w="1474" w:type="dxa"/>
            <w:vMerge/>
            <w:tcBorders>
              <w:left w:val="nil"/>
              <w:bottom w:val="single" w:sz="18" w:space="0" w:color="FFFFFF"/>
            </w:tcBorders>
            <w:shd w:val="clear" w:color="auto" w:fill="000000"/>
          </w:tcPr>
          <w:p w14:paraId="36A38866" w14:textId="77777777" w:rsidR="00744206" w:rsidRPr="009651AC" w:rsidRDefault="00744206" w:rsidP="002A5063">
            <w:pPr>
              <w:rPr>
                <w:rFonts w:ascii="Gill Sans" w:hAnsi="Gill Sans" w:cs="Gill Sans"/>
                <w:sz w:val="22"/>
                <w:szCs w:val="22"/>
                <w:lang w:val="en-GB"/>
              </w:rPr>
            </w:pPr>
          </w:p>
        </w:tc>
        <w:tc>
          <w:tcPr>
            <w:tcW w:w="395" w:type="dxa"/>
            <w:vMerge/>
            <w:tcBorders>
              <w:bottom w:val="single" w:sz="18" w:space="0" w:color="FFFFFF"/>
              <w:right w:val="single" w:sz="2" w:space="0" w:color="FFFFFF"/>
            </w:tcBorders>
            <w:shd w:val="clear" w:color="auto" w:fill="D6E3BC"/>
          </w:tcPr>
          <w:p w14:paraId="3AB494A3" w14:textId="77777777" w:rsidR="00744206" w:rsidRPr="009651AC" w:rsidRDefault="00744206" w:rsidP="002A5063">
            <w:pPr>
              <w:rPr>
                <w:rFonts w:ascii="Gill Sans" w:hAnsi="Gill Sans" w:cs="Gill Sans"/>
                <w:sz w:val="22"/>
                <w:szCs w:val="22"/>
                <w:lang w:val="en-GB"/>
              </w:rPr>
            </w:pPr>
          </w:p>
        </w:tc>
        <w:tc>
          <w:tcPr>
            <w:tcW w:w="507" w:type="dxa"/>
            <w:vMerge/>
            <w:tcBorders>
              <w:left w:val="single" w:sz="2" w:space="0" w:color="FFFFFF"/>
              <w:bottom w:val="single" w:sz="18" w:space="0" w:color="FFFFFF"/>
              <w:right w:val="single" w:sz="2" w:space="0" w:color="FFFFFF"/>
            </w:tcBorders>
            <w:shd w:val="clear" w:color="auto" w:fill="D6E3BC"/>
          </w:tcPr>
          <w:p w14:paraId="3CB6F40D" w14:textId="77777777" w:rsidR="00744206" w:rsidRPr="009651AC" w:rsidRDefault="00744206" w:rsidP="002A5063">
            <w:pPr>
              <w:rPr>
                <w:rFonts w:ascii="Gill Sans" w:hAnsi="Gill Sans" w:cs="Gill Sans"/>
                <w:sz w:val="22"/>
                <w:szCs w:val="22"/>
                <w:lang w:val="en-GB"/>
              </w:rPr>
            </w:pPr>
          </w:p>
        </w:tc>
        <w:tc>
          <w:tcPr>
            <w:tcW w:w="345" w:type="dxa"/>
            <w:vMerge/>
            <w:tcBorders>
              <w:left w:val="single" w:sz="2" w:space="0" w:color="FFFFFF"/>
              <w:bottom w:val="single" w:sz="18" w:space="0" w:color="FFFFFF"/>
              <w:right w:val="single" w:sz="2" w:space="0" w:color="FFFFFF"/>
            </w:tcBorders>
            <w:shd w:val="clear" w:color="auto" w:fill="D6E3BC"/>
          </w:tcPr>
          <w:p w14:paraId="51BD7176" w14:textId="77777777" w:rsidR="00744206" w:rsidRPr="009651AC" w:rsidRDefault="00744206" w:rsidP="002A5063">
            <w:pPr>
              <w:rPr>
                <w:rFonts w:ascii="Gill Sans" w:hAnsi="Gill Sans" w:cs="Gill Sans"/>
                <w:sz w:val="22"/>
                <w:szCs w:val="22"/>
                <w:lang w:val="en-GB"/>
              </w:rPr>
            </w:pPr>
          </w:p>
        </w:tc>
        <w:tc>
          <w:tcPr>
            <w:tcW w:w="346" w:type="dxa"/>
            <w:vMerge/>
            <w:tcBorders>
              <w:left w:val="single" w:sz="2" w:space="0" w:color="FFFFFF"/>
              <w:bottom w:val="single" w:sz="18" w:space="0" w:color="FFFFFF"/>
              <w:right w:val="single" w:sz="18" w:space="0" w:color="FFFFFF"/>
            </w:tcBorders>
            <w:shd w:val="clear" w:color="auto" w:fill="D6E3BC"/>
          </w:tcPr>
          <w:p w14:paraId="6BB6946E" w14:textId="77777777" w:rsidR="00744206" w:rsidRPr="009651AC" w:rsidRDefault="00744206" w:rsidP="002A5063">
            <w:pPr>
              <w:rPr>
                <w:rFonts w:ascii="Gill Sans" w:hAnsi="Gill Sans" w:cs="Gill Sans"/>
                <w:sz w:val="22"/>
                <w:szCs w:val="22"/>
                <w:lang w:val="en-GB"/>
              </w:rPr>
            </w:pPr>
          </w:p>
        </w:tc>
        <w:tc>
          <w:tcPr>
            <w:tcW w:w="1903" w:type="dxa"/>
            <w:gridSpan w:val="4"/>
            <w:vMerge/>
            <w:tcBorders>
              <w:left w:val="single" w:sz="2" w:space="0" w:color="FFFFFF"/>
              <w:bottom w:val="single" w:sz="18" w:space="0" w:color="FFFFFF"/>
              <w:right w:val="single" w:sz="18" w:space="0" w:color="FFFFFF"/>
            </w:tcBorders>
            <w:shd w:val="clear" w:color="auto" w:fill="FBD4B4"/>
          </w:tcPr>
          <w:p w14:paraId="0D587717" w14:textId="77777777" w:rsidR="00744206" w:rsidRPr="009651AC" w:rsidRDefault="00744206" w:rsidP="002A5063">
            <w:pPr>
              <w:rPr>
                <w:rFonts w:ascii="Gill Sans" w:hAnsi="Gill Sans" w:cs="Gill Sans"/>
                <w:sz w:val="22"/>
                <w:szCs w:val="22"/>
                <w:lang w:val="en-GB"/>
              </w:rPr>
            </w:pPr>
          </w:p>
        </w:tc>
        <w:tc>
          <w:tcPr>
            <w:tcW w:w="366" w:type="dxa"/>
            <w:vMerge/>
            <w:tcBorders>
              <w:left w:val="single" w:sz="18" w:space="0" w:color="FFFFFF"/>
              <w:bottom w:val="single" w:sz="18" w:space="0" w:color="FFFFFF"/>
              <w:right w:val="single" w:sz="2" w:space="0" w:color="FFFFFF"/>
            </w:tcBorders>
            <w:shd w:val="clear" w:color="auto" w:fill="CCC0D9"/>
          </w:tcPr>
          <w:p w14:paraId="15DD585E" w14:textId="77777777" w:rsidR="00744206" w:rsidRPr="009651AC" w:rsidRDefault="00744206" w:rsidP="002A5063">
            <w:pPr>
              <w:rPr>
                <w:rFonts w:ascii="Gill Sans" w:hAnsi="Gill Sans" w:cs="Gill Sans"/>
                <w:sz w:val="22"/>
                <w:szCs w:val="22"/>
                <w:lang w:val="en-GB"/>
              </w:rPr>
            </w:pPr>
          </w:p>
        </w:tc>
        <w:tc>
          <w:tcPr>
            <w:tcW w:w="343" w:type="dxa"/>
            <w:vMerge/>
            <w:tcBorders>
              <w:left w:val="single" w:sz="2" w:space="0" w:color="FFFFFF"/>
              <w:bottom w:val="single" w:sz="18" w:space="0" w:color="FFFFFF"/>
              <w:right w:val="single" w:sz="2" w:space="0" w:color="FFFFFF"/>
            </w:tcBorders>
            <w:shd w:val="clear" w:color="auto" w:fill="CCC0D9"/>
          </w:tcPr>
          <w:p w14:paraId="6793CBAA" w14:textId="77777777" w:rsidR="00744206" w:rsidRPr="009651AC" w:rsidRDefault="00744206" w:rsidP="002A5063">
            <w:pPr>
              <w:rPr>
                <w:rFonts w:ascii="Gill Sans" w:hAnsi="Gill Sans" w:cs="Gill Sans"/>
                <w:sz w:val="22"/>
                <w:szCs w:val="22"/>
                <w:lang w:val="en-GB"/>
              </w:rPr>
            </w:pPr>
          </w:p>
        </w:tc>
        <w:tc>
          <w:tcPr>
            <w:tcW w:w="421" w:type="dxa"/>
            <w:vMerge/>
            <w:tcBorders>
              <w:left w:val="single" w:sz="2" w:space="0" w:color="FFFFFF"/>
              <w:bottom w:val="single" w:sz="18" w:space="0" w:color="FFFFFF"/>
              <w:right w:val="single" w:sz="2" w:space="0" w:color="FFFFFF"/>
            </w:tcBorders>
            <w:shd w:val="clear" w:color="auto" w:fill="CCC0D9"/>
          </w:tcPr>
          <w:p w14:paraId="2BF91778" w14:textId="77777777" w:rsidR="00744206" w:rsidRPr="00254401" w:rsidRDefault="00744206" w:rsidP="002A5063">
            <w:pPr>
              <w:rPr>
                <w:rFonts w:ascii="Zapf Dingbats" w:eastAsia="MS Mincho" w:hAnsi="Zapf Dingbats" w:cs="MS Mincho"/>
                <w:noProof/>
                <w:sz w:val="22"/>
                <w:szCs w:val="22"/>
                <w:lang w:val="en-GB"/>
              </w:rPr>
            </w:pPr>
          </w:p>
        </w:tc>
        <w:tc>
          <w:tcPr>
            <w:tcW w:w="343" w:type="dxa"/>
            <w:vMerge/>
            <w:tcBorders>
              <w:left w:val="single" w:sz="2" w:space="0" w:color="FFFFFF"/>
              <w:bottom w:val="single" w:sz="18" w:space="0" w:color="FFFFFF"/>
              <w:right w:val="single" w:sz="18" w:space="0" w:color="FFFFFF"/>
            </w:tcBorders>
            <w:shd w:val="clear" w:color="auto" w:fill="CCC0D9"/>
          </w:tcPr>
          <w:p w14:paraId="0E0620DA" w14:textId="77777777" w:rsidR="00744206" w:rsidRPr="00254401" w:rsidRDefault="00744206" w:rsidP="002A5063">
            <w:pPr>
              <w:rPr>
                <w:rFonts w:ascii="Zapf Dingbats" w:eastAsia="MS Mincho" w:hAnsi="Zapf Dingbats" w:cs="MS Mincho"/>
                <w:noProof/>
                <w:sz w:val="22"/>
                <w:szCs w:val="22"/>
                <w:lang w:val="en-GB"/>
              </w:rPr>
            </w:pPr>
          </w:p>
        </w:tc>
        <w:tc>
          <w:tcPr>
            <w:tcW w:w="553"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1C26FEE6" w14:textId="77777777" w:rsidR="00744206" w:rsidRPr="00254401" w:rsidRDefault="00744206" w:rsidP="002A5063">
            <w:pPr>
              <w:rPr>
                <w:rFonts w:ascii="Zapf Dingbats" w:eastAsia="MS Mincho" w:hAnsi="Zapf Dingbats" w:cs="MS Mincho"/>
                <w:noProof/>
                <w:sz w:val="22"/>
                <w:szCs w:val="22"/>
                <w:lang w:val="en-GB"/>
              </w:rPr>
            </w:pPr>
          </w:p>
        </w:tc>
        <w:tc>
          <w:tcPr>
            <w:tcW w:w="421" w:type="dxa"/>
            <w:tcBorders>
              <w:top w:val="single" w:sz="8" w:space="0" w:color="FFFFFF" w:themeColor="background1"/>
              <w:left w:val="single" w:sz="4" w:space="0" w:color="FFFFFF" w:themeColor="background1"/>
              <w:bottom w:val="single" w:sz="18" w:space="0" w:color="FFFFFF"/>
              <w:right w:val="single" w:sz="2" w:space="0" w:color="FFFFFF"/>
            </w:tcBorders>
            <w:shd w:val="clear" w:color="auto" w:fill="B8CCE4"/>
          </w:tcPr>
          <w:p w14:paraId="1F0D7DC5" w14:textId="77777777" w:rsidR="00744206" w:rsidRPr="00254401" w:rsidRDefault="00744206" w:rsidP="002A5063">
            <w:pPr>
              <w:rPr>
                <w:rFonts w:ascii="Zapf Dingbats" w:eastAsia="MS Mincho" w:hAnsi="Zapf Dingbats" w:cs="MS Mincho"/>
                <w:noProof/>
                <w:sz w:val="22"/>
                <w:szCs w:val="22"/>
                <w:lang w:val="en-GB"/>
              </w:rPr>
            </w:pPr>
          </w:p>
        </w:tc>
        <w:tc>
          <w:tcPr>
            <w:tcW w:w="421" w:type="dxa"/>
            <w:tcBorders>
              <w:top w:val="single" w:sz="8" w:space="0" w:color="FFFFFF" w:themeColor="background1"/>
              <w:left w:val="single" w:sz="2" w:space="0" w:color="FFFFFF"/>
              <w:bottom w:val="single" w:sz="18" w:space="0" w:color="FFFFFF"/>
              <w:right w:val="single" w:sz="2" w:space="0" w:color="FFFFFF"/>
            </w:tcBorders>
            <w:shd w:val="clear" w:color="auto" w:fill="B8CCE4"/>
          </w:tcPr>
          <w:p w14:paraId="639EBB97" w14:textId="50881002" w:rsidR="00744206" w:rsidRPr="00254401" w:rsidRDefault="00540420" w:rsidP="002A5063">
            <w:pPr>
              <w:rPr>
                <w:rFonts w:ascii="Zapf Dingbats" w:eastAsia="MS Mincho" w:hAnsi="Zapf Dingbats" w:cs="MS Mincho"/>
                <w:noProof/>
                <w:sz w:val="22"/>
                <w:szCs w:val="22"/>
                <w:lang w:val="en-GB"/>
              </w:rPr>
            </w:pPr>
            <w:r w:rsidRPr="00254401">
              <w:rPr>
                <w:rFonts w:ascii="Zapf Dingbats" w:eastAsia="MS Mincho" w:hAnsi="Zapf Dingbats" w:cs="MS Mincho"/>
                <w:noProof/>
                <w:sz w:val="22"/>
                <w:szCs w:val="22"/>
                <w:lang w:val="en-GB"/>
              </w:rPr>
              <w:t>✔</w:t>
            </w:r>
          </w:p>
        </w:tc>
        <w:tc>
          <w:tcPr>
            <w:tcW w:w="499" w:type="dxa"/>
            <w:tcBorders>
              <w:top w:val="single" w:sz="8" w:space="0" w:color="FFFFFF" w:themeColor="background1"/>
              <w:left w:val="single" w:sz="2" w:space="0" w:color="FFFFFF"/>
              <w:bottom w:val="single" w:sz="18" w:space="0" w:color="FFFFFF"/>
              <w:right w:val="single" w:sz="18" w:space="0" w:color="FFFFFF"/>
            </w:tcBorders>
            <w:shd w:val="clear" w:color="auto" w:fill="B8CCE4"/>
          </w:tcPr>
          <w:p w14:paraId="5B8F8591" w14:textId="77777777" w:rsidR="00744206" w:rsidRPr="00254401" w:rsidRDefault="00744206" w:rsidP="002A5063">
            <w:pPr>
              <w:rPr>
                <w:rFonts w:ascii="Zapf Dingbats" w:eastAsia="MS Mincho" w:hAnsi="Zapf Dingbats" w:cs="MS Mincho"/>
                <w:noProof/>
                <w:sz w:val="22"/>
                <w:szCs w:val="22"/>
                <w:lang w:val="en-GB"/>
              </w:rPr>
            </w:pPr>
          </w:p>
        </w:tc>
        <w:tc>
          <w:tcPr>
            <w:tcW w:w="376" w:type="dxa"/>
            <w:vMerge/>
            <w:tcBorders>
              <w:left w:val="single" w:sz="18" w:space="0" w:color="FFFFFF"/>
              <w:bottom w:val="single" w:sz="18" w:space="0" w:color="FFFFFF"/>
              <w:right w:val="single" w:sz="2" w:space="0" w:color="FFFFFF"/>
            </w:tcBorders>
            <w:shd w:val="clear" w:color="auto" w:fill="D99594"/>
          </w:tcPr>
          <w:p w14:paraId="2C03F33A" w14:textId="77777777" w:rsidR="00744206" w:rsidRPr="009651AC" w:rsidRDefault="00744206" w:rsidP="002A5063">
            <w:pPr>
              <w:rPr>
                <w:rFonts w:ascii="Gill Sans" w:hAnsi="Gill Sans" w:cs="Gill Sans"/>
                <w:sz w:val="22"/>
                <w:szCs w:val="22"/>
                <w:lang w:val="en-GB"/>
              </w:rPr>
            </w:pPr>
          </w:p>
        </w:tc>
        <w:tc>
          <w:tcPr>
            <w:tcW w:w="388" w:type="dxa"/>
            <w:vMerge/>
            <w:tcBorders>
              <w:left w:val="single" w:sz="2" w:space="0" w:color="FFFFFF"/>
              <w:bottom w:val="single" w:sz="18" w:space="0" w:color="FFFFFF"/>
              <w:right w:val="single" w:sz="2" w:space="0" w:color="FFFFFF"/>
            </w:tcBorders>
            <w:shd w:val="clear" w:color="auto" w:fill="D99594"/>
          </w:tcPr>
          <w:p w14:paraId="2E96D2F6" w14:textId="77777777" w:rsidR="00744206" w:rsidRPr="009651AC" w:rsidRDefault="00744206" w:rsidP="002A5063">
            <w:pPr>
              <w:rPr>
                <w:rFonts w:ascii="Gill Sans" w:hAnsi="Gill Sans" w:cs="Gill Sans"/>
                <w:sz w:val="22"/>
                <w:szCs w:val="22"/>
                <w:lang w:val="en-GB"/>
              </w:rPr>
            </w:pPr>
          </w:p>
        </w:tc>
        <w:tc>
          <w:tcPr>
            <w:tcW w:w="343" w:type="dxa"/>
            <w:vMerge/>
            <w:tcBorders>
              <w:left w:val="single" w:sz="2" w:space="0" w:color="FFFFFF"/>
              <w:bottom w:val="single" w:sz="18" w:space="0" w:color="FFFFFF"/>
              <w:right w:val="single" w:sz="2" w:space="0" w:color="FFFFFF"/>
            </w:tcBorders>
            <w:shd w:val="clear" w:color="auto" w:fill="D99594"/>
          </w:tcPr>
          <w:p w14:paraId="6B27E781" w14:textId="77777777" w:rsidR="00744206" w:rsidRPr="009651AC" w:rsidRDefault="00744206" w:rsidP="002A5063">
            <w:pPr>
              <w:rPr>
                <w:rFonts w:ascii="Gill Sans" w:hAnsi="Gill Sans" w:cs="Gill Sans"/>
                <w:sz w:val="22"/>
                <w:szCs w:val="22"/>
                <w:lang w:val="en-GB"/>
              </w:rPr>
            </w:pPr>
          </w:p>
        </w:tc>
        <w:tc>
          <w:tcPr>
            <w:tcW w:w="343" w:type="dxa"/>
            <w:vMerge/>
            <w:tcBorders>
              <w:left w:val="single" w:sz="2" w:space="0" w:color="FFFFFF"/>
              <w:bottom w:val="single" w:sz="18" w:space="0" w:color="FFFFFF"/>
              <w:right w:val="single" w:sz="2" w:space="0" w:color="FFFFFF"/>
            </w:tcBorders>
            <w:shd w:val="clear" w:color="auto" w:fill="D99594"/>
          </w:tcPr>
          <w:p w14:paraId="74E92C48" w14:textId="77777777" w:rsidR="00744206" w:rsidRPr="009651AC" w:rsidRDefault="00744206" w:rsidP="002A5063">
            <w:pPr>
              <w:rPr>
                <w:rFonts w:ascii="Gill Sans" w:hAnsi="Gill Sans" w:cs="Gill Sans"/>
                <w:sz w:val="22"/>
                <w:szCs w:val="22"/>
                <w:lang w:val="en-GB"/>
              </w:rPr>
            </w:pPr>
          </w:p>
        </w:tc>
        <w:tc>
          <w:tcPr>
            <w:tcW w:w="421" w:type="dxa"/>
            <w:vMerge/>
            <w:tcBorders>
              <w:left w:val="single" w:sz="2" w:space="0" w:color="FFFFFF"/>
              <w:bottom w:val="single" w:sz="18" w:space="0" w:color="FFFFFF"/>
              <w:right w:val="single" w:sz="18" w:space="0" w:color="FFFFFF"/>
            </w:tcBorders>
            <w:shd w:val="clear" w:color="auto" w:fill="D99594"/>
          </w:tcPr>
          <w:p w14:paraId="3054C011" w14:textId="77777777" w:rsidR="00744206" w:rsidRPr="009651AC" w:rsidRDefault="00744206" w:rsidP="002A5063">
            <w:pPr>
              <w:rPr>
                <w:rFonts w:ascii="Gill Sans" w:hAnsi="Gill Sans" w:cs="Gill Sans"/>
                <w:sz w:val="22"/>
                <w:szCs w:val="22"/>
                <w:lang w:val="en-GB"/>
              </w:rPr>
            </w:pPr>
          </w:p>
        </w:tc>
      </w:tr>
    </w:tbl>
    <w:p w14:paraId="47EBCC0F" w14:textId="77777777" w:rsidR="00560451" w:rsidRPr="00560451" w:rsidRDefault="00560451" w:rsidP="00163080"/>
    <w:p w14:paraId="6AAE8D92" w14:textId="3A7C1612" w:rsidR="00BA033F" w:rsidRPr="00AE24E7" w:rsidRDefault="00BA033F" w:rsidP="00163080">
      <w:pPr>
        <w:pStyle w:val="Heading3"/>
      </w:pPr>
      <w:r w:rsidRPr="00AE24E7">
        <w:t xml:space="preserve">Commitment </w:t>
      </w:r>
      <w:r w:rsidR="00560451">
        <w:t>a</w:t>
      </w:r>
      <w:r w:rsidRPr="00AE24E7">
        <w:t>im</w:t>
      </w:r>
    </w:p>
    <w:p w14:paraId="6C9167A1" w14:textId="01880213" w:rsidR="00EF656B" w:rsidRPr="00AE24E7" w:rsidRDefault="00EF656B" w:rsidP="00AE24E7">
      <w:pPr>
        <w:spacing w:after="120"/>
        <w:rPr>
          <w:rFonts w:ascii="Gill Sans" w:hAnsi="Gill Sans" w:cs="Gill Sans"/>
          <w:b/>
          <w:noProof/>
          <w:sz w:val="22"/>
          <w:szCs w:val="22"/>
          <w:lang w:val="en-GB"/>
        </w:rPr>
      </w:pPr>
      <w:r w:rsidRPr="00AE24E7">
        <w:rPr>
          <w:rFonts w:ascii="Gill Sans" w:hAnsi="Gill Sans" w:cs="Gill Sans"/>
          <w:b/>
          <w:noProof/>
          <w:sz w:val="22"/>
          <w:szCs w:val="22"/>
          <w:lang w:val="en-GB"/>
        </w:rPr>
        <w:t xml:space="preserve">14. Streamline payment of administrative fees </w:t>
      </w:r>
    </w:p>
    <w:p w14:paraId="45E181F8" w14:textId="0E1A1534" w:rsidR="00AE24E7" w:rsidRPr="00B2462D" w:rsidRDefault="00AE24E7" w:rsidP="00560451">
      <w:pPr>
        <w:spacing w:after="120"/>
        <w:rPr>
          <w:rFonts w:ascii="Gill Sans" w:hAnsi="Gill Sans" w:cs="Gill Sans"/>
          <w:sz w:val="22"/>
          <w:szCs w:val="22"/>
          <w:lang w:val="en-GB"/>
        </w:rPr>
      </w:pPr>
      <w:r w:rsidRPr="00AE24E7">
        <w:rPr>
          <w:rFonts w:ascii="Gill Sans" w:hAnsi="Gill Sans" w:cs="Gill Sans"/>
          <w:sz w:val="22"/>
          <w:szCs w:val="22"/>
          <w:lang w:val="en-GB"/>
        </w:rPr>
        <w:t xml:space="preserve">This commitment </w:t>
      </w:r>
      <w:r w:rsidR="009C0C84">
        <w:rPr>
          <w:rFonts w:ascii="Gill Sans" w:hAnsi="Gill Sans" w:cs="Gill Sans"/>
          <w:sz w:val="22"/>
          <w:szCs w:val="22"/>
          <w:lang w:val="en-GB"/>
        </w:rPr>
        <w:t>attempted</w:t>
      </w:r>
      <w:r w:rsidR="009C0C84" w:rsidRPr="00AE24E7">
        <w:rPr>
          <w:rFonts w:ascii="Gill Sans" w:hAnsi="Gill Sans" w:cs="Gill Sans"/>
          <w:sz w:val="22"/>
          <w:szCs w:val="22"/>
          <w:lang w:val="en-GB"/>
        </w:rPr>
        <w:t xml:space="preserve"> </w:t>
      </w:r>
      <w:r w:rsidRPr="00AE24E7">
        <w:rPr>
          <w:rFonts w:ascii="Gill Sans" w:hAnsi="Gill Sans" w:cs="Gill Sans"/>
          <w:sz w:val="22"/>
          <w:szCs w:val="22"/>
          <w:lang w:val="en-GB"/>
        </w:rPr>
        <w:t xml:space="preserve">to draft </w:t>
      </w:r>
      <w:r w:rsidR="00560451">
        <w:rPr>
          <w:rFonts w:ascii="Gill Sans" w:hAnsi="Gill Sans" w:cs="Gill Sans"/>
          <w:sz w:val="22"/>
          <w:szCs w:val="22"/>
          <w:lang w:val="en-GB"/>
        </w:rPr>
        <w:t>a</w:t>
      </w:r>
      <w:r w:rsidR="00560451" w:rsidRPr="00AE24E7">
        <w:rPr>
          <w:rFonts w:ascii="Gill Sans" w:hAnsi="Gill Sans" w:cs="Gill Sans"/>
          <w:sz w:val="22"/>
          <w:szCs w:val="22"/>
          <w:lang w:val="en-GB"/>
        </w:rPr>
        <w:t xml:space="preserve"> </w:t>
      </w:r>
      <w:r w:rsidRPr="00AE24E7">
        <w:rPr>
          <w:rFonts w:ascii="Gill Sans" w:hAnsi="Gill Sans" w:cs="Gill Sans"/>
          <w:sz w:val="22"/>
          <w:szCs w:val="22"/>
          <w:lang w:val="en-GB"/>
        </w:rPr>
        <w:t xml:space="preserve">law to streamline fees for administrative services. </w:t>
      </w:r>
      <w:r w:rsidRPr="00AE24E7">
        <w:rPr>
          <w:rFonts w:ascii="Gill Sans" w:hAnsi="Gill Sans" w:cs="Gill Sans"/>
          <w:noProof/>
          <w:sz w:val="22"/>
          <w:szCs w:val="22"/>
          <w:lang w:val="en-GB"/>
        </w:rPr>
        <w:t xml:space="preserve">Streamlining </w:t>
      </w:r>
      <w:r w:rsidR="00560451">
        <w:rPr>
          <w:rFonts w:ascii="Gill Sans" w:hAnsi="Gill Sans" w:cs="Gill Sans"/>
          <w:noProof/>
          <w:sz w:val="22"/>
          <w:szCs w:val="22"/>
          <w:lang w:val="en-GB"/>
        </w:rPr>
        <w:t xml:space="preserve">the </w:t>
      </w:r>
      <w:r w:rsidR="009C0C84">
        <w:rPr>
          <w:rFonts w:ascii="Gill Sans" w:hAnsi="Gill Sans" w:cs="Gill Sans"/>
          <w:noProof/>
          <w:sz w:val="22"/>
          <w:szCs w:val="22"/>
          <w:lang w:val="en-GB"/>
        </w:rPr>
        <w:t xml:space="preserve">provision of </w:t>
      </w:r>
      <w:r w:rsidRPr="00AE24E7">
        <w:rPr>
          <w:rFonts w:ascii="Gill Sans" w:hAnsi="Gill Sans" w:cs="Gill Sans"/>
          <w:noProof/>
          <w:sz w:val="22"/>
          <w:szCs w:val="22"/>
          <w:lang w:val="en-GB"/>
        </w:rPr>
        <w:t>administrative services by public authorities is important to ensur</w:t>
      </w:r>
      <w:r w:rsidR="009C0C84">
        <w:rPr>
          <w:rFonts w:ascii="Gill Sans" w:hAnsi="Gill Sans" w:cs="Gill Sans"/>
          <w:noProof/>
          <w:sz w:val="22"/>
          <w:szCs w:val="22"/>
          <w:lang w:val="en-GB"/>
        </w:rPr>
        <w:t>ing</w:t>
      </w:r>
      <w:r w:rsidRPr="00AE24E7">
        <w:rPr>
          <w:rFonts w:ascii="Gill Sans" w:hAnsi="Gill Sans" w:cs="Gill Sans"/>
          <w:noProof/>
          <w:sz w:val="22"/>
          <w:szCs w:val="22"/>
          <w:lang w:val="en-GB"/>
        </w:rPr>
        <w:t xml:space="preserve"> good </w:t>
      </w:r>
      <w:r w:rsidRPr="00B2462D">
        <w:rPr>
          <w:rFonts w:ascii="Gill Sans" w:hAnsi="Gill Sans" w:cs="Gill Sans"/>
          <w:noProof/>
          <w:sz w:val="22"/>
          <w:szCs w:val="22"/>
          <w:lang w:val="en-GB"/>
        </w:rPr>
        <w:t xml:space="preserve">governance and the services of the state. The uncoordinated practice of charging administrative fees presents a barrier </w:t>
      </w:r>
      <w:r w:rsidR="00560451">
        <w:rPr>
          <w:rFonts w:ascii="Gill Sans" w:hAnsi="Gill Sans" w:cs="Gill Sans"/>
          <w:noProof/>
          <w:sz w:val="22"/>
          <w:szCs w:val="22"/>
          <w:lang w:val="en-GB"/>
        </w:rPr>
        <w:t>to</w:t>
      </w:r>
      <w:r w:rsidR="00560451" w:rsidRPr="00B2462D">
        <w:rPr>
          <w:rFonts w:ascii="Gill Sans" w:hAnsi="Gill Sans" w:cs="Gill Sans"/>
          <w:noProof/>
          <w:sz w:val="22"/>
          <w:szCs w:val="22"/>
          <w:lang w:val="en-GB"/>
        </w:rPr>
        <w:t xml:space="preserve"> </w:t>
      </w:r>
      <w:r w:rsidRPr="00B2462D">
        <w:rPr>
          <w:rFonts w:ascii="Gill Sans" w:hAnsi="Gill Sans" w:cs="Gill Sans"/>
          <w:noProof/>
          <w:sz w:val="22"/>
          <w:szCs w:val="22"/>
          <w:lang w:val="en-GB"/>
        </w:rPr>
        <w:t>effective service provision</w:t>
      </w:r>
      <w:r w:rsidR="00560451">
        <w:rPr>
          <w:rFonts w:ascii="Gill Sans" w:hAnsi="Gill Sans" w:cs="Gill Sans"/>
          <w:noProof/>
          <w:sz w:val="22"/>
          <w:szCs w:val="22"/>
          <w:lang w:val="en-GB"/>
        </w:rPr>
        <w:t>,</w:t>
      </w:r>
      <w:r w:rsidRPr="00B2462D">
        <w:rPr>
          <w:rFonts w:ascii="Gill Sans" w:hAnsi="Gill Sans" w:cs="Gill Sans"/>
          <w:noProof/>
          <w:sz w:val="22"/>
          <w:szCs w:val="22"/>
          <w:lang w:val="en-GB"/>
        </w:rPr>
        <w:t xml:space="preserve"> and affects citizen</w:t>
      </w:r>
      <w:r w:rsidR="00560451">
        <w:rPr>
          <w:rFonts w:ascii="Gill Sans" w:hAnsi="Gill Sans" w:cs="Gill Sans"/>
          <w:noProof/>
          <w:sz w:val="22"/>
          <w:szCs w:val="22"/>
          <w:lang w:val="en-GB"/>
        </w:rPr>
        <w:t>s’</w:t>
      </w:r>
      <w:r w:rsidRPr="00B2462D">
        <w:rPr>
          <w:rFonts w:ascii="Gill Sans" w:hAnsi="Gill Sans" w:cs="Gill Sans"/>
          <w:noProof/>
          <w:sz w:val="22"/>
          <w:szCs w:val="22"/>
          <w:lang w:val="en-GB"/>
        </w:rPr>
        <w:t xml:space="preserve"> satisfaction. </w:t>
      </w:r>
      <w:r w:rsidRPr="00B2462D">
        <w:rPr>
          <w:rFonts w:ascii="Gill Sans" w:hAnsi="Gill Sans" w:cs="Gill Sans"/>
          <w:sz w:val="22"/>
          <w:szCs w:val="22"/>
          <w:lang w:val="en-GB"/>
        </w:rPr>
        <w:t xml:space="preserve">If implemented, the law </w:t>
      </w:r>
      <w:r w:rsidR="00560451">
        <w:rPr>
          <w:rFonts w:ascii="Gill Sans" w:hAnsi="Gill Sans" w:cs="Gill Sans"/>
          <w:sz w:val="22"/>
          <w:szCs w:val="22"/>
          <w:lang w:val="en-GB"/>
        </w:rPr>
        <w:t>would</w:t>
      </w:r>
      <w:r w:rsidR="00560451" w:rsidRPr="00B2462D">
        <w:rPr>
          <w:rFonts w:ascii="Gill Sans" w:hAnsi="Gill Sans" w:cs="Gill Sans"/>
          <w:sz w:val="22"/>
          <w:szCs w:val="22"/>
          <w:lang w:val="en-GB"/>
        </w:rPr>
        <w:t xml:space="preserve"> </w:t>
      </w:r>
      <w:r w:rsidRPr="00B2462D">
        <w:rPr>
          <w:rFonts w:ascii="Gill Sans" w:hAnsi="Gill Sans" w:cs="Gill Sans"/>
          <w:sz w:val="22"/>
          <w:szCs w:val="22"/>
          <w:lang w:val="en-GB"/>
        </w:rPr>
        <w:t>ensure legal certainty and transparency</w:t>
      </w:r>
      <w:r w:rsidR="009C0C84">
        <w:rPr>
          <w:rFonts w:ascii="Gill Sans" w:hAnsi="Gill Sans" w:cs="Gill Sans"/>
          <w:sz w:val="22"/>
          <w:szCs w:val="22"/>
          <w:lang w:val="en-GB"/>
        </w:rPr>
        <w:t>,</w:t>
      </w:r>
      <w:r w:rsidRPr="00B2462D">
        <w:rPr>
          <w:rFonts w:ascii="Gill Sans" w:hAnsi="Gill Sans" w:cs="Gill Sans"/>
          <w:sz w:val="22"/>
          <w:szCs w:val="22"/>
          <w:lang w:val="en-GB"/>
        </w:rPr>
        <w:t xml:space="preserve"> </w:t>
      </w:r>
      <w:r w:rsidR="00560451">
        <w:rPr>
          <w:rFonts w:ascii="Gill Sans" w:hAnsi="Gill Sans" w:cs="Gill Sans"/>
          <w:sz w:val="22"/>
          <w:szCs w:val="22"/>
          <w:lang w:val="en-GB"/>
        </w:rPr>
        <w:t>and</w:t>
      </w:r>
      <w:r w:rsidR="00560451" w:rsidRPr="00B2462D">
        <w:rPr>
          <w:rFonts w:ascii="Gill Sans" w:hAnsi="Gill Sans" w:cs="Gill Sans"/>
          <w:sz w:val="22"/>
          <w:szCs w:val="22"/>
          <w:lang w:val="en-GB"/>
        </w:rPr>
        <w:t xml:space="preserve"> </w:t>
      </w:r>
      <w:r w:rsidRPr="00B2462D">
        <w:rPr>
          <w:rFonts w:ascii="Gill Sans" w:hAnsi="Gill Sans" w:cs="Gill Sans"/>
          <w:sz w:val="22"/>
          <w:szCs w:val="22"/>
          <w:lang w:val="en-GB"/>
        </w:rPr>
        <w:t>reduc</w:t>
      </w:r>
      <w:r w:rsidR="00560451">
        <w:rPr>
          <w:rFonts w:ascii="Gill Sans" w:hAnsi="Gill Sans" w:cs="Gill Sans"/>
          <w:sz w:val="22"/>
          <w:szCs w:val="22"/>
          <w:lang w:val="en-GB"/>
        </w:rPr>
        <w:t>e</w:t>
      </w:r>
      <w:r w:rsidRPr="00B2462D">
        <w:rPr>
          <w:rFonts w:ascii="Gill Sans" w:hAnsi="Gill Sans" w:cs="Gill Sans"/>
          <w:sz w:val="22"/>
          <w:szCs w:val="22"/>
          <w:lang w:val="en-GB"/>
        </w:rPr>
        <w:t xml:space="preserve"> corruption risks in the area of administrative services.</w:t>
      </w:r>
    </w:p>
    <w:p w14:paraId="20A1CED2" w14:textId="7A88182A" w:rsidR="00EF656B" w:rsidRPr="00B2462D" w:rsidRDefault="00EF656B" w:rsidP="00B2462D">
      <w:pPr>
        <w:spacing w:after="120"/>
        <w:rPr>
          <w:rFonts w:ascii="Gill Sans" w:hAnsi="Gill Sans" w:cs="Gill Sans"/>
          <w:b/>
          <w:noProof/>
          <w:sz w:val="22"/>
          <w:szCs w:val="22"/>
          <w:lang w:val="en-GB"/>
        </w:rPr>
      </w:pPr>
      <w:r w:rsidRPr="00B2462D">
        <w:rPr>
          <w:rFonts w:ascii="Gill Sans" w:hAnsi="Gill Sans" w:cs="Gill Sans"/>
          <w:b/>
          <w:noProof/>
          <w:sz w:val="22"/>
          <w:szCs w:val="22"/>
          <w:lang w:val="en-GB"/>
        </w:rPr>
        <w:t>16. Decentralise administrative services</w:t>
      </w:r>
    </w:p>
    <w:p w14:paraId="7AE6F0EC" w14:textId="33C0DA5B" w:rsidR="00EF656B" w:rsidRPr="00B2462D" w:rsidRDefault="00BA4F09" w:rsidP="00560451">
      <w:pPr>
        <w:spacing w:after="120"/>
        <w:rPr>
          <w:rFonts w:ascii="Gill Sans" w:hAnsi="Gill Sans" w:cs="Gill Sans"/>
          <w:b/>
          <w:noProof/>
          <w:sz w:val="22"/>
          <w:szCs w:val="22"/>
          <w:lang w:val="en-GB"/>
        </w:rPr>
      </w:pPr>
      <w:r w:rsidRPr="00B2462D">
        <w:rPr>
          <w:rFonts w:ascii="Gill Sans" w:hAnsi="Gill Sans" w:cs="Gill Sans"/>
          <w:noProof/>
          <w:sz w:val="22"/>
          <w:szCs w:val="22"/>
          <w:lang w:val="en-GB"/>
        </w:rPr>
        <w:t>The commitm</w:t>
      </w:r>
      <w:r w:rsidR="00305B5C">
        <w:rPr>
          <w:rFonts w:ascii="Gill Sans" w:hAnsi="Gill Sans" w:cs="Gill Sans"/>
          <w:noProof/>
          <w:sz w:val="22"/>
          <w:szCs w:val="22"/>
          <w:lang w:val="en-GB"/>
        </w:rPr>
        <w:t>ent aim</w:t>
      </w:r>
      <w:r w:rsidR="009C0C84">
        <w:rPr>
          <w:rFonts w:ascii="Gill Sans" w:hAnsi="Gill Sans" w:cs="Gill Sans"/>
          <w:noProof/>
          <w:sz w:val="22"/>
          <w:szCs w:val="22"/>
        </w:rPr>
        <w:t>ed</w:t>
      </w:r>
      <w:r w:rsidRPr="00B2462D">
        <w:rPr>
          <w:rFonts w:ascii="Gill Sans" w:hAnsi="Gill Sans" w:cs="Gill Sans"/>
          <w:noProof/>
          <w:sz w:val="22"/>
          <w:szCs w:val="22"/>
          <w:lang w:val="en-GB"/>
        </w:rPr>
        <w:t xml:space="preserve"> to develop a draft law on the decentralisation of powers concerning the provision of administrative services</w:t>
      </w:r>
      <w:r w:rsidR="00560451">
        <w:rPr>
          <w:rFonts w:ascii="Gill Sans" w:hAnsi="Gill Sans" w:cs="Gill Sans"/>
          <w:noProof/>
          <w:sz w:val="22"/>
          <w:szCs w:val="22"/>
          <w:lang w:val="en-GB"/>
        </w:rPr>
        <w:t>. These</w:t>
      </w:r>
      <w:r w:rsidR="00560451" w:rsidRPr="00B2462D">
        <w:rPr>
          <w:rFonts w:ascii="Gill Sans" w:hAnsi="Gill Sans" w:cs="Gill Sans"/>
          <w:noProof/>
          <w:sz w:val="22"/>
          <w:szCs w:val="22"/>
          <w:lang w:val="en-GB"/>
        </w:rPr>
        <w:t xml:space="preserve"> </w:t>
      </w:r>
      <w:r w:rsidRPr="00B2462D">
        <w:rPr>
          <w:rFonts w:ascii="Gill Sans" w:hAnsi="Gill Sans" w:cs="Gill Sans"/>
          <w:noProof/>
          <w:sz w:val="22"/>
          <w:szCs w:val="22"/>
          <w:lang w:val="en-GB"/>
        </w:rPr>
        <w:t>includ</w:t>
      </w:r>
      <w:r w:rsidR="00560451">
        <w:rPr>
          <w:rFonts w:ascii="Gill Sans" w:hAnsi="Gill Sans" w:cs="Gill Sans"/>
          <w:noProof/>
          <w:sz w:val="22"/>
          <w:szCs w:val="22"/>
          <w:lang w:val="en-GB"/>
        </w:rPr>
        <w:t>ed</w:t>
      </w:r>
      <w:r w:rsidRPr="00B2462D">
        <w:rPr>
          <w:rFonts w:ascii="Gill Sans" w:hAnsi="Gill Sans" w:cs="Gill Sans"/>
          <w:noProof/>
          <w:sz w:val="22"/>
          <w:szCs w:val="22"/>
          <w:lang w:val="en-GB"/>
        </w:rPr>
        <w:t xml:space="preserve"> registration of residence (stay); issuance of identity documents; state registration of legal entities, citizens’ associations, and civil status; movable and immovable property; and issuance of driver</w:t>
      </w:r>
      <w:r w:rsidR="00560451">
        <w:rPr>
          <w:rFonts w:ascii="Gill Sans" w:hAnsi="Gill Sans" w:cs="Gill Sans"/>
          <w:noProof/>
          <w:sz w:val="22"/>
          <w:szCs w:val="22"/>
          <w:lang w:val="en-GB"/>
        </w:rPr>
        <w:t>’</w:t>
      </w:r>
      <w:r w:rsidRPr="00B2462D">
        <w:rPr>
          <w:rFonts w:ascii="Gill Sans" w:hAnsi="Gill Sans" w:cs="Gill Sans"/>
          <w:noProof/>
          <w:sz w:val="22"/>
          <w:szCs w:val="22"/>
          <w:lang w:val="en-GB"/>
        </w:rPr>
        <w:t xml:space="preserve">s licences. </w:t>
      </w:r>
      <w:r w:rsidR="00B2462D" w:rsidRPr="00B2462D">
        <w:rPr>
          <w:rFonts w:ascii="Gill Sans" w:hAnsi="Gill Sans" w:cs="Gill Sans"/>
          <w:noProof/>
          <w:sz w:val="22"/>
          <w:szCs w:val="22"/>
          <w:lang w:val="en-GB"/>
        </w:rPr>
        <w:t>In Ukraine</w:t>
      </w:r>
      <w:r w:rsidR="009C0C84">
        <w:rPr>
          <w:rFonts w:ascii="Gill Sans" w:hAnsi="Gill Sans" w:cs="Gill Sans"/>
          <w:noProof/>
          <w:sz w:val="22"/>
          <w:szCs w:val="22"/>
          <w:lang w:val="en-GB"/>
        </w:rPr>
        <w:t>,</w:t>
      </w:r>
      <w:r w:rsidR="00B2462D" w:rsidRPr="00B2462D">
        <w:rPr>
          <w:rFonts w:ascii="Gill Sans" w:hAnsi="Gill Sans" w:cs="Gill Sans"/>
          <w:noProof/>
          <w:sz w:val="22"/>
          <w:szCs w:val="22"/>
          <w:lang w:val="en-GB"/>
        </w:rPr>
        <w:t xml:space="preserve"> where administrative services have been highly centralised, it is generally perceived that decentralisation is crucial for reducing corruption and ensuring better quality of public services. Decentralisation of public functions has become an important </w:t>
      </w:r>
      <w:r w:rsidR="00305B5C">
        <w:rPr>
          <w:rFonts w:ascii="Gill Sans" w:hAnsi="Gill Sans" w:cs="Gill Sans"/>
          <w:noProof/>
          <w:sz w:val="22"/>
          <w:szCs w:val="22"/>
          <w:lang w:val="en-GB"/>
        </w:rPr>
        <w:t xml:space="preserve">public </w:t>
      </w:r>
      <w:r w:rsidR="00B2462D" w:rsidRPr="00B2462D">
        <w:rPr>
          <w:rFonts w:ascii="Gill Sans" w:hAnsi="Gill Sans" w:cs="Gill Sans"/>
          <w:noProof/>
          <w:sz w:val="22"/>
          <w:szCs w:val="22"/>
          <w:lang w:val="en-GB"/>
        </w:rPr>
        <w:t xml:space="preserve">policy </w:t>
      </w:r>
      <w:r w:rsidR="00305B5C" w:rsidRPr="00B2462D">
        <w:rPr>
          <w:rFonts w:ascii="Gill Sans" w:hAnsi="Gill Sans" w:cs="Gill Sans"/>
          <w:noProof/>
          <w:sz w:val="22"/>
          <w:szCs w:val="22"/>
          <w:lang w:val="en-GB"/>
        </w:rPr>
        <w:t xml:space="preserve">issue </w:t>
      </w:r>
      <w:r w:rsidR="00B2462D" w:rsidRPr="00B2462D">
        <w:rPr>
          <w:rFonts w:ascii="Gill Sans" w:hAnsi="Gill Sans" w:cs="Gill Sans"/>
          <w:noProof/>
          <w:sz w:val="22"/>
          <w:szCs w:val="22"/>
          <w:lang w:val="en-GB"/>
        </w:rPr>
        <w:t>in Ukraine since 2014.</w:t>
      </w:r>
    </w:p>
    <w:p w14:paraId="78368F3A" w14:textId="0885A4C9" w:rsidR="00BA033F" w:rsidRPr="00B2462D" w:rsidRDefault="00BA033F" w:rsidP="006319F4">
      <w:pPr>
        <w:pStyle w:val="Heading3"/>
      </w:pPr>
      <w:r w:rsidRPr="00B2462D">
        <w:t>Status</w:t>
      </w:r>
    </w:p>
    <w:p w14:paraId="501473F7" w14:textId="77777777" w:rsidR="00AE24E7" w:rsidRPr="00B2462D" w:rsidRDefault="00AE24E7" w:rsidP="00B2462D">
      <w:pPr>
        <w:spacing w:after="120"/>
        <w:rPr>
          <w:rFonts w:ascii="Gill Sans" w:hAnsi="Gill Sans" w:cs="Gill Sans"/>
          <w:b/>
          <w:noProof/>
          <w:sz w:val="22"/>
          <w:szCs w:val="22"/>
          <w:lang w:val="en-GB"/>
        </w:rPr>
      </w:pPr>
      <w:r w:rsidRPr="00B2462D">
        <w:rPr>
          <w:rFonts w:ascii="Gill Sans" w:hAnsi="Gill Sans" w:cs="Gill Sans"/>
          <w:b/>
          <w:noProof/>
          <w:sz w:val="22"/>
          <w:szCs w:val="22"/>
          <w:lang w:val="en-GB"/>
        </w:rPr>
        <w:t xml:space="preserve">14. Streamline payment of administrative fees </w:t>
      </w:r>
    </w:p>
    <w:p w14:paraId="60219E6D" w14:textId="0A0F70B0" w:rsidR="00BA033F" w:rsidRPr="00B2462D" w:rsidRDefault="00BA033F" w:rsidP="00B2462D">
      <w:pPr>
        <w:pStyle w:val="Normalrglronly"/>
        <w:rPr>
          <w:b/>
          <w:lang w:val="en-GB"/>
        </w:rPr>
      </w:pPr>
      <w:r w:rsidRPr="00B2462D">
        <w:rPr>
          <w:b/>
          <w:lang w:val="en-GB"/>
        </w:rPr>
        <w:t>Midterm: Limited</w:t>
      </w:r>
    </w:p>
    <w:p w14:paraId="33E7F60D" w14:textId="20163B99" w:rsidR="00AE24E7" w:rsidRPr="00B2462D" w:rsidRDefault="00AE24E7">
      <w:pPr>
        <w:spacing w:after="120"/>
        <w:rPr>
          <w:rFonts w:ascii="Gill Sans" w:hAnsi="Gill Sans" w:cs="Gill Sans"/>
          <w:sz w:val="22"/>
          <w:szCs w:val="22"/>
          <w:lang w:val="en-GB"/>
        </w:rPr>
      </w:pPr>
      <w:r w:rsidRPr="00B2462D">
        <w:rPr>
          <w:rFonts w:ascii="Gill Sans" w:hAnsi="Gill Sans" w:cs="Gill Sans"/>
          <w:sz w:val="22"/>
          <w:szCs w:val="22"/>
          <w:lang w:val="en-GB"/>
        </w:rPr>
        <w:lastRenderedPageBreak/>
        <w:t xml:space="preserve">The Ministry of Economic Development </w:t>
      </w:r>
      <w:r w:rsidR="00EF4975">
        <w:rPr>
          <w:rFonts w:ascii="Gill Sans" w:hAnsi="Gill Sans" w:cs="Gill Sans"/>
          <w:sz w:val="22"/>
          <w:szCs w:val="22"/>
          <w:lang w:val="en-GB"/>
        </w:rPr>
        <w:t>put together</w:t>
      </w:r>
      <w:r w:rsidR="00EF4975" w:rsidRPr="00B2462D">
        <w:rPr>
          <w:rFonts w:ascii="Gill Sans" w:hAnsi="Gill Sans" w:cs="Gill Sans"/>
          <w:sz w:val="22"/>
          <w:szCs w:val="22"/>
          <w:lang w:val="en-GB"/>
        </w:rPr>
        <w:t xml:space="preserve"> </w:t>
      </w:r>
      <w:r w:rsidRPr="00B2462D">
        <w:rPr>
          <w:rFonts w:ascii="Gill Sans" w:hAnsi="Gill Sans" w:cs="Gill Sans"/>
          <w:sz w:val="22"/>
          <w:szCs w:val="22"/>
          <w:lang w:val="en-GB"/>
        </w:rPr>
        <w:t>a draft law on administrative services and</w:t>
      </w:r>
      <w:r w:rsidR="00EF4975">
        <w:rPr>
          <w:rFonts w:ascii="Gill Sans" w:hAnsi="Gill Sans" w:cs="Gill Sans"/>
          <w:sz w:val="22"/>
          <w:szCs w:val="22"/>
          <w:lang w:val="en-GB"/>
        </w:rPr>
        <w:t xml:space="preserve"> their</w:t>
      </w:r>
      <w:r w:rsidRPr="00B2462D">
        <w:rPr>
          <w:rFonts w:ascii="Gill Sans" w:hAnsi="Gill Sans" w:cs="Gill Sans"/>
          <w:sz w:val="22"/>
          <w:szCs w:val="22"/>
          <w:lang w:val="en-GB"/>
        </w:rPr>
        <w:t xml:space="preserve"> fees. The law proposed to unify names of administrative services, establish fee</w:t>
      </w:r>
      <w:r w:rsidR="00EF4975">
        <w:rPr>
          <w:rFonts w:ascii="Gill Sans" w:hAnsi="Gill Sans" w:cs="Gill Sans"/>
          <w:sz w:val="22"/>
          <w:szCs w:val="22"/>
          <w:lang w:val="en-GB"/>
        </w:rPr>
        <w:t>s</w:t>
      </w:r>
      <w:r w:rsidRPr="00B2462D">
        <w:rPr>
          <w:rFonts w:ascii="Gill Sans" w:hAnsi="Gill Sans" w:cs="Gill Sans"/>
          <w:sz w:val="22"/>
          <w:szCs w:val="22"/>
          <w:lang w:val="en-GB"/>
        </w:rPr>
        <w:t xml:space="preserve"> for their provision, and </w:t>
      </w:r>
      <w:r w:rsidR="00EA48DB">
        <w:rPr>
          <w:rFonts w:ascii="Gill Sans" w:hAnsi="Gill Sans" w:cs="Gill Sans"/>
          <w:sz w:val="22"/>
          <w:szCs w:val="22"/>
          <w:lang w:val="en-GB"/>
        </w:rPr>
        <w:t>prohibit</w:t>
      </w:r>
      <w:r w:rsidRPr="00B2462D">
        <w:rPr>
          <w:rFonts w:ascii="Gill Sans" w:hAnsi="Gill Sans" w:cs="Gill Sans"/>
          <w:sz w:val="22"/>
          <w:szCs w:val="22"/>
          <w:lang w:val="en-GB"/>
        </w:rPr>
        <w:t xml:space="preserve"> the provision of services not included in the law. In August 2015, the government endorsed the draft law</w:t>
      </w:r>
      <w:r w:rsidR="00EF4975">
        <w:rPr>
          <w:rFonts w:ascii="Gill Sans" w:hAnsi="Gill Sans" w:cs="Gill Sans"/>
          <w:sz w:val="22"/>
          <w:szCs w:val="22"/>
          <w:lang w:val="en-GB"/>
        </w:rPr>
        <w:t>. However, it</w:t>
      </w:r>
      <w:r w:rsidRPr="00B2462D">
        <w:rPr>
          <w:rFonts w:ascii="Gill Sans" w:hAnsi="Gill Sans" w:cs="Gill Sans"/>
          <w:sz w:val="22"/>
          <w:szCs w:val="22"/>
          <w:lang w:val="en-GB"/>
        </w:rPr>
        <w:t xml:space="preserve"> instructed the ministry to </w:t>
      </w:r>
      <w:r w:rsidR="00EF4975">
        <w:rPr>
          <w:rFonts w:ascii="Gill Sans" w:hAnsi="Gill Sans" w:cs="Gill Sans"/>
          <w:sz w:val="22"/>
          <w:szCs w:val="22"/>
          <w:lang w:val="en-GB"/>
        </w:rPr>
        <w:t>make it clear</w:t>
      </w:r>
      <w:r w:rsidRPr="00B2462D">
        <w:rPr>
          <w:rFonts w:ascii="Gill Sans" w:hAnsi="Gill Sans" w:cs="Gill Sans"/>
          <w:sz w:val="22"/>
          <w:szCs w:val="22"/>
          <w:lang w:val="en-GB"/>
        </w:rPr>
        <w:t xml:space="preserve"> that the Cabinet of Ministers, not the law, would define the fee</w:t>
      </w:r>
      <w:r w:rsidR="00EF4975">
        <w:rPr>
          <w:rFonts w:ascii="Gill Sans" w:hAnsi="Gill Sans" w:cs="Gill Sans"/>
          <w:sz w:val="22"/>
          <w:szCs w:val="22"/>
          <w:lang w:val="en-GB"/>
        </w:rPr>
        <w:t>s</w:t>
      </w:r>
      <w:r w:rsidRPr="00B2462D">
        <w:rPr>
          <w:rFonts w:ascii="Gill Sans" w:hAnsi="Gill Sans" w:cs="Gill Sans"/>
          <w:sz w:val="22"/>
          <w:szCs w:val="22"/>
          <w:lang w:val="en-GB"/>
        </w:rPr>
        <w:t xml:space="preserve"> for the provision of administrative services. On 15 September 2015, the ministry resubmitted the draft law to the government</w:t>
      </w:r>
      <w:r w:rsidR="009C0C84">
        <w:rPr>
          <w:rFonts w:ascii="Gill Sans" w:hAnsi="Gill Sans" w:cs="Gill Sans"/>
          <w:sz w:val="22"/>
          <w:szCs w:val="22"/>
          <w:lang w:val="en-GB"/>
        </w:rPr>
        <w:t>, which sent it</w:t>
      </w:r>
      <w:r w:rsidRPr="00B2462D">
        <w:rPr>
          <w:rFonts w:ascii="Gill Sans" w:hAnsi="Gill Sans" w:cs="Gill Sans"/>
          <w:sz w:val="22"/>
          <w:szCs w:val="22"/>
          <w:lang w:val="en-GB"/>
        </w:rPr>
        <w:t xml:space="preserve"> to </w:t>
      </w:r>
      <w:r w:rsidR="00EF4975">
        <w:rPr>
          <w:rFonts w:ascii="Gill Sans" w:hAnsi="Gill Sans" w:cs="Gill Sans"/>
          <w:sz w:val="22"/>
          <w:szCs w:val="22"/>
          <w:lang w:val="en-GB"/>
        </w:rPr>
        <w:t>p</w:t>
      </w:r>
      <w:r w:rsidRPr="00B2462D">
        <w:rPr>
          <w:rFonts w:ascii="Gill Sans" w:hAnsi="Gill Sans" w:cs="Gill Sans"/>
          <w:sz w:val="22"/>
          <w:szCs w:val="22"/>
          <w:lang w:val="en-GB"/>
        </w:rPr>
        <w:t>arliament on 12 October 2015.</w:t>
      </w:r>
      <w:r w:rsidRPr="00B2462D">
        <w:rPr>
          <w:rStyle w:val="EndnoteReference"/>
          <w:rFonts w:ascii="Gill Sans" w:hAnsi="Gill Sans" w:cs="Gill Sans"/>
          <w:sz w:val="22"/>
          <w:szCs w:val="22"/>
          <w:lang w:val="en-GB"/>
        </w:rPr>
        <w:endnoteReference w:id="70"/>
      </w:r>
      <w:r w:rsidRPr="00B2462D">
        <w:rPr>
          <w:rFonts w:ascii="Gill Sans" w:hAnsi="Gill Sans" w:cs="Gill Sans"/>
          <w:sz w:val="22"/>
          <w:szCs w:val="22"/>
          <w:lang w:val="en-GB"/>
        </w:rPr>
        <w:t xml:space="preserve"> It lists 563 administrative services (some composed of several items)</w:t>
      </w:r>
      <w:r w:rsidR="009C0C84">
        <w:rPr>
          <w:rFonts w:ascii="Gill Sans" w:hAnsi="Gill Sans" w:cs="Gill Sans"/>
          <w:sz w:val="22"/>
          <w:szCs w:val="22"/>
          <w:lang w:val="en-GB"/>
        </w:rPr>
        <w:t>,</w:t>
      </w:r>
      <w:r w:rsidRPr="00B2462D">
        <w:rPr>
          <w:rFonts w:ascii="Gill Sans" w:hAnsi="Gill Sans" w:cs="Gill Sans"/>
          <w:sz w:val="22"/>
          <w:szCs w:val="22"/>
          <w:lang w:val="en-GB"/>
        </w:rPr>
        <w:t xml:space="preserve"> and delegates the power to establish fee</w:t>
      </w:r>
      <w:r w:rsidR="009C0C84">
        <w:rPr>
          <w:rFonts w:ascii="Gill Sans" w:hAnsi="Gill Sans" w:cs="Gill Sans"/>
          <w:sz w:val="22"/>
          <w:szCs w:val="22"/>
          <w:lang w:val="en-GB"/>
        </w:rPr>
        <w:t>s</w:t>
      </w:r>
      <w:r w:rsidRPr="00B2462D">
        <w:rPr>
          <w:rFonts w:ascii="Gill Sans" w:hAnsi="Gill Sans" w:cs="Gill Sans"/>
          <w:sz w:val="22"/>
          <w:szCs w:val="22"/>
          <w:lang w:val="en-GB"/>
        </w:rPr>
        <w:t xml:space="preserve"> to the government. Civil society experts criticised the draft law</w:t>
      </w:r>
      <w:r w:rsidR="009B2249">
        <w:rPr>
          <w:rFonts w:ascii="Gill Sans" w:hAnsi="Gill Sans" w:cs="Gill Sans"/>
          <w:sz w:val="22"/>
          <w:szCs w:val="22"/>
          <w:lang w:val="en-GB"/>
        </w:rPr>
        <w:t>; their view</w:t>
      </w:r>
      <w:r w:rsidRPr="00B2462D">
        <w:rPr>
          <w:rFonts w:ascii="Gill Sans" w:hAnsi="Gill Sans" w:cs="Gill Sans"/>
          <w:sz w:val="22"/>
          <w:szCs w:val="22"/>
          <w:lang w:val="en-GB"/>
        </w:rPr>
        <w:t xml:space="preserve"> </w:t>
      </w:r>
      <w:r w:rsidR="009B2249">
        <w:rPr>
          <w:rFonts w:ascii="Gill Sans" w:hAnsi="Gill Sans" w:cs="Gill Sans"/>
          <w:sz w:val="22"/>
          <w:szCs w:val="22"/>
          <w:lang w:val="en-GB"/>
        </w:rPr>
        <w:t xml:space="preserve">was </w:t>
      </w:r>
      <w:r w:rsidRPr="00B2462D">
        <w:rPr>
          <w:rFonts w:ascii="Gill Sans" w:hAnsi="Gill Sans" w:cs="Gill Sans"/>
          <w:sz w:val="22"/>
          <w:szCs w:val="22"/>
          <w:lang w:val="en-GB"/>
        </w:rPr>
        <w:t xml:space="preserve">that the list of administrative services did not have to be established by the law, but </w:t>
      </w:r>
      <w:r w:rsidR="009B2249">
        <w:rPr>
          <w:rFonts w:ascii="Gill Sans" w:hAnsi="Gill Sans" w:cs="Gill Sans"/>
          <w:sz w:val="22"/>
          <w:szCs w:val="22"/>
          <w:lang w:val="en-GB"/>
        </w:rPr>
        <w:t>could have been</w:t>
      </w:r>
      <w:r w:rsidR="009B2249" w:rsidRPr="00B2462D">
        <w:rPr>
          <w:rFonts w:ascii="Gill Sans" w:hAnsi="Gill Sans" w:cs="Gill Sans"/>
          <w:sz w:val="22"/>
          <w:szCs w:val="22"/>
          <w:lang w:val="en-GB"/>
        </w:rPr>
        <w:t xml:space="preserve"> </w:t>
      </w:r>
      <w:r w:rsidRPr="00B2462D">
        <w:rPr>
          <w:rFonts w:ascii="Gill Sans" w:hAnsi="Gill Sans" w:cs="Gill Sans"/>
          <w:sz w:val="22"/>
          <w:szCs w:val="22"/>
          <w:lang w:val="en-GB"/>
        </w:rPr>
        <w:t>published in the Register of Administrative Services. The leading civil society expert in this area noted that the law could not exhaustively define all the services</w:t>
      </w:r>
      <w:r w:rsidR="009B2249">
        <w:rPr>
          <w:rFonts w:ascii="Gill Sans" w:hAnsi="Gill Sans" w:cs="Gill Sans"/>
          <w:sz w:val="22"/>
          <w:szCs w:val="22"/>
          <w:lang w:val="en-GB"/>
        </w:rPr>
        <w:t>,</w:t>
      </w:r>
      <w:r w:rsidRPr="00B2462D">
        <w:rPr>
          <w:rFonts w:ascii="Gill Sans" w:hAnsi="Gill Sans" w:cs="Gill Sans"/>
          <w:sz w:val="22"/>
          <w:szCs w:val="22"/>
          <w:lang w:val="en-GB"/>
        </w:rPr>
        <w:t xml:space="preserve"> and </w:t>
      </w:r>
      <w:r w:rsidR="009B2249">
        <w:rPr>
          <w:rFonts w:ascii="Gill Sans" w:hAnsi="Gill Sans" w:cs="Gill Sans"/>
          <w:sz w:val="22"/>
          <w:szCs w:val="22"/>
          <w:lang w:val="en-GB"/>
        </w:rPr>
        <w:t xml:space="preserve">that </w:t>
      </w:r>
      <w:r w:rsidRPr="00B2462D">
        <w:rPr>
          <w:rFonts w:ascii="Gill Sans" w:hAnsi="Gill Sans" w:cs="Gill Sans"/>
          <w:sz w:val="22"/>
          <w:szCs w:val="22"/>
          <w:lang w:val="en-GB"/>
        </w:rPr>
        <w:t>the list should be flexible.</w:t>
      </w:r>
      <w:r w:rsidRPr="00B2462D">
        <w:rPr>
          <w:rStyle w:val="EndnoteReference"/>
          <w:rFonts w:ascii="Gill Sans" w:hAnsi="Gill Sans" w:cs="Gill Sans"/>
          <w:sz w:val="22"/>
          <w:szCs w:val="22"/>
          <w:lang w:val="en-GB"/>
        </w:rPr>
        <w:endnoteReference w:id="71"/>
      </w:r>
    </w:p>
    <w:p w14:paraId="5E075E3A" w14:textId="402FC5A8" w:rsidR="003B7E7C" w:rsidRDefault="00AE24E7" w:rsidP="006023C3">
      <w:pPr>
        <w:spacing w:after="120"/>
        <w:rPr>
          <w:rFonts w:ascii="Gill Sans" w:hAnsi="Gill Sans" w:cs="Gill Sans"/>
          <w:b/>
          <w:color w:val="222222"/>
          <w:sz w:val="22"/>
          <w:szCs w:val="22"/>
          <w:lang w:val="en-GB"/>
        </w:rPr>
      </w:pPr>
      <w:r w:rsidRPr="00B2462D">
        <w:rPr>
          <w:rFonts w:ascii="Gill Sans" w:hAnsi="Gill Sans" w:cs="Gill Sans"/>
          <w:sz w:val="22"/>
          <w:szCs w:val="22"/>
          <w:lang w:val="en-GB"/>
        </w:rPr>
        <w:t xml:space="preserve">Overall, the government failed to implement the commitment. </w:t>
      </w:r>
      <w:r w:rsidR="009B2249">
        <w:rPr>
          <w:rFonts w:ascii="Gill Sans" w:hAnsi="Gill Sans" w:cs="Gill Sans"/>
          <w:sz w:val="22"/>
          <w:szCs w:val="22"/>
          <w:lang w:val="en-GB"/>
        </w:rPr>
        <w:t>T</w:t>
      </w:r>
      <w:r w:rsidRPr="00B2462D">
        <w:rPr>
          <w:rFonts w:ascii="Gill Sans" w:hAnsi="Gill Sans" w:cs="Gill Sans"/>
          <w:sz w:val="22"/>
          <w:szCs w:val="22"/>
          <w:lang w:val="en-GB"/>
        </w:rPr>
        <w:t xml:space="preserve">he draft law contradicted the commitment, </w:t>
      </w:r>
      <w:r w:rsidR="009B2249">
        <w:rPr>
          <w:rFonts w:ascii="Gill Sans" w:hAnsi="Gill Sans" w:cs="Gill Sans"/>
          <w:sz w:val="22"/>
          <w:szCs w:val="22"/>
          <w:lang w:val="en-GB"/>
        </w:rPr>
        <w:t xml:space="preserve">insofar </w:t>
      </w:r>
      <w:r w:rsidRPr="00B2462D">
        <w:rPr>
          <w:rFonts w:ascii="Gill Sans" w:hAnsi="Gill Sans" w:cs="Gill Sans"/>
          <w:sz w:val="22"/>
          <w:szCs w:val="22"/>
          <w:lang w:val="en-GB"/>
        </w:rPr>
        <w:t xml:space="preserve">as it included no provisions for streamlining payment for administrative services. On the contrary, </w:t>
      </w:r>
      <w:r w:rsidR="009B2249">
        <w:rPr>
          <w:rFonts w:ascii="Gill Sans" w:hAnsi="Gill Sans" w:cs="Gill Sans"/>
          <w:sz w:val="22"/>
          <w:szCs w:val="22"/>
          <w:lang w:val="en-GB"/>
        </w:rPr>
        <w:t xml:space="preserve">it </w:t>
      </w:r>
      <w:r w:rsidRPr="00B2462D">
        <w:rPr>
          <w:rFonts w:ascii="Gill Sans" w:hAnsi="Gill Sans" w:cs="Gill Sans"/>
          <w:sz w:val="22"/>
          <w:szCs w:val="22"/>
          <w:lang w:val="en-GB"/>
        </w:rPr>
        <w:t>effectively removed regulation of this issue from the law</w:t>
      </w:r>
      <w:r w:rsidR="00BA033F" w:rsidRPr="00B2462D">
        <w:rPr>
          <w:rFonts w:ascii="Gill Sans" w:hAnsi="Gill Sans" w:cs="Gill Sans"/>
          <w:sz w:val="22"/>
          <w:szCs w:val="22"/>
          <w:lang w:val="en-GB"/>
        </w:rPr>
        <w:t>.</w:t>
      </w:r>
      <w:r w:rsidR="00BA033F" w:rsidRPr="00B2462D">
        <w:rPr>
          <w:rStyle w:val="EndnoteReference"/>
          <w:rFonts w:ascii="Gill Sans" w:hAnsi="Gill Sans" w:cs="Gill Sans"/>
          <w:noProof/>
          <w:sz w:val="22"/>
          <w:szCs w:val="22"/>
          <w:lang w:val="en-GB"/>
        </w:rPr>
        <w:endnoteReference w:id="72"/>
      </w:r>
    </w:p>
    <w:p w14:paraId="2ACD5B5C" w14:textId="77777777" w:rsidR="0038791B" w:rsidRPr="00B2462D" w:rsidRDefault="0038791B" w:rsidP="00B2462D">
      <w:pPr>
        <w:pStyle w:val="Normalrglronly"/>
        <w:rPr>
          <w:b/>
          <w:lang w:val="en-US"/>
        </w:rPr>
      </w:pPr>
      <w:r w:rsidRPr="00B2462D">
        <w:rPr>
          <w:b/>
          <w:lang w:val="en-GB"/>
        </w:rPr>
        <w:t>End of term: Limited</w:t>
      </w:r>
    </w:p>
    <w:p w14:paraId="5EEE4757" w14:textId="0B610C38" w:rsidR="00BA033F" w:rsidRPr="00FF5C73" w:rsidRDefault="002F53FE" w:rsidP="003B7E7C">
      <w:pPr>
        <w:spacing w:after="120"/>
        <w:rPr>
          <w:rFonts w:ascii="Gill Sans" w:hAnsi="Gill Sans" w:cs="Gill Sans"/>
          <w:noProof/>
          <w:sz w:val="22"/>
          <w:szCs w:val="22"/>
          <w:lang w:val="en-GB"/>
        </w:rPr>
      </w:pPr>
      <w:r w:rsidRPr="00B2462D">
        <w:rPr>
          <w:rFonts w:ascii="Gill Sans" w:hAnsi="Gill Sans" w:cs="Gill Sans"/>
          <w:noProof/>
          <w:sz w:val="22"/>
          <w:szCs w:val="22"/>
          <w:lang w:val="en-GB"/>
        </w:rPr>
        <w:t xml:space="preserve">According to the </w:t>
      </w:r>
      <w:r w:rsidR="009B2249">
        <w:rPr>
          <w:rFonts w:ascii="Gill Sans" w:hAnsi="Gill Sans" w:cs="Gill Sans"/>
          <w:noProof/>
          <w:sz w:val="22"/>
          <w:szCs w:val="22"/>
          <w:lang w:val="en-GB"/>
        </w:rPr>
        <w:t>g</w:t>
      </w:r>
      <w:r w:rsidRPr="00B2462D">
        <w:rPr>
          <w:rFonts w:ascii="Gill Sans" w:hAnsi="Gill Sans" w:cs="Gill Sans"/>
          <w:noProof/>
          <w:sz w:val="22"/>
          <w:szCs w:val="22"/>
          <w:lang w:val="en-GB"/>
        </w:rPr>
        <w:t>overnment</w:t>
      </w:r>
      <w:r w:rsidR="00EA48DB">
        <w:rPr>
          <w:rFonts w:ascii="Gill Sans" w:hAnsi="Gill Sans" w:cs="Gill Sans"/>
          <w:noProof/>
          <w:sz w:val="22"/>
          <w:szCs w:val="22"/>
          <w:lang w:val="en-GB"/>
        </w:rPr>
        <w:t>’s</w:t>
      </w:r>
      <w:r w:rsidRPr="00B2462D">
        <w:rPr>
          <w:rFonts w:ascii="Gill Sans" w:hAnsi="Gill Sans" w:cs="Gill Sans"/>
          <w:noProof/>
          <w:sz w:val="22"/>
          <w:szCs w:val="22"/>
          <w:lang w:val="en-GB"/>
        </w:rPr>
        <w:t xml:space="preserve"> final self-assessment report, the draft law submitted </w:t>
      </w:r>
      <w:r w:rsidR="009B2249">
        <w:rPr>
          <w:rFonts w:ascii="Gill Sans" w:hAnsi="Gill Sans" w:cs="Gill Sans"/>
          <w:noProof/>
          <w:sz w:val="22"/>
          <w:szCs w:val="22"/>
          <w:lang w:val="en-GB"/>
        </w:rPr>
        <w:t>to</w:t>
      </w:r>
      <w:r w:rsidRPr="00B2462D">
        <w:rPr>
          <w:rFonts w:ascii="Gill Sans" w:hAnsi="Gill Sans" w:cs="Gill Sans"/>
          <w:noProof/>
          <w:sz w:val="22"/>
          <w:szCs w:val="22"/>
          <w:lang w:val="en-GB"/>
        </w:rPr>
        <w:t xml:space="preserve"> </w:t>
      </w:r>
      <w:r w:rsidR="000D183E">
        <w:rPr>
          <w:rFonts w:ascii="Gill Sans" w:hAnsi="Gill Sans" w:cs="Gill Sans"/>
          <w:noProof/>
          <w:sz w:val="22"/>
          <w:szCs w:val="22"/>
          <w:lang w:val="en-GB"/>
        </w:rPr>
        <w:t>P</w:t>
      </w:r>
      <w:r w:rsidRPr="00B2462D">
        <w:rPr>
          <w:rFonts w:ascii="Gill Sans" w:hAnsi="Gill Sans" w:cs="Gill Sans"/>
          <w:noProof/>
          <w:sz w:val="22"/>
          <w:szCs w:val="22"/>
          <w:lang w:val="en-GB"/>
        </w:rPr>
        <w:t>arliament was later recalled and not re-submitted. Meanwhile, in December 2015</w:t>
      </w:r>
      <w:r w:rsidR="009B2249">
        <w:rPr>
          <w:rFonts w:ascii="Gill Sans" w:hAnsi="Gill Sans" w:cs="Gill Sans"/>
          <w:noProof/>
          <w:sz w:val="22"/>
          <w:szCs w:val="22"/>
          <w:lang w:val="en-GB"/>
        </w:rPr>
        <w:t>,</w:t>
      </w:r>
      <w:r w:rsidRPr="00B2462D">
        <w:rPr>
          <w:rFonts w:ascii="Gill Sans" w:hAnsi="Gill Sans" w:cs="Gill Sans"/>
          <w:noProof/>
          <w:sz w:val="22"/>
          <w:szCs w:val="22"/>
          <w:lang w:val="en-GB"/>
        </w:rPr>
        <w:t xml:space="preserve"> </w:t>
      </w:r>
      <w:r w:rsidR="000D183E">
        <w:rPr>
          <w:rFonts w:ascii="Gill Sans" w:hAnsi="Gill Sans" w:cs="Gill Sans"/>
          <w:noProof/>
          <w:sz w:val="22"/>
          <w:szCs w:val="22"/>
          <w:lang w:val="en-GB"/>
        </w:rPr>
        <w:t>P</w:t>
      </w:r>
      <w:r w:rsidRPr="00B2462D">
        <w:rPr>
          <w:rFonts w:ascii="Gill Sans" w:hAnsi="Gill Sans" w:cs="Gill Sans"/>
          <w:noProof/>
          <w:sz w:val="22"/>
          <w:szCs w:val="22"/>
          <w:lang w:val="en-GB"/>
        </w:rPr>
        <w:t xml:space="preserve">arliament adopted amendments </w:t>
      </w:r>
      <w:r w:rsidR="009B2249">
        <w:rPr>
          <w:rFonts w:ascii="Gill Sans" w:hAnsi="Gill Sans" w:cs="Gill Sans"/>
          <w:noProof/>
          <w:sz w:val="22"/>
          <w:szCs w:val="22"/>
          <w:lang w:val="en-GB"/>
        </w:rPr>
        <w:t xml:space="preserve">stating </w:t>
      </w:r>
      <w:r w:rsidRPr="00B2462D">
        <w:rPr>
          <w:rFonts w:ascii="Gill Sans" w:hAnsi="Gill Sans" w:cs="Gill Sans"/>
          <w:noProof/>
          <w:sz w:val="22"/>
          <w:szCs w:val="22"/>
          <w:lang w:val="en-GB"/>
        </w:rPr>
        <w:t>that fees for administrative services</w:t>
      </w:r>
      <w:r w:rsidR="00EA48DB">
        <w:rPr>
          <w:rFonts w:ascii="Gill Sans" w:hAnsi="Gill Sans" w:cs="Gill Sans"/>
          <w:noProof/>
          <w:sz w:val="22"/>
          <w:szCs w:val="22"/>
          <w:lang w:val="en-GB"/>
        </w:rPr>
        <w:t xml:space="preserve"> should be established by laws r</w:t>
      </w:r>
      <w:r w:rsidRPr="00B2462D">
        <w:rPr>
          <w:rFonts w:ascii="Gill Sans" w:hAnsi="Gill Sans" w:cs="Gill Sans"/>
          <w:noProof/>
          <w:sz w:val="22"/>
          <w:szCs w:val="22"/>
          <w:lang w:val="en-GB"/>
        </w:rPr>
        <w:t xml:space="preserve">egulating </w:t>
      </w:r>
      <w:r w:rsidR="009B2249">
        <w:rPr>
          <w:rFonts w:ascii="Gill Sans" w:hAnsi="Gill Sans" w:cs="Gill Sans"/>
          <w:noProof/>
          <w:sz w:val="22"/>
          <w:szCs w:val="22"/>
          <w:lang w:val="en-GB"/>
        </w:rPr>
        <w:t xml:space="preserve">those </w:t>
      </w:r>
      <w:r w:rsidRPr="00B2462D">
        <w:rPr>
          <w:rFonts w:ascii="Gill Sans" w:hAnsi="Gill Sans" w:cs="Gill Sans"/>
          <w:noProof/>
          <w:sz w:val="22"/>
          <w:szCs w:val="22"/>
          <w:lang w:val="en-GB"/>
        </w:rPr>
        <w:t xml:space="preserve">services. </w:t>
      </w:r>
      <w:r w:rsidR="00D6486B">
        <w:rPr>
          <w:rFonts w:ascii="Gill Sans" w:hAnsi="Gill Sans" w:cs="Gill Sans"/>
          <w:sz w:val="22"/>
          <w:szCs w:val="22"/>
          <w:lang w:val="en-GB"/>
        </w:rPr>
        <w:t>During</w:t>
      </w:r>
      <w:r w:rsidR="00835DF5" w:rsidRPr="00797D1E">
        <w:rPr>
          <w:rFonts w:ascii="Gill Sans" w:hAnsi="Gill Sans" w:cs="Gill Sans"/>
          <w:sz w:val="22"/>
          <w:szCs w:val="22"/>
          <w:lang w:val="en-GB"/>
        </w:rPr>
        <w:t xml:space="preserve"> implementation, th</w:t>
      </w:r>
      <w:r w:rsidR="00835DF5">
        <w:rPr>
          <w:rFonts w:ascii="Gill Sans" w:hAnsi="Gill Sans" w:cs="Gill Sans"/>
          <w:sz w:val="22"/>
          <w:szCs w:val="22"/>
          <w:lang w:val="en-GB"/>
        </w:rPr>
        <w:t xml:space="preserve">e </w:t>
      </w:r>
      <w:r w:rsidR="009B2249">
        <w:rPr>
          <w:rFonts w:ascii="Gill Sans" w:hAnsi="Gill Sans" w:cs="Gill Sans"/>
          <w:sz w:val="22"/>
          <w:szCs w:val="22"/>
          <w:lang w:val="en-GB"/>
        </w:rPr>
        <w:t>g</w:t>
      </w:r>
      <w:r w:rsidR="00835DF5">
        <w:rPr>
          <w:rFonts w:ascii="Gill Sans" w:hAnsi="Gill Sans" w:cs="Gill Sans"/>
          <w:sz w:val="22"/>
          <w:szCs w:val="22"/>
          <w:lang w:val="en-GB"/>
        </w:rPr>
        <w:t>overnment effectively changed</w:t>
      </w:r>
      <w:r w:rsidR="00835DF5" w:rsidRPr="00797D1E">
        <w:rPr>
          <w:rFonts w:ascii="Gill Sans" w:hAnsi="Gill Sans" w:cs="Gill Sans"/>
          <w:sz w:val="22"/>
          <w:szCs w:val="22"/>
          <w:lang w:val="en-GB"/>
        </w:rPr>
        <w:t xml:space="preserve"> its position and abandoned the idea of having a unified list of administrative service</w:t>
      </w:r>
      <w:r w:rsidR="00835DF5">
        <w:rPr>
          <w:rFonts w:ascii="Gill Sans" w:hAnsi="Gill Sans" w:cs="Gill Sans"/>
          <w:sz w:val="22"/>
          <w:szCs w:val="22"/>
          <w:lang w:val="en-GB"/>
        </w:rPr>
        <w:t>s</w:t>
      </w:r>
      <w:r w:rsidR="00835DF5" w:rsidRPr="00797D1E">
        <w:rPr>
          <w:rFonts w:ascii="Gill Sans" w:hAnsi="Gill Sans" w:cs="Gill Sans"/>
          <w:sz w:val="22"/>
          <w:szCs w:val="22"/>
          <w:lang w:val="en-GB"/>
        </w:rPr>
        <w:t xml:space="preserve"> approved in the law</w:t>
      </w:r>
      <w:r w:rsidR="009B2249">
        <w:rPr>
          <w:rFonts w:ascii="Gill Sans" w:hAnsi="Gill Sans" w:cs="Gill Sans"/>
          <w:sz w:val="22"/>
          <w:szCs w:val="22"/>
          <w:lang w:val="en-GB"/>
        </w:rPr>
        <w:t>. This</w:t>
      </w:r>
      <w:r w:rsidR="00835DF5" w:rsidRPr="00797D1E">
        <w:rPr>
          <w:rFonts w:ascii="Gill Sans" w:hAnsi="Gill Sans" w:cs="Gill Sans"/>
          <w:sz w:val="22"/>
          <w:szCs w:val="22"/>
          <w:lang w:val="en-GB"/>
        </w:rPr>
        <w:t xml:space="preserve"> position </w:t>
      </w:r>
      <w:r w:rsidR="009B2249">
        <w:rPr>
          <w:rFonts w:ascii="Gill Sans" w:hAnsi="Gill Sans" w:cs="Gill Sans"/>
          <w:sz w:val="22"/>
          <w:szCs w:val="22"/>
          <w:lang w:val="en-GB"/>
        </w:rPr>
        <w:t xml:space="preserve">was </w:t>
      </w:r>
      <w:r w:rsidR="00835DF5" w:rsidRPr="00797D1E">
        <w:rPr>
          <w:rFonts w:ascii="Gill Sans" w:hAnsi="Gill Sans" w:cs="Gill Sans"/>
          <w:sz w:val="22"/>
          <w:szCs w:val="22"/>
          <w:lang w:val="en-GB"/>
        </w:rPr>
        <w:t>criticised by civil society experts.</w:t>
      </w:r>
      <w:r w:rsidR="00835DF5" w:rsidRPr="00797D1E">
        <w:rPr>
          <w:rStyle w:val="EndnoteReference"/>
          <w:rFonts w:ascii="Gill Sans" w:hAnsi="Gill Sans" w:cs="Gill Sans"/>
          <w:sz w:val="22"/>
          <w:szCs w:val="22"/>
          <w:lang w:val="en-GB"/>
        </w:rPr>
        <w:endnoteReference w:id="73"/>
      </w:r>
      <w:r w:rsidR="00835DF5" w:rsidRPr="00797D1E">
        <w:rPr>
          <w:rFonts w:ascii="Gill Sans" w:hAnsi="Gill Sans" w:cs="Gill Sans"/>
          <w:sz w:val="22"/>
          <w:szCs w:val="22"/>
          <w:lang w:val="en-GB"/>
        </w:rPr>
        <w:t xml:space="preserve"> The new legal amendments introduced in December 2015 recognised the need to regulate payment of </w:t>
      </w:r>
      <w:r w:rsidR="00835DF5">
        <w:rPr>
          <w:rFonts w:ascii="Gill Sans" w:hAnsi="Gill Sans" w:cs="Gill Sans"/>
          <w:sz w:val="22"/>
          <w:szCs w:val="22"/>
          <w:lang w:val="en-GB"/>
        </w:rPr>
        <w:t xml:space="preserve">administrative </w:t>
      </w:r>
      <w:r w:rsidR="00835DF5" w:rsidRPr="00797D1E">
        <w:rPr>
          <w:rFonts w:ascii="Gill Sans" w:hAnsi="Gill Sans" w:cs="Gill Sans"/>
          <w:sz w:val="22"/>
          <w:szCs w:val="22"/>
          <w:lang w:val="en-GB"/>
        </w:rPr>
        <w:t>fees in the law</w:t>
      </w:r>
      <w:r w:rsidR="003B7E7C">
        <w:rPr>
          <w:rFonts w:ascii="Gill Sans" w:hAnsi="Gill Sans" w:cs="Gill Sans"/>
          <w:sz w:val="22"/>
          <w:szCs w:val="22"/>
          <w:lang w:val="en-GB"/>
        </w:rPr>
        <w:t>,</w:t>
      </w:r>
      <w:r w:rsidR="009B2249">
        <w:rPr>
          <w:rFonts w:ascii="Gill Sans" w:hAnsi="Gill Sans" w:cs="Gill Sans"/>
          <w:sz w:val="22"/>
          <w:szCs w:val="22"/>
          <w:lang w:val="en-GB"/>
        </w:rPr>
        <w:t xml:space="preserve"> </w:t>
      </w:r>
      <w:r w:rsidR="003B7E7C">
        <w:rPr>
          <w:rFonts w:ascii="Gill Sans" w:hAnsi="Gill Sans" w:cs="Gill Sans"/>
          <w:sz w:val="22"/>
          <w:szCs w:val="22"/>
          <w:lang w:val="en-GB"/>
        </w:rPr>
        <w:t xml:space="preserve">and </w:t>
      </w:r>
      <w:r w:rsidR="00835DF5" w:rsidRPr="00797D1E">
        <w:rPr>
          <w:rFonts w:ascii="Gill Sans" w:hAnsi="Gill Sans" w:cs="Gill Sans"/>
          <w:sz w:val="22"/>
          <w:szCs w:val="22"/>
          <w:lang w:val="en-GB"/>
        </w:rPr>
        <w:t xml:space="preserve">not by </w:t>
      </w:r>
      <w:r w:rsidR="009B2249">
        <w:rPr>
          <w:rFonts w:ascii="Gill Sans" w:hAnsi="Gill Sans" w:cs="Gill Sans"/>
          <w:sz w:val="22"/>
          <w:szCs w:val="22"/>
          <w:lang w:val="en-GB"/>
        </w:rPr>
        <w:t>g</w:t>
      </w:r>
      <w:r w:rsidR="00835DF5" w:rsidRPr="00545649">
        <w:rPr>
          <w:rFonts w:ascii="Gill Sans" w:hAnsi="Gill Sans" w:cs="Gill Sans"/>
          <w:sz w:val="22"/>
          <w:szCs w:val="22"/>
          <w:lang w:val="en-GB"/>
        </w:rPr>
        <w:t xml:space="preserve">overnment </w:t>
      </w:r>
      <w:r w:rsidR="003B7E7C">
        <w:rPr>
          <w:rFonts w:ascii="Gill Sans" w:hAnsi="Gill Sans" w:cs="Gill Sans"/>
          <w:sz w:val="22"/>
          <w:szCs w:val="22"/>
          <w:lang w:val="en-GB"/>
        </w:rPr>
        <w:t>fiat</w:t>
      </w:r>
      <w:r w:rsidR="009B2249">
        <w:rPr>
          <w:rFonts w:ascii="Gill Sans" w:hAnsi="Gill Sans" w:cs="Gill Sans"/>
          <w:sz w:val="22"/>
          <w:szCs w:val="22"/>
          <w:lang w:val="en-GB"/>
        </w:rPr>
        <w:t>. This</w:t>
      </w:r>
      <w:r w:rsidR="00835DF5" w:rsidRPr="00545649">
        <w:rPr>
          <w:rFonts w:ascii="Gill Sans" w:hAnsi="Gill Sans" w:cs="Gill Sans"/>
          <w:sz w:val="22"/>
          <w:szCs w:val="22"/>
          <w:lang w:val="en-GB"/>
        </w:rPr>
        <w:t xml:space="preserve"> also contradicted the </w:t>
      </w:r>
      <w:r w:rsidR="009B2249">
        <w:rPr>
          <w:rFonts w:ascii="Gill Sans" w:hAnsi="Gill Sans" w:cs="Gill Sans"/>
          <w:sz w:val="22"/>
          <w:szCs w:val="22"/>
          <w:lang w:val="en-GB"/>
        </w:rPr>
        <w:t>g</w:t>
      </w:r>
      <w:r w:rsidR="00835DF5" w:rsidRPr="00545649">
        <w:rPr>
          <w:rFonts w:ascii="Gill Sans" w:hAnsi="Gill Sans" w:cs="Gill Sans"/>
          <w:sz w:val="22"/>
          <w:szCs w:val="22"/>
          <w:lang w:val="en-GB"/>
        </w:rPr>
        <w:t>overnment’s position. T</w:t>
      </w:r>
      <w:r w:rsidR="00835DF5">
        <w:rPr>
          <w:rFonts w:ascii="Gill Sans" w:hAnsi="Gill Sans" w:cs="Gill Sans"/>
          <w:sz w:val="22"/>
          <w:szCs w:val="22"/>
          <w:lang w:val="en-GB"/>
        </w:rPr>
        <w:t>herefore, the commitment remained</w:t>
      </w:r>
      <w:r w:rsidR="00835DF5" w:rsidRPr="00545649">
        <w:rPr>
          <w:rFonts w:ascii="Gill Sans" w:hAnsi="Gill Sans" w:cs="Gill Sans"/>
          <w:sz w:val="22"/>
          <w:szCs w:val="22"/>
          <w:lang w:val="en-GB"/>
        </w:rPr>
        <w:t xml:space="preserve"> valid</w:t>
      </w:r>
      <w:r w:rsidR="009B2249">
        <w:rPr>
          <w:rFonts w:ascii="Gill Sans" w:hAnsi="Gill Sans" w:cs="Gill Sans"/>
          <w:sz w:val="22"/>
          <w:szCs w:val="22"/>
          <w:lang w:val="en-GB"/>
        </w:rPr>
        <w:t>,</w:t>
      </w:r>
      <w:r w:rsidR="00835DF5" w:rsidRPr="00545649">
        <w:rPr>
          <w:rFonts w:ascii="Gill Sans" w:hAnsi="Gill Sans" w:cs="Gill Sans"/>
          <w:sz w:val="22"/>
          <w:szCs w:val="22"/>
          <w:lang w:val="en-GB"/>
        </w:rPr>
        <w:t xml:space="preserve"> </w:t>
      </w:r>
      <w:r w:rsidR="00F43B39">
        <w:rPr>
          <w:rFonts w:ascii="Gill Sans" w:hAnsi="Gill Sans" w:cs="Gill Sans"/>
          <w:sz w:val="22"/>
          <w:szCs w:val="22"/>
          <w:lang w:val="en-GB"/>
        </w:rPr>
        <w:t>but</w:t>
      </w:r>
      <w:r w:rsidR="00835DF5" w:rsidRPr="00545649">
        <w:rPr>
          <w:rFonts w:ascii="Gill Sans" w:hAnsi="Gill Sans" w:cs="Gill Sans"/>
          <w:sz w:val="22"/>
          <w:szCs w:val="22"/>
          <w:lang w:val="en-GB"/>
        </w:rPr>
        <w:t xml:space="preserve"> ha</w:t>
      </w:r>
      <w:r w:rsidR="00F43B39">
        <w:rPr>
          <w:rFonts w:ascii="Gill Sans" w:hAnsi="Gill Sans" w:cs="Gill Sans"/>
          <w:sz w:val="22"/>
          <w:szCs w:val="22"/>
          <w:lang w:val="en-GB"/>
        </w:rPr>
        <w:t>s</w:t>
      </w:r>
      <w:r w:rsidR="00835DF5" w:rsidRPr="00545649">
        <w:rPr>
          <w:rFonts w:ascii="Gill Sans" w:hAnsi="Gill Sans" w:cs="Gill Sans"/>
          <w:sz w:val="22"/>
          <w:szCs w:val="22"/>
          <w:lang w:val="en-GB"/>
        </w:rPr>
        <w:t xml:space="preserve"> not been implemented.</w:t>
      </w:r>
      <w:r w:rsidR="00835DF5">
        <w:rPr>
          <w:rFonts w:ascii="Gill Sans" w:hAnsi="Gill Sans" w:cs="Gill Sans"/>
          <w:sz w:val="22"/>
          <w:szCs w:val="22"/>
          <w:lang w:val="en-GB"/>
        </w:rPr>
        <w:t xml:space="preserve"> According to the leading civil society expert in this area, </w:t>
      </w:r>
      <w:r w:rsidR="000D183E">
        <w:rPr>
          <w:rFonts w:ascii="Gill Sans" w:hAnsi="Gill Sans" w:cs="Gill Sans"/>
          <w:sz w:val="22"/>
          <w:szCs w:val="22"/>
          <w:lang w:val="en-GB"/>
        </w:rPr>
        <w:t>P</w:t>
      </w:r>
      <w:r w:rsidR="00835DF5">
        <w:rPr>
          <w:rFonts w:ascii="Gill Sans" w:hAnsi="Gill Sans" w:cs="Gill Sans"/>
          <w:sz w:val="22"/>
          <w:szCs w:val="22"/>
          <w:lang w:val="en-GB"/>
        </w:rPr>
        <w:t>arliament should pass a framework law to regulate administrative fees</w:t>
      </w:r>
      <w:r w:rsidR="009B2249">
        <w:rPr>
          <w:rFonts w:ascii="Gill Sans" w:hAnsi="Gill Sans" w:cs="Gill Sans"/>
          <w:sz w:val="22"/>
          <w:szCs w:val="22"/>
          <w:lang w:val="en-GB"/>
        </w:rPr>
        <w:t>,</w:t>
      </w:r>
      <w:r w:rsidR="00835DF5">
        <w:rPr>
          <w:rFonts w:ascii="Gill Sans" w:hAnsi="Gill Sans" w:cs="Gill Sans"/>
          <w:sz w:val="22"/>
          <w:szCs w:val="22"/>
          <w:lang w:val="en-GB"/>
        </w:rPr>
        <w:t xml:space="preserve"> and establish in the law the fees for basic administrative services.</w:t>
      </w:r>
      <w:r w:rsidR="00835DF5">
        <w:rPr>
          <w:rStyle w:val="EndnoteReference"/>
          <w:rFonts w:ascii="Gill Sans" w:hAnsi="Gill Sans" w:cs="Gill Sans"/>
          <w:sz w:val="22"/>
          <w:szCs w:val="22"/>
          <w:lang w:val="en-GB"/>
        </w:rPr>
        <w:endnoteReference w:id="74"/>
      </w:r>
    </w:p>
    <w:p w14:paraId="319AF299" w14:textId="77777777" w:rsidR="0038791B" w:rsidRPr="00FF5C73" w:rsidRDefault="0038791B" w:rsidP="00FF5C73">
      <w:pPr>
        <w:spacing w:after="120"/>
        <w:rPr>
          <w:rFonts w:ascii="Gill Sans" w:hAnsi="Gill Sans" w:cs="Gill Sans"/>
          <w:b/>
          <w:noProof/>
          <w:sz w:val="22"/>
          <w:szCs w:val="22"/>
          <w:lang w:val="en-GB"/>
        </w:rPr>
      </w:pPr>
      <w:r w:rsidRPr="00FF5C73">
        <w:rPr>
          <w:rFonts w:ascii="Gill Sans" w:hAnsi="Gill Sans" w:cs="Gill Sans"/>
          <w:b/>
          <w:noProof/>
          <w:sz w:val="22"/>
          <w:szCs w:val="22"/>
          <w:lang w:val="en-GB"/>
        </w:rPr>
        <w:t>16. Decentralise administrative services</w:t>
      </w:r>
    </w:p>
    <w:p w14:paraId="488D57CB" w14:textId="490C6B32" w:rsidR="0038791B" w:rsidRPr="00FF5C73" w:rsidRDefault="0038791B" w:rsidP="00FF5C73">
      <w:pPr>
        <w:pStyle w:val="Normalrglronly"/>
        <w:rPr>
          <w:b/>
          <w:lang w:val="en-GB"/>
        </w:rPr>
      </w:pPr>
      <w:r w:rsidRPr="00FF5C73">
        <w:rPr>
          <w:b/>
          <w:lang w:val="en-GB"/>
        </w:rPr>
        <w:t xml:space="preserve">Midterm: </w:t>
      </w:r>
      <w:r w:rsidR="00B2462D" w:rsidRPr="000D183E">
        <w:rPr>
          <w:b/>
          <w:lang w:val="en-GB"/>
        </w:rPr>
        <w:t>Substantial</w:t>
      </w:r>
    </w:p>
    <w:p w14:paraId="10E4BB04" w14:textId="7E6FB929" w:rsidR="008F5E4E" w:rsidRPr="00FF5C73" w:rsidRDefault="008F5E4E">
      <w:pPr>
        <w:spacing w:after="120"/>
        <w:rPr>
          <w:rFonts w:ascii="Gill Sans" w:hAnsi="Gill Sans" w:cs="Gill Sans"/>
          <w:noProof/>
          <w:sz w:val="22"/>
          <w:szCs w:val="22"/>
          <w:lang w:val="en-GB"/>
        </w:rPr>
      </w:pPr>
      <w:r w:rsidRPr="00FF5C73">
        <w:rPr>
          <w:rFonts w:ascii="Gill Sans" w:hAnsi="Gill Sans" w:cs="Gill Sans"/>
          <w:noProof/>
          <w:sz w:val="22"/>
          <w:szCs w:val="22"/>
          <w:lang w:val="en-GB"/>
        </w:rPr>
        <w:t xml:space="preserve">The government substantially implemented the commitment by preparing and submitting, directly or through members of </w:t>
      </w:r>
      <w:r w:rsidR="00B81036">
        <w:rPr>
          <w:rFonts w:ascii="Gill Sans" w:hAnsi="Gill Sans" w:cs="Gill Sans"/>
          <w:noProof/>
          <w:sz w:val="22"/>
          <w:szCs w:val="22"/>
          <w:lang w:val="en-GB"/>
        </w:rPr>
        <w:t>P</w:t>
      </w:r>
      <w:r w:rsidRPr="00FF5C73">
        <w:rPr>
          <w:rFonts w:ascii="Gill Sans" w:hAnsi="Gill Sans" w:cs="Gill Sans"/>
          <w:noProof/>
          <w:sz w:val="22"/>
          <w:szCs w:val="22"/>
          <w:lang w:val="en-GB"/>
        </w:rPr>
        <w:t xml:space="preserve">arliament, draft laws to decentralise the following administrative services: state registration of legal entities, individual entrepreneurs, and citizens’ associations; registration of real estate possession rights and their encumbrances; state registration of land plots; entry and issuance of data from the State Land Cadastre; and registration of residence (stay). The government proposed to decentralise </w:t>
      </w:r>
      <w:r w:rsidR="0044065F">
        <w:rPr>
          <w:rFonts w:ascii="Gill Sans" w:hAnsi="Gill Sans" w:cs="Gill Sans"/>
          <w:noProof/>
          <w:sz w:val="22"/>
          <w:szCs w:val="22"/>
          <w:lang w:val="en-GB"/>
        </w:rPr>
        <w:t>the</w:t>
      </w:r>
      <w:r w:rsidRPr="00FF5C73">
        <w:rPr>
          <w:rFonts w:ascii="Gill Sans" w:hAnsi="Gill Sans" w:cs="Gill Sans"/>
          <w:noProof/>
          <w:sz w:val="22"/>
          <w:szCs w:val="22"/>
          <w:lang w:val="en-GB"/>
        </w:rPr>
        <w:t xml:space="preserve"> registration of vehicles and </w:t>
      </w:r>
      <w:r w:rsidR="0044065F">
        <w:rPr>
          <w:rFonts w:ascii="Gill Sans" w:hAnsi="Gill Sans" w:cs="Gill Sans"/>
          <w:noProof/>
          <w:sz w:val="22"/>
          <w:szCs w:val="22"/>
          <w:lang w:val="en-GB"/>
        </w:rPr>
        <w:t xml:space="preserve">the </w:t>
      </w:r>
      <w:r w:rsidRPr="00FF5C73">
        <w:rPr>
          <w:rFonts w:ascii="Gill Sans" w:hAnsi="Gill Sans" w:cs="Gill Sans"/>
          <w:noProof/>
          <w:sz w:val="22"/>
          <w:szCs w:val="22"/>
          <w:lang w:val="en-GB"/>
        </w:rPr>
        <w:t xml:space="preserve">issuing of driver’s licences in 2018. No draft law was prepared to decentralise </w:t>
      </w:r>
      <w:r w:rsidR="0044065F">
        <w:rPr>
          <w:rFonts w:ascii="Gill Sans" w:hAnsi="Gill Sans" w:cs="Gill Sans"/>
          <w:noProof/>
          <w:sz w:val="22"/>
          <w:szCs w:val="22"/>
          <w:lang w:val="en-GB"/>
        </w:rPr>
        <w:t>the</w:t>
      </w:r>
      <w:r w:rsidRPr="00FF5C73">
        <w:rPr>
          <w:rFonts w:ascii="Gill Sans" w:hAnsi="Gill Sans" w:cs="Gill Sans"/>
          <w:noProof/>
          <w:sz w:val="22"/>
          <w:szCs w:val="22"/>
          <w:lang w:val="en-GB"/>
        </w:rPr>
        <w:t xml:space="preserve"> issuing </w:t>
      </w:r>
      <w:r w:rsidR="0044065F">
        <w:rPr>
          <w:rFonts w:ascii="Gill Sans" w:hAnsi="Gill Sans" w:cs="Gill Sans"/>
          <w:noProof/>
          <w:sz w:val="22"/>
          <w:szCs w:val="22"/>
          <w:lang w:val="en-GB"/>
        </w:rPr>
        <w:t xml:space="preserve">of </w:t>
      </w:r>
      <w:r w:rsidRPr="00FF5C73">
        <w:rPr>
          <w:rFonts w:ascii="Gill Sans" w:hAnsi="Gill Sans" w:cs="Gill Sans"/>
          <w:noProof/>
          <w:sz w:val="22"/>
          <w:szCs w:val="22"/>
          <w:lang w:val="en-GB"/>
        </w:rPr>
        <w:t>identity documents, including for travelling abroad, and registration of civil status.</w:t>
      </w:r>
      <w:r w:rsidRPr="00FF5C73">
        <w:rPr>
          <w:rStyle w:val="EndnoteReference"/>
          <w:rFonts w:ascii="Gill Sans" w:hAnsi="Gill Sans" w:cs="Gill Sans"/>
          <w:noProof/>
          <w:sz w:val="22"/>
          <w:szCs w:val="22"/>
          <w:lang w:val="en-GB"/>
        </w:rPr>
        <w:endnoteReference w:id="75"/>
      </w:r>
    </w:p>
    <w:p w14:paraId="32BDCA64" w14:textId="60CD12DD" w:rsidR="008F5E4E" w:rsidRPr="00FF5C73" w:rsidRDefault="008F5E4E" w:rsidP="00E80E32">
      <w:pPr>
        <w:spacing w:after="120"/>
        <w:rPr>
          <w:rFonts w:ascii="Gill Sans" w:hAnsi="Gill Sans" w:cs="Gill Sans"/>
          <w:noProof/>
          <w:sz w:val="22"/>
          <w:szCs w:val="22"/>
          <w:lang w:val="en-GB"/>
        </w:rPr>
      </w:pPr>
      <w:r w:rsidRPr="00FF5C73">
        <w:rPr>
          <w:rFonts w:ascii="Gill Sans" w:hAnsi="Gill Sans" w:cs="Gill Sans"/>
          <w:sz w:val="22"/>
          <w:szCs w:val="22"/>
          <w:lang w:val="en-GB"/>
        </w:rPr>
        <w:t>In July</w:t>
      </w:r>
      <w:r w:rsidR="00FF5C73" w:rsidRPr="00FF5C73">
        <w:rPr>
          <w:rFonts w:ascii="Gill Sans" w:hAnsi="Gill Sans" w:cs="Gill Sans"/>
          <w:sz w:val="22"/>
          <w:szCs w:val="22"/>
          <w:lang w:val="en-GB"/>
        </w:rPr>
        <w:t xml:space="preserve"> 2015</w:t>
      </w:r>
      <w:r w:rsidR="008D22C8">
        <w:rPr>
          <w:rFonts w:ascii="Gill Sans" w:hAnsi="Gill Sans" w:cs="Gill Sans"/>
          <w:sz w:val="22"/>
          <w:szCs w:val="22"/>
          <w:lang w:val="en-GB"/>
        </w:rPr>
        <w:t>,</w:t>
      </w:r>
      <w:r w:rsidR="00FF5C73" w:rsidRPr="00FF5C73">
        <w:rPr>
          <w:rFonts w:ascii="Gill Sans" w:hAnsi="Gill Sans" w:cs="Gill Sans"/>
          <w:sz w:val="22"/>
          <w:szCs w:val="22"/>
          <w:lang w:val="en-GB"/>
        </w:rPr>
        <w:t xml:space="preserve"> </w:t>
      </w:r>
      <w:r w:rsidR="0044065F">
        <w:rPr>
          <w:rFonts w:ascii="Gill Sans" w:hAnsi="Gill Sans" w:cs="Gill Sans"/>
          <w:sz w:val="22"/>
          <w:szCs w:val="22"/>
          <w:lang w:val="en-GB"/>
        </w:rPr>
        <w:t xml:space="preserve">the Ukrainian </w:t>
      </w:r>
      <w:r w:rsidR="00BC1A46">
        <w:rPr>
          <w:rFonts w:ascii="Gill Sans" w:hAnsi="Gill Sans" w:cs="Gill Sans"/>
          <w:sz w:val="22"/>
          <w:szCs w:val="22"/>
          <w:lang w:val="en-GB"/>
        </w:rPr>
        <w:t>P</w:t>
      </w:r>
      <w:r w:rsidR="00FF5C73" w:rsidRPr="00FF5C73">
        <w:rPr>
          <w:rFonts w:ascii="Gill Sans" w:hAnsi="Gill Sans" w:cs="Gill Sans"/>
          <w:sz w:val="22"/>
          <w:szCs w:val="22"/>
          <w:lang w:val="en-GB"/>
        </w:rPr>
        <w:t>arliament adopted several draft laws</w:t>
      </w:r>
      <w:r w:rsidR="00FF5C73" w:rsidRPr="00FF5C73">
        <w:rPr>
          <w:rStyle w:val="EndnoteReference"/>
          <w:rFonts w:ascii="Gill Sans" w:hAnsi="Gill Sans" w:cs="Gill Sans"/>
          <w:noProof/>
          <w:sz w:val="22"/>
          <w:szCs w:val="22"/>
          <w:lang w:val="en-GB"/>
        </w:rPr>
        <w:endnoteReference w:id="76"/>
      </w:r>
      <w:r w:rsidR="00FF5C73" w:rsidRPr="00FF5C73">
        <w:rPr>
          <w:rFonts w:ascii="Gill Sans" w:hAnsi="Gill Sans" w:cs="Gill Sans"/>
          <w:noProof/>
          <w:sz w:val="22"/>
          <w:szCs w:val="22"/>
          <w:lang w:val="en-GB"/>
        </w:rPr>
        <w:t xml:space="preserve"> </w:t>
      </w:r>
      <w:r w:rsidR="000D183E">
        <w:rPr>
          <w:rFonts w:ascii="Gill Sans" w:hAnsi="Gill Sans" w:cs="Gill Sans"/>
          <w:sz w:val="22"/>
          <w:szCs w:val="22"/>
          <w:lang w:val="en-GB"/>
        </w:rPr>
        <w:t>to</w:t>
      </w:r>
      <w:r w:rsidRPr="00FF5C73">
        <w:rPr>
          <w:rFonts w:ascii="Gill Sans" w:hAnsi="Gill Sans" w:cs="Gill Sans"/>
          <w:sz w:val="22"/>
          <w:szCs w:val="22"/>
          <w:lang w:val="en-GB"/>
        </w:rPr>
        <w:t xml:space="preserve"> decentralis</w:t>
      </w:r>
      <w:r w:rsidR="000D183E">
        <w:rPr>
          <w:rFonts w:ascii="Gill Sans" w:hAnsi="Gill Sans" w:cs="Gill Sans"/>
          <w:sz w:val="22"/>
          <w:szCs w:val="22"/>
          <w:lang w:val="en-GB"/>
        </w:rPr>
        <w:t>e</w:t>
      </w:r>
      <w:r w:rsidRPr="00FF5C73">
        <w:rPr>
          <w:rFonts w:ascii="Gill Sans" w:hAnsi="Gill Sans" w:cs="Gill Sans"/>
          <w:sz w:val="22"/>
          <w:szCs w:val="22"/>
          <w:lang w:val="en-GB"/>
        </w:rPr>
        <w:t xml:space="preserve"> </w:t>
      </w:r>
      <w:r w:rsidR="00835DF5">
        <w:rPr>
          <w:rFonts w:ascii="Gill Sans" w:hAnsi="Gill Sans" w:cs="Gill Sans"/>
          <w:sz w:val="22"/>
          <w:szCs w:val="22"/>
          <w:lang w:val="en-GB"/>
        </w:rPr>
        <w:t xml:space="preserve">certain </w:t>
      </w:r>
      <w:r w:rsidRPr="00FF5C73">
        <w:rPr>
          <w:rFonts w:ascii="Gill Sans" w:hAnsi="Gill Sans" w:cs="Gill Sans"/>
          <w:sz w:val="22"/>
          <w:szCs w:val="22"/>
          <w:lang w:val="en-GB"/>
        </w:rPr>
        <w:t xml:space="preserve">services by delegating their provision to </w:t>
      </w:r>
      <w:r w:rsidRPr="00FF5C73">
        <w:rPr>
          <w:rFonts w:ascii="Gill Sans" w:hAnsi="Gill Sans" w:cs="Gill Sans"/>
          <w:noProof/>
          <w:sz w:val="22"/>
          <w:szCs w:val="22"/>
          <w:lang w:val="en-GB"/>
        </w:rPr>
        <w:t xml:space="preserve">local self-government bodies. </w:t>
      </w:r>
      <w:r w:rsidR="000D183E">
        <w:rPr>
          <w:rFonts w:ascii="Gill Sans" w:hAnsi="Gill Sans" w:cs="Gill Sans"/>
          <w:noProof/>
          <w:sz w:val="22"/>
          <w:szCs w:val="22"/>
          <w:lang w:val="en-GB"/>
        </w:rPr>
        <w:t>Regarding</w:t>
      </w:r>
      <w:r w:rsidRPr="00FF5C73">
        <w:rPr>
          <w:rFonts w:ascii="Gill Sans" w:hAnsi="Gill Sans" w:cs="Gill Sans"/>
          <w:noProof/>
          <w:sz w:val="22"/>
          <w:szCs w:val="22"/>
          <w:lang w:val="en-GB"/>
        </w:rPr>
        <w:t xml:space="preserve"> registration of vehicles and issuing of driver’s licenses, the government reported that it submitted </w:t>
      </w:r>
      <w:r w:rsidR="000D183E">
        <w:rPr>
          <w:rFonts w:ascii="Gill Sans" w:hAnsi="Gill Sans" w:cs="Gill Sans"/>
          <w:noProof/>
          <w:sz w:val="22"/>
          <w:szCs w:val="22"/>
          <w:lang w:val="en-GB"/>
        </w:rPr>
        <w:t xml:space="preserve">the </w:t>
      </w:r>
      <w:r w:rsidR="00835DF5">
        <w:rPr>
          <w:rFonts w:ascii="Gill Sans" w:hAnsi="Gill Sans" w:cs="Gill Sans"/>
          <w:noProof/>
          <w:sz w:val="22"/>
          <w:szCs w:val="22"/>
          <w:lang w:val="en-GB"/>
        </w:rPr>
        <w:t xml:space="preserve">relevant draft law </w:t>
      </w:r>
      <w:r w:rsidRPr="00FF5C73">
        <w:rPr>
          <w:rFonts w:ascii="Gill Sans" w:hAnsi="Gill Sans" w:cs="Gill Sans"/>
          <w:noProof/>
          <w:sz w:val="22"/>
          <w:szCs w:val="22"/>
          <w:lang w:val="en-GB"/>
        </w:rPr>
        <w:t>to the parliament.</w:t>
      </w:r>
      <w:r w:rsidRPr="00FF5C73">
        <w:rPr>
          <w:rStyle w:val="EndnoteReference"/>
          <w:rFonts w:ascii="Gill Sans" w:hAnsi="Gill Sans" w:cs="Gill Sans"/>
          <w:noProof/>
          <w:sz w:val="22"/>
          <w:szCs w:val="22"/>
          <w:lang w:val="en-GB"/>
        </w:rPr>
        <w:endnoteReference w:id="77"/>
      </w:r>
      <w:r w:rsidR="00FF5C73" w:rsidRPr="00FF5C73">
        <w:rPr>
          <w:rFonts w:ascii="Gill Sans" w:hAnsi="Gill Sans" w:cs="Gill Sans"/>
          <w:noProof/>
          <w:sz w:val="22"/>
          <w:szCs w:val="22"/>
          <w:lang w:val="en-GB"/>
        </w:rPr>
        <w:t xml:space="preserve"> </w:t>
      </w:r>
    </w:p>
    <w:p w14:paraId="2336920B" w14:textId="059C5CF5" w:rsidR="0038791B" w:rsidRDefault="0038791B" w:rsidP="0038791B">
      <w:pPr>
        <w:pStyle w:val="Normalrglronly"/>
        <w:rPr>
          <w:b/>
          <w:lang w:val="en-GB"/>
        </w:rPr>
      </w:pPr>
      <w:r w:rsidRPr="00662C6C">
        <w:rPr>
          <w:b/>
          <w:lang w:val="en-GB"/>
        </w:rPr>
        <w:t xml:space="preserve">End of term: </w:t>
      </w:r>
      <w:r w:rsidR="00126B16" w:rsidRPr="00FF5C73">
        <w:rPr>
          <w:b/>
          <w:lang w:val="en-GB"/>
        </w:rPr>
        <w:t>Substantial</w:t>
      </w:r>
    </w:p>
    <w:p w14:paraId="33A6E275" w14:textId="4B576D7B" w:rsidR="00FF5C73" w:rsidRDefault="008D22C8" w:rsidP="0009609A">
      <w:pPr>
        <w:pStyle w:val="Normalrglronly"/>
        <w:rPr>
          <w:lang w:val="en-GB"/>
        </w:rPr>
      </w:pPr>
      <w:r>
        <w:rPr>
          <w:lang w:val="en-GB"/>
        </w:rPr>
        <w:t xml:space="preserve">Since the progress report, the </w:t>
      </w:r>
      <w:r w:rsidR="00BC1A46">
        <w:rPr>
          <w:lang w:val="en-GB"/>
        </w:rPr>
        <w:t xml:space="preserve">Ukrainian </w:t>
      </w:r>
      <w:r w:rsidR="000D183E">
        <w:rPr>
          <w:lang w:val="en-GB"/>
        </w:rPr>
        <w:t>P</w:t>
      </w:r>
      <w:r>
        <w:rPr>
          <w:lang w:val="en-GB"/>
        </w:rPr>
        <w:t xml:space="preserve">arliament adopted </w:t>
      </w:r>
      <w:r w:rsidR="008D523C">
        <w:rPr>
          <w:lang w:val="en-GB"/>
        </w:rPr>
        <w:t xml:space="preserve">a number of </w:t>
      </w:r>
      <w:r w:rsidRPr="008D22C8">
        <w:rPr>
          <w:lang w:val="en-GB"/>
        </w:rPr>
        <w:t xml:space="preserve">draft </w:t>
      </w:r>
      <w:r>
        <w:rPr>
          <w:lang w:val="en-GB"/>
        </w:rPr>
        <w:t>laws</w:t>
      </w:r>
      <w:r w:rsidR="008D523C">
        <w:rPr>
          <w:lang w:val="en-GB"/>
        </w:rPr>
        <w:t xml:space="preserve"> mentioned above</w:t>
      </w:r>
      <w:r>
        <w:rPr>
          <w:lang w:val="en-GB"/>
        </w:rPr>
        <w:t>: #2982</w:t>
      </w:r>
      <w:r w:rsidR="00957E7B">
        <w:rPr>
          <w:lang w:val="en-GB"/>
        </w:rPr>
        <w:t xml:space="preserve"> (State Registration of Property Rights)</w:t>
      </w:r>
      <w:r>
        <w:rPr>
          <w:lang w:val="en-GB"/>
        </w:rPr>
        <w:t xml:space="preserve"> and </w:t>
      </w:r>
      <w:r w:rsidR="00EA45F3">
        <w:rPr>
          <w:lang w:val="en-GB"/>
        </w:rPr>
        <w:t>#</w:t>
      </w:r>
      <w:r>
        <w:rPr>
          <w:lang w:val="en-GB"/>
        </w:rPr>
        <w:t>2983</w:t>
      </w:r>
      <w:r w:rsidR="00957E7B">
        <w:rPr>
          <w:lang w:val="en-GB"/>
        </w:rPr>
        <w:t xml:space="preserve"> (State Registration of Legal Persons) w</w:t>
      </w:r>
      <w:r>
        <w:rPr>
          <w:lang w:val="en-GB"/>
        </w:rPr>
        <w:t xml:space="preserve">ere adopted in November 2015 and enacted in December 2015; </w:t>
      </w:r>
      <w:r w:rsidR="00BC1A46">
        <w:rPr>
          <w:lang w:val="en-GB"/>
        </w:rPr>
        <w:t xml:space="preserve">and </w:t>
      </w:r>
      <w:r>
        <w:rPr>
          <w:lang w:val="en-GB"/>
        </w:rPr>
        <w:t xml:space="preserve">#2984 </w:t>
      </w:r>
      <w:r w:rsidR="0009609A">
        <w:rPr>
          <w:lang w:val="en-GB"/>
        </w:rPr>
        <w:lastRenderedPageBreak/>
        <w:t xml:space="preserve">(Delegating Registration Functions from the State Land Cadastre) </w:t>
      </w:r>
      <w:r>
        <w:rPr>
          <w:lang w:val="en-GB"/>
        </w:rPr>
        <w:t>was adopted and enacted in December 2015.</w:t>
      </w:r>
      <w:r w:rsidR="00540836">
        <w:rPr>
          <w:lang w:val="en-GB"/>
        </w:rPr>
        <w:t xml:space="preserve"> Draft law #2567</w:t>
      </w:r>
      <w:r w:rsidR="0009609A">
        <w:rPr>
          <w:lang w:val="en-GB"/>
        </w:rPr>
        <w:t xml:space="preserve"> (Decentralize </w:t>
      </w:r>
      <w:r w:rsidR="007C46F8">
        <w:rPr>
          <w:lang w:val="en-GB"/>
        </w:rPr>
        <w:t xml:space="preserve">Vehicle Registration </w:t>
      </w:r>
      <w:r w:rsidR="0009609A">
        <w:rPr>
          <w:lang w:val="en-GB"/>
        </w:rPr>
        <w:t>Service Centres)</w:t>
      </w:r>
      <w:r w:rsidR="00540836">
        <w:rPr>
          <w:lang w:val="en-GB"/>
        </w:rPr>
        <w:t xml:space="preserve"> was adopted in the first reading in July 2015.</w:t>
      </w:r>
      <w:r w:rsidR="00553F2E">
        <w:rPr>
          <w:lang w:val="en-GB"/>
        </w:rPr>
        <w:t xml:space="preserve"> </w:t>
      </w:r>
      <w:r w:rsidR="000D183E">
        <w:rPr>
          <w:lang w:val="en-GB"/>
        </w:rPr>
        <w:t>Finally, t</w:t>
      </w:r>
      <w:r w:rsidR="00553F2E">
        <w:rPr>
          <w:lang w:val="en-GB"/>
        </w:rPr>
        <w:t>he Ministry of Justice developed a draft law to reform the system of registration of civil status</w:t>
      </w:r>
      <w:r w:rsidR="00D62875">
        <w:rPr>
          <w:lang w:val="en-GB"/>
        </w:rPr>
        <w:t xml:space="preserve"> acts.</w:t>
      </w:r>
    </w:p>
    <w:p w14:paraId="15D11BF4" w14:textId="77777777" w:rsidR="00D6486B" w:rsidRDefault="00D6486B" w:rsidP="0038791B">
      <w:pPr>
        <w:pStyle w:val="Normalrglronly"/>
        <w:rPr>
          <w:lang w:val="en-GB"/>
        </w:rPr>
      </w:pPr>
    </w:p>
    <w:p w14:paraId="122A0F60" w14:textId="77777777" w:rsidR="00D6486B" w:rsidRPr="00126B16" w:rsidRDefault="00D6486B" w:rsidP="0038791B">
      <w:pPr>
        <w:pStyle w:val="Normalrglronly"/>
        <w:rPr>
          <w:lang w:val="en-GB"/>
        </w:rPr>
      </w:pPr>
    </w:p>
    <w:p w14:paraId="7633C658" w14:textId="77777777" w:rsidR="00BA033F" w:rsidRPr="00797D1E" w:rsidRDefault="00BA033F" w:rsidP="006319F4">
      <w:pPr>
        <w:pStyle w:val="Heading3"/>
      </w:pPr>
      <w:r w:rsidRPr="00797D1E">
        <w:t>Did it open government?</w:t>
      </w:r>
    </w:p>
    <w:p w14:paraId="11FBB4B0" w14:textId="77777777" w:rsidR="00DD5EDA" w:rsidRPr="00797D1E" w:rsidRDefault="00DD5EDA" w:rsidP="00797D1E">
      <w:pPr>
        <w:spacing w:after="120"/>
        <w:rPr>
          <w:rFonts w:ascii="Gill Sans" w:hAnsi="Gill Sans" w:cs="Gill Sans"/>
          <w:b/>
          <w:noProof/>
          <w:sz w:val="22"/>
          <w:szCs w:val="22"/>
          <w:lang w:val="en-GB"/>
        </w:rPr>
      </w:pPr>
      <w:r w:rsidRPr="00797D1E">
        <w:rPr>
          <w:rFonts w:ascii="Gill Sans" w:hAnsi="Gill Sans" w:cs="Gill Sans"/>
          <w:b/>
          <w:noProof/>
          <w:sz w:val="22"/>
          <w:szCs w:val="22"/>
          <w:lang w:val="en-GB"/>
        </w:rPr>
        <w:t xml:space="preserve">14. Streamline payment of administrative fees </w:t>
      </w:r>
    </w:p>
    <w:p w14:paraId="7C0B6EA7" w14:textId="77777777" w:rsidR="00D814EC" w:rsidRDefault="00D814EC" w:rsidP="00D814EC">
      <w:pPr>
        <w:pStyle w:val="Normalrglronly"/>
        <w:rPr>
          <w:b/>
          <w:lang w:val="en-GB"/>
        </w:rPr>
      </w:pPr>
      <w:r>
        <w:rPr>
          <w:b/>
          <w:lang w:val="en-GB"/>
        </w:rPr>
        <w:t>Access to Information: Did not change</w:t>
      </w:r>
    </w:p>
    <w:p w14:paraId="5DA0E8A3" w14:textId="77777777" w:rsidR="00D814EC" w:rsidRDefault="00D814EC" w:rsidP="00D814EC">
      <w:pPr>
        <w:pStyle w:val="Normalrglronly"/>
        <w:rPr>
          <w:b/>
          <w:lang w:val="en-GB"/>
        </w:rPr>
      </w:pPr>
      <w:r>
        <w:rPr>
          <w:b/>
          <w:lang w:val="en-GB"/>
        </w:rPr>
        <w:t>Civic Participation: Did not change</w:t>
      </w:r>
    </w:p>
    <w:p w14:paraId="0B6D52BA" w14:textId="6B0BEC5A" w:rsidR="00D814EC" w:rsidRPr="006023C3" w:rsidRDefault="00D814EC" w:rsidP="006023C3">
      <w:pPr>
        <w:pStyle w:val="Normalrglronly"/>
        <w:rPr>
          <w:b/>
          <w:lang w:val="en-US"/>
        </w:rPr>
      </w:pPr>
      <w:r>
        <w:rPr>
          <w:b/>
          <w:lang w:val="en-GB"/>
        </w:rPr>
        <w:t>Public Accountability: Did not change</w:t>
      </w:r>
    </w:p>
    <w:p w14:paraId="41898461" w14:textId="75223C80" w:rsidR="00BA033F" w:rsidRPr="00545649" w:rsidRDefault="00DD5EDA" w:rsidP="00E80E32">
      <w:pPr>
        <w:spacing w:after="120"/>
        <w:rPr>
          <w:rFonts w:ascii="Gill Sans" w:hAnsi="Gill Sans" w:cs="Gill Sans"/>
          <w:sz w:val="22"/>
          <w:szCs w:val="22"/>
          <w:lang w:val="en-GB"/>
        </w:rPr>
      </w:pPr>
      <w:r w:rsidRPr="00797D1E">
        <w:rPr>
          <w:rFonts w:ascii="Gill Sans" w:hAnsi="Gill Sans" w:cs="Gill Sans"/>
          <w:sz w:val="22"/>
          <w:szCs w:val="22"/>
          <w:lang w:val="en-GB"/>
        </w:rPr>
        <w:t xml:space="preserve">The commitment’s relevance to OGP values was unclear. While it represented an important step </w:t>
      </w:r>
      <w:r w:rsidR="000D183E">
        <w:rPr>
          <w:rFonts w:ascii="Gill Sans" w:hAnsi="Gill Sans" w:cs="Gill Sans"/>
          <w:sz w:val="22"/>
          <w:szCs w:val="22"/>
          <w:lang w:val="en-GB"/>
        </w:rPr>
        <w:t>toward</w:t>
      </w:r>
      <w:r w:rsidR="000D183E" w:rsidRPr="00797D1E">
        <w:rPr>
          <w:rFonts w:ascii="Gill Sans" w:hAnsi="Gill Sans" w:cs="Gill Sans"/>
          <w:sz w:val="22"/>
          <w:szCs w:val="22"/>
          <w:lang w:val="en-GB"/>
        </w:rPr>
        <w:t xml:space="preserve"> </w:t>
      </w:r>
      <w:r w:rsidRPr="00797D1E">
        <w:rPr>
          <w:rFonts w:ascii="Gill Sans" w:hAnsi="Gill Sans" w:cs="Gill Sans"/>
          <w:sz w:val="22"/>
          <w:szCs w:val="22"/>
          <w:lang w:val="en-GB"/>
        </w:rPr>
        <w:t xml:space="preserve">ensuring better public service provision, it was not clear how its implementation would lead to improved access to information, better civic participation, or </w:t>
      </w:r>
      <w:r w:rsidR="00BC1A46">
        <w:rPr>
          <w:rFonts w:ascii="Gill Sans" w:hAnsi="Gill Sans" w:cs="Gill Sans"/>
          <w:sz w:val="22"/>
          <w:szCs w:val="22"/>
          <w:lang w:val="en-GB"/>
        </w:rPr>
        <w:t>greater</w:t>
      </w:r>
      <w:r w:rsidR="00BC1A46" w:rsidRPr="00797D1E">
        <w:rPr>
          <w:rFonts w:ascii="Gill Sans" w:hAnsi="Gill Sans" w:cs="Gill Sans"/>
          <w:sz w:val="22"/>
          <w:szCs w:val="22"/>
          <w:lang w:val="en-GB"/>
        </w:rPr>
        <w:t xml:space="preserve"> </w:t>
      </w:r>
      <w:r w:rsidRPr="00797D1E">
        <w:rPr>
          <w:rFonts w:ascii="Gill Sans" w:hAnsi="Gill Sans" w:cs="Gill Sans"/>
          <w:sz w:val="22"/>
          <w:szCs w:val="22"/>
          <w:lang w:val="en-GB"/>
        </w:rPr>
        <w:t>public accountability. The commitment was an incremental step in the right direction</w:t>
      </w:r>
      <w:r w:rsidR="00835DF5">
        <w:rPr>
          <w:rFonts w:ascii="Gill Sans" w:hAnsi="Gill Sans" w:cs="Gill Sans"/>
          <w:sz w:val="22"/>
          <w:szCs w:val="22"/>
          <w:lang w:val="en-GB"/>
        </w:rPr>
        <w:t xml:space="preserve"> </w:t>
      </w:r>
      <w:r w:rsidR="00D632BF">
        <w:rPr>
          <w:rFonts w:ascii="Gill Sans" w:hAnsi="Gill Sans" w:cs="Gill Sans"/>
          <w:sz w:val="22"/>
          <w:szCs w:val="22"/>
          <w:lang w:val="en-GB"/>
        </w:rPr>
        <w:t xml:space="preserve">toward </w:t>
      </w:r>
      <w:r w:rsidR="00835DF5">
        <w:rPr>
          <w:rFonts w:ascii="Gill Sans" w:hAnsi="Gill Sans" w:cs="Gill Sans"/>
          <w:sz w:val="22"/>
          <w:szCs w:val="22"/>
          <w:lang w:val="en-GB"/>
        </w:rPr>
        <w:t>decentralis</w:t>
      </w:r>
      <w:r w:rsidR="00D632BF">
        <w:rPr>
          <w:rFonts w:ascii="Gill Sans" w:hAnsi="Gill Sans" w:cs="Gill Sans"/>
          <w:sz w:val="22"/>
          <w:szCs w:val="22"/>
          <w:lang w:val="en-GB"/>
        </w:rPr>
        <w:t>ing</w:t>
      </w:r>
      <w:r w:rsidR="00835DF5">
        <w:rPr>
          <w:rFonts w:ascii="Gill Sans" w:hAnsi="Gill Sans" w:cs="Gill Sans"/>
          <w:sz w:val="22"/>
          <w:szCs w:val="22"/>
          <w:lang w:val="en-GB"/>
        </w:rPr>
        <w:t xml:space="preserve"> services</w:t>
      </w:r>
      <w:r w:rsidRPr="00797D1E">
        <w:rPr>
          <w:rFonts w:ascii="Gill Sans" w:hAnsi="Gill Sans" w:cs="Gill Sans"/>
          <w:sz w:val="22"/>
          <w:szCs w:val="22"/>
          <w:lang w:val="en-GB"/>
        </w:rPr>
        <w:t xml:space="preserve">, but </w:t>
      </w:r>
      <w:r w:rsidR="00D632BF">
        <w:rPr>
          <w:rFonts w:ascii="Gill Sans" w:hAnsi="Gill Sans" w:cs="Gill Sans"/>
          <w:sz w:val="22"/>
          <w:szCs w:val="22"/>
          <w:lang w:val="en-GB"/>
        </w:rPr>
        <w:t>did</w:t>
      </w:r>
      <w:r w:rsidR="00D632BF" w:rsidRPr="00797D1E">
        <w:rPr>
          <w:rFonts w:ascii="Gill Sans" w:hAnsi="Gill Sans" w:cs="Gill Sans"/>
          <w:sz w:val="22"/>
          <w:szCs w:val="22"/>
          <w:lang w:val="en-GB"/>
        </w:rPr>
        <w:t xml:space="preserve"> </w:t>
      </w:r>
      <w:r w:rsidRPr="00797D1E">
        <w:rPr>
          <w:rFonts w:ascii="Gill Sans" w:hAnsi="Gill Sans" w:cs="Gill Sans"/>
          <w:sz w:val="22"/>
          <w:szCs w:val="22"/>
          <w:lang w:val="en-GB"/>
        </w:rPr>
        <w:t xml:space="preserve">not </w:t>
      </w:r>
      <w:r w:rsidR="00D632BF">
        <w:rPr>
          <w:rFonts w:ascii="Gill Sans" w:hAnsi="Gill Sans" w:cs="Gill Sans"/>
          <w:sz w:val="22"/>
          <w:szCs w:val="22"/>
          <w:lang w:val="en-GB"/>
        </w:rPr>
        <w:t>produce</w:t>
      </w:r>
      <w:r w:rsidR="00D632BF" w:rsidRPr="00797D1E">
        <w:rPr>
          <w:rFonts w:ascii="Gill Sans" w:hAnsi="Gill Sans" w:cs="Gill Sans"/>
          <w:sz w:val="22"/>
          <w:szCs w:val="22"/>
          <w:lang w:val="en-GB"/>
        </w:rPr>
        <w:t xml:space="preserve"> </w:t>
      </w:r>
      <w:r w:rsidRPr="00797D1E">
        <w:rPr>
          <w:rFonts w:ascii="Gill Sans" w:hAnsi="Gill Sans" w:cs="Gill Sans"/>
          <w:sz w:val="22"/>
          <w:szCs w:val="22"/>
          <w:lang w:val="en-GB"/>
        </w:rPr>
        <w:t xml:space="preserve">major changes. </w:t>
      </w:r>
    </w:p>
    <w:p w14:paraId="1A14F806" w14:textId="77777777" w:rsidR="000C1B93" w:rsidRPr="00545649" w:rsidRDefault="000C1B93" w:rsidP="00545649">
      <w:pPr>
        <w:spacing w:after="120"/>
        <w:rPr>
          <w:rFonts w:ascii="Gill Sans" w:hAnsi="Gill Sans" w:cs="Gill Sans"/>
          <w:b/>
          <w:noProof/>
          <w:sz w:val="22"/>
          <w:szCs w:val="22"/>
          <w:lang w:val="en-GB"/>
        </w:rPr>
      </w:pPr>
      <w:r w:rsidRPr="00545649">
        <w:rPr>
          <w:rFonts w:ascii="Gill Sans" w:hAnsi="Gill Sans" w:cs="Gill Sans"/>
          <w:b/>
          <w:noProof/>
          <w:sz w:val="22"/>
          <w:szCs w:val="22"/>
          <w:lang w:val="en-GB"/>
        </w:rPr>
        <w:t>16. Decentralise administrative services</w:t>
      </w:r>
    </w:p>
    <w:p w14:paraId="504127F1" w14:textId="77777777" w:rsidR="00D814EC" w:rsidRDefault="00D814EC" w:rsidP="00D814EC">
      <w:pPr>
        <w:pStyle w:val="Normalrglronly"/>
        <w:rPr>
          <w:b/>
          <w:lang w:val="en-GB"/>
        </w:rPr>
      </w:pPr>
      <w:r>
        <w:rPr>
          <w:b/>
          <w:lang w:val="en-GB"/>
        </w:rPr>
        <w:t>Access to Information: Did not change</w:t>
      </w:r>
    </w:p>
    <w:p w14:paraId="6EA62695" w14:textId="77777777" w:rsidR="00D814EC" w:rsidRDefault="00D814EC" w:rsidP="00D814EC">
      <w:pPr>
        <w:pStyle w:val="Normalrglronly"/>
        <w:rPr>
          <w:b/>
          <w:lang w:val="en-GB"/>
        </w:rPr>
      </w:pPr>
      <w:r>
        <w:rPr>
          <w:b/>
          <w:lang w:val="en-GB"/>
        </w:rPr>
        <w:t>Civic Participation: Did not change</w:t>
      </w:r>
    </w:p>
    <w:p w14:paraId="4F5D7AE9" w14:textId="19AC8B6B" w:rsidR="00D814EC" w:rsidRPr="006023C3" w:rsidRDefault="00D814EC" w:rsidP="006023C3">
      <w:pPr>
        <w:pStyle w:val="Normalrglronly"/>
        <w:rPr>
          <w:b/>
          <w:lang w:val="en-US"/>
        </w:rPr>
      </w:pPr>
      <w:r>
        <w:rPr>
          <w:b/>
          <w:lang w:val="en-GB"/>
        </w:rPr>
        <w:t>Public Accountability: Did not change</w:t>
      </w:r>
    </w:p>
    <w:p w14:paraId="402B0D17" w14:textId="6656E546" w:rsidR="00153171" w:rsidRDefault="00835DF5" w:rsidP="00E80E32">
      <w:pPr>
        <w:spacing w:after="120"/>
        <w:rPr>
          <w:rFonts w:ascii="Gill Sans" w:hAnsi="Gill Sans" w:cs="Gill Sans"/>
          <w:noProof/>
          <w:sz w:val="22"/>
          <w:szCs w:val="22"/>
          <w:lang w:val="en-GB"/>
        </w:rPr>
      </w:pPr>
      <w:r>
        <w:rPr>
          <w:rFonts w:ascii="Gill Sans" w:hAnsi="Gill Sans" w:cs="Gill Sans"/>
          <w:noProof/>
          <w:sz w:val="22"/>
          <w:szCs w:val="22"/>
          <w:lang w:val="en-GB"/>
        </w:rPr>
        <w:t>T</w:t>
      </w:r>
      <w:r w:rsidRPr="000F26C0">
        <w:rPr>
          <w:rFonts w:ascii="Gill Sans" w:hAnsi="Gill Sans" w:cs="Gill Sans"/>
          <w:noProof/>
          <w:sz w:val="22"/>
          <w:szCs w:val="22"/>
          <w:lang w:val="en-GB"/>
        </w:rPr>
        <w:t>his commitment did not result in changes in government practice relevant to the OGP values of access to information, civic participation, or public accountability.</w:t>
      </w:r>
      <w:r>
        <w:t xml:space="preserve"> </w:t>
      </w:r>
      <w:r w:rsidR="003925E5" w:rsidRPr="00545649">
        <w:rPr>
          <w:rFonts w:ascii="Gill Sans" w:hAnsi="Gill Sans" w:cs="Gill Sans"/>
          <w:noProof/>
          <w:sz w:val="22"/>
          <w:szCs w:val="22"/>
          <w:lang w:val="en-GB"/>
        </w:rPr>
        <w:t>Decentralisation of administrative servi</w:t>
      </w:r>
      <w:r w:rsidR="00D632BF">
        <w:rPr>
          <w:rFonts w:ascii="Gill Sans" w:hAnsi="Gill Sans" w:cs="Gill Sans"/>
          <w:noProof/>
          <w:sz w:val="22"/>
          <w:szCs w:val="22"/>
          <w:lang w:val="en-GB"/>
        </w:rPr>
        <w:t>c</w:t>
      </w:r>
      <w:r w:rsidR="003925E5" w:rsidRPr="00545649">
        <w:rPr>
          <w:rFonts w:ascii="Gill Sans" w:hAnsi="Gill Sans" w:cs="Gill Sans"/>
          <w:noProof/>
          <w:sz w:val="22"/>
          <w:szCs w:val="22"/>
          <w:lang w:val="en-GB"/>
        </w:rPr>
        <w:t xml:space="preserve">es </w:t>
      </w:r>
      <w:r w:rsidR="000D183E">
        <w:rPr>
          <w:rFonts w:ascii="Gill Sans" w:hAnsi="Gill Sans" w:cs="Gill Sans"/>
          <w:noProof/>
          <w:sz w:val="22"/>
          <w:szCs w:val="22"/>
          <w:lang w:val="en-GB"/>
        </w:rPr>
        <w:t>is</w:t>
      </w:r>
      <w:r w:rsidR="003925E5" w:rsidRPr="00545649">
        <w:rPr>
          <w:rFonts w:ascii="Gill Sans" w:hAnsi="Gill Sans" w:cs="Gill Sans"/>
          <w:noProof/>
          <w:sz w:val="22"/>
          <w:szCs w:val="22"/>
          <w:lang w:val="en-GB"/>
        </w:rPr>
        <w:t xml:space="preserve"> viewed as important to reduc</w:t>
      </w:r>
      <w:r w:rsidR="00D632BF">
        <w:rPr>
          <w:rFonts w:ascii="Gill Sans" w:hAnsi="Gill Sans" w:cs="Gill Sans"/>
          <w:noProof/>
          <w:sz w:val="22"/>
          <w:szCs w:val="22"/>
          <w:lang w:val="en-GB"/>
        </w:rPr>
        <w:t xml:space="preserve">ing </w:t>
      </w:r>
      <w:r w:rsidR="000D183E">
        <w:rPr>
          <w:rFonts w:ascii="Gill Sans" w:hAnsi="Gill Sans" w:cs="Gill Sans"/>
          <w:noProof/>
          <w:sz w:val="22"/>
          <w:szCs w:val="22"/>
          <w:lang w:val="en-GB"/>
        </w:rPr>
        <w:t>national level</w:t>
      </w:r>
      <w:r w:rsidR="003925E5" w:rsidRPr="00545649">
        <w:rPr>
          <w:rFonts w:ascii="Gill Sans" w:hAnsi="Gill Sans" w:cs="Gill Sans"/>
          <w:noProof/>
          <w:sz w:val="22"/>
          <w:szCs w:val="22"/>
          <w:lang w:val="en-GB"/>
        </w:rPr>
        <w:t xml:space="preserve"> corruption in Ukraine</w:t>
      </w:r>
      <w:r w:rsidR="00D632BF">
        <w:rPr>
          <w:rFonts w:ascii="Gill Sans" w:hAnsi="Gill Sans" w:cs="Gill Sans"/>
          <w:noProof/>
          <w:sz w:val="22"/>
          <w:szCs w:val="22"/>
          <w:lang w:val="en-GB"/>
        </w:rPr>
        <w:t>,</w:t>
      </w:r>
      <w:r w:rsidR="005A5CB1">
        <w:rPr>
          <w:rFonts w:ascii="Gill Sans" w:hAnsi="Gill Sans" w:cs="Gill Sans"/>
          <w:noProof/>
          <w:sz w:val="22"/>
          <w:szCs w:val="22"/>
          <w:lang w:val="en-GB"/>
        </w:rPr>
        <w:t xml:space="preserve"> and improv</w:t>
      </w:r>
      <w:r w:rsidR="00D632BF">
        <w:rPr>
          <w:rFonts w:ascii="Gill Sans" w:hAnsi="Gill Sans" w:cs="Gill Sans"/>
          <w:noProof/>
          <w:sz w:val="22"/>
          <w:szCs w:val="22"/>
          <w:lang w:val="en-GB"/>
        </w:rPr>
        <w:t xml:space="preserve">ing </w:t>
      </w:r>
      <w:r w:rsidR="005A5CB1">
        <w:rPr>
          <w:rFonts w:ascii="Gill Sans" w:hAnsi="Gill Sans" w:cs="Gill Sans"/>
          <w:noProof/>
          <w:sz w:val="22"/>
          <w:szCs w:val="22"/>
          <w:lang w:val="en-GB"/>
        </w:rPr>
        <w:t xml:space="preserve">public accountability, </w:t>
      </w:r>
      <w:r w:rsidR="00D632BF">
        <w:rPr>
          <w:rFonts w:ascii="Gill Sans" w:hAnsi="Gill Sans" w:cs="Gill Sans"/>
          <w:noProof/>
          <w:sz w:val="22"/>
          <w:szCs w:val="22"/>
          <w:lang w:val="en-GB"/>
        </w:rPr>
        <w:t xml:space="preserve">since </w:t>
      </w:r>
      <w:r w:rsidR="005A5CB1">
        <w:rPr>
          <w:rFonts w:ascii="Gill Sans" w:hAnsi="Gill Sans" w:cs="Gill Sans"/>
          <w:noProof/>
          <w:sz w:val="22"/>
          <w:szCs w:val="22"/>
          <w:lang w:val="en-GB"/>
        </w:rPr>
        <w:t xml:space="preserve">local authorities </w:t>
      </w:r>
      <w:r w:rsidR="00D632BF">
        <w:rPr>
          <w:rFonts w:ascii="Gill Sans" w:hAnsi="Gill Sans" w:cs="Gill Sans"/>
          <w:noProof/>
          <w:sz w:val="22"/>
          <w:szCs w:val="22"/>
          <w:lang w:val="en-GB"/>
        </w:rPr>
        <w:t xml:space="preserve">are now </w:t>
      </w:r>
      <w:r w:rsidR="005A5CB1">
        <w:rPr>
          <w:rFonts w:ascii="Gill Sans" w:hAnsi="Gill Sans" w:cs="Gill Sans"/>
          <w:noProof/>
          <w:sz w:val="22"/>
          <w:szCs w:val="22"/>
          <w:lang w:val="en-GB"/>
        </w:rPr>
        <w:t>responsible for the quality of service provision</w:t>
      </w:r>
      <w:r w:rsidR="003925E5" w:rsidRPr="00545649">
        <w:rPr>
          <w:rFonts w:ascii="Gill Sans" w:hAnsi="Gill Sans" w:cs="Gill Sans"/>
          <w:noProof/>
          <w:sz w:val="22"/>
          <w:szCs w:val="22"/>
          <w:lang w:val="en-GB"/>
        </w:rPr>
        <w:t>. Since 2014, Ukrainian authorities have implemented a number of reforms to de</w:t>
      </w:r>
      <w:r w:rsidR="00553F2E" w:rsidRPr="00545649">
        <w:rPr>
          <w:rFonts w:ascii="Gill Sans" w:hAnsi="Gill Sans" w:cs="Gill Sans"/>
          <w:noProof/>
          <w:sz w:val="22"/>
          <w:szCs w:val="22"/>
          <w:lang w:val="en-GB"/>
        </w:rPr>
        <w:t xml:space="preserve">volve powers and responsibilities to the local level. </w:t>
      </w:r>
      <w:r w:rsidR="00D62875" w:rsidRPr="00545649">
        <w:rPr>
          <w:rFonts w:ascii="Gill Sans" w:hAnsi="Gill Sans" w:cs="Gill Sans"/>
          <w:noProof/>
          <w:sz w:val="22"/>
          <w:szCs w:val="22"/>
          <w:lang w:val="en-GB"/>
        </w:rPr>
        <w:t xml:space="preserve">In line with the commitment, </w:t>
      </w:r>
      <w:r w:rsidR="004A05A0">
        <w:rPr>
          <w:rFonts w:ascii="Gill Sans" w:hAnsi="Gill Sans" w:cs="Gill Sans"/>
          <w:noProof/>
          <w:sz w:val="22"/>
          <w:szCs w:val="22"/>
          <w:lang w:val="en-GB"/>
        </w:rPr>
        <w:t>laws were passed to decentralise</w:t>
      </w:r>
      <w:r w:rsidR="00D62875" w:rsidRPr="00545649">
        <w:rPr>
          <w:rFonts w:ascii="Gill Sans" w:hAnsi="Gill Sans" w:cs="Gill Sans"/>
          <w:noProof/>
          <w:sz w:val="22"/>
          <w:szCs w:val="22"/>
          <w:lang w:val="en-GB"/>
        </w:rPr>
        <w:t xml:space="preserve"> the following services: state registration of legal entities, individual entrepreneurs, and citizens’ associations; registration of real estate possession rights and their encumbrances; entry and issuance of data from the State Land Cadastre; </w:t>
      </w:r>
      <w:r w:rsidR="004A05A0">
        <w:rPr>
          <w:rFonts w:ascii="Gill Sans" w:hAnsi="Gill Sans" w:cs="Gill Sans"/>
          <w:noProof/>
          <w:sz w:val="22"/>
          <w:szCs w:val="22"/>
          <w:lang w:val="en-GB"/>
        </w:rPr>
        <w:t xml:space="preserve">issuing of ID documents; </w:t>
      </w:r>
      <w:r w:rsidR="004A05A0" w:rsidRPr="00545649">
        <w:rPr>
          <w:rFonts w:ascii="Gill Sans" w:hAnsi="Gill Sans" w:cs="Gill Sans"/>
          <w:noProof/>
          <w:sz w:val="22"/>
          <w:szCs w:val="22"/>
          <w:lang w:val="en-GB"/>
        </w:rPr>
        <w:t>state registration of land plots;</w:t>
      </w:r>
      <w:r w:rsidR="004A05A0">
        <w:rPr>
          <w:rFonts w:ascii="Gill Sans" w:hAnsi="Gill Sans" w:cs="Gill Sans"/>
          <w:noProof/>
          <w:sz w:val="22"/>
          <w:szCs w:val="22"/>
          <w:lang w:val="en-GB"/>
        </w:rPr>
        <w:t xml:space="preserve"> </w:t>
      </w:r>
      <w:r w:rsidR="00D632BF">
        <w:rPr>
          <w:rFonts w:ascii="Gill Sans" w:hAnsi="Gill Sans" w:cs="Gill Sans"/>
          <w:noProof/>
          <w:sz w:val="22"/>
          <w:szCs w:val="22"/>
          <w:lang w:val="en-GB"/>
        </w:rPr>
        <w:t xml:space="preserve">and </w:t>
      </w:r>
      <w:r w:rsidR="00D62875" w:rsidRPr="00545649">
        <w:rPr>
          <w:rFonts w:ascii="Gill Sans" w:hAnsi="Gill Sans" w:cs="Gill Sans"/>
          <w:noProof/>
          <w:sz w:val="22"/>
          <w:szCs w:val="22"/>
          <w:lang w:val="en-GB"/>
        </w:rPr>
        <w:t xml:space="preserve">registration of residence (stay). </w:t>
      </w:r>
      <w:r w:rsidR="004A05A0">
        <w:rPr>
          <w:rFonts w:ascii="Gill Sans" w:hAnsi="Gill Sans" w:cs="Gill Sans"/>
          <w:noProof/>
          <w:sz w:val="22"/>
          <w:szCs w:val="22"/>
          <w:lang w:val="en-GB"/>
        </w:rPr>
        <w:t>However, not all of the new legal provision</w:t>
      </w:r>
      <w:r w:rsidR="00D632BF">
        <w:rPr>
          <w:rFonts w:ascii="Gill Sans" w:hAnsi="Gill Sans" w:cs="Gill Sans"/>
          <w:noProof/>
          <w:sz w:val="22"/>
          <w:szCs w:val="22"/>
          <w:lang w:val="en-GB"/>
        </w:rPr>
        <w:t>s</w:t>
      </w:r>
      <w:r w:rsidR="004A05A0">
        <w:rPr>
          <w:rFonts w:ascii="Gill Sans" w:hAnsi="Gill Sans" w:cs="Gill Sans"/>
          <w:noProof/>
          <w:sz w:val="22"/>
          <w:szCs w:val="22"/>
          <w:lang w:val="en-GB"/>
        </w:rPr>
        <w:t xml:space="preserve"> have been implemented. According to the civil society expert, for various technical and logistical reasons</w:t>
      </w:r>
      <w:r w:rsidR="00D632BF">
        <w:rPr>
          <w:rFonts w:ascii="Gill Sans" w:hAnsi="Gill Sans" w:cs="Gill Sans"/>
          <w:noProof/>
          <w:sz w:val="22"/>
          <w:szCs w:val="22"/>
          <w:lang w:val="en-GB"/>
        </w:rPr>
        <w:t>,</w:t>
      </w:r>
      <w:r w:rsidR="004A05A0">
        <w:rPr>
          <w:rFonts w:ascii="Gill Sans" w:hAnsi="Gill Sans" w:cs="Gill Sans"/>
          <w:noProof/>
          <w:sz w:val="22"/>
          <w:szCs w:val="22"/>
          <w:lang w:val="en-GB"/>
        </w:rPr>
        <w:t xml:space="preserve"> there is effectively no decentralisation of the following services: issuing of IDs, including passports to travel abroad (local self-government bodies and </w:t>
      </w:r>
      <w:r w:rsidR="004A05A0" w:rsidRPr="00545649">
        <w:rPr>
          <w:rFonts w:ascii="Gill Sans" w:hAnsi="Gill Sans" w:cs="Gill Sans"/>
          <w:noProof/>
          <w:sz w:val="22"/>
          <w:szCs w:val="22"/>
          <w:lang w:val="en-GB"/>
        </w:rPr>
        <w:t xml:space="preserve">Administrative Service </w:t>
      </w:r>
      <w:r w:rsidR="004A05A0">
        <w:rPr>
          <w:rFonts w:ascii="Gill Sans" w:hAnsi="Gill Sans" w:cs="Gill Sans"/>
          <w:noProof/>
          <w:sz w:val="22"/>
          <w:szCs w:val="22"/>
          <w:lang w:val="en-GB"/>
        </w:rPr>
        <w:t xml:space="preserve">Provision </w:t>
      </w:r>
      <w:r w:rsidR="004A05A0" w:rsidRPr="00545649">
        <w:rPr>
          <w:rFonts w:ascii="Gill Sans" w:hAnsi="Gill Sans" w:cs="Gill Sans"/>
          <w:noProof/>
          <w:sz w:val="22"/>
          <w:szCs w:val="22"/>
          <w:lang w:val="en-GB"/>
        </w:rPr>
        <w:t>Centres</w:t>
      </w:r>
      <w:r w:rsidR="004A05A0">
        <w:rPr>
          <w:rFonts w:ascii="Gill Sans" w:hAnsi="Gill Sans" w:cs="Gill Sans"/>
          <w:noProof/>
          <w:sz w:val="22"/>
          <w:szCs w:val="22"/>
          <w:lang w:val="en-GB"/>
        </w:rPr>
        <w:t xml:space="preserve"> have the right to install relevant equipment, but </w:t>
      </w:r>
      <w:r w:rsidR="000D183E">
        <w:rPr>
          <w:rFonts w:ascii="Gill Sans" w:hAnsi="Gill Sans" w:cs="Gill Sans"/>
          <w:noProof/>
          <w:sz w:val="22"/>
          <w:szCs w:val="22"/>
          <w:lang w:val="en-GB"/>
        </w:rPr>
        <w:t xml:space="preserve">this </w:t>
      </w:r>
      <w:r w:rsidR="004A05A0">
        <w:rPr>
          <w:rFonts w:ascii="Gill Sans" w:hAnsi="Gill Sans" w:cs="Gill Sans"/>
          <w:noProof/>
          <w:sz w:val="22"/>
          <w:szCs w:val="22"/>
          <w:lang w:val="en-GB"/>
        </w:rPr>
        <w:t xml:space="preserve">has been done only in few cities </w:t>
      </w:r>
      <w:r w:rsidR="00D632BF">
        <w:rPr>
          <w:rFonts w:ascii="Gill Sans" w:hAnsi="Gill Sans" w:cs="Gill Sans"/>
          <w:noProof/>
          <w:sz w:val="22"/>
          <w:szCs w:val="22"/>
          <w:lang w:val="en-GB"/>
        </w:rPr>
        <w:t>across</w:t>
      </w:r>
      <w:r w:rsidR="004A05A0">
        <w:rPr>
          <w:rFonts w:ascii="Gill Sans" w:hAnsi="Gill Sans" w:cs="Gill Sans"/>
          <w:noProof/>
          <w:sz w:val="22"/>
          <w:szCs w:val="22"/>
          <w:lang w:val="en-GB"/>
        </w:rPr>
        <w:t xml:space="preserve"> Ukraine); </w:t>
      </w:r>
      <w:r w:rsidR="004A05A0" w:rsidRPr="00545649">
        <w:rPr>
          <w:rFonts w:ascii="Gill Sans" w:hAnsi="Gill Sans" w:cs="Gill Sans"/>
          <w:noProof/>
          <w:sz w:val="22"/>
          <w:szCs w:val="22"/>
          <w:lang w:val="en-GB"/>
        </w:rPr>
        <w:t>state registration of land plots</w:t>
      </w:r>
      <w:r w:rsidR="004A05A0">
        <w:rPr>
          <w:rFonts w:ascii="Gill Sans" w:hAnsi="Gill Sans" w:cs="Gill Sans"/>
          <w:noProof/>
          <w:sz w:val="22"/>
          <w:szCs w:val="22"/>
          <w:lang w:val="en-GB"/>
        </w:rPr>
        <w:t xml:space="preserve">; </w:t>
      </w:r>
      <w:r w:rsidR="00D632BF">
        <w:rPr>
          <w:rFonts w:ascii="Gill Sans" w:hAnsi="Gill Sans" w:cs="Gill Sans"/>
          <w:noProof/>
          <w:sz w:val="22"/>
          <w:szCs w:val="22"/>
          <w:lang w:val="en-GB"/>
        </w:rPr>
        <w:t xml:space="preserve">and </w:t>
      </w:r>
      <w:r w:rsidR="004A05A0" w:rsidRPr="00545649">
        <w:rPr>
          <w:rFonts w:ascii="Gill Sans" w:hAnsi="Gill Sans" w:cs="Gill Sans"/>
          <w:noProof/>
          <w:sz w:val="22"/>
          <w:szCs w:val="22"/>
          <w:lang w:val="en-GB"/>
        </w:rPr>
        <w:t>entry and issuance of data from the State Land Cadastre</w:t>
      </w:r>
      <w:r w:rsidR="004A05A0">
        <w:rPr>
          <w:rFonts w:ascii="Gill Sans" w:hAnsi="Gill Sans" w:cs="Gill Sans"/>
          <w:noProof/>
          <w:sz w:val="22"/>
          <w:szCs w:val="22"/>
          <w:lang w:val="en-GB"/>
        </w:rPr>
        <w:t>.</w:t>
      </w:r>
      <w:r>
        <w:rPr>
          <w:rStyle w:val="EndnoteReference"/>
          <w:rFonts w:ascii="Gill Sans" w:hAnsi="Gill Sans" w:cs="Gill Sans"/>
          <w:noProof/>
          <w:sz w:val="22"/>
          <w:szCs w:val="22"/>
          <w:lang w:val="en-GB"/>
        </w:rPr>
        <w:endnoteReference w:id="78"/>
      </w:r>
      <w:r w:rsidR="004A05A0">
        <w:rPr>
          <w:rFonts w:ascii="Gill Sans" w:hAnsi="Gill Sans" w:cs="Gill Sans"/>
          <w:noProof/>
          <w:sz w:val="22"/>
          <w:szCs w:val="22"/>
          <w:lang w:val="en-GB"/>
        </w:rPr>
        <w:t xml:space="preserve"> </w:t>
      </w:r>
    </w:p>
    <w:p w14:paraId="53A8605E" w14:textId="77777777" w:rsidR="00BA033F" w:rsidRPr="00797D1E" w:rsidRDefault="00BA033F" w:rsidP="006319F4">
      <w:pPr>
        <w:pStyle w:val="Heading3"/>
      </w:pPr>
      <w:r w:rsidRPr="00797D1E">
        <w:t>Carried forward?</w:t>
      </w:r>
    </w:p>
    <w:p w14:paraId="41923319" w14:textId="6D7E2215" w:rsidR="00342258" w:rsidRDefault="0012769B" w:rsidP="00E80E32">
      <w:pPr>
        <w:spacing w:after="120"/>
        <w:rPr>
          <w:rFonts w:ascii="Gill Sans" w:hAnsi="Gill Sans" w:cs="Gill Sans"/>
          <w:noProof/>
          <w:sz w:val="22"/>
          <w:szCs w:val="22"/>
          <w:lang w:val="en-GB"/>
        </w:rPr>
      </w:pPr>
      <w:r>
        <w:rPr>
          <w:rFonts w:ascii="Gill Sans" w:hAnsi="Gill Sans" w:cs="Gill Sans"/>
          <w:noProof/>
          <w:sz w:val="22"/>
          <w:szCs w:val="22"/>
          <w:lang w:val="en-GB"/>
        </w:rPr>
        <w:t>C</w:t>
      </w:r>
      <w:r w:rsidR="00BA033F" w:rsidRPr="00797D1E">
        <w:rPr>
          <w:rFonts w:ascii="Gill Sans" w:hAnsi="Gill Sans" w:cs="Gill Sans"/>
          <w:noProof/>
          <w:sz w:val="22"/>
          <w:szCs w:val="22"/>
          <w:lang w:val="en-GB"/>
        </w:rPr>
        <w:t xml:space="preserve">ommitment </w:t>
      </w:r>
      <w:r>
        <w:rPr>
          <w:rFonts w:ascii="Gill Sans" w:hAnsi="Gill Sans" w:cs="Gill Sans"/>
          <w:noProof/>
          <w:sz w:val="22"/>
          <w:szCs w:val="22"/>
          <w:lang w:val="en-GB"/>
        </w:rPr>
        <w:t>14</w:t>
      </w:r>
      <w:r w:rsidR="00D632BF">
        <w:rPr>
          <w:rFonts w:ascii="Gill Sans" w:hAnsi="Gill Sans" w:cs="Gill Sans"/>
          <w:noProof/>
          <w:sz w:val="22"/>
          <w:szCs w:val="22"/>
          <w:lang w:val="en-GB"/>
        </w:rPr>
        <w:t>,</w:t>
      </w:r>
      <w:r>
        <w:rPr>
          <w:rFonts w:ascii="Gill Sans" w:hAnsi="Gill Sans" w:cs="Gill Sans"/>
          <w:noProof/>
          <w:sz w:val="22"/>
          <w:szCs w:val="22"/>
          <w:lang w:val="en-GB"/>
        </w:rPr>
        <w:t xml:space="preserve"> to streamline payment of administrative fees</w:t>
      </w:r>
      <w:r w:rsidR="00D632BF">
        <w:rPr>
          <w:rFonts w:ascii="Gill Sans" w:hAnsi="Gill Sans" w:cs="Gill Sans"/>
          <w:noProof/>
          <w:sz w:val="22"/>
          <w:szCs w:val="22"/>
          <w:lang w:val="en-GB"/>
        </w:rPr>
        <w:t>,</w:t>
      </w:r>
      <w:r>
        <w:rPr>
          <w:rFonts w:ascii="Gill Sans" w:hAnsi="Gill Sans" w:cs="Gill Sans"/>
          <w:noProof/>
          <w:sz w:val="22"/>
          <w:szCs w:val="22"/>
          <w:lang w:val="en-GB"/>
        </w:rPr>
        <w:t xml:space="preserve"> </w:t>
      </w:r>
      <w:r w:rsidR="00BA033F" w:rsidRPr="00797D1E">
        <w:rPr>
          <w:rFonts w:ascii="Gill Sans" w:hAnsi="Gill Sans" w:cs="Gill Sans"/>
          <w:noProof/>
          <w:sz w:val="22"/>
          <w:szCs w:val="22"/>
          <w:lang w:val="en-GB"/>
        </w:rPr>
        <w:t>was not carried</w:t>
      </w:r>
      <w:r w:rsidR="00BA033F" w:rsidRPr="00161CF6">
        <w:rPr>
          <w:rFonts w:ascii="Gill Sans" w:hAnsi="Gill Sans" w:cs="Gill Sans"/>
          <w:noProof/>
          <w:sz w:val="22"/>
          <w:szCs w:val="22"/>
          <w:lang w:val="en-GB"/>
        </w:rPr>
        <w:t xml:space="preserve"> over to the new action plan. </w:t>
      </w:r>
      <w:r>
        <w:rPr>
          <w:rFonts w:ascii="Gill Sans" w:hAnsi="Gill Sans" w:cs="Gill Sans"/>
          <w:noProof/>
          <w:sz w:val="22"/>
          <w:szCs w:val="22"/>
          <w:lang w:val="en-GB"/>
        </w:rPr>
        <w:t>Commitment 16</w:t>
      </w:r>
      <w:r w:rsidR="00D632BF">
        <w:rPr>
          <w:rFonts w:ascii="Gill Sans" w:hAnsi="Gill Sans" w:cs="Gill Sans"/>
          <w:noProof/>
          <w:sz w:val="22"/>
          <w:szCs w:val="22"/>
          <w:lang w:val="en-GB"/>
        </w:rPr>
        <w:t>,</w:t>
      </w:r>
      <w:r>
        <w:rPr>
          <w:rFonts w:ascii="Gill Sans" w:hAnsi="Gill Sans" w:cs="Gill Sans"/>
          <w:noProof/>
          <w:sz w:val="22"/>
          <w:szCs w:val="22"/>
          <w:lang w:val="en-GB"/>
        </w:rPr>
        <w:t xml:space="preserve"> to decentralise administrative services</w:t>
      </w:r>
      <w:r w:rsidR="00D632BF">
        <w:rPr>
          <w:rFonts w:ascii="Gill Sans" w:hAnsi="Gill Sans" w:cs="Gill Sans"/>
          <w:noProof/>
          <w:sz w:val="22"/>
          <w:szCs w:val="22"/>
          <w:lang w:val="en-GB"/>
        </w:rPr>
        <w:t>,</w:t>
      </w:r>
      <w:r>
        <w:rPr>
          <w:rFonts w:ascii="Gill Sans" w:hAnsi="Gill Sans" w:cs="Gill Sans"/>
          <w:noProof/>
          <w:sz w:val="22"/>
          <w:szCs w:val="22"/>
          <w:lang w:val="en-GB"/>
        </w:rPr>
        <w:t xml:space="preserve"> </w:t>
      </w:r>
      <w:r w:rsidR="000D2041">
        <w:rPr>
          <w:rFonts w:ascii="Gill Sans" w:hAnsi="Gill Sans" w:cs="Gill Sans"/>
          <w:noProof/>
          <w:sz w:val="22"/>
          <w:szCs w:val="22"/>
          <w:lang w:val="en-GB"/>
        </w:rPr>
        <w:t xml:space="preserve">was carried </w:t>
      </w:r>
      <w:r w:rsidR="00D632BF">
        <w:rPr>
          <w:rFonts w:ascii="Gill Sans" w:hAnsi="Gill Sans" w:cs="Gill Sans"/>
          <w:noProof/>
          <w:sz w:val="22"/>
          <w:szCs w:val="22"/>
          <w:lang w:val="en-GB"/>
        </w:rPr>
        <w:t>forward</w:t>
      </w:r>
      <w:r w:rsidR="000D183E">
        <w:rPr>
          <w:rFonts w:ascii="Gill Sans" w:hAnsi="Gill Sans" w:cs="Gill Sans"/>
          <w:noProof/>
          <w:sz w:val="22"/>
          <w:szCs w:val="22"/>
          <w:lang w:val="en-GB"/>
        </w:rPr>
        <w:t xml:space="preserve"> partially</w:t>
      </w:r>
      <w:r w:rsidR="000D2041">
        <w:rPr>
          <w:rFonts w:ascii="Gill Sans" w:hAnsi="Gill Sans" w:cs="Gill Sans"/>
          <w:noProof/>
          <w:sz w:val="22"/>
          <w:szCs w:val="22"/>
          <w:lang w:val="en-GB"/>
        </w:rPr>
        <w:t xml:space="preserve">. </w:t>
      </w:r>
      <w:r w:rsidR="00BE016B">
        <w:rPr>
          <w:rFonts w:ascii="Gill Sans" w:hAnsi="Gill Sans" w:cs="Gill Sans"/>
          <w:noProof/>
          <w:sz w:val="22"/>
          <w:szCs w:val="22"/>
          <w:lang w:val="en-GB"/>
        </w:rPr>
        <w:t>The new commitment</w:t>
      </w:r>
      <w:r w:rsidR="008A12DB">
        <w:rPr>
          <w:rFonts w:ascii="Gill Sans" w:hAnsi="Gill Sans" w:cs="Gill Sans"/>
          <w:noProof/>
          <w:sz w:val="22"/>
          <w:szCs w:val="22"/>
          <w:lang w:val="en-GB"/>
        </w:rPr>
        <w:t xml:space="preserve"> provides measures to delegate to local self-government bodies basic administrative services and/or their provision through Administrative Services Provision Centres</w:t>
      </w:r>
      <w:r w:rsidR="00A44CB4">
        <w:rPr>
          <w:rFonts w:ascii="Gill Sans" w:hAnsi="Gill Sans" w:cs="Gill Sans"/>
          <w:noProof/>
          <w:sz w:val="22"/>
          <w:szCs w:val="22"/>
          <w:lang w:val="en-GB"/>
        </w:rPr>
        <w:t>. This</w:t>
      </w:r>
      <w:r w:rsidR="008A12DB">
        <w:rPr>
          <w:rFonts w:ascii="Gill Sans" w:hAnsi="Gill Sans" w:cs="Gill Sans"/>
          <w:noProof/>
          <w:sz w:val="22"/>
          <w:szCs w:val="22"/>
          <w:lang w:val="en-GB"/>
        </w:rPr>
        <w:t xml:space="preserve"> regard</w:t>
      </w:r>
      <w:r w:rsidR="00A44CB4">
        <w:rPr>
          <w:rFonts w:ascii="Gill Sans" w:hAnsi="Gill Sans" w:cs="Gill Sans"/>
          <w:noProof/>
          <w:sz w:val="22"/>
          <w:szCs w:val="22"/>
          <w:lang w:val="en-GB"/>
        </w:rPr>
        <w:t>s</w:t>
      </w:r>
      <w:r w:rsidR="008A12DB">
        <w:rPr>
          <w:rFonts w:ascii="Gill Sans" w:hAnsi="Gill Sans" w:cs="Gill Sans"/>
          <w:noProof/>
          <w:sz w:val="22"/>
          <w:szCs w:val="22"/>
          <w:lang w:val="en-GB"/>
        </w:rPr>
        <w:t xml:space="preserve"> the following services: issuing of national passport</w:t>
      </w:r>
      <w:r w:rsidR="00BE016B">
        <w:rPr>
          <w:rFonts w:ascii="Gill Sans" w:hAnsi="Gill Sans" w:cs="Gill Sans"/>
          <w:noProof/>
          <w:sz w:val="22"/>
          <w:szCs w:val="22"/>
          <w:lang w:val="en-GB"/>
        </w:rPr>
        <w:t>s</w:t>
      </w:r>
      <w:r w:rsidR="008A12DB">
        <w:rPr>
          <w:rFonts w:ascii="Gill Sans" w:hAnsi="Gill Sans" w:cs="Gill Sans"/>
          <w:noProof/>
          <w:sz w:val="22"/>
          <w:szCs w:val="22"/>
          <w:lang w:val="en-GB"/>
        </w:rPr>
        <w:t xml:space="preserve"> and passport</w:t>
      </w:r>
      <w:r w:rsidR="00BE016B">
        <w:rPr>
          <w:rFonts w:ascii="Gill Sans" w:hAnsi="Gill Sans" w:cs="Gill Sans"/>
          <w:noProof/>
          <w:sz w:val="22"/>
          <w:szCs w:val="22"/>
          <w:lang w:val="en-GB"/>
        </w:rPr>
        <w:t>s</w:t>
      </w:r>
      <w:r w:rsidR="008A12DB">
        <w:rPr>
          <w:rFonts w:ascii="Gill Sans" w:hAnsi="Gill Sans" w:cs="Gill Sans"/>
          <w:noProof/>
          <w:sz w:val="22"/>
          <w:szCs w:val="22"/>
          <w:lang w:val="en-GB"/>
        </w:rPr>
        <w:t xml:space="preserve"> for travelling abroad, state registration of land plots, </w:t>
      </w:r>
      <w:r w:rsidR="008A12DB" w:rsidRPr="00FF5C73">
        <w:rPr>
          <w:rFonts w:ascii="Gill Sans" w:hAnsi="Gill Sans" w:cs="Gill Sans"/>
          <w:noProof/>
          <w:sz w:val="22"/>
          <w:szCs w:val="22"/>
          <w:lang w:val="en-GB"/>
        </w:rPr>
        <w:t xml:space="preserve">entry and issuance of data from the State Land </w:t>
      </w:r>
      <w:r w:rsidR="008A12DB" w:rsidRPr="00FF5C73">
        <w:rPr>
          <w:rFonts w:ascii="Gill Sans" w:hAnsi="Gill Sans" w:cs="Gill Sans"/>
          <w:noProof/>
          <w:sz w:val="22"/>
          <w:szCs w:val="22"/>
          <w:lang w:val="en-GB"/>
        </w:rPr>
        <w:lastRenderedPageBreak/>
        <w:t>Cadastre</w:t>
      </w:r>
      <w:r w:rsidR="008A12DB">
        <w:rPr>
          <w:rFonts w:ascii="Gill Sans" w:hAnsi="Gill Sans" w:cs="Gill Sans"/>
          <w:noProof/>
          <w:sz w:val="22"/>
          <w:szCs w:val="22"/>
          <w:lang w:val="en-GB"/>
        </w:rPr>
        <w:t xml:space="preserve">, </w:t>
      </w:r>
      <w:r w:rsidR="00D632BF">
        <w:rPr>
          <w:rFonts w:ascii="Gill Sans" w:hAnsi="Gill Sans" w:cs="Gill Sans"/>
          <w:noProof/>
          <w:sz w:val="22"/>
          <w:szCs w:val="22"/>
          <w:lang w:val="en-GB"/>
        </w:rPr>
        <w:t xml:space="preserve">and </w:t>
      </w:r>
      <w:r w:rsidR="008A12DB">
        <w:rPr>
          <w:rFonts w:ascii="Gill Sans" w:hAnsi="Gill Sans" w:cs="Gill Sans"/>
          <w:noProof/>
          <w:sz w:val="22"/>
          <w:szCs w:val="22"/>
          <w:lang w:val="en-GB"/>
        </w:rPr>
        <w:t xml:space="preserve">state registration of civil status acts. The new action plan also </w:t>
      </w:r>
      <w:r w:rsidR="00A44CB4">
        <w:rPr>
          <w:rFonts w:ascii="Gill Sans" w:hAnsi="Gill Sans" w:cs="Gill Sans"/>
          <w:noProof/>
          <w:sz w:val="22"/>
          <w:szCs w:val="22"/>
          <w:lang w:val="en-GB"/>
        </w:rPr>
        <w:t>seeks to</w:t>
      </w:r>
      <w:r w:rsidR="008A12DB">
        <w:rPr>
          <w:rFonts w:ascii="Gill Sans" w:hAnsi="Gill Sans" w:cs="Gill Sans"/>
          <w:noProof/>
          <w:sz w:val="22"/>
          <w:szCs w:val="22"/>
          <w:lang w:val="en-GB"/>
        </w:rPr>
        <w:t xml:space="preserve"> creat</w:t>
      </w:r>
      <w:r w:rsidR="00A44CB4">
        <w:rPr>
          <w:rFonts w:ascii="Gill Sans" w:hAnsi="Gill Sans" w:cs="Gill Sans"/>
          <w:noProof/>
          <w:sz w:val="22"/>
          <w:szCs w:val="22"/>
          <w:lang w:val="en-GB"/>
        </w:rPr>
        <w:t>e</w:t>
      </w:r>
      <w:r w:rsidR="008A12DB">
        <w:rPr>
          <w:rFonts w:ascii="Gill Sans" w:hAnsi="Gill Sans" w:cs="Gill Sans"/>
          <w:noProof/>
          <w:sz w:val="22"/>
          <w:szCs w:val="22"/>
          <w:lang w:val="en-GB"/>
        </w:rPr>
        <w:t xml:space="preserve"> an information system to monitor </w:t>
      </w:r>
      <w:r w:rsidR="00D632BF">
        <w:rPr>
          <w:rFonts w:ascii="Gill Sans" w:hAnsi="Gill Sans" w:cs="Gill Sans"/>
          <w:noProof/>
          <w:sz w:val="22"/>
          <w:szCs w:val="22"/>
          <w:lang w:val="en-GB"/>
        </w:rPr>
        <w:t xml:space="preserve">the performance of </w:t>
      </w:r>
      <w:r w:rsidR="00A44CB4">
        <w:rPr>
          <w:rFonts w:ascii="Gill Sans" w:hAnsi="Gill Sans" w:cs="Gill Sans"/>
          <w:noProof/>
          <w:sz w:val="22"/>
          <w:szCs w:val="22"/>
          <w:lang w:val="en-GB"/>
        </w:rPr>
        <w:t>those</w:t>
      </w:r>
      <w:r w:rsidR="008A12DB">
        <w:rPr>
          <w:rFonts w:ascii="Gill Sans" w:hAnsi="Gill Sans" w:cs="Gill Sans"/>
          <w:noProof/>
          <w:sz w:val="22"/>
          <w:szCs w:val="22"/>
          <w:lang w:val="en-GB"/>
        </w:rPr>
        <w:t xml:space="preserve"> </w:t>
      </w:r>
      <w:r w:rsidR="00A44CB4">
        <w:rPr>
          <w:rFonts w:ascii="Gill Sans" w:hAnsi="Gill Sans" w:cs="Gill Sans"/>
          <w:noProof/>
          <w:sz w:val="22"/>
          <w:szCs w:val="22"/>
          <w:lang w:val="en-GB"/>
        </w:rPr>
        <w:t>c</w:t>
      </w:r>
      <w:r w:rsidR="008A12DB">
        <w:rPr>
          <w:rFonts w:ascii="Gill Sans" w:hAnsi="Gill Sans" w:cs="Gill Sans"/>
          <w:noProof/>
          <w:sz w:val="22"/>
          <w:szCs w:val="22"/>
          <w:lang w:val="en-GB"/>
        </w:rPr>
        <w:t>entres</w:t>
      </w:r>
      <w:r w:rsidR="00D632BF">
        <w:rPr>
          <w:rFonts w:ascii="Gill Sans" w:hAnsi="Gill Sans" w:cs="Gill Sans"/>
          <w:noProof/>
          <w:sz w:val="22"/>
          <w:szCs w:val="22"/>
          <w:lang w:val="en-GB"/>
        </w:rPr>
        <w:t>,</w:t>
      </w:r>
      <w:r w:rsidR="008A12DB">
        <w:rPr>
          <w:rFonts w:ascii="Gill Sans" w:hAnsi="Gill Sans" w:cs="Gill Sans"/>
          <w:noProof/>
          <w:sz w:val="22"/>
          <w:szCs w:val="22"/>
          <w:lang w:val="en-GB"/>
        </w:rPr>
        <w:t xml:space="preserve"> and </w:t>
      </w:r>
      <w:r w:rsidR="00A44CB4">
        <w:rPr>
          <w:rFonts w:ascii="Gill Sans" w:hAnsi="Gill Sans" w:cs="Gill Sans"/>
          <w:noProof/>
          <w:sz w:val="22"/>
          <w:szCs w:val="22"/>
          <w:lang w:val="en-GB"/>
        </w:rPr>
        <w:t>to execute</w:t>
      </w:r>
      <w:r w:rsidR="008A12DB">
        <w:rPr>
          <w:rFonts w:ascii="Gill Sans" w:hAnsi="Gill Sans" w:cs="Gill Sans"/>
          <w:noProof/>
          <w:sz w:val="22"/>
          <w:szCs w:val="22"/>
          <w:lang w:val="en-GB"/>
        </w:rPr>
        <w:t xml:space="preserve"> an awareness-raising campaign </w:t>
      </w:r>
      <w:r w:rsidR="00D632BF">
        <w:rPr>
          <w:rFonts w:ascii="Gill Sans" w:hAnsi="Gill Sans" w:cs="Gill Sans"/>
          <w:noProof/>
          <w:sz w:val="22"/>
          <w:szCs w:val="22"/>
          <w:lang w:val="en-GB"/>
        </w:rPr>
        <w:t xml:space="preserve">for the provision of </w:t>
      </w:r>
      <w:r w:rsidR="008A12DB">
        <w:rPr>
          <w:rFonts w:ascii="Gill Sans" w:hAnsi="Gill Sans" w:cs="Gill Sans"/>
          <w:noProof/>
          <w:sz w:val="22"/>
          <w:szCs w:val="22"/>
          <w:lang w:val="en-GB"/>
        </w:rPr>
        <w:t>administrative services.</w:t>
      </w:r>
    </w:p>
    <w:p w14:paraId="281F78B5" w14:textId="77777777" w:rsidR="00BF13AA" w:rsidRDefault="00BF13AA" w:rsidP="00797D1E">
      <w:pPr>
        <w:spacing w:after="120"/>
        <w:rPr>
          <w:rFonts w:ascii="Gill Sans" w:hAnsi="Gill Sans" w:cs="Gill Sans"/>
          <w:noProof/>
          <w:sz w:val="22"/>
          <w:szCs w:val="22"/>
          <w:lang w:val="en-GB"/>
        </w:rPr>
        <w:sectPr w:rsidR="00BF13AA" w:rsidSect="00F561B7">
          <w:endnotePr>
            <w:numFmt w:val="decimal"/>
            <w:numRestart w:val="eachSect"/>
          </w:endnotePr>
          <w:pgSz w:w="12240" w:h="15840"/>
          <w:pgMar w:top="1440" w:right="1800" w:bottom="1440" w:left="1800" w:header="720" w:footer="720" w:gutter="0"/>
          <w:cols w:space="720"/>
          <w:docGrid w:linePitch="360"/>
        </w:sectPr>
      </w:pPr>
    </w:p>
    <w:p w14:paraId="63A74ACB" w14:textId="251E6E34" w:rsidR="00547677" w:rsidRPr="00EB22DF" w:rsidRDefault="00547677" w:rsidP="00547677">
      <w:pPr>
        <w:pStyle w:val="Heading2"/>
        <w:spacing w:before="0" w:after="120"/>
        <w:rPr>
          <w:rFonts w:eastAsiaTheme="minorEastAsia"/>
          <w:bCs w:val="0"/>
          <w:color w:val="222222"/>
          <w:sz w:val="22"/>
          <w:szCs w:val="22"/>
          <w:lang w:val="en-GB"/>
        </w:rPr>
      </w:pPr>
      <w:r>
        <w:rPr>
          <w:rFonts w:eastAsiaTheme="minorEastAsia"/>
          <w:bCs w:val="0"/>
          <w:color w:val="222222"/>
          <w:sz w:val="22"/>
          <w:szCs w:val="22"/>
          <w:lang w:val="en-GB"/>
        </w:rPr>
        <w:lastRenderedPageBreak/>
        <w:t>15</w:t>
      </w:r>
      <w:r w:rsidRPr="00EB22DF">
        <w:rPr>
          <w:rFonts w:eastAsiaTheme="minorEastAsia"/>
          <w:bCs w:val="0"/>
          <w:color w:val="222222"/>
          <w:sz w:val="22"/>
          <w:szCs w:val="22"/>
          <w:lang w:val="en-GB"/>
        </w:rPr>
        <w:t xml:space="preserve">. </w:t>
      </w:r>
      <w:r w:rsidRPr="00547677">
        <w:rPr>
          <w:rFonts w:eastAsiaTheme="minorEastAsia"/>
          <w:bCs w:val="0"/>
          <w:color w:val="222222"/>
          <w:sz w:val="22"/>
          <w:szCs w:val="22"/>
          <w:lang w:val="en-GB"/>
        </w:rPr>
        <w:t>Administrative services portal</w:t>
      </w:r>
      <w:r w:rsidRPr="00EB22DF">
        <w:rPr>
          <w:rFonts w:eastAsiaTheme="minorEastAsia"/>
          <w:bCs w:val="0"/>
          <w:color w:val="222222"/>
          <w:sz w:val="22"/>
          <w:szCs w:val="22"/>
          <w:lang w:val="en-GB"/>
        </w:rPr>
        <w:t xml:space="preserve"> </w:t>
      </w:r>
    </w:p>
    <w:p w14:paraId="26E83CCD" w14:textId="7004DB5B" w:rsidR="00547677" w:rsidRPr="00547677" w:rsidRDefault="005B3A16" w:rsidP="00547677">
      <w:pPr>
        <w:spacing w:after="120"/>
        <w:rPr>
          <w:rFonts w:ascii="Gill Sans" w:hAnsi="Gill Sans" w:cs="Gill Sans"/>
          <w:i/>
          <w:noProof/>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547677" w:rsidRPr="00547677">
        <w:rPr>
          <w:rFonts w:ascii="Gill Sans" w:hAnsi="Gill Sans" w:cs="Gill Sans"/>
          <w:i/>
          <w:noProof/>
          <w:sz w:val="22"/>
          <w:szCs w:val="22"/>
          <w:lang w:val="en-GB"/>
        </w:rPr>
        <w:t>15. Implementing a pilot version of a Unified State Portal of Administrative Services to ensure access to information on administrative services and on entities providing them</w:t>
      </w:r>
      <w:r w:rsidR="00D632BF">
        <w:rPr>
          <w:rFonts w:ascii="Gill Sans" w:hAnsi="Gill Sans" w:cs="Gill Sans"/>
          <w:i/>
          <w:noProof/>
          <w:sz w:val="22"/>
          <w:szCs w:val="22"/>
          <w:lang w:val="en-GB"/>
        </w:rPr>
        <w:t>.</w:t>
      </w:r>
    </w:p>
    <w:p w14:paraId="367157DE" w14:textId="05601B43" w:rsidR="00547677" w:rsidRPr="00547677" w:rsidRDefault="00547677" w:rsidP="00547677">
      <w:pPr>
        <w:spacing w:after="120"/>
        <w:rPr>
          <w:rFonts w:ascii="Gill Sans" w:hAnsi="Gill Sans" w:cs="Gill Sans"/>
          <w:i/>
          <w:noProof/>
          <w:sz w:val="22"/>
          <w:szCs w:val="22"/>
          <w:lang w:val="en-GB"/>
        </w:rPr>
      </w:pPr>
      <w:r w:rsidRPr="00547677">
        <w:rPr>
          <w:rFonts w:ascii="Gill Sans" w:hAnsi="Gill Sans" w:cs="Gill Sans"/>
          <w:i/>
          <w:noProof/>
          <w:sz w:val="22"/>
          <w:szCs w:val="22"/>
          <w:lang w:val="en-GB"/>
        </w:rPr>
        <w:t xml:space="preserve">Expected result: </w:t>
      </w:r>
      <w:r w:rsidRPr="00547677">
        <w:rPr>
          <w:rFonts w:ascii="Gill Sans" w:hAnsi="Gill Sans" w:cs="Gill Sans"/>
          <w:i/>
          <w:sz w:val="22"/>
          <w:szCs w:val="22"/>
          <w:lang w:val="en-GB"/>
        </w:rPr>
        <w:t>pilot version of a Unified State Portal of Administrative Services implemented (given necessary funding)</w:t>
      </w:r>
      <w:r w:rsidR="00D632BF">
        <w:rPr>
          <w:rFonts w:ascii="Gill Sans" w:hAnsi="Gill Sans" w:cs="Gill Sans"/>
          <w:i/>
          <w:sz w:val="22"/>
          <w:szCs w:val="22"/>
          <w:lang w:val="en-GB"/>
        </w:rPr>
        <w:t>.</w:t>
      </w:r>
    </w:p>
    <w:p w14:paraId="3544BFDB" w14:textId="28196147" w:rsidR="00547677" w:rsidRPr="00547677" w:rsidRDefault="00547677" w:rsidP="00547677">
      <w:pPr>
        <w:spacing w:after="120"/>
        <w:rPr>
          <w:rFonts w:ascii="Gill Sans" w:hAnsi="Gill Sans" w:cs="Gill Sans"/>
          <w:noProof/>
          <w:sz w:val="22"/>
          <w:szCs w:val="22"/>
          <w:lang w:val="en-GB"/>
        </w:rPr>
      </w:pPr>
      <w:r w:rsidRPr="00547677">
        <w:rPr>
          <w:rFonts w:ascii="Gill Sans" w:hAnsi="Gill Sans" w:cs="Gill Sans"/>
          <w:noProof/>
          <w:sz w:val="22"/>
          <w:szCs w:val="22"/>
          <w:lang w:val="en-GB"/>
        </w:rPr>
        <w:t>Lead institution</w:t>
      </w:r>
      <w:r w:rsidR="00D632BF">
        <w:rPr>
          <w:rFonts w:ascii="Gill Sans" w:hAnsi="Gill Sans" w:cs="Gill Sans"/>
          <w:noProof/>
          <w:sz w:val="22"/>
          <w:szCs w:val="22"/>
          <w:lang w:val="en-GB"/>
        </w:rPr>
        <w:t>(s)</w:t>
      </w:r>
      <w:r w:rsidRPr="00547677">
        <w:rPr>
          <w:rFonts w:ascii="Gill Sans" w:hAnsi="Gill Sans" w:cs="Gill Sans"/>
          <w:noProof/>
          <w:sz w:val="22"/>
          <w:szCs w:val="22"/>
          <w:lang w:val="en-GB"/>
        </w:rPr>
        <w:t>: Ministry of Economy</w:t>
      </w:r>
    </w:p>
    <w:p w14:paraId="29811717" w14:textId="068C2D1D" w:rsidR="00547677" w:rsidRPr="00547677" w:rsidRDefault="00547677" w:rsidP="00547677">
      <w:pPr>
        <w:spacing w:after="120"/>
        <w:rPr>
          <w:rFonts w:ascii="Gill Sans" w:hAnsi="Gill Sans" w:cs="Gill Sans"/>
          <w:noProof/>
          <w:sz w:val="22"/>
          <w:szCs w:val="22"/>
          <w:lang w:val="en-GB"/>
        </w:rPr>
      </w:pPr>
      <w:r w:rsidRPr="00547677">
        <w:rPr>
          <w:rFonts w:ascii="Gill Sans" w:hAnsi="Gill Sans" w:cs="Gill Sans"/>
          <w:noProof/>
          <w:sz w:val="22"/>
          <w:szCs w:val="22"/>
          <w:lang w:val="en-GB"/>
        </w:rPr>
        <w:t>Supporting institution</w:t>
      </w:r>
      <w:r w:rsidR="00D632BF">
        <w:rPr>
          <w:rFonts w:ascii="Gill Sans" w:hAnsi="Gill Sans" w:cs="Gill Sans"/>
          <w:noProof/>
          <w:sz w:val="22"/>
          <w:szCs w:val="22"/>
          <w:lang w:val="en-GB"/>
        </w:rPr>
        <w:t>(</w:t>
      </w:r>
      <w:r w:rsidRPr="00547677">
        <w:rPr>
          <w:rFonts w:ascii="Gill Sans" w:hAnsi="Gill Sans" w:cs="Gill Sans"/>
          <w:noProof/>
          <w:sz w:val="22"/>
          <w:szCs w:val="22"/>
          <w:lang w:val="en-GB"/>
        </w:rPr>
        <w:t>s</w:t>
      </w:r>
      <w:r w:rsidR="00D632BF">
        <w:rPr>
          <w:rFonts w:ascii="Gill Sans" w:hAnsi="Gill Sans" w:cs="Gill Sans"/>
          <w:noProof/>
          <w:sz w:val="22"/>
          <w:szCs w:val="22"/>
          <w:lang w:val="en-GB"/>
        </w:rPr>
        <w:t>)</w:t>
      </w:r>
      <w:r w:rsidRPr="00547677">
        <w:rPr>
          <w:rFonts w:ascii="Gill Sans" w:hAnsi="Gill Sans" w:cs="Gill Sans"/>
          <w:noProof/>
          <w:sz w:val="22"/>
          <w:szCs w:val="22"/>
          <w:lang w:val="en-GB"/>
        </w:rPr>
        <w:t>: Ministry of Finance, State Agency for E-Governance, unspecified NGOs and international organisations</w:t>
      </w:r>
    </w:p>
    <w:p w14:paraId="7064C22B" w14:textId="789C06E4" w:rsidR="00547677" w:rsidRPr="00CA5EDC" w:rsidRDefault="00547677" w:rsidP="00547677">
      <w:pPr>
        <w:spacing w:after="120"/>
        <w:rPr>
          <w:rFonts w:ascii="Gill Sans" w:hAnsi="Gill Sans" w:cs="Gill Sans"/>
          <w:noProof/>
          <w:sz w:val="22"/>
          <w:szCs w:val="22"/>
          <w:lang w:val="en-GB"/>
        </w:rPr>
      </w:pPr>
      <w:r w:rsidRPr="00547677">
        <w:rPr>
          <w:rFonts w:ascii="Gill Sans" w:hAnsi="Gill Sans" w:cs="Gill Sans"/>
          <w:noProof/>
          <w:sz w:val="22"/>
          <w:szCs w:val="22"/>
          <w:lang w:val="en-GB"/>
        </w:rPr>
        <w:t xml:space="preserve">Start </w:t>
      </w:r>
      <w:r w:rsidR="00D632BF">
        <w:rPr>
          <w:rFonts w:ascii="Gill Sans" w:hAnsi="Gill Sans" w:cs="Gill Sans"/>
          <w:noProof/>
          <w:sz w:val="22"/>
          <w:szCs w:val="22"/>
          <w:lang w:val="en-GB"/>
        </w:rPr>
        <w:t>D</w:t>
      </w:r>
      <w:r w:rsidRPr="00547677">
        <w:rPr>
          <w:rFonts w:ascii="Gill Sans" w:hAnsi="Gill Sans" w:cs="Gill Sans"/>
          <w:noProof/>
          <w:sz w:val="22"/>
          <w:szCs w:val="22"/>
          <w:lang w:val="en-GB"/>
        </w:rPr>
        <w:t xml:space="preserve">ate: Not specified </w:t>
      </w:r>
      <w:r w:rsidRPr="00547677">
        <w:rPr>
          <w:rFonts w:ascii="Gill Sans" w:hAnsi="Gill Sans" w:cs="Gill Sans"/>
          <w:noProof/>
          <w:sz w:val="22"/>
          <w:szCs w:val="22"/>
          <w:lang w:val="en-GB"/>
        </w:rPr>
        <w:tab/>
      </w:r>
      <w:r w:rsidRPr="00547677">
        <w:rPr>
          <w:rFonts w:ascii="Gill Sans" w:hAnsi="Gill Sans" w:cs="Gill Sans"/>
          <w:noProof/>
          <w:sz w:val="22"/>
          <w:szCs w:val="22"/>
          <w:lang w:val="en-GB"/>
        </w:rPr>
        <w:tab/>
      </w:r>
      <w:r w:rsidRPr="00547677">
        <w:rPr>
          <w:rFonts w:ascii="Gill Sans" w:hAnsi="Gill Sans" w:cs="Gill Sans"/>
          <w:noProof/>
          <w:sz w:val="22"/>
          <w:szCs w:val="22"/>
          <w:lang w:val="en-GB"/>
        </w:rPr>
        <w:tab/>
      </w:r>
      <w:r w:rsidR="00D6486B">
        <w:rPr>
          <w:rFonts w:ascii="Gill Sans" w:hAnsi="Gill Sans" w:cs="Gill Sans"/>
          <w:noProof/>
          <w:sz w:val="22"/>
          <w:szCs w:val="22"/>
          <w:lang w:val="en-GB"/>
        </w:rPr>
        <w:tab/>
      </w:r>
      <w:r w:rsidR="00D6486B">
        <w:rPr>
          <w:rFonts w:ascii="Gill Sans" w:hAnsi="Gill Sans" w:cs="Gill Sans"/>
          <w:noProof/>
          <w:sz w:val="22"/>
          <w:szCs w:val="22"/>
          <w:lang w:val="en-GB"/>
        </w:rPr>
        <w:tab/>
      </w:r>
      <w:r w:rsidRPr="00547677">
        <w:rPr>
          <w:rFonts w:ascii="Gill Sans" w:hAnsi="Gill Sans" w:cs="Gill Sans"/>
          <w:noProof/>
          <w:sz w:val="22"/>
          <w:szCs w:val="22"/>
          <w:lang w:val="en-GB"/>
        </w:rPr>
        <w:t xml:space="preserve">End </w:t>
      </w:r>
      <w:r w:rsidR="00D632BF">
        <w:rPr>
          <w:rFonts w:ascii="Gill Sans" w:hAnsi="Gill Sans" w:cs="Gill Sans"/>
          <w:noProof/>
          <w:sz w:val="22"/>
          <w:szCs w:val="22"/>
          <w:lang w:val="en-GB"/>
        </w:rPr>
        <w:t>D</w:t>
      </w:r>
      <w:r w:rsidRPr="00547677">
        <w:rPr>
          <w:rFonts w:ascii="Gill Sans" w:hAnsi="Gill Sans" w:cs="Gill Sans"/>
          <w:noProof/>
          <w:sz w:val="22"/>
          <w:szCs w:val="22"/>
          <w:lang w:val="en-GB"/>
        </w:rPr>
        <w:t>ate: 31 October 2015</w:t>
      </w:r>
    </w:p>
    <w:tbl>
      <w:tblPr>
        <w:tblW w:w="1017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483"/>
        <w:gridCol w:w="423"/>
        <w:gridCol w:w="346"/>
        <w:gridCol w:w="347"/>
        <w:gridCol w:w="369"/>
        <w:gridCol w:w="369"/>
        <w:gridCol w:w="369"/>
        <w:gridCol w:w="836"/>
        <w:gridCol w:w="337"/>
        <w:gridCol w:w="344"/>
        <w:gridCol w:w="423"/>
        <w:gridCol w:w="344"/>
        <w:gridCol w:w="476"/>
        <w:gridCol w:w="525"/>
        <w:gridCol w:w="525"/>
        <w:gridCol w:w="410"/>
        <w:gridCol w:w="344"/>
        <w:gridCol w:w="342"/>
        <w:gridCol w:w="344"/>
        <w:gridCol w:w="344"/>
        <w:gridCol w:w="423"/>
      </w:tblGrid>
      <w:tr w:rsidR="00D6486B" w:rsidRPr="009651AC" w14:paraId="65749643" w14:textId="77777777" w:rsidTr="00B223BA">
        <w:trPr>
          <w:trHeight w:val="405"/>
        </w:trPr>
        <w:tc>
          <w:tcPr>
            <w:tcW w:w="1456" w:type="dxa"/>
            <w:vMerge w:val="restart"/>
            <w:tcBorders>
              <w:top w:val="single" w:sz="18" w:space="0" w:color="FFFFFF"/>
              <w:left w:val="single" w:sz="4" w:space="0" w:color="FFFFFF"/>
              <w:right w:val="single" w:sz="18" w:space="0" w:color="FFFFFF"/>
            </w:tcBorders>
            <w:shd w:val="clear" w:color="auto" w:fill="000000"/>
          </w:tcPr>
          <w:p w14:paraId="2EFBDD43" w14:textId="77777777" w:rsidR="00D6486B" w:rsidRPr="009651AC" w:rsidRDefault="00D6486B" w:rsidP="00D6486B">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1CBEEE4D" w14:textId="50EB4278" w:rsidR="00D6486B" w:rsidRPr="009651AC" w:rsidRDefault="00D6486B" w:rsidP="00D6486B">
            <w:pPr>
              <w:rPr>
                <w:rFonts w:ascii="Gill Sans" w:hAnsi="Gill Sans" w:cs="Gill Sans"/>
                <w:color w:val="FFFFFF" w:themeColor="background1"/>
                <w:sz w:val="22"/>
                <w:szCs w:val="22"/>
                <w:lang w:val="en-GB"/>
              </w:rPr>
            </w:pPr>
          </w:p>
        </w:tc>
        <w:tc>
          <w:tcPr>
            <w:tcW w:w="1599" w:type="dxa"/>
            <w:gridSpan w:val="4"/>
            <w:vMerge w:val="restart"/>
            <w:tcBorders>
              <w:top w:val="single" w:sz="18" w:space="0" w:color="FFFFFF"/>
              <w:left w:val="single" w:sz="18" w:space="0" w:color="FFFFFF"/>
              <w:right w:val="single" w:sz="18" w:space="0" w:color="FFFFFF"/>
            </w:tcBorders>
            <w:shd w:val="clear" w:color="auto" w:fill="D6E3BC"/>
          </w:tcPr>
          <w:p w14:paraId="63C8BEFC"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Specificity</w:t>
            </w:r>
          </w:p>
        </w:tc>
        <w:tc>
          <w:tcPr>
            <w:tcW w:w="1943" w:type="dxa"/>
            <w:gridSpan w:val="4"/>
            <w:vMerge w:val="restart"/>
            <w:tcBorders>
              <w:top w:val="single" w:sz="18" w:space="0" w:color="FFFFFF"/>
              <w:left w:val="single" w:sz="18" w:space="0" w:color="FFFFFF"/>
              <w:right w:val="single" w:sz="18" w:space="0" w:color="FFFFFF"/>
            </w:tcBorders>
            <w:shd w:val="clear" w:color="auto" w:fill="FBD4B4"/>
          </w:tcPr>
          <w:p w14:paraId="2753C089" w14:textId="3ED8014C"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448" w:type="dxa"/>
            <w:gridSpan w:val="4"/>
            <w:vMerge w:val="restart"/>
            <w:tcBorders>
              <w:top w:val="single" w:sz="18" w:space="0" w:color="FFFFFF"/>
              <w:left w:val="single" w:sz="18" w:space="0" w:color="FFFFFF"/>
              <w:right w:val="single" w:sz="18" w:space="0" w:color="FFFFFF"/>
            </w:tcBorders>
            <w:shd w:val="clear" w:color="auto" w:fill="CCC0D9"/>
          </w:tcPr>
          <w:p w14:paraId="530E0C54"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01" w:type="dxa"/>
            <w:gridSpan w:val="2"/>
            <w:vMerge w:val="restart"/>
            <w:tcBorders>
              <w:top w:val="single" w:sz="18" w:space="0" w:color="FFFFFF"/>
              <w:left w:val="single" w:sz="18" w:space="0" w:color="FFFFFF"/>
              <w:right w:val="single" w:sz="2" w:space="0" w:color="FFFFFF"/>
            </w:tcBorders>
            <w:shd w:val="clear" w:color="auto" w:fill="B8CCE4"/>
          </w:tcPr>
          <w:p w14:paraId="5CFBD412" w14:textId="7714061D" w:rsidR="00D6486B" w:rsidRPr="009651AC" w:rsidRDefault="00D6486B" w:rsidP="00D6486B">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35"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4403A369"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Midterm</w:t>
            </w:r>
          </w:p>
        </w:tc>
        <w:tc>
          <w:tcPr>
            <w:tcW w:w="1797" w:type="dxa"/>
            <w:gridSpan w:val="5"/>
            <w:vMerge w:val="restart"/>
            <w:tcBorders>
              <w:top w:val="single" w:sz="18" w:space="0" w:color="FFFFFF"/>
              <w:left w:val="single" w:sz="18" w:space="0" w:color="FFFFFF"/>
              <w:right w:val="single" w:sz="18" w:space="0" w:color="FFFFFF"/>
            </w:tcBorders>
            <w:shd w:val="clear" w:color="auto" w:fill="D99594"/>
          </w:tcPr>
          <w:p w14:paraId="5AA0CA0F" w14:textId="1A13CDAD"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D6486B" w:rsidRPr="009651AC" w14:paraId="19AFE52F" w14:textId="77777777" w:rsidTr="00B223BA">
        <w:trPr>
          <w:trHeight w:val="373"/>
        </w:trPr>
        <w:tc>
          <w:tcPr>
            <w:tcW w:w="1456" w:type="dxa"/>
            <w:vMerge/>
            <w:tcBorders>
              <w:left w:val="single" w:sz="4" w:space="0" w:color="FFFFFF"/>
              <w:right w:val="single" w:sz="18" w:space="0" w:color="FFFFFF"/>
            </w:tcBorders>
            <w:shd w:val="clear" w:color="auto" w:fill="000000"/>
          </w:tcPr>
          <w:p w14:paraId="44B568FF" w14:textId="64691948" w:rsidR="00D6486B" w:rsidRPr="009651AC" w:rsidRDefault="00D6486B" w:rsidP="00D6486B">
            <w:pPr>
              <w:rPr>
                <w:rFonts w:ascii="Gill Sans" w:hAnsi="Gill Sans" w:cs="Gill Sans"/>
                <w:color w:val="FFFFFF" w:themeColor="background1"/>
                <w:sz w:val="22"/>
                <w:szCs w:val="22"/>
                <w:lang w:val="en-GB"/>
              </w:rPr>
            </w:pPr>
          </w:p>
        </w:tc>
        <w:tc>
          <w:tcPr>
            <w:tcW w:w="1599" w:type="dxa"/>
            <w:gridSpan w:val="4"/>
            <w:vMerge/>
            <w:tcBorders>
              <w:left w:val="single" w:sz="18" w:space="0" w:color="FFFFFF"/>
              <w:bottom w:val="single" w:sz="18" w:space="0" w:color="FFFFFF"/>
              <w:right w:val="single" w:sz="18" w:space="0" w:color="FFFFFF"/>
            </w:tcBorders>
            <w:shd w:val="clear" w:color="auto" w:fill="D6E3BC"/>
          </w:tcPr>
          <w:p w14:paraId="7E89E49C" w14:textId="77777777" w:rsidR="00D6486B" w:rsidRPr="009651AC" w:rsidRDefault="00D6486B" w:rsidP="00D6486B">
            <w:pPr>
              <w:rPr>
                <w:rFonts w:ascii="Gill Sans" w:hAnsi="Gill Sans" w:cs="Gill Sans"/>
                <w:sz w:val="22"/>
                <w:szCs w:val="22"/>
                <w:lang w:val="en-GB"/>
              </w:rPr>
            </w:pPr>
          </w:p>
        </w:tc>
        <w:tc>
          <w:tcPr>
            <w:tcW w:w="1943" w:type="dxa"/>
            <w:gridSpan w:val="4"/>
            <w:vMerge/>
            <w:tcBorders>
              <w:left w:val="single" w:sz="18" w:space="0" w:color="FFFFFF"/>
              <w:bottom w:val="single" w:sz="18" w:space="0" w:color="FFFFFF"/>
              <w:right w:val="single" w:sz="18" w:space="0" w:color="FFFFFF"/>
            </w:tcBorders>
            <w:shd w:val="clear" w:color="auto" w:fill="FBD4B4"/>
          </w:tcPr>
          <w:p w14:paraId="0B143D0B" w14:textId="77777777" w:rsidR="00D6486B" w:rsidRPr="009651AC" w:rsidRDefault="00D6486B" w:rsidP="00D6486B">
            <w:pPr>
              <w:rPr>
                <w:rFonts w:ascii="Gill Sans" w:hAnsi="Gill Sans" w:cs="Gill Sans"/>
                <w:sz w:val="22"/>
                <w:szCs w:val="22"/>
                <w:lang w:val="en-GB"/>
              </w:rPr>
            </w:pPr>
          </w:p>
        </w:tc>
        <w:tc>
          <w:tcPr>
            <w:tcW w:w="1448" w:type="dxa"/>
            <w:gridSpan w:val="4"/>
            <w:vMerge/>
            <w:tcBorders>
              <w:left w:val="single" w:sz="18" w:space="0" w:color="FFFFFF"/>
              <w:bottom w:val="single" w:sz="18" w:space="0" w:color="FFFFFF"/>
              <w:right w:val="single" w:sz="18" w:space="0" w:color="FFFFFF"/>
            </w:tcBorders>
            <w:shd w:val="clear" w:color="auto" w:fill="CCC0D9"/>
          </w:tcPr>
          <w:p w14:paraId="227698F4" w14:textId="77777777" w:rsidR="00D6486B" w:rsidRPr="009651AC" w:rsidRDefault="00D6486B" w:rsidP="00D6486B">
            <w:pPr>
              <w:rPr>
                <w:rFonts w:ascii="Gill Sans" w:hAnsi="Gill Sans" w:cs="Gill Sans"/>
                <w:sz w:val="22"/>
                <w:szCs w:val="22"/>
                <w:lang w:val="en-GB"/>
              </w:rPr>
            </w:pPr>
          </w:p>
        </w:tc>
        <w:tc>
          <w:tcPr>
            <w:tcW w:w="1001" w:type="dxa"/>
            <w:gridSpan w:val="2"/>
            <w:vMerge/>
            <w:tcBorders>
              <w:left w:val="single" w:sz="18" w:space="0" w:color="FFFFFF"/>
              <w:bottom w:val="single" w:sz="18" w:space="0" w:color="FFFFFF"/>
              <w:right w:val="single" w:sz="2" w:space="0" w:color="FFFFFF"/>
            </w:tcBorders>
            <w:shd w:val="clear" w:color="auto" w:fill="B8CCE4"/>
          </w:tcPr>
          <w:p w14:paraId="3AD686D5" w14:textId="77777777" w:rsidR="00D6486B" w:rsidRPr="009651AC" w:rsidRDefault="00D6486B" w:rsidP="00D6486B">
            <w:pPr>
              <w:rPr>
                <w:rFonts w:ascii="Gill Sans" w:hAnsi="Gill Sans" w:cs="Gill Sans"/>
                <w:sz w:val="22"/>
                <w:szCs w:val="22"/>
                <w:lang w:val="en-GB"/>
              </w:rPr>
            </w:pPr>
          </w:p>
        </w:tc>
        <w:tc>
          <w:tcPr>
            <w:tcW w:w="935"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2FF6A13" w14:textId="04C63833"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1797" w:type="dxa"/>
            <w:gridSpan w:val="5"/>
            <w:vMerge/>
            <w:tcBorders>
              <w:left w:val="single" w:sz="18" w:space="0" w:color="FFFFFF"/>
              <w:bottom w:val="single" w:sz="18" w:space="0" w:color="FFFFFF"/>
              <w:right w:val="single" w:sz="18" w:space="0" w:color="FFFFFF"/>
            </w:tcBorders>
            <w:shd w:val="clear" w:color="auto" w:fill="D99594"/>
          </w:tcPr>
          <w:p w14:paraId="2B954CCB" w14:textId="77777777" w:rsidR="00D6486B" w:rsidRPr="009651AC" w:rsidRDefault="00D6486B" w:rsidP="00D6486B">
            <w:pPr>
              <w:rPr>
                <w:rFonts w:ascii="Gill Sans" w:hAnsi="Gill Sans" w:cs="Gill Sans"/>
                <w:sz w:val="22"/>
                <w:szCs w:val="22"/>
                <w:lang w:val="en-GB"/>
              </w:rPr>
            </w:pPr>
          </w:p>
        </w:tc>
      </w:tr>
      <w:tr w:rsidR="00D6486B" w:rsidRPr="009651AC" w14:paraId="4DCC2C5C" w14:textId="77777777" w:rsidTr="00B223BA">
        <w:trPr>
          <w:cantSplit/>
          <w:trHeight w:val="2336"/>
        </w:trPr>
        <w:tc>
          <w:tcPr>
            <w:tcW w:w="1456" w:type="dxa"/>
            <w:vMerge/>
            <w:tcBorders>
              <w:left w:val="single" w:sz="4" w:space="0" w:color="FFFFFF"/>
              <w:right w:val="single" w:sz="18" w:space="0" w:color="FFFFFF"/>
            </w:tcBorders>
            <w:shd w:val="clear" w:color="auto" w:fill="000000"/>
          </w:tcPr>
          <w:p w14:paraId="0BF802F6" w14:textId="24CD806A" w:rsidR="00D6486B" w:rsidRPr="009651AC" w:rsidRDefault="00D6486B" w:rsidP="00D6486B">
            <w:pPr>
              <w:rPr>
                <w:rFonts w:ascii="Gill Sans" w:hAnsi="Gill Sans" w:cs="Gill Sans"/>
                <w:color w:val="FFFFFF" w:themeColor="background1"/>
                <w:sz w:val="22"/>
                <w:szCs w:val="22"/>
                <w:lang w:val="en-GB"/>
              </w:rPr>
            </w:pPr>
          </w:p>
        </w:tc>
        <w:tc>
          <w:tcPr>
            <w:tcW w:w="483"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44964466"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None</w:t>
            </w:r>
          </w:p>
        </w:tc>
        <w:tc>
          <w:tcPr>
            <w:tcW w:w="423"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53CADD43"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Low</w:t>
            </w:r>
          </w:p>
        </w:tc>
        <w:tc>
          <w:tcPr>
            <w:tcW w:w="346"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289735DF"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Medium</w:t>
            </w:r>
          </w:p>
        </w:tc>
        <w:tc>
          <w:tcPr>
            <w:tcW w:w="347"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4BFA8061"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High</w:t>
            </w:r>
          </w:p>
        </w:tc>
        <w:tc>
          <w:tcPr>
            <w:tcW w:w="36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641BF74E"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6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1FEB6506"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69"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248F4A0F"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836"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2818E1BD"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37"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5D98E3A7"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None</w:t>
            </w:r>
          </w:p>
        </w:tc>
        <w:tc>
          <w:tcPr>
            <w:tcW w:w="344"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4D626F42"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Minor</w:t>
            </w:r>
          </w:p>
        </w:tc>
        <w:tc>
          <w:tcPr>
            <w:tcW w:w="423"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54531EE7"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Moderate</w:t>
            </w:r>
          </w:p>
        </w:tc>
        <w:tc>
          <w:tcPr>
            <w:tcW w:w="344"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13D55B4A"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476"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7B1BD16A" w14:textId="4366A18B"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525"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753DBDCD"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Limited</w:t>
            </w:r>
          </w:p>
        </w:tc>
        <w:tc>
          <w:tcPr>
            <w:tcW w:w="525"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5CA749B2"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Substantial</w:t>
            </w:r>
          </w:p>
        </w:tc>
        <w:tc>
          <w:tcPr>
            <w:tcW w:w="410"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18C324FB"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Completed</w:t>
            </w:r>
          </w:p>
        </w:tc>
        <w:tc>
          <w:tcPr>
            <w:tcW w:w="344"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116E7991" w14:textId="5895D28C"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Worsen</w:t>
            </w:r>
            <w:r w:rsidR="007C46F8">
              <w:rPr>
                <w:rFonts w:ascii="Gill Sans" w:hAnsi="Gill Sans" w:cs="Gill Sans"/>
                <w:sz w:val="22"/>
                <w:szCs w:val="22"/>
                <w:lang w:val="en-GB"/>
              </w:rPr>
              <w:t>ed</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63A74FC" w14:textId="440EA5C3"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3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BA6C210"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Marginal</w:t>
            </w:r>
          </w:p>
        </w:tc>
        <w:tc>
          <w:tcPr>
            <w:tcW w:w="3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76FA378"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23"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40DF339F"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Outstanding</w:t>
            </w:r>
          </w:p>
        </w:tc>
      </w:tr>
      <w:tr w:rsidR="00D6486B" w:rsidRPr="009651AC" w14:paraId="1495278A" w14:textId="77777777" w:rsidTr="00B223BA">
        <w:trPr>
          <w:trHeight w:val="340"/>
        </w:trPr>
        <w:tc>
          <w:tcPr>
            <w:tcW w:w="1456" w:type="dxa"/>
            <w:vMerge/>
            <w:tcBorders>
              <w:left w:val="single" w:sz="4" w:space="0" w:color="FFFFFF"/>
              <w:right w:val="single" w:sz="18" w:space="0" w:color="FFFFFF"/>
            </w:tcBorders>
            <w:shd w:val="clear" w:color="auto" w:fill="000000"/>
          </w:tcPr>
          <w:p w14:paraId="2CCE97D8" w14:textId="0FA0F782" w:rsidR="00D6486B" w:rsidRPr="009651AC" w:rsidRDefault="00D6486B" w:rsidP="00D6486B">
            <w:pPr>
              <w:rPr>
                <w:rFonts w:ascii="Gill Sans" w:hAnsi="Gill Sans" w:cs="Gill Sans"/>
                <w:noProof/>
                <w:color w:val="FFFFFF" w:themeColor="background1"/>
                <w:sz w:val="22"/>
                <w:szCs w:val="22"/>
                <w:lang w:val="en-GB"/>
              </w:rPr>
            </w:pPr>
          </w:p>
        </w:tc>
        <w:tc>
          <w:tcPr>
            <w:tcW w:w="483" w:type="dxa"/>
            <w:vMerge w:val="restart"/>
            <w:tcBorders>
              <w:top w:val="single" w:sz="18" w:space="0" w:color="FFFFFF"/>
              <w:left w:val="single" w:sz="18" w:space="0" w:color="FFFFFF"/>
              <w:right w:val="single" w:sz="2" w:space="0" w:color="FFFFFF"/>
            </w:tcBorders>
            <w:shd w:val="clear" w:color="auto" w:fill="D6E3BC"/>
          </w:tcPr>
          <w:p w14:paraId="0CA40BD2" w14:textId="77777777" w:rsidR="00D6486B" w:rsidRPr="009651AC" w:rsidRDefault="00D6486B" w:rsidP="00D6486B">
            <w:pPr>
              <w:jc w:val="center"/>
              <w:rPr>
                <w:rFonts w:ascii="Gill Sans" w:hAnsi="Gill Sans" w:cs="Gill Sans"/>
                <w:sz w:val="22"/>
                <w:szCs w:val="22"/>
                <w:lang w:val="en-GB"/>
              </w:rPr>
            </w:pPr>
          </w:p>
        </w:tc>
        <w:tc>
          <w:tcPr>
            <w:tcW w:w="423" w:type="dxa"/>
            <w:vMerge w:val="restart"/>
            <w:tcBorders>
              <w:top w:val="single" w:sz="18" w:space="0" w:color="FFFFFF"/>
              <w:left w:val="single" w:sz="2" w:space="0" w:color="FFFFFF"/>
              <w:right w:val="single" w:sz="2" w:space="0" w:color="FFFFFF"/>
            </w:tcBorders>
            <w:shd w:val="clear" w:color="auto" w:fill="D6E3BC"/>
          </w:tcPr>
          <w:p w14:paraId="0C661C4F" w14:textId="77777777" w:rsidR="00D6486B" w:rsidRPr="009651AC" w:rsidRDefault="00D6486B" w:rsidP="00D6486B">
            <w:pPr>
              <w:jc w:val="center"/>
              <w:rPr>
                <w:rFonts w:ascii="Gill Sans" w:hAnsi="Gill Sans" w:cs="Gill Sans"/>
                <w:sz w:val="22"/>
                <w:szCs w:val="22"/>
                <w:lang w:val="en-GB"/>
              </w:rPr>
            </w:pPr>
          </w:p>
        </w:tc>
        <w:tc>
          <w:tcPr>
            <w:tcW w:w="346" w:type="dxa"/>
            <w:vMerge w:val="restart"/>
            <w:tcBorders>
              <w:top w:val="single" w:sz="18" w:space="0" w:color="FFFFFF"/>
              <w:left w:val="single" w:sz="2" w:space="0" w:color="FFFFFF"/>
              <w:right w:val="single" w:sz="2" w:space="0" w:color="FFFFFF"/>
            </w:tcBorders>
            <w:shd w:val="clear" w:color="auto" w:fill="D6E3BC"/>
          </w:tcPr>
          <w:p w14:paraId="4458ABD6" w14:textId="77777777" w:rsidR="00D6486B" w:rsidRPr="009651AC" w:rsidRDefault="00D6486B" w:rsidP="00D6486B">
            <w:pPr>
              <w:jc w:val="center"/>
              <w:rPr>
                <w:rFonts w:ascii="Gill Sans" w:hAnsi="Gill Sans" w:cs="Gill Sans"/>
                <w:sz w:val="22"/>
                <w:szCs w:val="22"/>
                <w:lang w:val="en-GB"/>
              </w:rPr>
            </w:pPr>
          </w:p>
        </w:tc>
        <w:tc>
          <w:tcPr>
            <w:tcW w:w="347" w:type="dxa"/>
            <w:vMerge w:val="restart"/>
            <w:tcBorders>
              <w:top w:val="single" w:sz="18" w:space="0" w:color="FFFFFF"/>
              <w:left w:val="single" w:sz="2" w:space="0" w:color="FFFFFF"/>
              <w:right w:val="single" w:sz="18" w:space="0" w:color="FFFFFF"/>
            </w:tcBorders>
            <w:shd w:val="clear" w:color="auto" w:fill="D6E3BC"/>
          </w:tcPr>
          <w:p w14:paraId="18C4FFDF" w14:textId="77777777" w:rsidR="00D6486B" w:rsidRPr="00466E44" w:rsidRDefault="00D6486B" w:rsidP="00D6486B">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69" w:type="dxa"/>
            <w:vMerge w:val="restart"/>
            <w:tcBorders>
              <w:top w:val="single" w:sz="18" w:space="0" w:color="FFFFFF"/>
              <w:left w:val="single" w:sz="2" w:space="0" w:color="FFFFFF"/>
              <w:right w:val="single" w:sz="2" w:space="0" w:color="FFFFFF"/>
            </w:tcBorders>
            <w:shd w:val="clear" w:color="auto" w:fill="FBD4B4"/>
          </w:tcPr>
          <w:p w14:paraId="5898BA4B" w14:textId="77777777" w:rsidR="00D6486B" w:rsidRPr="00466E44" w:rsidRDefault="00D6486B" w:rsidP="00D6486B">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69" w:type="dxa"/>
            <w:vMerge w:val="restart"/>
            <w:tcBorders>
              <w:top w:val="single" w:sz="18" w:space="0" w:color="FFFFFF"/>
              <w:left w:val="single" w:sz="2" w:space="0" w:color="FFFFFF"/>
              <w:right w:val="single" w:sz="2" w:space="0" w:color="FFFFFF"/>
            </w:tcBorders>
            <w:shd w:val="clear" w:color="auto" w:fill="FBD4B4"/>
          </w:tcPr>
          <w:p w14:paraId="762FB67F" w14:textId="77777777" w:rsidR="00D6486B" w:rsidRPr="00466E44" w:rsidRDefault="00D6486B" w:rsidP="00D6486B">
            <w:pPr>
              <w:rPr>
                <w:rFonts w:ascii="Zapf Dingbats" w:eastAsia="MS Mincho" w:hAnsi="Zapf Dingbats" w:cs="MS Mincho"/>
                <w:noProof/>
                <w:sz w:val="22"/>
                <w:szCs w:val="22"/>
                <w:lang w:val="en-GB"/>
              </w:rPr>
            </w:pPr>
          </w:p>
        </w:tc>
        <w:tc>
          <w:tcPr>
            <w:tcW w:w="369" w:type="dxa"/>
            <w:vMerge w:val="restart"/>
            <w:tcBorders>
              <w:top w:val="single" w:sz="18" w:space="0" w:color="FFFFFF"/>
              <w:left w:val="single" w:sz="2" w:space="0" w:color="FFFFFF"/>
              <w:right w:val="single" w:sz="2" w:space="0" w:color="FFFFFF"/>
            </w:tcBorders>
            <w:shd w:val="clear" w:color="auto" w:fill="FBD4B4"/>
          </w:tcPr>
          <w:p w14:paraId="1F790B84" w14:textId="060A91BD" w:rsidR="00D6486B" w:rsidRPr="00466E44" w:rsidRDefault="00D6486B" w:rsidP="00D6486B">
            <w:pPr>
              <w:rPr>
                <w:rFonts w:ascii="Zapf Dingbats" w:eastAsia="MS Mincho" w:hAnsi="Zapf Dingbats" w:cs="MS Mincho"/>
                <w:noProof/>
                <w:sz w:val="22"/>
                <w:szCs w:val="22"/>
                <w:lang w:val="en-GB"/>
              </w:rPr>
            </w:pPr>
          </w:p>
        </w:tc>
        <w:tc>
          <w:tcPr>
            <w:tcW w:w="836" w:type="dxa"/>
            <w:vMerge w:val="restart"/>
            <w:tcBorders>
              <w:top w:val="single" w:sz="18" w:space="0" w:color="FFFFFF"/>
              <w:left w:val="single" w:sz="2" w:space="0" w:color="FFFFFF"/>
              <w:right w:val="single" w:sz="18" w:space="0" w:color="FFFFFF"/>
            </w:tcBorders>
            <w:shd w:val="clear" w:color="auto" w:fill="FBD4B4"/>
          </w:tcPr>
          <w:p w14:paraId="01BB97A8" w14:textId="5E85A798" w:rsidR="00D6486B" w:rsidRPr="00466E44" w:rsidRDefault="00D6486B" w:rsidP="00D6486B">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37" w:type="dxa"/>
            <w:vMerge w:val="restart"/>
            <w:tcBorders>
              <w:top w:val="single" w:sz="18" w:space="0" w:color="FFFFFF"/>
              <w:left w:val="single" w:sz="18" w:space="0" w:color="FFFFFF"/>
              <w:right w:val="single" w:sz="2" w:space="0" w:color="FFFFFF"/>
            </w:tcBorders>
            <w:shd w:val="clear" w:color="auto" w:fill="CCC0D9"/>
          </w:tcPr>
          <w:p w14:paraId="14B5AD33" w14:textId="77777777" w:rsidR="00D6486B" w:rsidRPr="00466E44" w:rsidRDefault="00D6486B" w:rsidP="00D6486B">
            <w:pPr>
              <w:rPr>
                <w:rFonts w:ascii="Zapf Dingbats" w:eastAsia="MS Mincho" w:hAnsi="Zapf Dingbats" w:cs="MS Mincho"/>
                <w:noProof/>
                <w:sz w:val="22"/>
                <w:szCs w:val="22"/>
                <w:lang w:val="en-GB"/>
              </w:rPr>
            </w:pPr>
          </w:p>
        </w:tc>
        <w:tc>
          <w:tcPr>
            <w:tcW w:w="344" w:type="dxa"/>
            <w:vMerge w:val="restart"/>
            <w:tcBorders>
              <w:top w:val="single" w:sz="18" w:space="0" w:color="FFFFFF"/>
              <w:left w:val="single" w:sz="2" w:space="0" w:color="FFFFFF"/>
              <w:right w:val="single" w:sz="2" w:space="0" w:color="FFFFFF"/>
            </w:tcBorders>
            <w:shd w:val="clear" w:color="auto" w:fill="CCC0D9"/>
          </w:tcPr>
          <w:p w14:paraId="18C2349B" w14:textId="41D05731" w:rsidR="00D6486B" w:rsidRPr="00466E44" w:rsidRDefault="00D6486B" w:rsidP="00D6486B">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23" w:type="dxa"/>
            <w:vMerge w:val="restart"/>
            <w:tcBorders>
              <w:top w:val="single" w:sz="18" w:space="0" w:color="FFFFFF"/>
              <w:left w:val="single" w:sz="2" w:space="0" w:color="FFFFFF"/>
              <w:right w:val="single" w:sz="2" w:space="0" w:color="FFFFFF"/>
            </w:tcBorders>
            <w:shd w:val="clear" w:color="auto" w:fill="CCC0D9"/>
          </w:tcPr>
          <w:p w14:paraId="6D68D5D4" w14:textId="77777777" w:rsidR="00D6486B" w:rsidRPr="00466E44" w:rsidRDefault="00D6486B" w:rsidP="00D6486B">
            <w:pPr>
              <w:rPr>
                <w:rFonts w:ascii="Zapf Dingbats" w:eastAsia="MS Mincho" w:hAnsi="Zapf Dingbats" w:cs="MS Mincho"/>
                <w:noProof/>
                <w:sz w:val="22"/>
                <w:szCs w:val="22"/>
                <w:lang w:val="en-GB"/>
              </w:rPr>
            </w:pPr>
          </w:p>
        </w:tc>
        <w:tc>
          <w:tcPr>
            <w:tcW w:w="344" w:type="dxa"/>
            <w:vMerge w:val="restart"/>
            <w:tcBorders>
              <w:top w:val="single" w:sz="18" w:space="0" w:color="FFFFFF"/>
              <w:left w:val="single" w:sz="2" w:space="0" w:color="FFFFFF"/>
              <w:right w:val="single" w:sz="18" w:space="0" w:color="FFFFFF"/>
            </w:tcBorders>
            <w:shd w:val="clear" w:color="auto" w:fill="CCC0D9"/>
          </w:tcPr>
          <w:p w14:paraId="69E016B5" w14:textId="487B6B4D" w:rsidR="00D6486B" w:rsidRPr="00466E44" w:rsidRDefault="00D6486B" w:rsidP="00D6486B">
            <w:pPr>
              <w:rPr>
                <w:rFonts w:ascii="Zapf Dingbats" w:eastAsia="MS Mincho" w:hAnsi="Zapf Dingbats" w:cs="MS Mincho"/>
                <w:noProof/>
                <w:sz w:val="22"/>
                <w:szCs w:val="22"/>
                <w:lang w:val="en-GB"/>
              </w:rPr>
            </w:pPr>
          </w:p>
        </w:tc>
        <w:tc>
          <w:tcPr>
            <w:tcW w:w="476"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54D3FEC9" w14:textId="77777777" w:rsidR="00D6486B" w:rsidRPr="00466E44" w:rsidRDefault="00D6486B" w:rsidP="00D6486B">
            <w:pPr>
              <w:rPr>
                <w:rFonts w:ascii="Zapf Dingbats" w:eastAsia="MS Mincho" w:hAnsi="Zapf Dingbats" w:cs="MS Mincho"/>
                <w:noProof/>
                <w:sz w:val="22"/>
                <w:szCs w:val="22"/>
                <w:lang w:val="en-GB"/>
              </w:rPr>
            </w:pPr>
          </w:p>
        </w:tc>
        <w:tc>
          <w:tcPr>
            <w:tcW w:w="525"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63E24779" w14:textId="73243EBF" w:rsidR="00D6486B" w:rsidRPr="00466E44" w:rsidRDefault="00D6486B" w:rsidP="00D6486B">
            <w:pPr>
              <w:rPr>
                <w:rFonts w:ascii="Zapf Dingbats" w:eastAsia="MS Mincho" w:hAnsi="Zapf Dingbats" w:cs="MS Mincho"/>
                <w:noProof/>
                <w:sz w:val="22"/>
                <w:szCs w:val="22"/>
                <w:lang w:val="en-GB"/>
              </w:rPr>
            </w:pPr>
          </w:p>
        </w:tc>
        <w:tc>
          <w:tcPr>
            <w:tcW w:w="525"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ADCE0B8" w14:textId="77777777" w:rsidR="00D6486B" w:rsidRPr="00466E44" w:rsidRDefault="00D6486B" w:rsidP="00D6486B">
            <w:pPr>
              <w:rPr>
                <w:rFonts w:ascii="Zapf Dingbats" w:eastAsia="MS Mincho" w:hAnsi="Zapf Dingbats" w:cs="MS Mincho"/>
                <w:noProof/>
                <w:sz w:val="22"/>
                <w:szCs w:val="22"/>
                <w:lang w:val="en-GB"/>
              </w:rPr>
            </w:pPr>
          </w:p>
        </w:tc>
        <w:tc>
          <w:tcPr>
            <w:tcW w:w="410"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06A5E50A" w14:textId="70ADD40E" w:rsidR="00D6486B" w:rsidRPr="00466E44" w:rsidRDefault="00D6486B" w:rsidP="00D6486B">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44" w:type="dxa"/>
            <w:vMerge w:val="restart"/>
            <w:tcBorders>
              <w:top w:val="single" w:sz="18" w:space="0" w:color="FFFFFF"/>
              <w:left w:val="single" w:sz="18" w:space="0" w:color="FFFFFF"/>
              <w:right w:val="single" w:sz="2" w:space="0" w:color="FFFFFF"/>
            </w:tcBorders>
            <w:shd w:val="clear" w:color="auto" w:fill="D99594"/>
          </w:tcPr>
          <w:p w14:paraId="25505D38" w14:textId="77777777" w:rsidR="00D6486B" w:rsidRPr="009651AC" w:rsidRDefault="00D6486B" w:rsidP="00D6486B">
            <w:pPr>
              <w:jc w:val="center"/>
              <w:rPr>
                <w:rFonts w:ascii="Gill Sans" w:hAnsi="Gill Sans" w:cs="Gill Sans"/>
                <w:sz w:val="22"/>
                <w:szCs w:val="22"/>
                <w:lang w:val="en-GB"/>
              </w:rPr>
            </w:pPr>
          </w:p>
        </w:tc>
        <w:tc>
          <w:tcPr>
            <w:tcW w:w="342" w:type="dxa"/>
            <w:vMerge w:val="restart"/>
            <w:tcBorders>
              <w:top w:val="single" w:sz="18" w:space="0" w:color="FFFFFF"/>
              <w:left w:val="single" w:sz="2" w:space="0" w:color="FFFFFF"/>
              <w:right w:val="single" w:sz="2" w:space="0" w:color="FFFFFF"/>
            </w:tcBorders>
            <w:shd w:val="clear" w:color="auto" w:fill="D99594"/>
          </w:tcPr>
          <w:p w14:paraId="1714E3BF" w14:textId="59CB4AE8" w:rsidR="00D6486B" w:rsidRPr="00466E44" w:rsidRDefault="00D6486B" w:rsidP="00D6486B">
            <w:pPr>
              <w:rPr>
                <w:rFonts w:ascii="Zapf Dingbats" w:eastAsia="MS Mincho" w:hAnsi="Zapf Dingbats" w:cs="MS Mincho"/>
                <w:noProof/>
                <w:sz w:val="22"/>
                <w:szCs w:val="22"/>
                <w:lang w:val="en-GB"/>
              </w:rPr>
            </w:pPr>
          </w:p>
        </w:tc>
        <w:tc>
          <w:tcPr>
            <w:tcW w:w="344" w:type="dxa"/>
            <w:vMerge w:val="restart"/>
            <w:tcBorders>
              <w:top w:val="single" w:sz="18" w:space="0" w:color="FFFFFF"/>
              <w:left w:val="single" w:sz="2" w:space="0" w:color="FFFFFF"/>
              <w:right w:val="single" w:sz="2" w:space="0" w:color="FFFFFF"/>
            </w:tcBorders>
            <w:shd w:val="clear" w:color="auto" w:fill="D99594"/>
          </w:tcPr>
          <w:p w14:paraId="1771C4EC" w14:textId="67059B9E" w:rsidR="00D6486B" w:rsidRPr="00466E44" w:rsidRDefault="00D6486B" w:rsidP="00D6486B">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44" w:type="dxa"/>
            <w:vMerge w:val="restart"/>
            <w:tcBorders>
              <w:top w:val="single" w:sz="18" w:space="0" w:color="FFFFFF"/>
              <w:left w:val="single" w:sz="2" w:space="0" w:color="FFFFFF"/>
              <w:right w:val="single" w:sz="2" w:space="0" w:color="FFFFFF"/>
            </w:tcBorders>
            <w:shd w:val="clear" w:color="auto" w:fill="D99594"/>
          </w:tcPr>
          <w:p w14:paraId="029C3D7F" w14:textId="77777777" w:rsidR="00D6486B" w:rsidRPr="00466E44" w:rsidRDefault="00D6486B" w:rsidP="00D6486B">
            <w:pPr>
              <w:rPr>
                <w:rFonts w:ascii="Zapf Dingbats" w:eastAsia="MS Mincho" w:hAnsi="Zapf Dingbats" w:cs="MS Mincho"/>
                <w:noProof/>
                <w:sz w:val="22"/>
                <w:szCs w:val="22"/>
                <w:lang w:val="en-GB"/>
              </w:rPr>
            </w:pPr>
          </w:p>
        </w:tc>
        <w:tc>
          <w:tcPr>
            <w:tcW w:w="423" w:type="dxa"/>
            <w:vMerge w:val="restart"/>
            <w:tcBorders>
              <w:top w:val="single" w:sz="18" w:space="0" w:color="FFFFFF"/>
              <w:left w:val="single" w:sz="2" w:space="0" w:color="FFFFFF"/>
              <w:right w:val="single" w:sz="18" w:space="0" w:color="FFFFFF"/>
            </w:tcBorders>
            <w:shd w:val="clear" w:color="auto" w:fill="D99594"/>
          </w:tcPr>
          <w:p w14:paraId="3EEFE79C" w14:textId="77777777" w:rsidR="00D6486B" w:rsidRPr="009651AC" w:rsidRDefault="00D6486B" w:rsidP="00D6486B">
            <w:pPr>
              <w:jc w:val="center"/>
              <w:rPr>
                <w:rFonts w:ascii="Gill Sans" w:hAnsi="Gill Sans" w:cs="Gill Sans"/>
                <w:sz w:val="22"/>
                <w:szCs w:val="22"/>
                <w:lang w:val="en-GB"/>
              </w:rPr>
            </w:pPr>
          </w:p>
        </w:tc>
      </w:tr>
      <w:tr w:rsidR="00D6486B" w:rsidRPr="009651AC" w14:paraId="712AF3F5" w14:textId="77777777" w:rsidTr="00B223BA">
        <w:trPr>
          <w:trHeight w:val="340"/>
        </w:trPr>
        <w:tc>
          <w:tcPr>
            <w:tcW w:w="1456" w:type="dxa"/>
            <w:vMerge/>
            <w:tcBorders>
              <w:left w:val="single" w:sz="4" w:space="0" w:color="FFFFFF"/>
              <w:right w:val="single" w:sz="18" w:space="0" w:color="FFFFFF"/>
            </w:tcBorders>
            <w:shd w:val="clear" w:color="auto" w:fill="000000"/>
          </w:tcPr>
          <w:p w14:paraId="391A97C6" w14:textId="77777777" w:rsidR="00D6486B" w:rsidRPr="009651AC" w:rsidRDefault="00D6486B" w:rsidP="00D6486B">
            <w:pPr>
              <w:rPr>
                <w:rFonts w:ascii="Gill Sans" w:hAnsi="Gill Sans" w:cs="Gill Sans"/>
                <w:color w:val="FFFFFF" w:themeColor="background1"/>
                <w:sz w:val="22"/>
                <w:szCs w:val="22"/>
                <w:lang w:val="en-GB"/>
              </w:rPr>
            </w:pPr>
          </w:p>
        </w:tc>
        <w:tc>
          <w:tcPr>
            <w:tcW w:w="483" w:type="dxa"/>
            <w:vMerge/>
            <w:tcBorders>
              <w:left w:val="single" w:sz="18" w:space="0" w:color="FFFFFF"/>
              <w:right w:val="single" w:sz="2" w:space="0" w:color="FFFFFF"/>
            </w:tcBorders>
            <w:shd w:val="clear" w:color="auto" w:fill="D6E3BC"/>
          </w:tcPr>
          <w:p w14:paraId="4C3D5B13" w14:textId="77777777" w:rsidR="00D6486B" w:rsidRPr="009651AC" w:rsidRDefault="00D6486B" w:rsidP="00D6486B">
            <w:pPr>
              <w:rPr>
                <w:rFonts w:ascii="Gill Sans" w:hAnsi="Gill Sans" w:cs="Gill Sans"/>
                <w:sz w:val="22"/>
                <w:szCs w:val="22"/>
                <w:lang w:val="en-GB"/>
              </w:rPr>
            </w:pPr>
          </w:p>
        </w:tc>
        <w:tc>
          <w:tcPr>
            <w:tcW w:w="423" w:type="dxa"/>
            <w:vMerge/>
            <w:tcBorders>
              <w:left w:val="single" w:sz="2" w:space="0" w:color="FFFFFF"/>
              <w:right w:val="single" w:sz="2" w:space="0" w:color="FFFFFF"/>
            </w:tcBorders>
            <w:shd w:val="clear" w:color="auto" w:fill="D6E3BC"/>
          </w:tcPr>
          <w:p w14:paraId="68DBC111" w14:textId="77777777" w:rsidR="00D6486B" w:rsidRPr="009651AC" w:rsidRDefault="00D6486B" w:rsidP="00D6486B">
            <w:pPr>
              <w:rPr>
                <w:rFonts w:ascii="Gill Sans" w:hAnsi="Gill Sans" w:cs="Gill Sans"/>
                <w:sz w:val="22"/>
                <w:szCs w:val="22"/>
                <w:lang w:val="en-GB"/>
              </w:rPr>
            </w:pPr>
          </w:p>
        </w:tc>
        <w:tc>
          <w:tcPr>
            <w:tcW w:w="346" w:type="dxa"/>
            <w:vMerge/>
            <w:tcBorders>
              <w:left w:val="single" w:sz="2" w:space="0" w:color="FFFFFF"/>
              <w:right w:val="single" w:sz="2" w:space="0" w:color="FFFFFF"/>
            </w:tcBorders>
            <w:shd w:val="clear" w:color="auto" w:fill="D6E3BC"/>
          </w:tcPr>
          <w:p w14:paraId="518A88DC" w14:textId="77777777" w:rsidR="00D6486B" w:rsidRPr="009651AC" w:rsidRDefault="00D6486B" w:rsidP="00D6486B">
            <w:pPr>
              <w:rPr>
                <w:rFonts w:ascii="Gill Sans" w:hAnsi="Gill Sans" w:cs="Gill Sans"/>
                <w:sz w:val="22"/>
                <w:szCs w:val="22"/>
                <w:lang w:val="en-GB"/>
              </w:rPr>
            </w:pPr>
          </w:p>
        </w:tc>
        <w:tc>
          <w:tcPr>
            <w:tcW w:w="347" w:type="dxa"/>
            <w:vMerge/>
            <w:tcBorders>
              <w:left w:val="single" w:sz="2" w:space="0" w:color="FFFFFF"/>
              <w:right w:val="single" w:sz="18" w:space="0" w:color="FFFFFF"/>
            </w:tcBorders>
            <w:shd w:val="clear" w:color="auto" w:fill="D6E3BC"/>
          </w:tcPr>
          <w:p w14:paraId="4AB1380A" w14:textId="77777777" w:rsidR="00D6486B" w:rsidRPr="00466E44" w:rsidRDefault="00D6486B" w:rsidP="00D6486B">
            <w:pPr>
              <w:rPr>
                <w:rFonts w:ascii="Zapf Dingbats" w:eastAsia="MS Mincho" w:hAnsi="Zapf Dingbats" w:cs="MS Mincho"/>
                <w:noProof/>
                <w:sz w:val="22"/>
                <w:szCs w:val="22"/>
                <w:lang w:val="en-GB"/>
              </w:rPr>
            </w:pPr>
          </w:p>
        </w:tc>
        <w:tc>
          <w:tcPr>
            <w:tcW w:w="369" w:type="dxa"/>
            <w:vMerge/>
            <w:tcBorders>
              <w:left w:val="single" w:sz="2" w:space="0" w:color="FFFFFF"/>
              <w:right w:val="single" w:sz="2" w:space="0" w:color="FFFFFF"/>
            </w:tcBorders>
            <w:shd w:val="clear" w:color="auto" w:fill="FBD4B4"/>
          </w:tcPr>
          <w:p w14:paraId="0BBFA27D" w14:textId="77777777" w:rsidR="00D6486B" w:rsidRPr="00466E44" w:rsidRDefault="00D6486B" w:rsidP="00D6486B">
            <w:pPr>
              <w:rPr>
                <w:rFonts w:ascii="Zapf Dingbats" w:eastAsia="MS Mincho" w:hAnsi="Zapf Dingbats" w:cs="MS Mincho"/>
                <w:noProof/>
                <w:sz w:val="22"/>
                <w:szCs w:val="22"/>
                <w:lang w:val="en-GB"/>
              </w:rPr>
            </w:pPr>
          </w:p>
        </w:tc>
        <w:tc>
          <w:tcPr>
            <w:tcW w:w="369" w:type="dxa"/>
            <w:vMerge/>
            <w:tcBorders>
              <w:left w:val="single" w:sz="2" w:space="0" w:color="FFFFFF"/>
              <w:right w:val="single" w:sz="2" w:space="0" w:color="FFFFFF"/>
            </w:tcBorders>
            <w:shd w:val="clear" w:color="auto" w:fill="FBD4B4"/>
          </w:tcPr>
          <w:p w14:paraId="51C95A7E" w14:textId="77777777" w:rsidR="00D6486B" w:rsidRPr="00466E44" w:rsidRDefault="00D6486B" w:rsidP="00D6486B">
            <w:pPr>
              <w:rPr>
                <w:rFonts w:ascii="Zapf Dingbats" w:eastAsia="MS Mincho" w:hAnsi="Zapf Dingbats" w:cs="MS Mincho"/>
                <w:noProof/>
                <w:sz w:val="22"/>
                <w:szCs w:val="22"/>
                <w:lang w:val="en-GB"/>
              </w:rPr>
            </w:pPr>
          </w:p>
        </w:tc>
        <w:tc>
          <w:tcPr>
            <w:tcW w:w="369" w:type="dxa"/>
            <w:vMerge/>
            <w:tcBorders>
              <w:left w:val="single" w:sz="2" w:space="0" w:color="FFFFFF"/>
              <w:right w:val="single" w:sz="2" w:space="0" w:color="FFFFFF"/>
            </w:tcBorders>
            <w:shd w:val="clear" w:color="auto" w:fill="FBD4B4"/>
          </w:tcPr>
          <w:p w14:paraId="34A17FBF" w14:textId="77777777" w:rsidR="00D6486B" w:rsidRPr="00466E44" w:rsidRDefault="00D6486B" w:rsidP="00D6486B">
            <w:pPr>
              <w:rPr>
                <w:rFonts w:ascii="Zapf Dingbats" w:eastAsia="MS Mincho" w:hAnsi="Zapf Dingbats" w:cs="MS Mincho"/>
                <w:noProof/>
                <w:sz w:val="22"/>
                <w:szCs w:val="22"/>
                <w:lang w:val="en-GB"/>
              </w:rPr>
            </w:pPr>
          </w:p>
        </w:tc>
        <w:tc>
          <w:tcPr>
            <w:tcW w:w="836" w:type="dxa"/>
            <w:vMerge/>
            <w:tcBorders>
              <w:left w:val="single" w:sz="2" w:space="0" w:color="FFFFFF"/>
              <w:right w:val="single" w:sz="18" w:space="0" w:color="FFFFFF"/>
            </w:tcBorders>
            <w:shd w:val="clear" w:color="auto" w:fill="FBD4B4"/>
          </w:tcPr>
          <w:p w14:paraId="32AE9269" w14:textId="77777777" w:rsidR="00D6486B" w:rsidRPr="00466E44" w:rsidRDefault="00D6486B" w:rsidP="00D6486B">
            <w:pPr>
              <w:rPr>
                <w:rFonts w:ascii="Zapf Dingbats" w:eastAsia="MS Mincho" w:hAnsi="Zapf Dingbats" w:cs="MS Mincho"/>
                <w:noProof/>
                <w:sz w:val="22"/>
                <w:szCs w:val="22"/>
                <w:lang w:val="en-GB"/>
              </w:rPr>
            </w:pPr>
          </w:p>
        </w:tc>
        <w:tc>
          <w:tcPr>
            <w:tcW w:w="337" w:type="dxa"/>
            <w:vMerge/>
            <w:tcBorders>
              <w:left w:val="single" w:sz="18" w:space="0" w:color="FFFFFF"/>
              <w:right w:val="single" w:sz="2" w:space="0" w:color="FFFFFF"/>
            </w:tcBorders>
            <w:shd w:val="clear" w:color="auto" w:fill="CCC0D9"/>
          </w:tcPr>
          <w:p w14:paraId="6E339FAE" w14:textId="77777777" w:rsidR="00D6486B" w:rsidRPr="00466E44" w:rsidRDefault="00D6486B" w:rsidP="00D6486B">
            <w:pPr>
              <w:rPr>
                <w:rFonts w:ascii="Zapf Dingbats" w:eastAsia="MS Mincho" w:hAnsi="Zapf Dingbats" w:cs="MS Mincho"/>
                <w:noProof/>
                <w:sz w:val="22"/>
                <w:szCs w:val="22"/>
                <w:lang w:val="en-GB"/>
              </w:rPr>
            </w:pPr>
          </w:p>
        </w:tc>
        <w:tc>
          <w:tcPr>
            <w:tcW w:w="344" w:type="dxa"/>
            <w:vMerge/>
            <w:tcBorders>
              <w:left w:val="single" w:sz="2" w:space="0" w:color="FFFFFF"/>
              <w:right w:val="single" w:sz="2" w:space="0" w:color="FFFFFF"/>
            </w:tcBorders>
            <w:shd w:val="clear" w:color="auto" w:fill="CCC0D9"/>
          </w:tcPr>
          <w:p w14:paraId="4D81D8BC" w14:textId="77777777" w:rsidR="00D6486B" w:rsidRPr="00466E44" w:rsidRDefault="00D6486B" w:rsidP="00D6486B">
            <w:pPr>
              <w:rPr>
                <w:rFonts w:ascii="Zapf Dingbats" w:eastAsia="MS Mincho" w:hAnsi="Zapf Dingbats" w:cs="MS Mincho"/>
                <w:noProof/>
                <w:sz w:val="22"/>
                <w:szCs w:val="22"/>
                <w:lang w:val="en-GB"/>
              </w:rPr>
            </w:pPr>
          </w:p>
        </w:tc>
        <w:tc>
          <w:tcPr>
            <w:tcW w:w="423" w:type="dxa"/>
            <w:vMerge/>
            <w:tcBorders>
              <w:left w:val="single" w:sz="2" w:space="0" w:color="FFFFFF"/>
              <w:right w:val="single" w:sz="2" w:space="0" w:color="FFFFFF"/>
            </w:tcBorders>
            <w:shd w:val="clear" w:color="auto" w:fill="CCC0D9"/>
          </w:tcPr>
          <w:p w14:paraId="09648E53" w14:textId="77777777" w:rsidR="00D6486B" w:rsidRPr="00466E44" w:rsidRDefault="00D6486B" w:rsidP="00D6486B">
            <w:pPr>
              <w:rPr>
                <w:rFonts w:ascii="Zapf Dingbats" w:eastAsia="MS Mincho" w:hAnsi="Zapf Dingbats" w:cs="MS Mincho"/>
                <w:noProof/>
                <w:sz w:val="22"/>
                <w:szCs w:val="22"/>
                <w:lang w:val="en-GB"/>
              </w:rPr>
            </w:pPr>
          </w:p>
        </w:tc>
        <w:tc>
          <w:tcPr>
            <w:tcW w:w="344" w:type="dxa"/>
            <w:vMerge/>
            <w:tcBorders>
              <w:left w:val="single" w:sz="2" w:space="0" w:color="FFFFFF"/>
              <w:right w:val="single" w:sz="18" w:space="0" w:color="FFFFFF"/>
            </w:tcBorders>
            <w:shd w:val="clear" w:color="auto" w:fill="CCC0D9"/>
          </w:tcPr>
          <w:p w14:paraId="71B4BA73" w14:textId="77777777" w:rsidR="00D6486B" w:rsidRPr="00466E44" w:rsidRDefault="00D6486B" w:rsidP="00D6486B">
            <w:pPr>
              <w:rPr>
                <w:rFonts w:ascii="Zapf Dingbats" w:eastAsia="MS Mincho" w:hAnsi="Zapf Dingbats" w:cs="MS Mincho"/>
                <w:noProof/>
                <w:sz w:val="22"/>
                <w:szCs w:val="22"/>
                <w:lang w:val="en-GB"/>
              </w:rPr>
            </w:pPr>
          </w:p>
        </w:tc>
        <w:tc>
          <w:tcPr>
            <w:tcW w:w="476"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3D61C5BD" w14:textId="77777777" w:rsidR="00D6486B" w:rsidRPr="00466E44" w:rsidRDefault="00D6486B" w:rsidP="00D6486B">
            <w:pPr>
              <w:rPr>
                <w:rFonts w:ascii="Zapf Dingbats" w:eastAsia="MS Mincho" w:hAnsi="Zapf Dingbats" w:cs="MS Mincho"/>
                <w:noProof/>
                <w:sz w:val="22"/>
                <w:szCs w:val="22"/>
                <w:lang w:val="en-GB"/>
              </w:rPr>
            </w:pPr>
          </w:p>
        </w:tc>
        <w:tc>
          <w:tcPr>
            <w:tcW w:w="525"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AEBB627" w14:textId="25F640E4" w:rsidR="00D6486B" w:rsidRPr="00466E44" w:rsidRDefault="00D6486B" w:rsidP="00D6486B">
            <w:pPr>
              <w:rPr>
                <w:rFonts w:ascii="Zapf Dingbats" w:eastAsia="MS Mincho" w:hAnsi="Zapf Dingbats" w:cs="MS Mincho"/>
                <w:noProof/>
                <w:sz w:val="22"/>
                <w:szCs w:val="22"/>
                <w:lang w:val="en-GB"/>
              </w:rPr>
            </w:pPr>
          </w:p>
        </w:tc>
        <w:tc>
          <w:tcPr>
            <w:tcW w:w="525"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FB7F5D8" w14:textId="77777777" w:rsidR="00D6486B" w:rsidRPr="00466E44" w:rsidRDefault="00D6486B" w:rsidP="00D6486B">
            <w:pPr>
              <w:rPr>
                <w:rFonts w:ascii="Zapf Dingbats" w:eastAsia="MS Mincho" w:hAnsi="Zapf Dingbats" w:cs="MS Mincho"/>
                <w:noProof/>
                <w:sz w:val="22"/>
                <w:szCs w:val="22"/>
                <w:lang w:val="en-GB"/>
              </w:rPr>
            </w:pPr>
          </w:p>
        </w:tc>
        <w:tc>
          <w:tcPr>
            <w:tcW w:w="410"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7F5F4D16" w14:textId="57AD1472" w:rsidR="00D6486B" w:rsidRPr="00466E44" w:rsidRDefault="00D6486B" w:rsidP="00D6486B">
            <w:pPr>
              <w:jc w:val="cente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44" w:type="dxa"/>
            <w:vMerge/>
            <w:tcBorders>
              <w:left w:val="single" w:sz="18" w:space="0" w:color="FFFFFF"/>
              <w:right w:val="single" w:sz="2" w:space="0" w:color="FFFFFF"/>
            </w:tcBorders>
            <w:shd w:val="clear" w:color="auto" w:fill="D99594"/>
          </w:tcPr>
          <w:p w14:paraId="061D3B4F" w14:textId="77777777" w:rsidR="00D6486B" w:rsidRPr="009651AC" w:rsidRDefault="00D6486B" w:rsidP="00D6486B">
            <w:pPr>
              <w:rPr>
                <w:rFonts w:ascii="Gill Sans" w:hAnsi="Gill Sans" w:cs="Gill Sans"/>
                <w:sz w:val="22"/>
                <w:szCs w:val="22"/>
                <w:lang w:val="en-GB"/>
              </w:rPr>
            </w:pPr>
          </w:p>
        </w:tc>
        <w:tc>
          <w:tcPr>
            <w:tcW w:w="342" w:type="dxa"/>
            <w:vMerge/>
            <w:tcBorders>
              <w:left w:val="single" w:sz="2" w:space="0" w:color="FFFFFF"/>
              <w:right w:val="single" w:sz="2" w:space="0" w:color="FFFFFF"/>
            </w:tcBorders>
            <w:shd w:val="clear" w:color="auto" w:fill="D99594"/>
          </w:tcPr>
          <w:p w14:paraId="2A78F1FC" w14:textId="77777777" w:rsidR="00D6486B" w:rsidRPr="009651AC" w:rsidRDefault="00D6486B" w:rsidP="00D6486B">
            <w:pPr>
              <w:rPr>
                <w:rFonts w:ascii="Gill Sans" w:hAnsi="Gill Sans" w:cs="Gill Sans"/>
                <w:sz w:val="22"/>
                <w:szCs w:val="22"/>
                <w:lang w:val="en-GB"/>
              </w:rPr>
            </w:pPr>
          </w:p>
        </w:tc>
        <w:tc>
          <w:tcPr>
            <w:tcW w:w="344" w:type="dxa"/>
            <w:vMerge/>
            <w:tcBorders>
              <w:left w:val="single" w:sz="2" w:space="0" w:color="FFFFFF"/>
              <w:right w:val="single" w:sz="2" w:space="0" w:color="FFFFFF"/>
            </w:tcBorders>
            <w:shd w:val="clear" w:color="auto" w:fill="D99594"/>
          </w:tcPr>
          <w:p w14:paraId="7CE8116E" w14:textId="77777777" w:rsidR="00D6486B" w:rsidRPr="009651AC" w:rsidRDefault="00D6486B" w:rsidP="00D6486B">
            <w:pPr>
              <w:rPr>
                <w:rFonts w:ascii="Gill Sans" w:hAnsi="Gill Sans" w:cs="Gill Sans"/>
                <w:sz w:val="22"/>
                <w:szCs w:val="22"/>
                <w:lang w:val="en-GB"/>
              </w:rPr>
            </w:pPr>
          </w:p>
        </w:tc>
        <w:tc>
          <w:tcPr>
            <w:tcW w:w="344" w:type="dxa"/>
            <w:vMerge/>
            <w:tcBorders>
              <w:left w:val="single" w:sz="2" w:space="0" w:color="FFFFFF"/>
              <w:right w:val="single" w:sz="2" w:space="0" w:color="FFFFFF"/>
            </w:tcBorders>
            <w:shd w:val="clear" w:color="auto" w:fill="D99594"/>
          </w:tcPr>
          <w:p w14:paraId="6DF1B4B3" w14:textId="77777777" w:rsidR="00D6486B" w:rsidRPr="009651AC" w:rsidRDefault="00D6486B" w:rsidP="00D6486B">
            <w:pPr>
              <w:rPr>
                <w:rFonts w:ascii="Gill Sans" w:hAnsi="Gill Sans" w:cs="Gill Sans"/>
                <w:noProof/>
                <w:sz w:val="22"/>
                <w:szCs w:val="22"/>
                <w:lang w:val="en-GB"/>
              </w:rPr>
            </w:pPr>
          </w:p>
        </w:tc>
        <w:tc>
          <w:tcPr>
            <w:tcW w:w="423" w:type="dxa"/>
            <w:vMerge/>
            <w:tcBorders>
              <w:left w:val="single" w:sz="2" w:space="0" w:color="FFFFFF"/>
              <w:right w:val="single" w:sz="18" w:space="0" w:color="FFFFFF"/>
            </w:tcBorders>
            <w:shd w:val="clear" w:color="auto" w:fill="D99594"/>
          </w:tcPr>
          <w:p w14:paraId="6CAE2E16" w14:textId="77777777" w:rsidR="00D6486B" w:rsidRPr="009651AC" w:rsidRDefault="00D6486B" w:rsidP="00D6486B">
            <w:pPr>
              <w:rPr>
                <w:rFonts w:ascii="Gill Sans" w:hAnsi="Gill Sans" w:cs="Gill Sans"/>
                <w:sz w:val="22"/>
                <w:szCs w:val="22"/>
                <w:lang w:val="en-GB"/>
              </w:rPr>
            </w:pPr>
          </w:p>
        </w:tc>
      </w:tr>
    </w:tbl>
    <w:p w14:paraId="02C6C955" w14:textId="77777777" w:rsidR="00A44CB4" w:rsidRPr="00E80E32" w:rsidRDefault="00A44CB4" w:rsidP="00163080"/>
    <w:p w14:paraId="0C5F5328" w14:textId="1158084D" w:rsidR="00547677" w:rsidRPr="00BE4DD0" w:rsidRDefault="00547677" w:rsidP="006319F4">
      <w:pPr>
        <w:pStyle w:val="Heading3"/>
      </w:pPr>
      <w:r w:rsidRPr="00BE4DD0">
        <w:t xml:space="preserve">Commitment </w:t>
      </w:r>
      <w:r w:rsidR="00A44CB4">
        <w:t>a</w:t>
      </w:r>
      <w:r w:rsidRPr="00BE4DD0">
        <w:t>im</w:t>
      </w:r>
    </w:p>
    <w:p w14:paraId="45C3E87C" w14:textId="22C98779" w:rsidR="00BE4DD0" w:rsidRPr="00BE4DD0" w:rsidRDefault="00BE4DD0" w:rsidP="00E80E32">
      <w:pPr>
        <w:spacing w:after="120"/>
        <w:rPr>
          <w:rFonts w:ascii="Gill Sans" w:hAnsi="Gill Sans" w:cs="Gill Sans"/>
          <w:sz w:val="22"/>
          <w:szCs w:val="22"/>
          <w:lang w:val="en-GB"/>
        </w:rPr>
      </w:pPr>
      <w:r w:rsidRPr="00BE4DD0">
        <w:rPr>
          <w:rFonts w:ascii="Gill Sans" w:hAnsi="Gill Sans" w:cs="Gill Sans"/>
          <w:sz w:val="22"/>
          <w:szCs w:val="22"/>
          <w:lang w:val="en-GB"/>
        </w:rPr>
        <w:t>The</w:t>
      </w:r>
      <w:r w:rsidR="00E3700C">
        <w:rPr>
          <w:rFonts w:ascii="Gill Sans" w:hAnsi="Gill Sans" w:cs="Gill Sans"/>
          <w:sz w:val="22"/>
          <w:szCs w:val="22"/>
          <w:lang w:val="en-GB"/>
        </w:rPr>
        <w:t xml:space="preserve"> commitment </w:t>
      </w:r>
      <w:r w:rsidR="002A0749">
        <w:rPr>
          <w:rFonts w:ascii="Gill Sans" w:hAnsi="Gill Sans" w:cs="Gill Sans"/>
          <w:sz w:val="22"/>
          <w:szCs w:val="22"/>
          <w:lang w:val="en-GB"/>
        </w:rPr>
        <w:t>sought</w:t>
      </w:r>
      <w:r w:rsidR="002A0749" w:rsidRPr="00BE4DD0">
        <w:rPr>
          <w:rFonts w:ascii="Gill Sans" w:hAnsi="Gill Sans" w:cs="Gill Sans"/>
          <w:sz w:val="22"/>
          <w:szCs w:val="22"/>
          <w:lang w:val="en-GB"/>
        </w:rPr>
        <w:t xml:space="preserve"> </w:t>
      </w:r>
      <w:r w:rsidR="001B5DF3" w:rsidRPr="00BE4DD0">
        <w:rPr>
          <w:rFonts w:ascii="Gill Sans" w:hAnsi="Gill Sans" w:cs="Gill Sans"/>
          <w:sz w:val="22"/>
          <w:szCs w:val="22"/>
          <w:lang w:val="en-GB"/>
        </w:rPr>
        <w:t xml:space="preserve">to launch the online portal with information on administrative services. </w:t>
      </w:r>
      <w:r w:rsidR="00E3700C">
        <w:rPr>
          <w:rFonts w:ascii="Gill Sans" w:hAnsi="Gill Sans" w:cs="Gill Sans"/>
          <w:noProof/>
          <w:sz w:val="22"/>
          <w:szCs w:val="22"/>
          <w:lang w:val="en-GB"/>
        </w:rPr>
        <w:t xml:space="preserve">It </w:t>
      </w:r>
      <w:r w:rsidRPr="00BE4DD0">
        <w:rPr>
          <w:rFonts w:ascii="Gill Sans" w:hAnsi="Gill Sans" w:cs="Gill Sans"/>
          <w:noProof/>
          <w:sz w:val="22"/>
          <w:szCs w:val="22"/>
          <w:lang w:val="en-GB"/>
        </w:rPr>
        <w:t xml:space="preserve">built on a similar commitment included in the OGP action plan of 2012. </w:t>
      </w:r>
      <w:r w:rsidR="00A44CB4">
        <w:rPr>
          <w:rFonts w:ascii="Gill Sans" w:hAnsi="Gill Sans" w:cs="Gill Sans"/>
          <w:noProof/>
          <w:sz w:val="22"/>
          <w:szCs w:val="22"/>
          <w:lang w:val="en-GB"/>
        </w:rPr>
        <w:t>S</w:t>
      </w:r>
      <w:r w:rsidRPr="00BE4DD0">
        <w:rPr>
          <w:rFonts w:ascii="Gill Sans" w:hAnsi="Gill Sans" w:cs="Gill Sans"/>
          <w:noProof/>
          <w:sz w:val="22"/>
          <w:szCs w:val="22"/>
          <w:lang w:val="en-GB"/>
        </w:rPr>
        <w:t>uch a web portal of administrative services was set up in 2012 (</w:t>
      </w:r>
      <w:hyperlink r:id="rId17" w:history="1">
        <w:r w:rsidR="00A44CB4" w:rsidRPr="006546C1">
          <w:rPr>
            <w:rStyle w:val="Hyperlink"/>
            <w:rFonts w:ascii="Gill Sans" w:hAnsi="Gill Sans" w:cs="Gill Sans"/>
            <w:noProof/>
            <w:sz w:val="22"/>
            <w:szCs w:val="22"/>
            <w:lang w:val="en-GB"/>
          </w:rPr>
          <w:t>http://poslugy.gov.ua)</w:t>
        </w:r>
      </w:hyperlink>
      <w:r w:rsidR="00A44CB4">
        <w:rPr>
          <w:rFonts w:ascii="Gill Sans" w:hAnsi="Gill Sans" w:cs="Gill Sans"/>
          <w:noProof/>
          <w:sz w:val="22"/>
          <w:szCs w:val="22"/>
          <w:lang w:val="en-GB"/>
        </w:rPr>
        <w:t>. H</w:t>
      </w:r>
      <w:r w:rsidRPr="00BE4DD0">
        <w:rPr>
          <w:rFonts w:ascii="Gill Sans" w:hAnsi="Gill Sans" w:cs="Gill Sans"/>
          <w:noProof/>
          <w:sz w:val="22"/>
          <w:szCs w:val="22"/>
          <w:lang w:val="en-GB"/>
        </w:rPr>
        <w:t xml:space="preserve">owever, it </w:t>
      </w:r>
      <w:r w:rsidR="002A0749">
        <w:rPr>
          <w:rFonts w:ascii="Gill Sans" w:hAnsi="Gill Sans" w:cs="Gill Sans"/>
          <w:noProof/>
          <w:sz w:val="22"/>
          <w:szCs w:val="22"/>
          <w:lang w:val="en-GB"/>
        </w:rPr>
        <w:t>was</w:t>
      </w:r>
      <w:r w:rsidR="002A0749" w:rsidRPr="00BE4DD0">
        <w:rPr>
          <w:rFonts w:ascii="Gill Sans" w:hAnsi="Gill Sans" w:cs="Gill Sans"/>
          <w:noProof/>
          <w:sz w:val="22"/>
          <w:szCs w:val="22"/>
          <w:lang w:val="en-GB"/>
        </w:rPr>
        <w:t xml:space="preserve"> </w:t>
      </w:r>
      <w:r w:rsidRPr="00BE4DD0">
        <w:rPr>
          <w:rFonts w:ascii="Gill Sans" w:hAnsi="Gill Sans" w:cs="Gill Sans"/>
          <w:noProof/>
          <w:sz w:val="22"/>
          <w:szCs w:val="22"/>
          <w:lang w:val="en-GB"/>
        </w:rPr>
        <w:t xml:space="preserve">not fully </w:t>
      </w:r>
      <w:r w:rsidR="002A0749" w:rsidRPr="00BE4DD0">
        <w:rPr>
          <w:rFonts w:ascii="Gill Sans" w:hAnsi="Gill Sans" w:cs="Gill Sans"/>
          <w:noProof/>
          <w:sz w:val="22"/>
          <w:szCs w:val="22"/>
          <w:lang w:val="en-GB"/>
        </w:rPr>
        <w:t>function</w:t>
      </w:r>
      <w:r w:rsidR="002A0749">
        <w:rPr>
          <w:rFonts w:ascii="Gill Sans" w:hAnsi="Gill Sans" w:cs="Gill Sans"/>
          <w:noProof/>
          <w:sz w:val="22"/>
          <w:szCs w:val="22"/>
          <w:lang w:val="en-GB"/>
        </w:rPr>
        <w:t>al,</w:t>
      </w:r>
      <w:r w:rsidR="002A0749" w:rsidRPr="00BE4DD0">
        <w:rPr>
          <w:rFonts w:ascii="Gill Sans" w:hAnsi="Gill Sans" w:cs="Gill Sans"/>
          <w:noProof/>
          <w:sz w:val="22"/>
          <w:szCs w:val="22"/>
          <w:lang w:val="en-GB"/>
        </w:rPr>
        <w:t xml:space="preserve"> </w:t>
      </w:r>
      <w:r w:rsidRPr="00BE4DD0">
        <w:rPr>
          <w:rFonts w:ascii="Gill Sans" w:hAnsi="Gill Sans" w:cs="Gill Sans"/>
          <w:noProof/>
          <w:sz w:val="22"/>
          <w:szCs w:val="22"/>
          <w:lang w:val="en-GB"/>
        </w:rPr>
        <w:t>and provided very limited information and no possibility of obtaining actual services. The 2014 commitment repeated the language of the previous action plan</w:t>
      </w:r>
      <w:r w:rsidR="00A44CB4">
        <w:rPr>
          <w:rFonts w:ascii="Gill Sans" w:hAnsi="Gill Sans" w:cs="Gill Sans"/>
          <w:noProof/>
          <w:sz w:val="22"/>
          <w:szCs w:val="22"/>
          <w:lang w:val="en-GB"/>
        </w:rPr>
        <w:t>,</w:t>
      </w:r>
      <w:r w:rsidR="002A0749">
        <w:rPr>
          <w:rFonts w:ascii="Gill Sans" w:hAnsi="Gill Sans" w:cs="Gill Sans"/>
          <w:noProof/>
          <w:sz w:val="22"/>
          <w:szCs w:val="22"/>
          <w:lang w:val="en-GB"/>
        </w:rPr>
        <w:t xml:space="preserve"> </w:t>
      </w:r>
      <w:r w:rsidR="00A44CB4">
        <w:rPr>
          <w:rFonts w:ascii="Gill Sans" w:hAnsi="Gill Sans" w:cs="Gill Sans"/>
          <w:noProof/>
          <w:sz w:val="22"/>
          <w:szCs w:val="22"/>
          <w:lang w:val="en-GB"/>
        </w:rPr>
        <w:t xml:space="preserve">as it did </w:t>
      </w:r>
      <w:r w:rsidRPr="00BE4DD0">
        <w:rPr>
          <w:rFonts w:ascii="Gill Sans" w:hAnsi="Gill Sans" w:cs="Gill Sans"/>
          <w:noProof/>
          <w:sz w:val="22"/>
          <w:szCs w:val="22"/>
          <w:lang w:val="en-GB"/>
        </w:rPr>
        <w:t>not mention the actual provision of services by electronic means.</w:t>
      </w:r>
    </w:p>
    <w:p w14:paraId="3B6B9303" w14:textId="285EE8D4" w:rsidR="00547677" w:rsidRPr="00BE4DD0" w:rsidRDefault="00547677" w:rsidP="006319F4">
      <w:pPr>
        <w:pStyle w:val="Heading3"/>
      </w:pPr>
      <w:r w:rsidRPr="00BE4DD0">
        <w:t>Status</w:t>
      </w:r>
    </w:p>
    <w:p w14:paraId="28F3A71E" w14:textId="5C16C583" w:rsidR="00547677" w:rsidRPr="00BE4DD0" w:rsidRDefault="00547677" w:rsidP="00BE4DD0">
      <w:pPr>
        <w:pStyle w:val="Normalrglronly"/>
        <w:rPr>
          <w:b/>
          <w:lang w:val="en-GB"/>
        </w:rPr>
      </w:pPr>
      <w:r w:rsidRPr="00BE4DD0">
        <w:rPr>
          <w:b/>
          <w:lang w:val="en-GB"/>
        </w:rPr>
        <w:t xml:space="preserve">Midterm: </w:t>
      </w:r>
      <w:r w:rsidR="00BE4DD0" w:rsidRPr="00BE4DD0">
        <w:rPr>
          <w:b/>
          <w:lang w:val="en-GB"/>
        </w:rPr>
        <w:t>Completed</w:t>
      </w:r>
    </w:p>
    <w:p w14:paraId="248CCD71" w14:textId="46567EE6" w:rsidR="00547677" w:rsidRPr="00BE4DD0" w:rsidRDefault="00BE4DD0" w:rsidP="00E80E32">
      <w:pPr>
        <w:spacing w:after="120"/>
        <w:rPr>
          <w:rFonts w:ascii="Gill Sans" w:hAnsi="Gill Sans" w:cs="Gill Sans"/>
          <w:noProof/>
          <w:sz w:val="22"/>
          <w:szCs w:val="22"/>
          <w:lang w:val="en-GB"/>
        </w:rPr>
      </w:pPr>
      <w:r w:rsidRPr="00BE4DD0">
        <w:rPr>
          <w:rFonts w:ascii="Gill Sans" w:hAnsi="Gill Sans" w:cs="Gill Sans"/>
          <w:sz w:val="22"/>
          <w:szCs w:val="22"/>
          <w:lang w:val="en-GB"/>
        </w:rPr>
        <w:t xml:space="preserve">The government reported that it </w:t>
      </w:r>
      <w:r w:rsidR="00E3700C">
        <w:rPr>
          <w:rFonts w:ascii="Gill Sans" w:hAnsi="Gill Sans" w:cs="Gill Sans"/>
          <w:sz w:val="22"/>
          <w:szCs w:val="22"/>
          <w:lang w:val="en-GB"/>
        </w:rPr>
        <w:t>re-</w:t>
      </w:r>
      <w:r w:rsidRPr="00BE4DD0">
        <w:rPr>
          <w:rFonts w:ascii="Gill Sans" w:hAnsi="Gill Sans" w:cs="Gill Sans"/>
          <w:sz w:val="22"/>
          <w:szCs w:val="22"/>
          <w:lang w:val="en-GB"/>
        </w:rPr>
        <w:t>launched the Unified State Portal of Administrative Services (</w:t>
      </w:r>
      <w:hyperlink r:id="rId18" w:history="1">
        <w:r w:rsidR="002A0749" w:rsidRPr="003428B6">
          <w:rPr>
            <w:rStyle w:val="Hyperlink"/>
            <w:rFonts w:ascii="Gill Sans" w:hAnsi="Gill Sans" w:cs="Gill Sans"/>
            <w:sz w:val="22"/>
            <w:szCs w:val="22"/>
            <w:lang w:val="en-GB"/>
          </w:rPr>
          <w:t>http://poslugy.gov.ua)</w:t>
        </w:r>
      </w:hyperlink>
      <w:r w:rsidR="002A0749">
        <w:rPr>
          <w:rFonts w:ascii="Gill Sans" w:hAnsi="Gill Sans" w:cs="Gill Sans"/>
          <w:sz w:val="22"/>
          <w:szCs w:val="22"/>
          <w:lang w:val="en-GB"/>
        </w:rPr>
        <w:t xml:space="preserve"> </w:t>
      </w:r>
      <w:r w:rsidR="002A0749" w:rsidRPr="00BE4DD0">
        <w:rPr>
          <w:rFonts w:ascii="Gill Sans" w:hAnsi="Gill Sans" w:cs="Gill Sans"/>
          <w:sz w:val="22"/>
          <w:szCs w:val="22"/>
          <w:lang w:val="en-GB"/>
        </w:rPr>
        <w:t>in September 2015</w:t>
      </w:r>
      <w:r w:rsidRPr="00BE4DD0">
        <w:rPr>
          <w:rFonts w:ascii="Gill Sans" w:hAnsi="Gill Sans" w:cs="Gill Sans"/>
          <w:sz w:val="22"/>
          <w:szCs w:val="22"/>
          <w:lang w:val="en-GB"/>
        </w:rPr>
        <w:t>. The web portal included information on services provided by the central executive authorities</w:t>
      </w:r>
      <w:r w:rsidR="002A0749">
        <w:rPr>
          <w:rFonts w:ascii="Gill Sans" w:hAnsi="Gill Sans" w:cs="Gill Sans"/>
          <w:sz w:val="22"/>
          <w:szCs w:val="22"/>
          <w:lang w:val="en-GB"/>
        </w:rPr>
        <w:t>,</w:t>
      </w:r>
      <w:r w:rsidRPr="00BE4DD0">
        <w:rPr>
          <w:rFonts w:ascii="Gill Sans" w:hAnsi="Gill Sans" w:cs="Gill Sans"/>
          <w:sz w:val="22"/>
          <w:szCs w:val="22"/>
          <w:lang w:val="en-GB"/>
        </w:rPr>
        <w:t xml:space="preserve"> and an updated list of agencies providing services. </w:t>
      </w:r>
      <w:r w:rsidR="002A0749">
        <w:rPr>
          <w:rFonts w:ascii="Gill Sans" w:hAnsi="Gill Sans" w:cs="Gill Sans"/>
          <w:sz w:val="22"/>
          <w:szCs w:val="22"/>
          <w:lang w:val="en-GB"/>
        </w:rPr>
        <w:t>It further</w:t>
      </w:r>
      <w:r w:rsidRPr="00BE4DD0">
        <w:rPr>
          <w:rFonts w:ascii="Gill Sans" w:hAnsi="Gill Sans" w:cs="Gill Sans"/>
          <w:sz w:val="22"/>
          <w:szCs w:val="22"/>
          <w:lang w:val="en-GB"/>
        </w:rPr>
        <w:t xml:space="preserve"> reported that the Ministry of Economic Development </w:t>
      </w:r>
      <w:r w:rsidR="00BE60D4">
        <w:rPr>
          <w:rFonts w:ascii="Gill Sans" w:hAnsi="Gill Sans" w:cs="Gill Sans"/>
          <w:sz w:val="22"/>
          <w:szCs w:val="22"/>
          <w:lang w:val="en-GB"/>
        </w:rPr>
        <w:t>was</w:t>
      </w:r>
      <w:r w:rsidRPr="00BE4DD0">
        <w:rPr>
          <w:rFonts w:ascii="Gill Sans" w:hAnsi="Gill Sans" w:cs="Gill Sans"/>
          <w:sz w:val="22"/>
          <w:szCs w:val="22"/>
          <w:lang w:val="en-GB"/>
        </w:rPr>
        <w:t xml:space="preserve"> conducting an analysis of the business processes</w:t>
      </w:r>
      <w:r w:rsidR="00A44CB4">
        <w:rPr>
          <w:rFonts w:ascii="Gill Sans" w:hAnsi="Gill Sans" w:cs="Gill Sans"/>
          <w:sz w:val="22"/>
          <w:szCs w:val="22"/>
          <w:lang w:val="en-GB"/>
        </w:rPr>
        <w:t xml:space="preserve"> involved</w:t>
      </w:r>
      <w:r w:rsidRPr="00BE4DD0">
        <w:rPr>
          <w:rFonts w:ascii="Gill Sans" w:hAnsi="Gill Sans" w:cs="Gill Sans"/>
          <w:sz w:val="22"/>
          <w:szCs w:val="22"/>
          <w:lang w:val="en-GB"/>
        </w:rPr>
        <w:t xml:space="preserve"> </w:t>
      </w:r>
      <w:r w:rsidR="00A44CB4">
        <w:rPr>
          <w:rFonts w:ascii="Gill Sans" w:hAnsi="Gill Sans" w:cs="Gill Sans"/>
          <w:sz w:val="22"/>
          <w:szCs w:val="22"/>
          <w:lang w:val="en-GB"/>
        </w:rPr>
        <w:t>in</w:t>
      </w:r>
      <w:r w:rsidRPr="00BE4DD0">
        <w:rPr>
          <w:rFonts w:ascii="Gill Sans" w:hAnsi="Gill Sans" w:cs="Gill Sans"/>
          <w:sz w:val="22"/>
          <w:szCs w:val="22"/>
          <w:lang w:val="en-GB"/>
        </w:rPr>
        <w:t xml:space="preserve"> </w:t>
      </w:r>
      <w:r w:rsidR="002A0749">
        <w:rPr>
          <w:rFonts w:ascii="Gill Sans" w:hAnsi="Gill Sans" w:cs="Gill Sans"/>
          <w:sz w:val="22"/>
          <w:szCs w:val="22"/>
          <w:lang w:val="en-GB"/>
        </w:rPr>
        <w:t xml:space="preserve">providing </w:t>
      </w:r>
      <w:r w:rsidRPr="00BE4DD0">
        <w:rPr>
          <w:rFonts w:ascii="Gill Sans" w:hAnsi="Gill Sans" w:cs="Gill Sans"/>
          <w:sz w:val="22"/>
          <w:szCs w:val="22"/>
          <w:lang w:val="en-GB"/>
        </w:rPr>
        <w:t xml:space="preserve">administrative services to </w:t>
      </w:r>
      <w:r w:rsidR="002A0749">
        <w:rPr>
          <w:rFonts w:ascii="Gill Sans" w:hAnsi="Gill Sans" w:cs="Gill Sans"/>
          <w:sz w:val="22"/>
          <w:szCs w:val="22"/>
          <w:lang w:val="en-GB"/>
        </w:rPr>
        <w:t>determine</w:t>
      </w:r>
      <w:r w:rsidR="002A0749" w:rsidRPr="00BE4DD0">
        <w:rPr>
          <w:rFonts w:ascii="Gill Sans" w:hAnsi="Gill Sans" w:cs="Gill Sans"/>
          <w:sz w:val="22"/>
          <w:szCs w:val="22"/>
          <w:lang w:val="en-GB"/>
        </w:rPr>
        <w:t xml:space="preserve"> </w:t>
      </w:r>
      <w:r w:rsidRPr="00BE4DD0">
        <w:rPr>
          <w:rFonts w:ascii="Gill Sans" w:hAnsi="Gill Sans" w:cs="Gill Sans"/>
          <w:sz w:val="22"/>
          <w:szCs w:val="22"/>
          <w:lang w:val="en-GB"/>
        </w:rPr>
        <w:t>ways to simplify and digitise them. Supposedly, once services are digitised they can be moved to the web portal. The Ministry of Economic Development noted that</w:t>
      </w:r>
      <w:r w:rsidR="00BE60D4">
        <w:rPr>
          <w:rFonts w:ascii="Gill Sans" w:hAnsi="Gill Sans" w:cs="Gill Sans"/>
          <w:sz w:val="22"/>
          <w:szCs w:val="22"/>
          <w:lang w:val="en-GB"/>
        </w:rPr>
        <w:t>,</w:t>
      </w:r>
      <w:r w:rsidRPr="00BE4DD0">
        <w:rPr>
          <w:rFonts w:ascii="Gill Sans" w:hAnsi="Gill Sans" w:cs="Gill Sans"/>
          <w:sz w:val="22"/>
          <w:szCs w:val="22"/>
          <w:lang w:val="en-GB"/>
        </w:rPr>
        <w:t xml:space="preserve"> since the State Budget for 2015 did not include funding for maintaining the portal, the ministry could not expand its functionalities</w:t>
      </w:r>
      <w:r w:rsidR="00547677" w:rsidRPr="00BE4DD0">
        <w:rPr>
          <w:rFonts w:ascii="Gill Sans" w:hAnsi="Gill Sans" w:cs="Gill Sans"/>
          <w:noProof/>
          <w:sz w:val="22"/>
          <w:szCs w:val="22"/>
          <w:lang w:val="en-GB"/>
        </w:rPr>
        <w:t>.</w:t>
      </w:r>
      <w:r w:rsidR="00547677" w:rsidRPr="00BE4DD0">
        <w:rPr>
          <w:rStyle w:val="EndnoteReference"/>
          <w:rFonts w:ascii="Gill Sans" w:hAnsi="Gill Sans" w:cs="Gill Sans"/>
          <w:noProof/>
          <w:sz w:val="22"/>
          <w:szCs w:val="22"/>
          <w:lang w:val="en-GB"/>
        </w:rPr>
        <w:endnoteReference w:id="79"/>
      </w:r>
      <w:r w:rsidR="009D3EC0">
        <w:rPr>
          <w:rFonts w:ascii="Gill Sans" w:hAnsi="Gill Sans" w:cs="Gill Sans"/>
          <w:noProof/>
          <w:sz w:val="22"/>
          <w:szCs w:val="22"/>
          <w:lang w:val="en-GB"/>
        </w:rPr>
        <w:t xml:space="preserve"> For further information, see the 2014-15 IRM Progress Report.</w:t>
      </w:r>
    </w:p>
    <w:p w14:paraId="607078A0" w14:textId="7AD3187E" w:rsidR="00B10537" w:rsidRPr="00DB7BAB" w:rsidRDefault="00453D39" w:rsidP="00E80E32">
      <w:pPr>
        <w:spacing w:after="120"/>
        <w:rPr>
          <w:rFonts w:ascii="Gill Sans" w:hAnsi="Gill Sans" w:cs="Gill Sans"/>
          <w:noProof/>
          <w:sz w:val="22"/>
          <w:szCs w:val="22"/>
          <w:lang w:val="en-GB"/>
        </w:rPr>
      </w:pPr>
      <w:r>
        <w:rPr>
          <w:rFonts w:ascii="Gill Sans" w:hAnsi="Gill Sans" w:cs="Gill Sans"/>
          <w:noProof/>
          <w:sz w:val="22"/>
          <w:szCs w:val="22"/>
          <w:lang w:val="en-GB"/>
        </w:rPr>
        <w:lastRenderedPageBreak/>
        <w:t xml:space="preserve">According to the </w:t>
      </w:r>
      <w:r w:rsidR="002A0749">
        <w:rPr>
          <w:rFonts w:ascii="Gill Sans" w:hAnsi="Gill Sans" w:cs="Gill Sans"/>
          <w:noProof/>
          <w:sz w:val="22"/>
          <w:szCs w:val="22"/>
          <w:lang w:val="en-GB"/>
        </w:rPr>
        <w:t>g</w:t>
      </w:r>
      <w:r>
        <w:rPr>
          <w:rFonts w:ascii="Gill Sans" w:hAnsi="Gill Sans" w:cs="Gill Sans"/>
          <w:noProof/>
          <w:sz w:val="22"/>
          <w:szCs w:val="22"/>
          <w:lang w:val="en-GB"/>
        </w:rPr>
        <w:t xml:space="preserve">overnment’s final self-assessment report, the portal includes information about </w:t>
      </w:r>
      <w:r w:rsidR="00BE60D4">
        <w:rPr>
          <w:rFonts w:ascii="Gill Sans" w:hAnsi="Gill Sans" w:cs="Gill Sans"/>
          <w:noProof/>
          <w:sz w:val="22"/>
          <w:szCs w:val="22"/>
          <w:lang w:val="en-GB"/>
        </w:rPr>
        <w:t xml:space="preserve">the </w:t>
      </w:r>
      <w:r>
        <w:rPr>
          <w:rFonts w:ascii="Gill Sans" w:hAnsi="Gill Sans" w:cs="Gill Sans"/>
          <w:noProof/>
          <w:sz w:val="22"/>
          <w:szCs w:val="22"/>
          <w:lang w:val="en-GB"/>
        </w:rPr>
        <w:t xml:space="preserve">administrative services </w:t>
      </w:r>
      <w:r w:rsidR="00EB42FB">
        <w:rPr>
          <w:rFonts w:ascii="Gill Sans" w:hAnsi="Gill Sans" w:cs="Gill Sans"/>
          <w:noProof/>
          <w:sz w:val="22"/>
          <w:szCs w:val="22"/>
          <w:lang w:val="en-GB"/>
        </w:rPr>
        <w:t xml:space="preserve">provided by executive authorities (over 1,000 services by 48 agencies), legal acts that regulate them, information on </w:t>
      </w:r>
      <w:r w:rsidR="00B10537">
        <w:rPr>
          <w:rFonts w:ascii="Gill Sans" w:hAnsi="Gill Sans" w:cs="Gill Sans"/>
          <w:noProof/>
          <w:sz w:val="22"/>
          <w:szCs w:val="22"/>
          <w:lang w:val="en-GB"/>
        </w:rPr>
        <w:t xml:space="preserve">600 </w:t>
      </w:r>
      <w:r w:rsidR="00EB42FB">
        <w:rPr>
          <w:rFonts w:ascii="Gill Sans" w:hAnsi="Gill Sans" w:cs="Gill Sans"/>
          <w:noProof/>
          <w:sz w:val="22"/>
          <w:szCs w:val="22"/>
          <w:lang w:val="en-GB"/>
        </w:rPr>
        <w:t>Administrative</w:t>
      </w:r>
      <w:r w:rsidR="00B10537">
        <w:rPr>
          <w:rFonts w:ascii="Gill Sans" w:hAnsi="Gill Sans" w:cs="Gill Sans"/>
          <w:noProof/>
          <w:sz w:val="22"/>
          <w:szCs w:val="22"/>
          <w:lang w:val="en-GB"/>
        </w:rPr>
        <w:t xml:space="preserve"> Service Provision Centres, </w:t>
      </w:r>
      <w:r w:rsidR="002A0749">
        <w:rPr>
          <w:rFonts w:ascii="Gill Sans" w:hAnsi="Gill Sans" w:cs="Gill Sans"/>
          <w:noProof/>
          <w:sz w:val="22"/>
          <w:szCs w:val="22"/>
          <w:lang w:val="en-GB"/>
        </w:rPr>
        <w:t xml:space="preserve">and </w:t>
      </w:r>
      <w:r w:rsidR="00B10537">
        <w:rPr>
          <w:rFonts w:ascii="Gill Sans" w:hAnsi="Gill Sans" w:cs="Gill Sans"/>
          <w:noProof/>
          <w:sz w:val="22"/>
          <w:szCs w:val="22"/>
          <w:lang w:val="en-GB"/>
        </w:rPr>
        <w:t xml:space="preserve">electronic forms and other documents required to obtain specific services. </w:t>
      </w:r>
      <w:r w:rsidR="00D60253">
        <w:rPr>
          <w:rFonts w:ascii="Gill Sans" w:hAnsi="Gill Sans" w:cs="Gill Sans"/>
          <w:noProof/>
          <w:sz w:val="22"/>
          <w:szCs w:val="22"/>
          <w:lang w:val="en-GB"/>
        </w:rPr>
        <w:t xml:space="preserve">According to the report, a user can create a personal account on the portal by using a digital signature or BankID, </w:t>
      </w:r>
      <w:r w:rsidR="002A0749">
        <w:rPr>
          <w:rFonts w:ascii="Gill Sans" w:hAnsi="Gill Sans" w:cs="Gill Sans"/>
          <w:noProof/>
          <w:sz w:val="22"/>
          <w:szCs w:val="22"/>
          <w:lang w:val="en-GB"/>
        </w:rPr>
        <w:t xml:space="preserve">and </w:t>
      </w:r>
      <w:r w:rsidR="00D60253">
        <w:rPr>
          <w:rFonts w:ascii="Gill Sans" w:hAnsi="Gill Sans" w:cs="Gill Sans"/>
          <w:noProof/>
          <w:sz w:val="22"/>
          <w:szCs w:val="22"/>
          <w:lang w:val="en-GB"/>
        </w:rPr>
        <w:t xml:space="preserve">fill in or upload an application and other documents to obtain services. </w:t>
      </w:r>
      <w:r w:rsidR="00AE3CC5">
        <w:rPr>
          <w:rFonts w:ascii="Gill Sans" w:hAnsi="Gill Sans" w:cs="Gill Sans"/>
          <w:noProof/>
          <w:sz w:val="22"/>
          <w:szCs w:val="22"/>
          <w:lang w:val="en-GB"/>
        </w:rPr>
        <w:t>The researcher verified these functions o</w:t>
      </w:r>
      <w:r w:rsidR="00BE60D4">
        <w:rPr>
          <w:rFonts w:ascii="Gill Sans" w:hAnsi="Gill Sans" w:cs="Gill Sans"/>
          <w:noProof/>
          <w:sz w:val="22"/>
          <w:szCs w:val="22"/>
          <w:lang w:val="en-GB"/>
        </w:rPr>
        <w:t>n</w:t>
      </w:r>
      <w:r w:rsidR="00AE3CC5">
        <w:rPr>
          <w:rFonts w:ascii="Gill Sans" w:hAnsi="Gill Sans" w:cs="Gill Sans"/>
          <w:noProof/>
          <w:sz w:val="22"/>
          <w:szCs w:val="22"/>
          <w:lang w:val="en-GB"/>
        </w:rPr>
        <w:t xml:space="preserve"> the portal in late 2016. </w:t>
      </w:r>
      <w:r w:rsidR="00D60253">
        <w:rPr>
          <w:rFonts w:ascii="Gill Sans" w:hAnsi="Gill Sans" w:cs="Gill Sans"/>
          <w:noProof/>
          <w:sz w:val="22"/>
          <w:szCs w:val="22"/>
          <w:lang w:val="en-GB"/>
        </w:rPr>
        <w:t xml:space="preserve">Since March 2016, users can order and obtain through the portal 12 </w:t>
      </w:r>
      <w:r w:rsidR="00D60253" w:rsidRPr="00DB7BAB">
        <w:rPr>
          <w:rFonts w:ascii="Gill Sans" w:hAnsi="Gill Sans" w:cs="Gill Sans"/>
          <w:noProof/>
          <w:sz w:val="22"/>
          <w:szCs w:val="22"/>
          <w:lang w:val="en-GB"/>
        </w:rPr>
        <w:t xml:space="preserve">services provided by the Ministry of Economy, as well as </w:t>
      </w:r>
      <w:r w:rsidR="002A0749">
        <w:rPr>
          <w:rFonts w:ascii="Gill Sans" w:hAnsi="Gill Sans" w:cs="Gill Sans"/>
          <w:noProof/>
          <w:sz w:val="22"/>
          <w:szCs w:val="22"/>
          <w:lang w:val="en-GB"/>
        </w:rPr>
        <w:t>four</w:t>
      </w:r>
      <w:r w:rsidR="002A0749" w:rsidRPr="00DB7BAB">
        <w:rPr>
          <w:rFonts w:ascii="Gill Sans" w:hAnsi="Gill Sans" w:cs="Gill Sans"/>
          <w:noProof/>
          <w:sz w:val="22"/>
          <w:szCs w:val="22"/>
          <w:lang w:val="en-GB"/>
        </w:rPr>
        <w:t xml:space="preserve"> </w:t>
      </w:r>
      <w:r w:rsidR="00D60253" w:rsidRPr="00DB7BAB">
        <w:rPr>
          <w:rFonts w:ascii="Gill Sans" w:hAnsi="Gill Sans" w:cs="Gill Sans"/>
          <w:noProof/>
          <w:sz w:val="22"/>
          <w:szCs w:val="22"/>
          <w:lang w:val="en-GB"/>
        </w:rPr>
        <w:t xml:space="preserve">integrated services provided by the State Architecture and Construction Inspection. </w:t>
      </w:r>
    </w:p>
    <w:p w14:paraId="1C919F57" w14:textId="77777777" w:rsidR="00547677" w:rsidRPr="00DB7BAB" w:rsidRDefault="00547677" w:rsidP="006319F4">
      <w:pPr>
        <w:pStyle w:val="Heading3"/>
      </w:pPr>
      <w:r w:rsidRPr="00DB7BAB">
        <w:t>Did it open government?</w:t>
      </w:r>
    </w:p>
    <w:p w14:paraId="199AA027" w14:textId="35C466F1" w:rsidR="00547677" w:rsidRPr="00DB7BAB" w:rsidRDefault="00547677" w:rsidP="00547677">
      <w:pPr>
        <w:spacing w:after="120"/>
        <w:rPr>
          <w:rFonts w:ascii="Gill Sans" w:hAnsi="Gill Sans" w:cs="Gill Sans"/>
          <w:b/>
          <w:color w:val="000000" w:themeColor="text1"/>
          <w:sz w:val="22"/>
          <w:szCs w:val="22"/>
          <w:lang w:val="en-GB"/>
        </w:rPr>
      </w:pPr>
      <w:r w:rsidRPr="00DB7BAB">
        <w:rPr>
          <w:rFonts w:ascii="Gill Sans" w:hAnsi="Gill Sans" w:cs="Gill Sans"/>
          <w:b/>
          <w:color w:val="000000" w:themeColor="text1"/>
          <w:sz w:val="22"/>
          <w:szCs w:val="22"/>
          <w:lang w:val="en-GB"/>
        </w:rPr>
        <w:t xml:space="preserve">Access to information: </w:t>
      </w:r>
      <w:r w:rsidR="00FD46D7" w:rsidRPr="00DB7BAB">
        <w:rPr>
          <w:rFonts w:ascii="Gill Sans" w:hAnsi="Gill Sans" w:cs="Gill Sans"/>
          <w:b/>
          <w:color w:val="000000" w:themeColor="text1"/>
          <w:sz w:val="22"/>
          <w:szCs w:val="22"/>
          <w:lang w:val="en-GB"/>
        </w:rPr>
        <w:t>Marginal</w:t>
      </w:r>
    </w:p>
    <w:p w14:paraId="558A0DD6" w14:textId="2CFFE7B2" w:rsidR="00263898" w:rsidRPr="00DB7BAB" w:rsidRDefault="0014593C" w:rsidP="00E80E32">
      <w:pPr>
        <w:spacing w:after="120"/>
        <w:rPr>
          <w:rFonts w:ascii="Gill Sans" w:hAnsi="Gill Sans" w:cs="Gill Sans"/>
          <w:noProof/>
          <w:sz w:val="22"/>
          <w:szCs w:val="22"/>
          <w:lang w:val="en-GB"/>
        </w:rPr>
      </w:pPr>
      <w:r w:rsidRPr="00DB7BAB">
        <w:rPr>
          <w:rFonts w:ascii="Gill Sans" w:hAnsi="Gill Sans" w:cs="Gill Sans"/>
          <w:noProof/>
          <w:sz w:val="22"/>
          <w:szCs w:val="22"/>
          <w:lang w:val="en-GB"/>
        </w:rPr>
        <w:t>This commitment lacked ambition</w:t>
      </w:r>
      <w:r w:rsidR="00087B9A">
        <w:rPr>
          <w:rFonts w:ascii="Gill Sans" w:hAnsi="Gill Sans" w:cs="Gill Sans"/>
          <w:noProof/>
          <w:sz w:val="22"/>
          <w:szCs w:val="22"/>
          <w:lang w:val="en-GB"/>
        </w:rPr>
        <w:t>,</w:t>
      </w:r>
      <w:r w:rsidRPr="00DB7BAB">
        <w:rPr>
          <w:rFonts w:ascii="Gill Sans" w:hAnsi="Gill Sans" w:cs="Gill Sans"/>
          <w:noProof/>
          <w:sz w:val="22"/>
          <w:szCs w:val="22"/>
          <w:lang w:val="en-GB"/>
        </w:rPr>
        <w:t xml:space="preserve"> as the web portal provides access only to information on administrative services</w:t>
      </w:r>
      <w:r w:rsidR="00BE60D4">
        <w:rPr>
          <w:rFonts w:ascii="Gill Sans" w:hAnsi="Gill Sans" w:cs="Gill Sans"/>
          <w:noProof/>
          <w:sz w:val="22"/>
          <w:szCs w:val="22"/>
          <w:lang w:val="en-GB"/>
        </w:rPr>
        <w:t>, not</w:t>
      </w:r>
      <w:r w:rsidRPr="00DB7BAB">
        <w:rPr>
          <w:rFonts w:ascii="Gill Sans" w:hAnsi="Gill Sans" w:cs="Gill Sans"/>
          <w:noProof/>
          <w:sz w:val="22"/>
          <w:szCs w:val="22"/>
          <w:lang w:val="en-GB"/>
        </w:rPr>
        <w:t xml:space="preserve"> actual delivery of any of the services</w:t>
      </w:r>
      <w:r w:rsidR="00BE60D4">
        <w:rPr>
          <w:rFonts w:ascii="Gill Sans" w:hAnsi="Gill Sans" w:cs="Gill Sans"/>
          <w:noProof/>
          <w:sz w:val="22"/>
          <w:szCs w:val="22"/>
          <w:lang w:val="en-GB"/>
        </w:rPr>
        <w:t xml:space="preserve"> </w:t>
      </w:r>
      <w:r w:rsidR="00BE60D4" w:rsidRPr="00DB7BAB">
        <w:rPr>
          <w:rFonts w:ascii="Gill Sans" w:hAnsi="Gill Sans" w:cs="Gill Sans"/>
          <w:noProof/>
          <w:sz w:val="22"/>
          <w:szCs w:val="22"/>
          <w:lang w:val="en-GB"/>
        </w:rPr>
        <w:t>listed</w:t>
      </w:r>
      <w:r w:rsidRPr="00DB7BAB">
        <w:rPr>
          <w:rFonts w:ascii="Gill Sans" w:hAnsi="Gill Sans" w:cs="Gill Sans"/>
          <w:noProof/>
          <w:sz w:val="22"/>
          <w:szCs w:val="22"/>
          <w:lang w:val="en-GB"/>
        </w:rPr>
        <w:t>. It built on a similar commitment included in the previous OGP action plan</w:t>
      </w:r>
      <w:r w:rsidR="00087B9A">
        <w:rPr>
          <w:rFonts w:ascii="Gill Sans" w:hAnsi="Gill Sans" w:cs="Gill Sans"/>
          <w:noProof/>
          <w:sz w:val="22"/>
          <w:szCs w:val="22"/>
          <w:lang w:val="en-GB"/>
        </w:rPr>
        <w:t>, but</w:t>
      </w:r>
      <w:r w:rsidRPr="00DB7BAB">
        <w:rPr>
          <w:rFonts w:ascii="Gill Sans" w:hAnsi="Gill Sans" w:cs="Gill Sans"/>
          <w:noProof/>
          <w:sz w:val="22"/>
          <w:szCs w:val="22"/>
          <w:lang w:val="en-GB"/>
        </w:rPr>
        <w:t xml:space="preserve"> did not mention the actual provision of services by electronic means. </w:t>
      </w:r>
      <w:r w:rsidR="00087B9A">
        <w:rPr>
          <w:rFonts w:ascii="Gill Sans" w:hAnsi="Gill Sans" w:cs="Gill Sans"/>
          <w:noProof/>
          <w:sz w:val="22"/>
          <w:szCs w:val="22"/>
          <w:lang w:val="en-GB"/>
        </w:rPr>
        <w:t>The government should be commended for</w:t>
      </w:r>
      <w:r w:rsidR="00026E02">
        <w:rPr>
          <w:rFonts w:ascii="Gill Sans" w:hAnsi="Gill Sans" w:cs="Gill Sans"/>
          <w:noProof/>
          <w:sz w:val="22"/>
          <w:szCs w:val="22"/>
          <w:lang w:val="en-GB"/>
        </w:rPr>
        <w:t xml:space="preserve"> </w:t>
      </w:r>
      <w:r w:rsidR="00087B9A">
        <w:rPr>
          <w:rFonts w:ascii="Gill Sans" w:hAnsi="Gill Sans" w:cs="Gill Sans"/>
          <w:noProof/>
          <w:sz w:val="22"/>
          <w:szCs w:val="22"/>
          <w:lang w:val="en-GB"/>
        </w:rPr>
        <w:t xml:space="preserve">attempting </w:t>
      </w:r>
      <w:r w:rsidR="00026E02">
        <w:rPr>
          <w:rFonts w:ascii="Gill Sans" w:hAnsi="Gill Sans" w:cs="Gill Sans"/>
          <w:noProof/>
          <w:sz w:val="22"/>
          <w:szCs w:val="22"/>
          <w:lang w:val="en-GB"/>
        </w:rPr>
        <w:t>to go beyond the original commitment</w:t>
      </w:r>
      <w:r w:rsidR="00BE60D4">
        <w:rPr>
          <w:rFonts w:ascii="Gill Sans" w:hAnsi="Gill Sans" w:cs="Gill Sans"/>
          <w:noProof/>
          <w:sz w:val="22"/>
          <w:szCs w:val="22"/>
          <w:lang w:val="en-GB"/>
        </w:rPr>
        <w:t>,</w:t>
      </w:r>
      <w:r w:rsidR="00026E02">
        <w:rPr>
          <w:rFonts w:ascii="Gill Sans" w:hAnsi="Gill Sans" w:cs="Gill Sans"/>
          <w:noProof/>
          <w:sz w:val="22"/>
          <w:szCs w:val="22"/>
          <w:lang w:val="en-GB"/>
        </w:rPr>
        <w:t xml:space="preserve"> and provid</w:t>
      </w:r>
      <w:r w:rsidR="00BE60D4">
        <w:rPr>
          <w:rFonts w:ascii="Gill Sans" w:hAnsi="Gill Sans" w:cs="Gill Sans"/>
          <w:noProof/>
          <w:sz w:val="22"/>
          <w:szCs w:val="22"/>
          <w:lang w:val="en-GB"/>
        </w:rPr>
        <w:t>ing</w:t>
      </w:r>
      <w:r w:rsidR="00026E02">
        <w:rPr>
          <w:rFonts w:ascii="Gill Sans" w:hAnsi="Gill Sans" w:cs="Gill Sans"/>
          <w:noProof/>
          <w:sz w:val="22"/>
          <w:szCs w:val="22"/>
          <w:lang w:val="en-GB"/>
        </w:rPr>
        <w:t xml:space="preserve"> certain services in electronic form through the portal by piloting several of them. This, however, </w:t>
      </w:r>
      <w:r w:rsidR="00E3700C">
        <w:rPr>
          <w:rFonts w:ascii="Gill Sans" w:hAnsi="Gill Sans" w:cs="Gill Sans"/>
          <w:noProof/>
          <w:sz w:val="22"/>
          <w:szCs w:val="22"/>
          <w:lang w:val="en-GB"/>
        </w:rPr>
        <w:t>did</w:t>
      </w:r>
      <w:r w:rsidR="00026E02">
        <w:rPr>
          <w:rFonts w:ascii="Gill Sans" w:hAnsi="Gill Sans" w:cs="Gill Sans"/>
          <w:noProof/>
          <w:sz w:val="22"/>
          <w:szCs w:val="22"/>
          <w:lang w:val="en-GB"/>
        </w:rPr>
        <w:t xml:space="preserve"> not </w:t>
      </w:r>
      <w:r w:rsidR="00BE60D4">
        <w:rPr>
          <w:rFonts w:ascii="Gill Sans" w:hAnsi="Gill Sans" w:cs="Gill Sans"/>
          <w:noProof/>
          <w:sz w:val="22"/>
          <w:szCs w:val="22"/>
          <w:lang w:val="en-GB"/>
        </w:rPr>
        <w:t xml:space="preserve">alter </w:t>
      </w:r>
      <w:r w:rsidR="00026E02">
        <w:rPr>
          <w:rFonts w:ascii="Gill Sans" w:hAnsi="Gill Sans" w:cs="Gill Sans"/>
          <w:noProof/>
          <w:sz w:val="22"/>
          <w:szCs w:val="22"/>
          <w:lang w:val="en-GB"/>
        </w:rPr>
        <w:t xml:space="preserve">the conclusion that the commitment has had only </w:t>
      </w:r>
      <w:r w:rsidR="00BE60D4">
        <w:rPr>
          <w:rFonts w:ascii="Gill Sans" w:hAnsi="Gill Sans" w:cs="Gill Sans"/>
          <w:noProof/>
          <w:sz w:val="22"/>
          <w:szCs w:val="22"/>
          <w:lang w:val="en-GB"/>
        </w:rPr>
        <w:t xml:space="preserve">a </w:t>
      </w:r>
      <w:r w:rsidR="00026E02">
        <w:rPr>
          <w:rFonts w:ascii="Gill Sans" w:hAnsi="Gill Sans" w:cs="Gill Sans"/>
          <w:noProof/>
          <w:sz w:val="22"/>
          <w:szCs w:val="22"/>
          <w:lang w:val="en-GB"/>
        </w:rPr>
        <w:t>minor impact.</w:t>
      </w:r>
    </w:p>
    <w:p w14:paraId="1B273ACC" w14:textId="77777777" w:rsidR="00547677" w:rsidRPr="00161CF6" w:rsidRDefault="00547677" w:rsidP="006319F4">
      <w:pPr>
        <w:pStyle w:val="Heading3"/>
      </w:pPr>
      <w:r w:rsidRPr="00161CF6">
        <w:t>Carried forward?</w:t>
      </w:r>
    </w:p>
    <w:p w14:paraId="0382105F" w14:textId="49489D07" w:rsidR="00BF13AA" w:rsidRDefault="00547677" w:rsidP="002A0749">
      <w:pPr>
        <w:spacing w:after="120"/>
        <w:rPr>
          <w:rFonts w:ascii="Gill Sans" w:hAnsi="Gill Sans" w:cs="Gill Sans"/>
          <w:noProof/>
          <w:sz w:val="22"/>
          <w:szCs w:val="22"/>
          <w:lang w:val="en-GB"/>
        </w:rPr>
      </w:pPr>
      <w:r w:rsidRPr="00161CF6">
        <w:rPr>
          <w:rFonts w:ascii="Gill Sans" w:hAnsi="Gill Sans" w:cs="Gill Sans"/>
          <w:noProof/>
          <w:sz w:val="22"/>
          <w:szCs w:val="22"/>
          <w:lang w:val="en-GB"/>
        </w:rPr>
        <w:t>The commitment was carr</w:t>
      </w:r>
      <w:r w:rsidR="00026E02">
        <w:rPr>
          <w:rFonts w:ascii="Gill Sans" w:hAnsi="Gill Sans" w:cs="Gill Sans"/>
          <w:noProof/>
          <w:sz w:val="22"/>
          <w:szCs w:val="22"/>
          <w:lang w:val="en-GB"/>
        </w:rPr>
        <w:t xml:space="preserve">ied </w:t>
      </w:r>
      <w:r w:rsidR="002A0749">
        <w:rPr>
          <w:rFonts w:ascii="Gill Sans" w:hAnsi="Gill Sans" w:cs="Gill Sans"/>
          <w:noProof/>
          <w:sz w:val="22"/>
          <w:szCs w:val="22"/>
          <w:lang w:val="en-GB"/>
        </w:rPr>
        <w:t xml:space="preserve">forward </w:t>
      </w:r>
      <w:r w:rsidR="00026E02">
        <w:rPr>
          <w:rFonts w:ascii="Gill Sans" w:hAnsi="Gill Sans" w:cs="Gill Sans"/>
          <w:noProof/>
          <w:sz w:val="22"/>
          <w:szCs w:val="22"/>
          <w:lang w:val="en-GB"/>
        </w:rPr>
        <w:t xml:space="preserve">to the new action plan </w:t>
      </w:r>
      <w:r w:rsidR="002A0749">
        <w:rPr>
          <w:rFonts w:ascii="Gill Sans" w:hAnsi="Gill Sans" w:cs="Gill Sans"/>
          <w:noProof/>
          <w:sz w:val="22"/>
          <w:szCs w:val="22"/>
          <w:lang w:val="en-GB"/>
        </w:rPr>
        <w:t>and</w:t>
      </w:r>
      <w:r w:rsidR="00026E02">
        <w:rPr>
          <w:rFonts w:ascii="Gill Sans" w:hAnsi="Gill Sans" w:cs="Gill Sans"/>
          <w:noProof/>
          <w:sz w:val="22"/>
          <w:szCs w:val="22"/>
          <w:lang w:val="en-GB"/>
        </w:rPr>
        <w:t xml:space="preserve"> extended. It </w:t>
      </w:r>
      <w:r w:rsidR="00795A54">
        <w:rPr>
          <w:rFonts w:ascii="Gill Sans" w:hAnsi="Gill Sans" w:cs="Gill Sans"/>
          <w:noProof/>
          <w:sz w:val="22"/>
          <w:szCs w:val="22"/>
          <w:lang w:val="en-GB"/>
        </w:rPr>
        <w:t>broad</w:t>
      </w:r>
      <w:r w:rsidR="00E3700C">
        <w:rPr>
          <w:rFonts w:ascii="Gill Sans" w:hAnsi="Gill Sans" w:cs="Gill Sans"/>
          <w:noProof/>
          <w:sz w:val="22"/>
          <w:szCs w:val="22"/>
          <w:lang w:val="en-GB"/>
        </w:rPr>
        <w:t>en</w:t>
      </w:r>
      <w:r w:rsidR="002A0749">
        <w:rPr>
          <w:rFonts w:ascii="Gill Sans" w:hAnsi="Gill Sans" w:cs="Gill Sans"/>
          <w:noProof/>
          <w:sz w:val="22"/>
          <w:szCs w:val="22"/>
          <w:lang w:val="en-GB"/>
        </w:rPr>
        <w:t>s</w:t>
      </w:r>
      <w:r w:rsidR="00795A54">
        <w:rPr>
          <w:rFonts w:ascii="Gill Sans" w:hAnsi="Gill Sans" w:cs="Gill Sans"/>
          <w:noProof/>
          <w:sz w:val="22"/>
          <w:szCs w:val="22"/>
          <w:lang w:val="en-GB"/>
        </w:rPr>
        <w:t xml:space="preserve"> the portal’s functionalities, in particular</w:t>
      </w:r>
      <w:r w:rsidR="002A0749">
        <w:rPr>
          <w:rFonts w:ascii="Gill Sans" w:hAnsi="Gill Sans" w:cs="Gill Sans"/>
          <w:noProof/>
          <w:sz w:val="22"/>
          <w:szCs w:val="22"/>
          <w:lang w:val="en-GB"/>
        </w:rPr>
        <w:t>,</w:t>
      </w:r>
      <w:r w:rsidR="00795A54">
        <w:rPr>
          <w:rFonts w:ascii="Gill Sans" w:hAnsi="Gill Sans" w:cs="Gill Sans"/>
          <w:noProof/>
          <w:sz w:val="22"/>
          <w:szCs w:val="22"/>
          <w:lang w:val="en-GB"/>
        </w:rPr>
        <w:t xml:space="preserve"> by integrating it with other information systems, making available the full cycle of administra</w:t>
      </w:r>
      <w:r w:rsidR="00E3700C">
        <w:rPr>
          <w:rFonts w:ascii="Gill Sans" w:hAnsi="Gill Sans" w:cs="Gill Sans"/>
          <w:noProof/>
          <w:sz w:val="22"/>
          <w:szCs w:val="22"/>
          <w:lang w:val="en-GB"/>
        </w:rPr>
        <w:t>tive service</w:t>
      </w:r>
      <w:r w:rsidR="00BE60D4">
        <w:rPr>
          <w:rFonts w:ascii="Gill Sans" w:hAnsi="Gill Sans" w:cs="Gill Sans"/>
          <w:noProof/>
          <w:sz w:val="22"/>
          <w:szCs w:val="22"/>
          <w:lang w:val="en-GB"/>
        </w:rPr>
        <w:t>s</w:t>
      </w:r>
      <w:r w:rsidR="00E3700C">
        <w:rPr>
          <w:rFonts w:ascii="Gill Sans" w:hAnsi="Gill Sans" w:cs="Gill Sans"/>
          <w:noProof/>
          <w:sz w:val="22"/>
          <w:szCs w:val="22"/>
          <w:lang w:val="en-GB"/>
        </w:rPr>
        <w:t xml:space="preserve"> provision in elect</w:t>
      </w:r>
      <w:r w:rsidR="00795A54">
        <w:rPr>
          <w:rFonts w:ascii="Gill Sans" w:hAnsi="Gill Sans" w:cs="Gill Sans"/>
          <w:noProof/>
          <w:sz w:val="22"/>
          <w:szCs w:val="22"/>
          <w:lang w:val="en-GB"/>
        </w:rPr>
        <w:t>r</w:t>
      </w:r>
      <w:r w:rsidR="00E3700C">
        <w:rPr>
          <w:rFonts w:ascii="Gill Sans" w:hAnsi="Gill Sans" w:cs="Gill Sans"/>
          <w:noProof/>
          <w:sz w:val="22"/>
          <w:szCs w:val="22"/>
          <w:lang w:val="en-GB"/>
        </w:rPr>
        <w:t>o</w:t>
      </w:r>
      <w:r w:rsidR="00795A54">
        <w:rPr>
          <w:rFonts w:ascii="Gill Sans" w:hAnsi="Gill Sans" w:cs="Gill Sans"/>
          <w:noProof/>
          <w:sz w:val="22"/>
          <w:szCs w:val="22"/>
          <w:lang w:val="en-GB"/>
        </w:rPr>
        <w:t xml:space="preserve">nic form through the portal (15 services in 2016, 20 in 2017, </w:t>
      </w:r>
      <w:r w:rsidR="00087B9A">
        <w:rPr>
          <w:rFonts w:ascii="Gill Sans" w:hAnsi="Gill Sans" w:cs="Gill Sans"/>
          <w:noProof/>
          <w:sz w:val="22"/>
          <w:szCs w:val="22"/>
          <w:lang w:val="en-GB"/>
        </w:rPr>
        <w:t xml:space="preserve">and </w:t>
      </w:r>
      <w:r w:rsidR="00795A54">
        <w:rPr>
          <w:rFonts w:ascii="Gill Sans" w:hAnsi="Gill Sans" w:cs="Gill Sans"/>
          <w:noProof/>
          <w:sz w:val="22"/>
          <w:szCs w:val="22"/>
          <w:lang w:val="en-GB"/>
        </w:rPr>
        <w:t>25 in 2018).</w:t>
      </w:r>
    </w:p>
    <w:p w14:paraId="169DA4E0" w14:textId="77777777" w:rsidR="00795A54" w:rsidRDefault="00795A54" w:rsidP="00797D1E">
      <w:pPr>
        <w:spacing w:after="120"/>
        <w:rPr>
          <w:rFonts w:ascii="Gill Sans" w:hAnsi="Gill Sans" w:cs="Gill Sans"/>
          <w:noProof/>
          <w:sz w:val="22"/>
          <w:szCs w:val="22"/>
          <w:lang w:val="en-GB"/>
        </w:rPr>
        <w:sectPr w:rsidR="00795A54" w:rsidSect="00F561B7">
          <w:endnotePr>
            <w:numFmt w:val="decimal"/>
            <w:numRestart w:val="eachSect"/>
          </w:endnotePr>
          <w:pgSz w:w="12240" w:h="15840"/>
          <w:pgMar w:top="1440" w:right="1800" w:bottom="1440" w:left="1800" w:header="720" w:footer="720" w:gutter="0"/>
          <w:cols w:space="720"/>
          <w:docGrid w:linePitch="360"/>
        </w:sectPr>
      </w:pPr>
    </w:p>
    <w:p w14:paraId="554F3B93" w14:textId="47E572D9" w:rsidR="00DB09F9" w:rsidRPr="00EB22DF" w:rsidRDefault="00DB09F9" w:rsidP="00DB09F9">
      <w:pPr>
        <w:pStyle w:val="Heading2"/>
        <w:spacing w:before="0" w:after="120"/>
        <w:rPr>
          <w:rFonts w:eastAsiaTheme="minorEastAsia"/>
          <w:bCs w:val="0"/>
          <w:color w:val="222222"/>
          <w:sz w:val="22"/>
          <w:szCs w:val="22"/>
          <w:lang w:val="en-GB"/>
        </w:rPr>
      </w:pPr>
      <w:r>
        <w:rPr>
          <w:rFonts w:eastAsiaTheme="minorEastAsia"/>
          <w:bCs w:val="0"/>
          <w:color w:val="222222"/>
          <w:sz w:val="22"/>
          <w:szCs w:val="22"/>
          <w:lang w:val="en-GB"/>
        </w:rPr>
        <w:lastRenderedPageBreak/>
        <w:t>17</w:t>
      </w:r>
      <w:r w:rsidRPr="00EB22DF">
        <w:rPr>
          <w:rFonts w:eastAsiaTheme="minorEastAsia"/>
          <w:bCs w:val="0"/>
          <w:color w:val="222222"/>
          <w:sz w:val="22"/>
          <w:szCs w:val="22"/>
          <w:lang w:val="en-GB"/>
        </w:rPr>
        <w:t xml:space="preserve">. </w:t>
      </w:r>
      <w:r w:rsidRPr="00DB09F9">
        <w:rPr>
          <w:rFonts w:eastAsiaTheme="minorEastAsia"/>
          <w:bCs w:val="0"/>
          <w:color w:val="222222"/>
          <w:sz w:val="22"/>
          <w:szCs w:val="22"/>
          <w:lang w:val="en-GB"/>
        </w:rPr>
        <w:t>Social services draft law</w:t>
      </w:r>
      <w:r w:rsidRPr="00547677">
        <w:rPr>
          <w:rFonts w:eastAsiaTheme="minorEastAsia"/>
          <w:bCs w:val="0"/>
          <w:color w:val="222222"/>
          <w:sz w:val="22"/>
          <w:szCs w:val="22"/>
          <w:lang w:val="en-GB"/>
        </w:rPr>
        <w:t xml:space="preserve"> </w:t>
      </w:r>
    </w:p>
    <w:p w14:paraId="144CC139" w14:textId="22D75000" w:rsidR="00DB09F9" w:rsidRPr="00DB09F9" w:rsidRDefault="005B3A16" w:rsidP="00DB09F9">
      <w:pPr>
        <w:spacing w:after="120"/>
        <w:rPr>
          <w:rFonts w:ascii="Gill Sans" w:hAnsi="Gill Sans" w:cs="Gill Sans"/>
          <w:i/>
          <w:noProof/>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DB09F9" w:rsidRPr="00DB09F9">
        <w:rPr>
          <w:rFonts w:ascii="Gill Sans" w:hAnsi="Gill Sans" w:cs="Gill Sans"/>
          <w:i/>
          <w:noProof/>
          <w:sz w:val="22"/>
          <w:szCs w:val="22"/>
          <w:lang w:val="en-GB"/>
        </w:rPr>
        <w:t>17. Developing and submitting to the Cabinet of Ministers of Ukraine in due course a draft Law of Ukraine on Amending the Law of Ukraine on Social Services (new wording) to ensure equal treatment in the provision of social services to members of different social groups</w:t>
      </w:r>
      <w:r w:rsidR="002F10C2">
        <w:rPr>
          <w:rFonts w:ascii="Gill Sans" w:hAnsi="Gill Sans" w:cs="Gill Sans"/>
          <w:i/>
          <w:noProof/>
          <w:sz w:val="22"/>
          <w:szCs w:val="22"/>
          <w:lang w:val="en-GB"/>
        </w:rPr>
        <w:t>.</w:t>
      </w:r>
    </w:p>
    <w:p w14:paraId="5F9D763B" w14:textId="3924DAB4" w:rsidR="00DB09F9" w:rsidRPr="00DB09F9" w:rsidRDefault="00DB09F9" w:rsidP="00DB09F9">
      <w:pPr>
        <w:spacing w:after="120"/>
        <w:rPr>
          <w:rFonts w:ascii="Gill Sans" w:hAnsi="Gill Sans" w:cs="Gill Sans"/>
          <w:i/>
          <w:sz w:val="22"/>
          <w:szCs w:val="22"/>
          <w:lang w:val="en-GB"/>
        </w:rPr>
      </w:pPr>
      <w:r w:rsidRPr="00DB09F9">
        <w:rPr>
          <w:rFonts w:ascii="Gill Sans" w:hAnsi="Gill Sans" w:cs="Gill Sans"/>
          <w:i/>
          <w:noProof/>
          <w:sz w:val="22"/>
          <w:szCs w:val="22"/>
          <w:lang w:val="en-GB"/>
        </w:rPr>
        <w:t xml:space="preserve">Expected result: </w:t>
      </w:r>
      <w:r w:rsidRPr="00DB09F9">
        <w:rPr>
          <w:rFonts w:ascii="Gill Sans" w:hAnsi="Gill Sans" w:cs="Gill Sans"/>
          <w:i/>
          <w:sz w:val="22"/>
          <w:szCs w:val="22"/>
          <w:lang w:val="en-GB"/>
        </w:rPr>
        <w:t xml:space="preserve">relevant draft law endorsed by the Cabinet of Ministers of Ukraine, submitted to the </w:t>
      </w:r>
      <w:proofErr w:type="spellStart"/>
      <w:r w:rsidRPr="00DB09F9">
        <w:rPr>
          <w:rFonts w:ascii="Gill Sans" w:hAnsi="Gill Sans" w:cs="Gill Sans"/>
          <w:i/>
          <w:sz w:val="22"/>
          <w:szCs w:val="22"/>
          <w:lang w:val="en-GB"/>
        </w:rPr>
        <w:t>Verkhovna</w:t>
      </w:r>
      <w:proofErr w:type="spellEnd"/>
      <w:r w:rsidRPr="00DB09F9">
        <w:rPr>
          <w:rFonts w:ascii="Gill Sans" w:hAnsi="Gill Sans" w:cs="Gill Sans"/>
          <w:i/>
          <w:sz w:val="22"/>
          <w:szCs w:val="22"/>
          <w:lang w:val="en-GB"/>
        </w:rPr>
        <w:t xml:space="preserve"> Rada of Ukraine, and followed up until adoption</w:t>
      </w:r>
      <w:r w:rsidR="002F10C2">
        <w:rPr>
          <w:rFonts w:ascii="Gill Sans" w:hAnsi="Gill Sans" w:cs="Gill Sans"/>
          <w:i/>
          <w:sz w:val="22"/>
          <w:szCs w:val="22"/>
          <w:lang w:val="en-GB"/>
        </w:rPr>
        <w:t>.</w:t>
      </w:r>
    </w:p>
    <w:p w14:paraId="090F2A4F" w14:textId="55E708E6" w:rsidR="00DB09F9" w:rsidRPr="00DB09F9" w:rsidRDefault="00DB09F9" w:rsidP="00DB09F9">
      <w:pPr>
        <w:spacing w:after="120"/>
        <w:rPr>
          <w:rFonts w:ascii="Gill Sans" w:hAnsi="Gill Sans" w:cs="Gill Sans"/>
          <w:noProof/>
          <w:sz w:val="22"/>
          <w:szCs w:val="22"/>
          <w:lang w:val="en-GB"/>
        </w:rPr>
      </w:pPr>
      <w:r w:rsidRPr="00DB09F9">
        <w:rPr>
          <w:rFonts w:ascii="Gill Sans" w:hAnsi="Gill Sans" w:cs="Gill Sans"/>
          <w:noProof/>
          <w:sz w:val="22"/>
          <w:szCs w:val="22"/>
          <w:lang w:val="en-GB"/>
        </w:rPr>
        <w:t>Lead institution</w:t>
      </w:r>
      <w:r w:rsidR="002F10C2">
        <w:rPr>
          <w:rFonts w:ascii="Gill Sans" w:hAnsi="Gill Sans" w:cs="Gill Sans"/>
          <w:noProof/>
          <w:sz w:val="22"/>
          <w:szCs w:val="22"/>
          <w:lang w:val="en-GB"/>
        </w:rPr>
        <w:t>(s)</w:t>
      </w:r>
      <w:r w:rsidRPr="00DB09F9">
        <w:rPr>
          <w:rFonts w:ascii="Gill Sans" w:hAnsi="Gill Sans" w:cs="Gill Sans"/>
          <w:noProof/>
          <w:sz w:val="22"/>
          <w:szCs w:val="22"/>
          <w:lang w:val="en-GB"/>
        </w:rPr>
        <w:t>: Ministry of Social Policy</w:t>
      </w:r>
    </w:p>
    <w:p w14:paraId="25D6D4B8" w14:textId="00937BD8" w:rsidR="00DB09F9" w:rsidRPr="00DB09F9" w:rsidRDefault="00DB09F9" w:rsidP="00DB09F9">
      <w:pPr>
        <w:spacing w:after="120"/>
        <w:rPr>
          <w:rFonts w:ascii="Gill Sans" w:hAnsi="Gill Sans" w:cs="Gill Sans"/>
          <w:noProof/>
          <w:sz w:val="22"/>
          <w:szCs w:val="22"/>
          <w:lang w:val="en-GB"/>
        </w:rPr>
      </w:pPr>
      <w:r w:rsidRPr="00DB09F9">
        <w:rPr>
          <w:rFonts w:ascii="Gill Sans" w:hAnsi="Gill Sans" w:cs="Gill Sans"/>
          <w:noProof/>
          <w:sz w:val="22"/>
          <w:szCs w:val="22"/>
          <w:lang w:val="en-GB"/>
        </w:rPr>
        <w:t>Supporting institution</w:t>
      </w:r>
      <w:r w:rsidR="002F10C2">
        <w:rPr>
          <w:rFonts w:ascii="Gill Sans" w:hAnsi="Gill Sans" w:cs="Gill Sans"/>
          <w:noProof/>
          <w:sz w:val="22"/>
          <w:szCs w:val="22"/>
          <w:lang w:val="en-GB"/>
        </w:rPr>
        <w:t>(</w:t>
      </w:r>
      <w:r w:rsidRPr="00DB09F9">
        <w:rPr>
          <w:rFonts w:ascii="Gill Sans" w:hAnsi="Gill Sans" w:cs="Gill Sans"/>
          <w:noProof/>
          <w:sz w:val="22"/>
          <w:szCs w:val="22"/>
          <w:lang w:val="en-GB"/>
        </w:rPr>
        <w:t>s</w:t>
      </w:r>
      <w:r w:rsidR="002F10C2">
        <w:rPr>
          <w:rFonts w:ascii="Gill Sans" w:hAnsi="Gill Sans" w:cs="Gill Sans"/>
          <w:noProof/>
          <w:sz w:val="22"/>
          <w:szCs w:val="22"/>
          <w:lang w:val="en-GB"/>
        </w:rPr>
        <w:t>)</w:t>
      </w:r>
      <w:r w:rsidRPr="00DB09F9">
        <w:rPr>
          <w:rFonts w:ascii="Gill Sans" w:hAnsi="Gill Sans" w:cs="Gill Sans"/>
          <w:noProof/>
          <w:sz w:val="22"/>
          <w:szCs w:val="22"/>
          <w:lang w:val="en-GB"/>
        </w:rPr>
        <w:t>: Charity Coalition of HIV-Service Organisations, Charity Caritas Ukraine, other unspecified NGOs and international organisations</w:t>
      </w:r>
    </w:p>
    <w:p w14:paraId="3DAB5D47" w14:textId="467D6191" w:rsidR="00DB09F9" w:rsidRPr="00DB09F9" w:rsidRDefault="00DB09F9" w:rsidP="00DB09F9">
      <w:pPr>
        <w:spacing w:after="120"/>
        <w:rPr>
          <w:rFonts w:ascii="Gill Sans" w:hAnsi="Gill Sans" w:cs="Gill Sans"/>
          <w:noProof/>
          <w:sz w:val="22"/>
          <w:szCs w:val="22"/>
          <w:lang w:val="en-GB"/>
        </w:rPr>
      </w:pPr>
      <w:r w:rsidRPr="00DB09F9">
        <w:rPr>
          <w:rFonts w:ascii="Gill Sans" w:hAnsi="Gill Sans" w:cs="Gill Sans"/>
          <w:noProof/>
          <w:sz w:val="22"/>
          <w:szCs w:val="22"/>
          <w:lang w:val="en-GB"/>
        </w:rPr>
        <w:t xml:space="preserve">Start </w:t>
      </w:r>
      <w:r w:rsidR="002F10C2">
        <w:rPr>
          <w:rFonts w:ascii="Gill Sans" w:hAnsi="Gill Sans" w:cs="Gill Sans"/>
          <w:noProof/>
          <w:sz w:val="22"/>
          <w:szCs w:val="22"/>
          <w:lang w:val="en-GB"/>
        </w:rPr>
        <w:t>D</w:t>
      </w:r>
      <w:r w:rsidRPr="00DB09F9">
        <w:rPr>
          <w:rFonts w:ascii="Gill Sans" w:hAnsi="Gill Sans" w:cs="Gill Sans"/>
          <w:noProof/>
          <w:sz w:val="22"/>
          <w:szCs w:val="22"/>
          <w:lang w:val="en-GB"/>
        </w:rPr>
        <w:t xml:space="preserve">ate:   Not specified </w:t>
      </w:r>
      <w:r w:rsidRPr="00DB09F9">
        <w:rPr>
          <w:rFonts w:ascii="Gill Sans" w:hAnsi="Gill Sans" w:cs="Gill Sans"/>
          <w:noProof/>
          <w:sz w:val="22"/>
          <w:szCs w:val="22"/>
          <w:lang w:val="en-GB"/>
        </w:rPr>
        <w:tab/>
      </w:r>
      <w:r w:rsidRPr="00DB09F9">
        <w:rPr>
          <w:rFonts w:ascii="Gill Sans" w:hAnsi="Gill Sans" w:cs="Gill Sans"/>
          <w:noProof/>
          <w:sz w:val="22"/>
          <w:szCs w:val="22"/>
          <w:lang w:val="en-GB"/>
        </w:rPr>
        <w:tab/>
      </w:r>
      <w:r w:rsidRPr="00DB09F9">
        <w:rPr>
          <w:rFonts w:ascii="Gill Sans" w:hAnsi="Gill Sans" w:cs="Gill Sans"/>
          <w:noProof/>
          <w:sz w:val="22"/>
          <w:szCs w:val="22"/>
          <w:lang w:val="en-GB"/>
        </w:rPr>
        <w:tab/>
      </w:r>
      <w:r w:rsidR="00D6486B">
        <w:rPr>
          <w:rFonts w:ascii="Gill Sans" w:hAnsi="Gill Sans" w:cs="Gill Sans"/>
          <w:noProof/>
          <w:sz w:val="22"/>
          <w:szCs w:val="22"/>
          <w:lang w:val="en-GB"/>
        </w:rPr>
        <w:tab/>
      </w:r>
      <w:r w:rsidR="00D6486B">
        <w:rPr>
          <w:rFonts w:ascii="Gill Sans" w:hAnsi="Gill Sans" w:cs="Gill Sans"/>
          <w:noProof/>
          <w:sz w:val="22"/>
          <w:szCs w:val="22"/>
          <w:lang w:val="en-GB"/>
        </w:rPr>
        <w:tab/>
      </w:r>
      <w:r w:rsidRPr="00DB09F9">
        <w:rPr>
          <w:rFonts w:ascii="Gill Sans" w:hAnsi="Gill Sans" w:cs="Gill Sans"/>
          <w:noProof/>
          <w:sz w:val="22"/>
          <w:szCs w:val="22"/>
          <w:lang w:val="en-GB"/>
        </w:rPr>
        <w:t xml:space="preserve">End </w:t>
      </w:r>
      <w:r w:rsidR="002F10C2">
        <w:rPr>
          <w:rFonts w:ascii="Gill Sans" w:hAnsi="Gill Sans" w:cs="Gill Sans"/>
          <w:noProof/>
          <w:sz w:val="22"/>
          <w:szCs w:val="22"/>
          <w:lang w:val="en-GB"/>
        </w:rPr>
        <w:t>D</w:t>
      </w:r>
      <w:r w:rsidRPr="00DB09F9">
        <w:rPr>
          <w:rFonts w:ascii="Gill Sans" w:hAnsi="Gill Sans" w:cs="Gill Sans"/>
          <w:noProof/>
          <w:sz w:val="22"/>
          <w:szCs w:val="22"/>
          <w:lang w:val="en-GB"/>
        </w:rPr>
        <w:t>ate: 31 December 2014</w:t>
      </w:r>
    </w:p>
    <w:p w14:paraId="34DF00E1" w14:textId="72263CBD" w:rsidR="00DB09F9" w:rsidRPr="00CA5EDC" w:rsidRDefault="00DB09F9" w:rsidP="00DB09F9">
      <w:pPr>
        <w:spacing w:after="120"/>
        <w:rPr>
          <w:rFonts w:ascii="Gill Sans" w:hAnsi="Gill Sans" w:cs="Gill Sans"/>
          <w:noProof/>
          <w:sz w:val="22"/>
          <w:szCs w:val="22"/>
          <w:lang w:val="en-GB"/>
        </w:rPr>
      </w:pPr>
    </w:p>
    <w:tbl>
      <w:tblPr>
        <w:tblW w:w="1017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79"/>
        <w:gridCol w:w="421"/>
        <w:gridCol w:w="344"/>
        <w:gridCol w:w="345"/>
        <w:gridCol w:w="367"/>
        <w:gridCol w:w="366"/>
        <w:gridCol w:w="367"/>
        <w:gridCol w:w="827"/>
        <w:gridCol w:w="336"/>
        <w:gridCol w:w="379"/>
        <w:gridCol w:w="383"/>
        <w:gridCol w:w="342"/>
        <w:gridCol w:w="472"/>
        <w:gridCol w:w="520"/>
        <w:gridCol w:w="520"/>
        <w:gridCol w:w="408"/>
        <w:gridCol w:w="342"/>
        <w:gridCol w:w="417"/>
        <w:gridCol w:w="342"/>
        <w:gridCol w:w="342"/>
        <w:gridCol w:w="420"/>
      </w:tblGrid>
      <w:tr w:rsidR="00D6486B" w:rsidRPr="009651AC" w14:paraId="4636C778" w14:textId="77777777" w:rsidTr="00B223BA">
        <w:trPr>
          <w:trHeight w:val="405"/>
        </w:trPr>
        <w:tc>
          <w:tcPr>
            <w:tcW w:w="1440" w:type="dxa"/>
            <w:vMerge w:val="restart"/>
            <w:tcBorders>
              <w:top w:val="single" w:sz="18" w:space="0" w:color="FFFFFF"/>
              <w:left w:val="single" w:sz="4" w:space="0" w:color="FFFFFF"/>
              <w:right w:val="single" w:sz="18" w:space="0" w:color="FFFFFF"/>
            </w:tcBorders>
            <w:shd w:val="clear" w:color="auto" w:fill="000000"/>
          </w:tcPr>
          <w:p w14:paraId="21949A9D" w14:textId="77777777" w:rsidR="00D6486B" w:rsidRPr="009651AC" w:rsidRDefault="00D6486B" w:rsidP="00D6486B">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6A318BCE" w14:textId="312895EE" w:rsidR="00D6486B" w:rsidRPr="009651AC" w:rsidRDefault="00D6486B" w:rsidP="00D6486B">
            <w:pPr>
              <w:spacing w:after="120"/>
              <w:rPr>
                <w:rFonts w:ascii="Gill Sans" w:hAnsi="Gill Sans" w:cs="Gill Sans"/>
                <w:color w:val="FFFFFF" w:themeColor="background1"/>
                <w:sz w:val="22"/>
                <w:szCs w:val="22"/>
                <w:lang w:val="en-GB"/>
              </w:rPr>
            </w:pPr>
          </w:p>
        </w:tc>
        <w:tc>
          <w:tcPr>
            <w:tcW w:w="1589" w:type="dxa"/>
            <w:gridSpan w:val="4"/>
            <w:vMerge w:val="restart"/>
            <w:tcBorders>
              <w:top w:val="single" w:sz="18" w:space="0" w:color="FFFFFF"/>
              <w:left w:val="single" w:sz="18" w:space="0" w:color="FFFFFF"/>
              <w:right w:val="single" w:sz="18" w:space="0" w:color="FFFFFF"/>
            </w:tcBorders>
            <w:shd w:val="clear" w:color="auto" w:fill="D6E3BC"/>
          </w:tcPr>
          <w:p w14:paraId="09CD5666"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Specificity</w:t>
            </w:r>
          </w:p>
        </w:tc>
        <w:tc>
          <w:tcPr>
            <w:tcW w:w="1927" w:type="dxa"/>
            <w:gridSpan w:val="4"/>
            <w:vMerge w:val="restart"/>
            <w:tcBorders>
              <w:top w:val="single" w:sz="18" w:space="0" w:color="FFFFFF"/>
              <w:left w:val="single" w:sz="18" w:space="0" w:color="FFFFFF"/>
              <w:right w:val="single" w:sz="18" w:space="0" w:color="FFFFFF"/>
            </w:tcBorders>
            <w:shd w:val="clear" w:color="auto" w:fill="FBD4B4"/>
          </w:tcPr>
          <w:p w14:paraId="2578447F" w14:textId="73E76FFA"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440" w:type="dxa"/>
            <w:gridSpan w:val="4"/>
            <w:vMerge w:val="restart"/>
            <w:tcBorders>
              <w:top w:val="single" w:sz="18" w:space="0" w:color="FFFFFF"/>
              <w:left w:val="single" w:sz="18" w:space="0" w:color="FFFFFF"/>
              <w:right w:val="single" w:sz="18" w:space="0" w:color="FFFFFF"/>
            </w:tcBorders>
            <w:shd w:val="clear" w:color="auto" w:fill="CCC0D9"/>
          </w:tcPr>
          <w:p w14:paraId="11E893E2"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992" w:type="dxa"/>
            <w:gridSpan w:val="2"/>
            <w:vMerge w:val="restart"/>
            <w:tcBorders>
              <w:top w:val="single" w:sz="18" w:space="0" w:color="FFFFFF"/>
              <w:left w:val="single" w:sz="18" w:space="0" w:color="FFFFFF"/>
              <w:right w:val="single" w:sz="2" w:space="0" w:color="FFFFFF"/>
            </w:tcBorders>
            <w:shd w:val="clear" w:color="auto" w:fill="B8CCE4"/>
          </w:tcPr>
          <w:p w14:paraId="227DED1E" w14:textId="12694264" w:rsidR="00D6486B" w:rsidRPr="009651AC" w:rsidRDefault="00D6486B" w:rsidP="00D6486B">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28"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53FE4B39"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Midterm</w:t>
            </w:r>
          </w:p>
        </w:tc>
        <w:tc>
          <w:tcPr>
            <w:tcW w:w="1863" w:type="dxa"/>
            <w:gridSpan w:val="5"/>
            <w:vMerge w:val="restart"/>
            <w:tcBorders>
              <w:top w:val="single" w:sz="18" w:space="0" w:color="FFFFFF"/>
              <w:left w:val="single" w:sz="18" w:space="0" w:color="FFFFFF"/>
              <w:right w:val="single" w:sz="18" w:space="0" w:color="FFFFFF"/>
            </w:tcBorders>
            <w:shd w:val="clear" w:color="auto" w:fill="D99594"/>
          </w:tcPr>
          <w:p w14:paraId="5D98B3CE" w14:textId="2596FDE2"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D6486B" w:rsidRPr="009651AC" w14:paraId="4415A333" w14:textId="77777777" w:rsidTr="00B223BA">
        <w:trPr>
          <w:trHeight w:val="373"/>
        </w:trPr>
        <w:tc>
          <w:tcPr>
            <w:tcW w:w="1440" w:type="dxa"/>
            <w:vMerge/>
            <w:tcBorders>
              <w:left w:val="single" w:sz="4" w:space="0" w:color="FFFFFF"/>
              <w:right w:val="single" w:sz="18" w:space="0" w:color="FFFFFF"/>
            </w:tcBorders>
            <w:shd w:val="clear" w:color="auto" w:fill="000000"/>
          </w:tcPr>
          <w:p w14:paraId="3E8F1412" w14:textId="6D1D8C19" w:rsidR="00D6486B" w:rsidRPr="009651AC" w:rsidRDefault="00D6486B" w:rsidP="00D6486B">
            <w:pPr>
              <w:spacing w:after="120"/>
              <w:rPr>
                <w:rFonts w:ascii="Gill Sans" w:hAnsi="Gill Sans" w:cs="Gill Sans"/>
                <w:color w:val="FFFFFF" w:themeColor="background1"/>
                <w:sz w:val="22"/>
                <w:szCs w:val="22"/>
                <w:lang w:val="en-GB"/>
              </w:rPr>
            </w:pPr>
          </w:p>
        </w:tc>
        <w:tc>
          <w:tcPr>
            <w:tcW w:w="1589" w:type="dxa"/>
            <w:gridSpan w:val="4"/>
            <w:vMerge/>
            <w:tcBorders>
              <w:left w:val="single" w:sz="18" w:space="0" w:color="FFFFFF"/>
              <w:bottom w:val="single" w:sz="18" w:space="0" w:color="FFFFFF"/>
              <w:right w:val="single" w:sz="18" w:space="0" w:color="FFFFFF"/>
            </w:tcBorders>
            <w:shd w:val="clear" w:color="auto" w:fill="D6E3BC"/>
          </w:tcPr>
          <w:p w14:paraId="1201C957" w14:textId="77777777" w:rsidR="00D6486B" w:rsidRPr="009651AC" w:rsidRDefault="00D6486B" w:rsidP="00D6486B">
            <w:pPr>
              <w:rPr>
                <w:rFonts w:ascii="Gill Sans" w:hAnsi="Gill Sans" w:cs="Gill Sans"/>
                <w:sz w:val="22"/>
                <w:szCs w:val="22"/>
                <w:lang w:val="en-GB"/>
              </w:rPr>
            </w:pPr>
          </w:p>
        </w:tc>
        <w:tc>
          <w:tcPr>
            <w:tcW w:w="1927" w:type="dxa"/>
            <w:gridSpan w:val="4"/>
            <w:vMerge/>
            <w:tcBorders>
              <w:left w:val="single" w:sz="18" w:space="0" w:color="FFFFFF"/>
              <w:bottom w:val="single" w:sz="18" w:space="0" w:color="FFFFFF"/>
              <w:right w:val="single" w:sz="18" w:space="0" w:color="FFFFFF"/>
            </w:tcBorders>
            <w:shd w:val="clear" w:color="auto" w:fill="FBD4B4"/>
          </w:tcPr>
          <w:p w14:paraId="6995B711" w14:textId="77777777" w:rsidR="00D6486B" w:rsidRPr="009651AC" w:rsidRDefault="00D6486B" w:rsidP="00D6486B">
            <w:pPr>
              <w:rPr>
                <w:rFonts w:ascii="Gill Sans" w:hAnsi="Gill Sans" w:cs="Gill Sans"/>
                <w:sz w:val="22"/>
                <w:szCs w:val="22"/>
                <w:lang w:val="en-GB"/>
              </w:rPr>
            </w:pPr>
          </w:p>
        </w:tc>
        <w:tc>
          <w:tcPr>
            <w:tcW w:w="1440" w:type="dxa"/>
            <w:gridSpan w:val="4"/>
            <w:vMerge/>
            <w:tcBorders>
              <w:left w:val="single" w:sz="18" w:space="0" w:color="FFFFFF"/>
              <w:bottom w:val="single" w:sz="18" w:space="0" w:color="FFFFFF"/>
              <w:right w:val="single" w:sz="18" w:space="0" w:color="FFFFFF"/>
            </w:tcBorders>
            <w:shd w:val="clear" w:color="auto" w:fill="CCC0D9"/>
          </w:tcPr>
          <w:p w14:paraId="2F9CE450" w14:textId="77777777" w:rsidR="00D6486B" w:rsidRPr="009651AC" w:rsidRDefault="00D6486B" w:rsidP="00D6486B">
            <w:pPr>
              <w:rPr>
                <w:rFonts w:ascii="Gill Sans" w:hAnsi="Gill Sans" w:cs="Gill Sans"/>
                <w:sz w:val="22"/>
                <w:szCs w:val="22"/>
                <w:lang w:val="en-GB"/>
              </w:rPr>
            </w:pPr>
          </w:p>
        </w:tc>
        <w:tc>
          <w:tcPr>
            <w:tcW w:w="992" w:type="dxa"/>
            <w:gridSpan w:val="2"/>
            <w:vMerge/>
            <w:tcBorders>
              <w:left w:val="single" w:sz="18" w:space="0" w:color="FFFFFF"/>
              <w:bottom w:val="single" w:sz="18" w:space="0" w:color="FFFFFF"/>
              <w:right w:val="single" w:sz="2" w:space="0" w:color="FFFFFF"/>
            </w:tcBorders>
            <w:shd w:val="clear" w:color="auto" w:fill="B8CCE4"/>
          </w:tcPr>
          <w:p w14:paraId="30EFA270" w14:textId="77777777" w:rsidR="00D6486B" w:rsidRPr="009651AC" w:rsidRDefault="00D6486B" w:rsidP="00D6486B">
            <w:pPr>
              <w:rPr>
                <w:rFonts w:ascii="Gill Sans" w:hAnsi="Gill Sans" w:cs="Gill Sans"/>
                <w:sz w:val="22"/>
                <w:szCs w:val="22"/>
                <w:lang w:val="en-GB"/>
              </w:rPr>
            </w:pPr>
          </w:p>
        </w:tc>
        <w:tc>
          <w:tcPr>
            <w:tcW w:w="928"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74376033" w14:textId="2C967BDA"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1863" w:type="dxa"/>
            <w:gridSpan w:val="5"/>
            <w:vMerge/>
            <w:tcBorders>
              <w:left w:val="single" w:sz="18" w:space="0" w:color="FFFFFF"/>
              <w:bottom w:val="single" w:sz="18" w:space="0" w:color="FFFFFF"/>
              <w:right w:val="single" w:sz="18" w:space="0" w:color="FFFFFF"/>
            </w:tcBorders>
            <w:shd w:val="clear" w:color="auto" w:fill="D99594"/>
          </w:tcPr>
          <w:p w14:paraId="0B72899B" w14:textId="77777777" w:rsidR="00D6486B" w:rsidRPr="009651AC" w:rsidRDefault="00D6486B" w:rsidP="00D6486B">
            <w:pPr>
              <w:rPr>
                <w:rFonts w:ascii="Gill Sans" w:hAnsi="Gill Sans" w:cs="Gill Sans"/>
                <w:sz w:val="22"/>
                <w:szCs w:val="22"/>
                <w:lang w:val="en-GB"/>
              </w:rPr>
            </w:pPr>
          </w:p>
        </w:tc>
      </w:tr>
      <w:tr w:rsidR="009B0529" w:rsidRPr="009651AC" w14:paraId="6638D667" w14:textId="77777777" w:rsidTr="00B223BA">
        <w:trPr>
          <w:cantSplit/>
          <w:trHeight w:val="2336"/>
        </w:trPr>
        <w:tc>
          <w:tcPr>
            <w:tcW w:w="1440" w:type="dxa"/>
            <w:vMerge/>
            <w:tcBorders>
              <w:left w:val="single" w:sz="4" w:space="0" w:color="FFFFFF"/>
              <w:right w:val="single" w:sz="18" w:space="0" w:color="FFFFFF"/>
            </w:tcBorders>
            <w:shd w:val="clear" w:color="auto" w:fill="000000"/>
          </w:tcPr>
          <w:p w14:paraId="0D22B598" w14:textId="73568AB0" w:rsidR="00D6486B" w:rsidRPr="009651AC" w:rsidRDefault="00D6486B" w:rsidP="00D6486B">
            <w:pPr>
              <w:spacing w:after="120"/>
              <w:rPr>
                <w:rFonts w:ascii="Gill Sans" w:hAnsi="Gill Sans" w:cs="Gill Sans"/>
                <w:color w:val="FFFFFF" w:themeColor="background1"/>
                <w:sz w:val="22"/>
                <w:szCs w:val="22"/>
                <w:lang w:val="en-GB"/>
              </w:rPr>
            </w:pPr>
          </w:p>
        </w:tc>
        <w:tc>
          <w:tcPr>
            <w:tcW w:w="479"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079D4870"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None</w:t>
            </w:r>
          </w:p>
        </w:tc>
        <w:tc>
          <w:tcPr>
            <w:tcW w:w="421"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37F0975A"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Low</w:t>
            </w:r>
          </w:p>
        </w:tc>
        <w:tc>
          <w:tcPr>
            <w:tcW w:w="344"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23EB270C"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Medium</w:t>
            </w:r>
          </w:p>
        </w:tc>
        <w:tc>
          <w:tcPr>
            <w:tcW w:w="345"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0F45B88D"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High</w:t>
            </w:r>
          </w:p>
        </w:tc>
        <w:tc>
          <w:tcPr>
            <w:tcW w:w="367"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00C5ADC0"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66"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3AA75EE4"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67"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41F016E3"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827"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32AAE166"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36"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6095E536"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None</w:t>
            </w:r>
          </w:p>
        </w:tc>
        <w:tc>
          <w:tcPr>
            <w:tcW w:w="379"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71873CAE"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Minor</w:t>
            </w:r>
          </w:p>
        </w:tc>
        <w:tc>
          <w:tcPr>
            <w:tcW w:w="383"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6C2FC6E9"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Moderate</w:t>
            </w:r>
          </w:p>
        </w:tc>
        <w:tc>
          <w:tcPr>
            <w:tcW w:w="342"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7FEEC177"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472"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0580F6EF" w14:textId="241A2F3E"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52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3F8DD650"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Limited</w:t>
            </w:r>
          </w:p>
        </w:tc>
        <w:tc>
          <w:tcPr>
            <w:tcW w:w="520"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3F638A56"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Substantial</w:t>
            </w:r>
          </w:p>
        </w:tc>
        <w:tc>
          <w:tcPr>
            <w:tcW w:w="408"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68BEE5D3"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Completed</w:t>
            </w:r>
          </w:p>
        </w:tc>
        <w:tc>
          <w:tcPr>
            <w:tcW w:w="342"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7E83AEA8" w14:textId="45E0265F"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Worsen</w:t>
            </w:r>
            <w:r w:rsidR="007C46F8">
              <w:rPr>
                <w:rFonts w:ascii="Gill Sans" w:hAnsi="Gill Sans" w:cs="Gill Sans"/>
                <w:sz w:val="22"/>
                <w:szCs w:val="22"/>
                <w:lang w:val="en-GB"/>
              </w:rPr>
              <w:t>ed</w:t>
            </w:r>
          </w:p>
        </w:tc>
        <w:tc>
          <w:tcPr>
            <w:tcW w:w="41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CD06F86" w14:textId="74EE93EF"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3533157"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Marginal</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99878ED"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20"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5963D6EB" w14:textId="77777777" w:rsidR="00D6486B" w:rsidRPr="009651AC" w:rsidRDefault="00D6486B" w:rsidP="00D6486B">
            <w:pPr>
              <w:rPr>
                <w:rFonts w:ascii="Gill Sans" w:hAnsi="Gill Sans" w:cs="Gill Sans"/>
                <w:sz w:val="22"/>
                <w:szCs w:val="22"/>
                <w:lang w:val="en-GB"/>
              </w:rPr>
            </w:pPr>
            <w:r w:rsidRPr="009651AC">
              <w:rPr>
                <w:rFonts w:ascii="Gill Sans" w:hAnsi="Gill Sans" w:cs="Gill Sans"/>
                <w:sz w:val="22"/>
                <w:szCs w:val="22"/>
                <w:lang w:val="en-GB"/>
              </w:rPr>
              <w:t>Outstanding</w:t>
            </w:r>
          </w:p>
        </w:tc>
      </w:tr>
      <w:tr w:rsidR="009B0529" w:rsidRPr="00A86D51" w14:paraId="7503453A" w14:textId="77777777" w:rsidTr="00B223BA">
        <w:trPr>
          <w:trHeight w:val="340"/>
        </w:trPr>
        <w:tc>
          <w:tcPr>
            <w:tcW w:w="1440" w:type="dxa"/>
            <w:vMerge/>
            <w:tcBorders>
              <w:left w:val="single" w:sz="4" w:space="0" w:color="FFFFFF"/>
              <w:right w:val="single" w:sz="18" w:space="0" w:color="FFFFFF"/>
            </w:tcBorders>
            <w:shd w:val="clear" w:color="auto" w:fill="000000"/>
          </w:tcPr>
          <w:p w14:paraId="2D860FE0" w14:textId="111F4A4E" w:rsidR="00D6486B" w:rsidRPr="000718A4" w:rsidRDefault="00D6486B" w:rsidP="00D6486B">
            <w:pPr>
              <w:spacing w:after="120"/>
              <w:rPr>
                <w:rFonts w:ascii="Gill Sans" w:hAnsi="Gill Sans" w:cs="Gill Sans"/>
                <w:noProof/>
                <w:color w:val="FFFFFF" w:themeColor="background1"/>
                <w:sz w:val="22"/>
                <w:szCs w:val="22"/>
                <w:lang w:val="en-GB"/>
              </w:rPr>
            </w:pPr>
          </w:p>
        </w:tc>
        <w:tc>
          <w:tcPr>
            <w:tcW w:w="479" w:type="dxa"/>
            <w:vMerge w:val="restart"/>
            <w:tcBorders>
              <w:top w:val="single" w:sz="18" w:space="0" w:color="FFFFFF"/>
              <w:left w:val="single" w:sz="18" w:space="0" w:color="FFFFFF"/>
              <w:right w:val="single" w:sz="2" w:space="0" w:color="FFFFFF"/>
            </w:tcBorders>
            <w:shd w:val="clear" w:color="auto" w:fill="D6E3BC"/>
          </w:tcPr>
          <w:p w14:paraId="0B1BD1C8" w14:textId="77777777" w:rsidR="00D6486B" w:rsidRPr="00A86D51" w:rsidRDefault="00D6486B" w:rsidP="00D6486B">
            <w:pPr>
              <w:spacing w:after="120"/>
              <w:jc w:val="center"/>
              <w:rPr>
                <w:rFonts w:ascii="Gill Sans" w:hAnsi="Gill Sans" w:cs="Gill Sans"/>
                <w:sz w:val="22"/>
                <w:szCs w:val="22"/>
                <w:lang w:val="en-GB"/>
              </w:rPr>
            </w:pPr>
          </w:p>
        </w:tc>
        <w:tc>
          <w:tcPr>
            <w:tcW w:w="421" w:type="dxa"/>
            <w:vMerge w:val="restart"/>
            <w:tcBorders>
              <w:top w:val="single" w:sz="18" w:space="0" w:color="FFFFFF"/>
              <w:left w:val="single" w:sz="2" w:space="0" w:color="FFFFFF"/>
              <w:right w:val="single" w:sz="2" w:space="0" w:color="FFFFFF"/>
            </w:tcBorders>
            <w:shd w:val="clear" w:color="auto" w:fill="D6E3BC"/>
          </w:tcPr>
          <w:p w14:paraId="454B8B1F" w14:textId="77777777" w:rsidR="00D6486B" w:rsidRPr="00A86D51" w:rsidRDefault="00D6486B" w:rsidP="00D6486B">
            <w:pPr>
              <w:spacing w:after="120"/>
              <w:jc w:val="center"/>
              <w:rPr>
                <w:rFonts w:ascii="Gill Sans" w:hAnsi="Gill Sans" w:cs="Gill Sans"/>
                <w:sz w:val="22"/>
                <w:szCs w:val="22"/>
                <w:lang w:val="en-GB"/>
              </w:rPr>
            </w:pPr>
          </w:p>
        </w:tc>
        <w:tc>
          <w:tcPr>
            <w:tcW w:w="344" w:type="dxa"/>
            <w:vMerge w:val="restart"/>
            <w:tcBorders>
              <w:top w:val="single" w:sz="18" w:space="0" w:color="FFFFFF"/>
              <w:left w:val="single" w:sz="2" w:space="0" w:color="FFFFFF"/>
              <w:right w:val="single" w:sz="2" w:space="0" w:color="FFFFFF"/>
            </w:tcBorders>
            <w:shd w:val="clear" w:color="auto" w:fill="D6E3BC"/>
          </w:tcPr>
          <w:p w14:paraId="7E24F734" w14:textId="77777777" w:rsidR="00D6486B" w:rsidRPr="00466E44" w:rsidRDefault="00D6486B" w:rsidP="00D6486B">
            <w:pPr>
              <w:rPr>
                <w:rFonts w:ascii="Zapf Dingbats" w:eastAsia="MS Mincho" w:hAnsi="Zapf Dingbats" w:cs="MS Mincho"/>
                <w:noProof/>
                <w:sz w:val="22"/>
                <w:szCs w:val="22"/>
                <w:lang w:val="en-GB"/>
              </w:rPr>
            </w:pPr>
          </w:p>
        </w:tc>
        <w:tc>
          <w:tcPr>
            <w:tcW w:w="345" w:type="dxa"/>
            <w:vMerge w:val="restart"/>
            <w:tcBorders>
              <w:top w:val="single" w:sz="18" w:space="0" w:color="FFFFFF"/>
              <w:left w:val="single" w:sz="2" w:space="0" w:color="FFFFFF"/>
              <w:right w:val="single" w:sz="18" w:space="0" w:color="FFFFFF"/>
            </w:tcBorders>
            <w:shd w:val="clear" w:color="auto" w:fill="D6E3BC"/>
          </w:tcPr>
          <w:p w14:paraId="6B2C8903" w14:textId="77777777" w:rsidR="00D6486B" w:rsidRPr="00466E44" w:rsidRDefault="00D6486B" w:rsidP="00D6486B">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1927" w:type="dxa"/>
            <w:gridSpan w:val="4"/>
            <w:vMerge w:val="restart"/>
            <w:tcBorders>
              <w:top w:val="single" w:sz="18" w:space="0" w:color="FFFFFF"/>
              <w:left w:val="single" w:sz="2" w:space="0" w:color="FFFFFF"/>
              <w:right w:val="single" w:sz="18" w:space="0" w:color="FFFFFF"/>
            </w:tcBorders>
            <w:shd w:val="clear" w:color="auto" w:fill="FBD4B4"/>
          </w:tcPr>
          <w:p w14:paraId="5943DDF7" w14:textId="77777777" w:rsidR="00B223BA" w:rsidRDefault="00B223BA" w:rsidP="00D6486B">
            <w:pPr>
              <w:spacing w:after="120"/>
              <w:jc w:val="center"/>
              <w:rPr>
                <w:rFonts w:ascii="Gill Sans" w:hAnsi="Gill Sans" w:cs="Gill Sans"/>
                <w:sz w:val="22"/>
                <w:szCs w:val="22"/>
                <w:lang w:val="en-GB"/>
              </w:rPr>
            </w:pPr>
          </w:p>
          <w:p w14:paraId="100149FB" w14:textId="40A975EA" w:rsidR="00D6486B" w:rsidRPr="00A86D51" w:rsidRDefault="00D6486B" w:rsidP="00D6486B">
            <w:pPr>
              <w:spacing w:after="120"/>
              <w:jc w:val="center"/>
              <w:rPr>
                <w:rFonts w:ascii="Gill Sans" w:hAnsi="Gill Sans" w:cs="Gill Sans"/>
                <w:sz w:val="22"/>
                <w:szCs w:val="22"/>
                <w:lang w:val="en-GB"/>
              </w:rPr>
            </w:pPr>
            <w:r w:rsidRPr="00A86D51">
              <w:rPr>
                <w:rFonts w:ascii="Gill Sans" w:hAnsi="Gill Sans" w:cs="Gill Sans"/>
                <w:sz w:val="22"/>
                <w:szCs w:val="22"/>
                <w:lang w:val="en-GB"/>
              </w:rPr>
              <w:t>Unclear</w:t>
            </w:r>
          </w:p>
        </w:tc>
        <w:tc>
          <w:tcPr>
            <w:tcW w:w="336" w:type="dxa"/>
            <w:vMerge w:val="restart"/>
            <w:tcBorders>
              <w:top w:val="single" w:sz="18" w:space="0" w:color="FFFFFF"/>
              <w:left w:val="single" w:sz="18" w:space="0" w:color="FFFFFF"/>
              <w:right w:val="single" w:sz="2" w:space="0" w:color="FFFFFF"/>
            </w:tcBorders>
            <w:shd w:val="clear" w:color="auto" w:fill="CCC0D9"/>
          </w:tcPr>
          <w:p w14:paraId="1C7FE985" w14:textId="77777777" w:rsidR="00D6486B" w:rsidRPr="00A86D51" w:rsidRDefault="00D6486B" w:rsidP="00D6486B">
            <w:pPr>
              <w:spacing w:after="120"/>
              <w:jc w:val="center"/>
              <w:rPr>
                <w:rFonts w:ascii="Gill Sans" w:hAnsi="Gill Sans" w:cs="Gill Sans"/>
                <w:sz w:val="22"/>
                <w:szCs w:val="22"/>
                <w:lang w:val="en-GB"/>
              </w:rPr>
            </w:pPr>
          </w:p>
        </w:tc>
        <w:tc>
          <w:tcPr>
            <w:tcW w:w="379" w:type="dxa"/>
            <w:vMerge w:val="restart"/>
            <w:tcBorders>
              <w:top w:val="single" w:sz="18" w:space="0" w:color="FFFFFF"/>
              <w:left w:val="single" w:sz="2" w:space="0" w:color="FFFFFF"/>
              <w:right w:val="single" w:sz="2" w:space="0" w:color="FFFFFF"/>
            </w:tcBorders>
            <w:shd w:val="clear" w:color="auto" w:fill="CCC0D9"/>
          </w:tcPr>
          <w:p w14:paraId="722E43CB" w14:textId="452F24F3" w:rsidR="00D6486B" w:rsidRPr="00A86D51" w:rsidRDefault="00D6486B" w:rsidP="00D6486B">
            <w:pPr>
              <w:spacing w:after="120"/>
              <w:jc w:val="center"/>
              <w:rPr>
                <w:rFonts w:ascii="Gill Sans" w:hAnsi="Gill Sans" w:cs="Gill Sans"/>
                <w:sz w:val="22"/>
                <w:szCs w:val="22"/>
                <w:lang w:val="en-GB"/>
              </w:rPr>
            </w:pPr>
          </w:p>
        </w:tc>
        <w:tc>
          <w:tcPr>
            <w:tcW w:w="383" w:type="dxa"/>
            <w:vMerge w:val="restart"/>
            <w:tcBorders>
              <w:top w:val="single" w:sz="18" w:space="0" w:color="FFFFFF"/>
              <w:left w:val="single" w:sz="2" w:space="0" w:color="FFFFFF"/>
              <w:right w:val="single" w:sz="2" w:space="0" w:color="FFFFFF"/>
            </w:tcBorders>
            <w:shd w:val="clear" w:color="auto" w:fill="CCC0D9"/>
          </w:tcPr>
          <w:p w14:paraId="73EBB097" w14:textId="3CA96142" w:rsidR="00D6486B" w:rsidRPr="00466E44" w:rsidRDefault="00D6486B" w:rsidP="00D6486B">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42" w:type="dxa"/>
            <w:vMerge w:val="restart"/>
            <w:tcBorders>
              <w:top w:val="single" w:sz="18" w:space="0" w:color="FFFFFF"/>
              <w:left w:val="single" w:sz="2" w:space="0" w:color="FFFFFF"/>
              <w:right w:val="single" w:sz="18" w:space="0" w:color="FFFFFF"/>
            </w:tcBorders>
            <w:shd w:val="clear" w:color="auto" w:fill="CCC0D9"/>
          </w:tcPr>
          <w:p w14:paraId="33E275C9" w14:textId="77777777" w:rsidR="00D6486B" w:rsidRPr="00466E44" w:rsidRDefault="00D6486B" w:rsidP="00D6486B">
            <w:pPr>
              <w:rPr>
                <w:rFonts w:ascii="Zapf Dingbats" w:eastAsia="MS Mincho" w:hAnsi="Zapf Dingbats" w:cs="MS Mincho"/>
                <w:noProof/>
                <w:sz w:val="22"/>
                <w:szCs w:val="22"/>
                <w:lang w:val="en-GB"/>
              </w:rPr>
            </w:pPr>
          </w:p>
        </w:tc>
        <w:tc>
          <w:tcPr>
            <w:tcW w:w="472"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1CD6D46" w14:textId="77777777" w:rsidR="00D6486B" w:rsidRPr="00466E44" w:rsidRDefault="00D6486B" w:rsidP="00D6486B">
            <w:pPr>
              <w:rPr>
                <w:rFonts w:ascii="Zapf Dingbats" w:eastAsia="MS Mincho" w:hAnsi="Zapf Dingbats" w:cs="MS Mincho"/>
                <w:noProof/>
                <w:sz w:val="22"/>
                <w:szCs w:val="22"/>
                <w:lang w:val="en-GB"/>
              </w:rPr>
            </w:pPr>
          </w:p>
        </w:tc>
        <w:tc>
          <w:tcPr>
            <w:tcW w:w="52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0E5D453" w14:textId="77777777" w:rsidR="00D6486B" w:rsidRPr="00466E44" w:rsidRDefault="00D6486B" w:rsidP="00D6486B">
            <w:pPr>
              <w:rPr>
                <w:rFonts w:ascii="Zapf Dingbats" w:eastAsia="MS Mincho" w:hAnsi="Zapf Dingbats" w:cs="MS Mincho"/>
                <w:noProof/>
                <w:sz w:val="22"/>
                <w:szCs w:val="22"/>
                <w:lang w:val="en-GB"/>
              </w:rPr>
            </w:pPr>
          </w:p>
        </w:tc>
        <w:tc>
          <w:tcPr>
            <w:tcW w:w="52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5C0F28FA" w14:textId="4904F8CB" w:rsidR="00D6486B" w:rsidRPr="00466E44" w:rsidRDefault="00D6486B" w:rsidP="00D6486B">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08"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4CA3DAD5" w14:textId="5EC95916" w:rsidR="00D6486B" w:rsidRPr="00A86D51" w:rsidRDefault="00D6486B" w:rsidP="00D6486B">
            <w:pPr>
              <w:spacing w:after="120"/>
              <w:jc w:val="center"/>
              <w:rPr>
                <w:rFonts w:ascii="Gill Sans" w:hAnsi="Gill Sans" w:cs="Gill Sans"/>
                <w:sz w:val="22"/>
                <w:szCs w:val="22"/>
                <w:lang w:val="en-GB"/>
              </w:rPr>
            </w:pPr>
          </w:p>
        </w:tc>
        <w:tc>
          <w:tcPr>
            <w:tcW w:w="342" w:type="dxa"/>
            <w:vMerge w:val="restart"/>
            <w:tcBorders>
              <w:top w:val="single" w:sz="18" w:space="0" w:color="FFFFFF"/>
              <w:left w:val="single" w:sz="18" w:space="0" w:color="FFFFFF"/>
              <w:right w:val="single" w:sz="2" w:space="0" w:color="FFFFFF"/>
            </w:tcBorders>
            <w:shd w:val="clear" w:color="auto" w:fill="D99594"/>
          </w:tcPr>
          <w:p w14:paraId="450EF951" w14:textId="77777777" w:rsidR="00D6486B" w:rsidRPr="00A86D51" w:rsidRDefault="00D6486B" w:rsidP="00D6486B">
            <w:pPr>
              <w:spacing w:after="120"/>
              <w:jc w:val="center"/>
              <w:rPr>
                <w:rFonts w:ascii="Gill Sans" w:hAnsi="Gill Sans" w:cs="Gill Sans"/>
                <w:sz w:val="22"/>
                <w:szCs w:val="22"/>
                <w:lang w:val="en-GB"/>
              </w:rPr>
            </w:pPr>
          </w:p>
        </w:tc>
        <w:tc>
          <w:tcPr>
            <w:tcW w:w="417" w:type="dxa"/>
            <w:vMerge w:val="restart"/>
            <w:tcBorders>
              <w:top w:val="single" w:sz="18" w:space="0" w:color="FFFFFF"/>
              <w:left w:val="single" w:sz="2" w:space="0" w:color="FFFFFF"/>
              <w:right w:val="single" w:sz="2" w:space="0" w:color="FFFFFF"/>
            </w:tcBorders>
            <w:shd w:val="clear" w:color="auto" w:fill="D99594"/>
          </w:tcPr>
          <w:p w14:paraId="6A7F6D64" w14:textId="77BFE4AF" w:rsidR="00D6486B" w:rsidRPr="00A86D51" w:rsidRDefault="00D6486B" w:rsidP="00D6486B">
            <w:pPr>
              <w:rPr>
                <w:rFonts w:ascii="Gill Sans" w:hAnsi="Gill Sans" w:cs="Gill Sans"/>
                <w:sz w:val="22"/>
                <w:szCs w:val="22"/>
                <w:lang w:val="en-GB"/>
              </w:rPr>
            </w:pPr>
            <w:r w:rsidRPr="00466E44">
              <w:rPr>
                <w:rFonts w:ascii="Zapf Dingbats" w:eastAsia="MS Mincho" w:hAnsi="Zapf Dingbats" w:cs="MS Mincho"/>
                <w:noProof/>
                <w:sz w:val="22"/>
                <w:szCs w:val="22"/>
                <w:lang w:val="en-GB"/>
              </w:rPr>
              <w:t>✔</w:t>
            </w:r>
          </w:p>
        </w:tc>
        <w:tc>
          <w:tcPr>
            <w:tcW w:w="342" w:type="dxa"/>
            <w:vMerge w:val="restart"/>
            <w:tcBorders>
              <w:top w:val="single" w:sz="18" w:space="0" w:color="FFFFFF"/>
              <w:left w:val="single" w:sz="2" w:space="0" w:color="FFFFFF"/>
              <w:right w:val="single" w:sz="2" w:space="0" w:color="FFFFFF"/>
            </w:tcBorders>
            <w:shd w:val="clear" w:color="auto" w:fill="D99594"/>
          </w:tcPr>
          <w:p w14:paraId="359494C8" w14:textId="17B50324" w:rsidR="00D6486B" w:rsidRPr="00A86D51" w:rsidRDefault="00D6486B" w:rsidP="00D6486B">
            <w:pPr>
              <w:spacing w:after="120"/>
              <w:jc w:val="center"/>
              <w:rPr>
                <w:rFonts w:ascii="Gill Sans" w:hAnsi="Gill Sans" w:cs="Gill Sans"/>
                <w:sz w:val="22"/>
                <w:szCs w:val="22"/>
                <w:lang w:val="uk-UA"/>
              </w:rPr>
            </w:pPr>
          </w:p>
        </w:tc>
        <w:tc>
          <w:tcPr>
            <w:tcW w:w="342" w:type="dxa"/>
            <w:vMerge w:val="restart"/>
            <w:tcBorders>
              <w:top w:val="single" w:sz="18" w:space="0" w:color="FFFFFF"/>
              <w:left w:val="single" w:sz="2" w:space="0" w:color="FFFFFF"/>
              <w:right w:val="single" w:sz="2" w:space="0" w:color="FFFFFF"/>
            </w:tcBorders>
            <w:shd w:val="clear" w:color="auto" w:fill="D99594"/>
          </w:tcPr>
          <w:p w14:paraId="201C9560" w14:textId="77777777" w:rsidR="00D6486B" w:rsidRPr="00A86D51" w:rsidRDefault="00D6486B" w:rsidP="00D6486B">
            <w:pPr>
              <w:spacing w:after="120"/>
              <w:jc w:val="center"/>
              <w:rPr>
                <w:rFonts w:ascii="Gill Sans" w:hAnsi="Gill Sans" w:cs="Gill Sans"/>
                <w:noProof/>
                <w:sz w:val="22"/>
                <w:szCs w:val="22"/>
              </w:rPr>
            </w:pPr>
          </w:p>
        </w:tc>
        <w:tc>
          <w:tcPr>
            <w:tcW w:w="420" w:type="dxa"/>
            <w:vMerge w:val="restart"/>
            <w:tcBorders>
              <w:top w:val="single" w:sz="18" w:space="0" w:color="FFFFFF"/>
              <w:left w:val="single" w:sz="2" w:space="0" w:color="FFFFFF"/>
              <w:right w:val="single" w:sz="18" w:space="0" w:color="FFFFFF"/>
            </w:tcBorders>
            <w:shd w:val="clear" w:color="auto" w:fill="D99594"/>
          </w:tcPr>
          <w:p w14:paraId="039B39C1" w14:textId="77777777" w:rsidR="00D6486B" w:rsidRPr="00A86D51" w:rsidRDefault="00D6486B" w:rsidP="00D6486B">
            <w:pPr>
              <w:spacing w:after="120"/>
              <w:jc w:val="center"/>
              <w:rPr>
                <w:rFonts w:ascii="Gill Sans" w:hAnsi="Gill Sans" w:cs="Gill Sans"/>
                <w:sz w:val="22"/>
                <w:szCs w:val="22"/>
                <w:lang w:val="en-GB"/>
              </w:rPr>
            </w:pPr>
          </w:p>
        </w:tc>
      </w:tr>
      <w:tr w:rsidR="009B0529" w:rsidRPr="00A86D51" w14:paraId="5E4F31FD" w14:textId="77777777" w:rsidTr="00B223BA">
        <w:trPr>
          <w:trHeight w:val="340"/>
        </w:trPr>
        <w:tc>
          <w:tcPr>
            <w:tcW w:w="1440" w:type="dxa"/>
            <w:vMerge/>
            <w:tcBorders>
              <w:left w:val="single" w:sz="4" w:space="0" w:color="FFFFFF"/>
              <w:right w:val="single" w:sz="18" w:space="0" w:color="FFFFFF"/>
            </w:tcBorders>
            <w:shd w:val="clear" w:color="auto" w:fill="000000"/>
          </w:tcPr>
          <w:p w14:paraId="1983B10B" w14:textId="77777777" w:rsidR="00D6486B" w:rsidRPr="00A86D51" w:rsidRDefault="00D6486B" w:rsidP="00D6486B">
            <w:pPr>
              <w:spacing w:after="120"/>
              <w:rPr>
                <w:rFonts w:ascii="Gill Sans" w:hAnsi="Gill Sans" w:cs="Gill Sans"/>
                <w:color w:val="FFFFFF" w:themeColor="background1"/>
                <w:sz w:val="22"/>
                <w:szCs w:val="22"/>
                <w:lang w:val="en-GB"/>
              </w:rPr>
            </w:pPr>
          </w:p>
        </w:tc>
        <w:tc>
          <w:tcPr>
            <w:tcW w:w="479" w:type="dxa"/>
            <w:vMerge/>
            <w:tcBorders>
              <w:left w:val="single" w:sz="18" w:space="0" w:color="FFFFFF"/>
              <w:right w:val="single" w:sz="2" w:space="0" w:color="FFFFFF"/>
            </w:tcBorders>
            <w:shd w:val="clear" w:color="auto" w:fill="D6E3BC"/>
          </w:tcPr>
          <w:p w14:paraId="6C2BA6EB" w14:textId="77777777" w:rsidR="00D6486B" w:rsidRPr="00A86D51" w:rsidRDefault="00D6486B" w:rsidP="00D6486B">
            <w:pPr>
              <w:spacing w:after="120"/>
              <w:rPr>
                <w:rFonts w:ascii="Gill Sans" w:hAnsi="Gill Sans" w:cs="Gill Sans"/>
                <w:sz w:val="22"/>
                <w:szCs w:val="22"/>
                <w:lang w:val="en-GB"/>
              </w:rPr>
            </w:pPr>
          </w:p>
        </w:tc>
        <w:tc>
          <w:tcPr>
            <w:tcW w:w="421" w:type="dxa"/>
            <w:vMerge/>
            <w:tcBorders>
              <w:left w:val="single" w:sz="2" w:space="0" w:color="FFFFFF"/>
              <w:right w:val="single" w:sz="2" w:space="0" w:color="FFFFFF"/>
            </w:tcBorders>
            <w:shd w:val="clear" w:color="auto" w:fill="D6E3BC"/>
          </w:tcPr>
          <w:p w14:paraId="61AF80DA" w14:textId="77777777" w:rsidR="00D6486B" w:rsidRPr="00A86D51" w:rsidRDefault="00D6486B" w:rsidP="00D6486B">
            <w:pPr>
              <w:spacing w:after="120"/>
              <w:rPr>
                <w:rFonts w:ascii="Gill Sans" w:hAnsi="Gill Sans" w:cs="Gill Sans"/>
                <w:sz w:val="22"/>
                <w:szCs w:val="22"/>
                <w:lang w:val="en-GB"/>
              </w:rPr>
            </w:pPr>
          </w:p>
        </w:tc>
        <w:tc>
          <w:tcPr>
            <w:tcW w:w="344" w:type="dxa"/>
            <w:vMerge/>
            <w:tcBorders>
              <w:left w:val="single" w:sz="2" w:space="0" w:color="FFFFFF"/>
              <w:right w:val="single" w:sz="2" w:space="0" w:color="FFFFFF"/>
            </w:tcBorders>
            <w:shd w:val="clear" w:color="auto" w:fill="D6E3BC"/>
          </w:tcPr>
          <w:p w14:paraId="24EF1239" w14:textId="77777777" w:rsidR="00D6486B" w:rsidRPr="00A86D51" w:rsidRDefault="00D6486B" w:rsidP="00D6486B">
            <w:pPr>
              <w:spacing w:after="120"/>
              <w:rPr>
                <w:rFonts w:ascii="Gill Sans" w:hAnsi="Gill Sans" w:cs="Gill Sans"/>
                <w:sz w:val="22"/>
                <w:szCs w:val="22"/>
                <w:lang w:val="en-GB"/>
              </w:rPr>
            </w:pPr>
          </w:p>
        </w:tc>
        <w:tc>
          <w:tcPr>
            <w:tcW w:w="345" w:type="dxa"/>
            <w:vMerge/>
            <w:tcBorders>
              <w:left w:val="single" w:sz="2" w:space="0" w:color="FFFFFF"/>
              <w:right w:val="single" w:sz="18" w:space="0" w:color="FFFFFF"/>
            </w:tcBorders>
            <w:shd w:val="clear" w:color="auto" w:fill="D6E3BC"/>
          </w:tcPr>
          <w:p w14:paraId="029AE52F" w14:textId="77777777" w:rsidR="00D6486B" w:rsidRPr="00A86D51" w:rsidRDefault="00D6486B" w:rsidP="00D6486B">
            <w:pPr>
              <w:spacing w:after="120"/>
              <w:rPr>
                <w:rFonts w:ascii="Gill Sans" w:hAnsi="Gill Sans" w:cs="Gill Sans"/>
                <w:noProof/>
                <w:sz w:val="22"/>
                <w:szCs w:val="22"/>
                <w:lang w:val="en-GB"/>
              </w:rPr>
            </w:pPr>
          </w:p>
        </w:tc>
        <w:tc>
          <w:tcPr>
            <w:tcW w:w="1927" w:type="dxa"/>
            <w:gridSpan w:val="4"/>
            <w:vMerge/>
            <w:tcBorders>
              <w:left w:val="single" w:sz="2" w:space="0" w:color="FFFFFF"/>
              <w:right w:val="single" w:sz="18" w:space="0" w:color="FFFFFF"/>
            </w:tcBorders>
            <w:shd w:val="clear" w:color="auto" w:fill="FBD4B4"/>
          </w:tcPr>
          <w:p w14:paraId="15345632" w14:textId="77777777" w:rsidR="00D6486B" w:rsidRPr="00A86D51" w:rsidRDefault="00D6486B" w:rsidP="00D6486B">
            <w:pPr>
              <w:spacing w:after="120"/>
              <w:rPr>
                <w:rFonts w:ascii="Gill Sans" w:hAnsi="Gill Sans" w:cs="Gill Sans"/>
                <w:sz w:val="22"/>
                <w:szCs w:val="22"/>
                <w:lang w:val="en-GB"/>
              </w:rPr>
            </w:pPr>
          </w:p>
        </w:tc>
        <w:tc>
          <w:tcPr>
            <w:tcW w:w="336" w:type="dxa"/>
            <w:vMerge/>
            <w:tcBorders>
              <w:left w:val="single" w:sz="18" w:space="0" w:color="FFFFFF"/>
              <w:right w:val="single" w:sz="2" w:space="0" w:color="FFFFFF"/>
            </w:tcBorders>
            <w:shd w:val="clear" w:color="auto" w:fill="CCC0D9"/>
          </w:tcPr>
          <w:p w14:paraId="13DB7C88" w14:textId="77777777" w:rsidR="00D6486B" w:rsidRPr="00A86D51" w:rsidRDefault="00D6486B" w:rsidP="00D6486B">
            <w:pPr>
              <w:spacing w:after="120"/>
              <w:rPr>
                <w:rFonts w:ascii="Gill Sans" w:hAnsi="Gill Sans" w:cs="Gill Sans"/>
                <w:sz w:val="22"/>
                <w:szCs w:val="22"/>
                <w:lang w:val="en-GB"/>
              </w:rPr>
            </w:pPr>
          </w:p>
        </w:tc>
        <w:tc>
          <w:tcPr>
            <w:tcW w:w="379" w:type="dxa"/>
            <w:vMerge/>
            <w:tcBorders>
              <w:left w:val="single" w:sz="2" w:space="0" w:color="FFFFFF"/>
              <w:right w:val="single" w:sz="2" w:space="0" w:color="FFFFFF"/>
            </w:tcBorders>
            <w:shd w:val="clear" w:color="auto" w:fill="CCC0D9"/>
          </w:tcPr>
          <w:p w14:paraId="66452201" w14:textId="77777777" w:rsidR="00D6486B" w:rsidRPr="00A86D51" w:rsidRDefault="00D6486B" w:rsidP="00D6486B">
            <w:pPr>
              <w:spacing w:after="120"/>
              <w:rPr>
                <w:rFonts w:ascii="Gill Sans" w:hAnsi="Gill Sans" w:cs="Gill Sans"/>
                <w:sz w:val="22"/>
                <w:szCs w:val="22"/>
                <w:lang w:val="en-GB"/>
              </w:rPr>
            </w:pPr>
          </w:p>
        </w:tc>
        <w:tc>
          <w:tcPr>
            <w:tcW w:w="383" w:type="dxa"/>
            <w:vMerge/>
            <w:tcBorders>
              <w:left w:val="single" w:sz="2" w:space="0" w:color="FFFFFF"/>
              <w:right w:val="single" w:sz="2" w:space="0" w:color="FFFFFF"/>
            </w:tcBorders>
            <w:shd w:val="clear" w:color="auto" w:fill="CCC0D9"/>
          </w:tcPr>
          <w:p w14:paraId="05366DD6" w14:textId="77777777" w:rsidR="00D6486B" w:rsidRPr="00466E44" w:rsidRDefault="00D6486B" w:rsidP="00D6486B">
            <w:pPr>
              <w:rPr>
                <w:rFonts w:ascii="Zapf Dingbats" w:eastAsia="MS Mincho" w:hAnsi="Zapf Dingbats" w:cs="MS Mincho"/>
                <w:noProof/>
                <w:sz w:val="22"/>
                <w:szCs w:val="22"/>
                <w:lang w:val="en-GB"/>
              </w:rPr>
            </w:pPr>
          </w:p>
        </w:tc>
        <w:tc>
          <w:tcPr>
            <w:tcW w:w="342" w:type="dxa"/>
            <w:vMerge/>
            <w:tcBorders>
              <w:left w:val="single" w:sz="2" w:space="0" w:color="FFFFFF"/>
              <w:right w:val="single" w:sz="18" w:space="0" w:color="FFFFFF"/>
            </w:tcBorders>
            <w:shd w:val="clear" w:color="auto" w:fill="CCC0D9"/>
          </w:tcPr>
          <w:p w14:paraId="14206CAF" w14:textId="77777777" w:rsidR="00D6486B" w:rsidRPr="00466E44" w:rsidRDefault="00D6486B" w:rsidP="00D6486B">
            <w:pPr>
              <w:rPr>
                <w:rFonts w:ascii="Zapf Dingbats" w:eastAsia="MS Mincho" w:hAnsi="Zapf Dingbats" w:cs="MS Mincho"/>
                <w:noProof/>
                <w:sz w:val="22"/>
                <w:szCs w:val="22"/>
                <w:lang w:val="en-GB"/>
              </w:rPr>
            </w:pPr>
          </w:p>
        </w:tc>
        <w:tc>
          <w:tcPr>
            <w:tcW w:w="472"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3AF6230E" w14:textId="77777777" w:rsidR="00D6486B" w:rsidRPr="00466E44" w:rsidRDefault="00D6486B" w:rsidP="00D6486B">
            <w:pPr>
              <w:rPr>
                <w:rFonts w:ascii="Zapf Dingbats" w:eastAsia="MS Mincho" w:hAnsi="Zapf Dingbats" w:cs="MS Mincho"/>
                <w:noProof/>
                <w:sz w:val="22"/>
                <w:szCs w:val="22"/>
                <w:lang w:val="en-GB"/>
              </w:rPr>
            </w:pPr>
          </w:p>
        </w:tc>
        <w:tc>
          <w:tcPr>
            <w:tcW w:w="52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0FABB3BE" w14:textId="77777777" w:rsidR="00D6486B" w:rsidRPr="00466E44" w:rsidRDefault="00D6486B" w:rsidP="00D6486B">
            <w:pPr>
              <w:rPr>
                <w:rFonts w:ascii="Zapf Dingbats" w:eastAsia="MS Mincho" w:hAnsi="Zapf Dingbats" w:cs="MS Mincho"/>
                <w:noProof/>
                <w:sz w:val="22"/>
                <w:szCs w:val="22"/>
                <w:lang w:val="en-GB"/>
              </w:rPr>
            </w:pPr>
          </w:p>
        </w:tc>
        <w:tc>
          <w:tcPr>
            <w:tcW w:w="52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491B49D4" w14:textId="523904FA" w:rsidR="00D6486B" w:rsidRPr="00466E44" w:rsidRDefault="00D6486B" w:rsidP="00D6486B">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08"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36EC20A2" w14:textId="708C522A" w:rsidR="00D6486B" w:rsidRPr="00A86D51" w:rsidRDefault="00D6486B" w:rsidP="00D6486B">
            <w:pPr>
              <w:spacing w:after="120"/>
              <w:jc w:val="center"/>
              <w:rPr>
                <w:rFonts w:ascii="Gill Sans" w:hAnsi="Gill Sans" w:cs="Gill Sans"/>
                <w:sz w:val="22"/>
                <w:szCs w:val="22"/>
                <w:lang w:val="en-GB"/>
              </w:rPr>
            </w:pPr>
          </w:p>
        </w:tc>
        <w:tc>
          <w:tcPr>
            <w:tcW w:w="342" w:type="dxa"/>
            <w:vMerge/>
            <w:tcBorders>
              <w:left w:val="single" w:sz="18" w:space="0" w:color="FFFFFF"/>
              <w:right w:val="single" w:sz="2" w:space="0" w:color="FFFFFF"/>
            </w:tcBorders>
            <w:shd w:val="clear" w:color="auto" w:fill="D99594"/>
          </w:tcPr>
          <w:p w14:paraId="1BACBFCB" w14:textId="77777777" w:rsidR="00D6486B" w:rsidRPr="00A86D51" w:rsidRDefault="00D6486B" w:rsidP="00D6486B">
            <w:pPr>
              <w:spacing w:after="120"/>
              <w:rPr>
                <w:rFonts w:ascii="Gill Sans" w:hAnsi="Gill Sans" w:cs="Gill Sans"/>
                <w:sz w:val="22"/>
                <w:szCs w:val="22"/>
                <w:lang w:val="en-GB"/>
              </w:rPr>
            </w:pPr>
          </w:p>
        </w:tc>
        <w:tc>
          <w:tcPr>
            <w:tcW w:w="417" w:type="dxa"/>
            <w:vMerge/>
            <w:tcBorders>
              <w:left w:val="single" w:sz="2" w:space="0" w:color="FFFFFF"/>
              <w:right w:val="single" w:sz="2" w:space="0" w:color="FFFFFF"/>
            </w:tcBorders>
            <w:shd w:val="clear" w:color="auto" w:fill="D99594"/>
          </w:tcPr>
          <w:p w14:paraId="4D469986" w14:textId="77777777" w:rsidR="00D6486B" w:rsidRPr="00A86D51" w:rsidRDefault="00D6486B" w:rsidP="00D6486B">
            <w:pPr>
              <w:spacing w:after="120"/>
              <w:rPr>
                <w:rFonts w:ascii="Gill Sans" w:hAnsi="Gill Sans" w:cs="Gill Sans"/>
                <w:sz w:val="22"/>
                <w:szCs w:val="22"/>
                <w:lang w:val="en-GB"/>
              </w:rPr>
            </w:pPr>
          </w:p>
        </w:tc>
        <w:tc>
          <w:tcPr>
            <w:tcW w:w="342" w:type="dxa"/>
            <w:vMerge/>
            <w:tcBorders>
              <w:left w:val="single" w:sz="2" w:space="0" w:color="FFFFFF"/>
              <w:right w:val="single" w:sz="2" w:space="0" w:color="FFFFFF"/>
            </w:tcBorders>
            <w:shd w:val="clear" w:color="auto" w:fill="D99594"/>
          </w:tcPr>
          <w:p w14:paraId="287C8E29" w14:textId="77777777" w:rsidR="00D6486B" w:rsidRPr="00A86D51" w:rsidRDefault="00D6486B" w:rsidP="00D6486B">
            <w:pPr>
              <w:spacing w:after="120"/>
              <w:rPr>
                <w:rFonts w:ascii="Gill Sans" w:hAnsi="Gill Sans" w:cs="Gill Sans"/>
                <w:sz w:val="22"/>
                <w:szCs w:val="22"/>
                <w:lang w:val="en-GB"/>
              </w:rPr>
            </w:pPr>
          </w:p>
        </w:tc>
        <w:tc>
          <w:tcPr>
            <w:tcW w:w="342" w:type="dxa"/>
            <w:vMerge/>
            <w:tcBorders>
              <w:left w:val="single" w:sz="2" w:space="0" w:color="FFFFFF"/>
              <w:right w:val="single" w:sz="2" w:space="0" w:color="FFFFFF"/>
            </w:tcBorders>
            <w:shd w:val="clear" w:color="auto" w:fill="D99594"/>
          </w:tcPr>
          <w:p w14:paraId="4D6684A0" w14:textId="77777777" w:rsidR="00D6486B" w:rsidRPr="00A86D51" w:rsidRDefault="00D6486B" w:rsidP="00D6486B">
            <w:pPr>
              <w:spacing w:after="120"/>
              <w:rPr>
                <w:rFonts w:ascii="Gill Sans" w:hAnsi="Gill Sans" w:cs="Gill Sans"/>
                <w:noProof/>
                <w:sz w:val="22"/>
                <w:szCs w:val="22"/>
                <w:lang w:val="en-GB"/>
              </w:rPr>
            </w:pPr>
          </w:p>
        </w:tc>
        <w:tc>
          <w:tcPr>
            <w:tcW w:w="420" w:type="dxa"/>
            <w:vMerge/>
            <w:tcBorders>
              <w:left w:val="single" w:sz="2" w:space="0" w:color="FFFFFF"/>
              <w:right w:val="single" w:sz="18" w:space="0" w:color="FFFFFF"/>
            </w:tcBorders>
            <w:shd w:val="clear" w:color="auto" w:fill="D99594"/>
          </w:tcPr>
          <w:p w14:paraId="70FABDC5" w14:textId="77777777" w:rsidR="00D6486B" w:rsidRPr="00A86D51" w:rsidRDefault="00D6486B" w:rsidP="00D6486B">
            <w:pPr>
              <w:spacing w:after="120"/>
              <w:rPr>
                <w:rFonts w:ascii="Gill Sans" w:hAnsi="Gill Sans" w:cs="Gill Sans"/>
                <w:sz w:val="22"/>
                <w:szCs w:val="22"/>
                <w:lang w:val="en-GB"/>
              </w:rPr>
            </w:pPr>
          </w:p>
        </w:tc>
      </w:tr>
    </w:tbl>
    <w:p w14:paraId="0176D9E6" w14:textId="77777777" w:rsidR="00BE60D4" w:rsidRDefault="00BE60D4" w:rsidP="006319F4">
      <w:pPr>
        <w:pStyle w:val="Heading3"/>
      </w:pPr>
    </w:p>
    <w:p w14:paraId="1B5C3F98" w14:textId="5A12916E" w:rsidR="00DB09F9" w:rsidRPr="00A86D51" w:rsidRDefault="00DB09F9" w:rsidP="00163080">
      <w:pPr>
        <w:pStyle w:val="Heading3"/>
      </w:pPr>
      <w:r w:rsidRPr="00A86D51">
        <w:t xml:space="preserve">Commitment </w:t>
      </w:r>
      <w:r w:rsidR="00BE60D4">
        <w:t>a</w:t>
      </w:r>
      <w:r w:rsidRPr="00A86D51">
        <w:t>im</w:t>
      </w:r>
    </w:p>
    <w:p w14:paraId="3D0059F3" w14:textId="672938FC" w:rsidR="00DB09F9" w:rsidRPr="00A86D51" w:rsidRDefault="0005197F" w:rsidP="00E80E32">
      <w:pPr>
        <w:spacing w:after="120"/>
        <w:rPr>
          <w:rFonts w:ascii="Gill Sans" w:hAnsi="Gill Sans" w:cs="Gill Sans"/>
          <w:sz w:val="22"/>
          <w:szCs w:val="22"/>
          <w:lang w:val="en-GB"/>
        </w:rPr>
      </w:pPr>
      <w:r>
        <w:rPr>
          <w:rFonts w:ascii="Gill Sans" w:hAnsi="Gill Sans" w:cs="Gill Sans"/>
          <w:sz w:val="22"/>
          <w:szCs w:val="22"/>
          <w:lang w:val="en-GB"/>
        </w:rPr>
        <w:t xml:space="preserve">The commitment </w:t>
      </w:r>
      <w:r w:rsidR="00071776">
        <w:rPr>
          <w:rFonts w:ascii="Gill Sans" w:hAnsi="Gill Sans" w:cs="Gill Sans"/>
          <w:sz w:val="22"/>
          <w:szCs w:val="22"/>
          <w:lang w:val="en-GB"/>
        </w:rPr>
        <w:t>attempted</w:t>
      </w:r>
      <w:r w:rsidR="00071776" w:rsidRPr="00A86D51">
        <w:rPr>
          <w:rFonts w:ascii="Gill Sans" w:hAnsi="Gill Sans" w:cs="Gill Sans"/>
          <w:sz w:val="22"/>
          <w:szCs w:val="22"/>
          <w:lang w:val="en-GB"/>
        </w:rPr>
        <w:t xml:space="preserve"> </w:t>
      </w:r>
      <w:r w:rsidR="00DB09F9" w:rsidRPr="00A86D51">
        <w:rPr>
          <w:rFonts w:ascii="Gill Sans" w:hAnsi="Gill Sans" w:cs="Gill Sans"/>
          <w:sz w:val="22"/>
          <w:szCs w:val="22"/>
          <w:lang w:val="en-GB"/>
        </w:rPr>
        <w:t xml:space="preserve">to </w:t>
      </w:r>
      <w:r w:rsidR="005D2307" w:rsidRPr="00A86D51">
        <w:rPr>
          <w:rFonts w:ascii="Gill Sans" w:hAnsi="Gill Sans" w:cs="Gill Sans"/>
          <w:sz w:val="22"/>
          <w:szCs w:val="22"/>
          <w:lang w:val="en-GB"/>
        </w:rPr>
        <w:t>improve the provision of social services by revising legal regulation in the area. The Law on Social Services regulates the provision of services to individuals and families affected by difficult life situations</w:t>
      </w:r>
      <w:r w:rsidR="006558BF">
        <w:rPr>
          <w:rFonts w:ascii="Gill Sans" w:hAnsi="Gill Sans" w:cs="Gill Sans"/>
          <w:sz w:val="22"/>
          <w:szCs w:val="22"/>
          <w:lang w:val="en-GB"/>
        </w:rPr>
        <w:t>, who</w:t>
      </w:r>
      <w:r w:rsidR="005D2307" w:rsidRPr="00A86D51">
        <w:rPr>
          <w:rFonts w:ascii="Gill Sans" w:hAnsi="Gill Sans" w:cs="Gill Sans"/>
          <w:sz w:val="22"/>
          <w:szCs w:val="22"/>
          <w:lang w:val="en-GB"/>
        </w:rPr>
        <w:t xml:space="preserve"> cannot overcome them </w:t>
      </w:r>
      <w:r w:rsidR="006558BF" w:rsidRPr="00A86D51">
        <w:rPr>
          <w:rFonts w:ascii="Gill Sans" w:hAnsi="Gill Sans" w:cs="Gill Sans"/>
          <w:sz w:val="22"/>
          <w:szCs w:val="22"/>
          <w:lang w:val="en-GB"/>
        </w:rPr>
        <w:t xml:space="preserve">or minimise their effects </w:t>
      </w:r>
      <w:r w:rsidR="005D2307" w:rsidRPr="00A86D51">
        <w:rPr>
          <w:rFonts w:ascii="Gill Sans" w:hAnsi="Gill Sans" w:cs="Gill Sans"/>
          <w:sz w:val="22"/>
          <w:szCs w:val="22"/>
          <w:lang w:val="en-GB"/>
        </w:rPr>
        <w:t xml:space="preserve">on their own. A number of official action plans, including that of the OGP, </w:t>
      </w:r>
      <w:r w:rsidR="00B6343E">
        <w:rPr>
          <w:rFonts w:ascii="Gill Sans" w:hAnsi="Gill Sans" w:cs="Gill Sans"/>
          <w:sz w:val="22"/>
          <w:szCs w:val="22"/>
          <w:lang w:val="en-GB"/>
        </w:rPr>
        <w:t xml:space="preserve">provided </w:t>
      </w:r>
      <w:r w:rsidR="005D2307" w:rsidRPr="00A86D51">
        <w:rPr>
          <w:rFonts w:ascii="Gill Sans" w:hAnsi="Gill Sans" w:cs="Gill Sans"/>
          <w:sz w:val="22"/>
          <w:szCs w:val="22"/>
          <w:lang w:val="en-GB"/>
        </w:rPr>
        <w:t xml:space="preserve">for </w:t>
      </w:r>
      <w:r w:rsidR="006558BF">
        <w:rPr>
          <w:rFonts w:ascii="Gill Sans" w:hAnsi="Gill Sans" w:cs="Gill Sans"/>
          <w:sz w:val="22"/>
          <w:szCs w:val="22"/>
          <w:lang w:val="en-GB"/>
        </w:rPr>
        <w:t xml:space="preserve">the </w:t>
      </w:r>
      <w:r w:rsidR="005D2307" w:rsidRPr="00A86D51">
        <w:rPr>
          <w:rFonts w:ascii="Gill Sans" w:hAnsi="Gill Sans" w:cs="Gill Sans"/>
          <w:sz w:val="22"/>
          <w:szCs w:val="22"/>
          <w:lang w:val="en-GB"/>
        </w:rPr>
        <w:t>revision of the Law on Social Services. Others include</w:t>
      </w:r>
      <w:r w:rsidR="006558BF">
        <w:rPr>
          <w:rFonts w:ascii="Gill Sans" w:hAnsi="Gill Sans" w:cs="Gill Sans"/>
          <w:sz w:val="22"/>
          <w:szCs w:val="22"/>
          <w:lang w:val="en-GB"/>
        </w:rPr>
        <w:t>d</w:t>
      </w:r>
      <w:r w:rsidR="005D2307" w:rsidRPr="00A86D51">
        <w:rPr>
          <w:rFonts w:ascii="Gill Sans" w:hAnsi="Gill Sans" w:cs="Gill Sans"/>
          <w:sz w:val="22"/>
          <w:szCs w:val="22"/>
          <w:lang w:val="en-GB"/>
        </w:rPr>
        <w:t xml:space="preserve"> the </w:t>
      </w:r>
      <w:r w:rsidR="006558BF">
        <w:rPr>
          <w:rFonts w:ascii="Gill Sans" w:hAnsi="Gill Sans" w:cs="Gill Sans"/>
          <w:sz w:val="22"/>
          <w:szCs w:val="22"/>
          <w:lang w:val="en-GB"/>
        </w:rPr>
        <w:t>g</w:t>
      </w:r>
      <w:r w:rsidR="005D2307" w:rsidRPr="00A86D51">
        <w:rPr>
          <w:rFonts w:ascii="Gill Sans" w:hAnsi="Gill Sans" w:cs="Gill Sans"/>
          <w:sz w:val="22"/>
          <w:szCs w:val="22"/>
          <w:lang w:val="en-GB"/>
        </w:rPr>
        <w:t>overnment’s Program of Activity, Sustainable Development Strategy “Ukraine-2020,” and the 2013-2016 action plan to implement the Strategy for Reforming the System of Social Services Provision.</w:t>
      </w:r>
    </w:p>
    <w:p w14:paraId="51878DCD" w14:textId="63E17CE4" w:rsidR="00DB09F9" w:rsidRPr="00A86D51" w:rsidRDefault="00DB09F9" w:rsidP="006319F4">
      <w:pPr>
        <w:pStyle w:val="Heading3"/>
      </w:pPr>
      <w:r w:rsidRPr="00A86D51">
        <w:t>Status</w:t>
      </w:r>
    </w:p>
    <w:p w14:paraId="5857D919" w14:textId="5C811250" w:rsidR="00DB09F9" w:rsidRPr="00A86D51" w:rsidRDefault="00DB09F9" w:rsidP="00A86D51">
      <w:pPr>
        <w:pStyle w:val="Normalrglronly"/>
        <w:rPr>
          <w:b/>
          <w:lang w:val="en-US"/>
        </w:rPr>
      </w:pPr>
      <w:r w:rsidRPr="00A86D51">
        <w:rPr>
          <w:b/>
          <w:lang w:val="en-GB"/>
        </w:rPr>
        <w:t xml:space="preserve">Midterm: </w:t>
      </w:r>
      <w:r w:rsidR="005D2307" w:rsidRPr="00A86D51">
        <w:rPr>
          <w:b/>
          <w:lang w:val="en-GB"/>
        </w:rPr>
        <w:t>Substantial</w:t>
      </w:r>
    </w:p>
    <w:p w14:paraId="44371EE7" w14:textId="5929F2CA" w:rsidR="00086868" w:rsidRPr="00850E8C" w:rsidRDefault="00086868" w:rsidP="003C61C9">
      <w:pPr>
        <w:spacing w:after="120"/>
        <w:rPr>
          <w:rFonts w:ascii="Gill Sans" w:hAnsi="Gill Sans" w:cs="Gill Sans"/>
          <w:sz w:val="22"/>
          <w:szCs w:val="22"/>
          <w:lang w:val="en-GB"/>
        </w:rPr>
      </w:pPr>
      <w:r w:rsidRPr="00A86D51">
        <w:rPr>
          <w:rFonts w:ascii="Gill Sans" w:hAnsi="Gill Sans" w:cs="Gill Sans"/>
          <w:sz w:val="22"/>
          <w:szCs w:val="22"/>
          <w:lang w:val="en-GB"/>
        </w:rPr>
        <w:t xml:space="preserve">The Ministry of Social Policy developed, and the government submitted </w:t>
      </w:r>
      <w:r w:rsidR="00171EEE">
        <w:rPr>
          <w:rFonts w:ascii="Gill Sans" w:hAnsi="Gill Sans" w:cs="Gill Sans"/>
          <w:sz w:val="22"/>
          <w:szCs w:val="22"/>
          <w:lang w:val="en-GB"/>
        </w:rPr>
        <w:t>to</w:t>
      </w:r>
      <w:r w:rsidR="00EE7B61" w:rsidRPr="00A86D51">
        <w:rPr>
          <w:rFonts w:ascii="Gill Sans" w:hAnsi="Gill Sans" w:cs="Gill Sans"/>
          <w:sz w:val="22"/>
          <w:szCs w:val="22"/>
          <w:lang w:val="en-GB"/>
        </w:rPr>
        <w:t xml:space="preserve"> </w:t>
      </w:r>
      <w:r w:rsidR="006558BF">
        <w:rPr>
          <w:rFonts w:ascii="Gill Sans" w:hAnsi="Gill Sans" w:cs="Gill Sans"/>
          <w:sz w:val="22"/>
          <w:szCs w:val="22"/>
          <w:lang w:val="en-GB"/>
        </w:rPr>
        <w:t>P</w:t>
      </w:r>
      <w:r w:rsidR="00EE7B61" w:rsidRPr="00A86D51">
        <w:rPr>
          <w:rFonts w:ascii="Gill Sans" w:hAnsi="Gill Sans" w:cs="Gill Sans"/>
          <w:sz w:val="22"/>
          <w:szCs w:val="22"/>
          <w:lang w:val="en-GB"/>
        </w:rPr>
        <w:t xml:space="preserve">arliament </w:t>
      </w:r>
      <w:r w:rsidRPr="00A86D51">
        <w:rPr>
          <w:rFonts w:ascii="Gill Sans" w:hAnsi="Gill Sans" w:cs="Gill Sans"/>
          <w:sz w:val="22"/>
          <w:szCs w:val="22"/>
          <w:lang w:val="en-GB"/>
        </w:rPr>
        <w:t xml:space="preserve">on 18 September 2015, a draft </w:t>
      </w:r>
      <w:r w:rsidR="006558BF">
        <w:rPr>
          <w:rFonts w:ascii="Gill Sans" w:hAnsi="Gill Sans" w:cs="Gill Sans"/>
          <w:sz w:val="22"/>
          <w:szCs w:val="22"/>
          <w:lang w:val="en-GB"/>
        </w:rPr>
        <w:t>with</w:t>
      </w:r>
      <w:r w:rsidR="00071776">
        <w:rPr>
          <w:rFonts w:ascii="Gill Sans" w:hAnsi="Gill Sans" w:cs="Gill Sans"/>
          <w:sz w:val="22"/>
          <w:szCs w:val="22"/>
          <w:lang w:val="en-GB"/>
        </w:rPr>
        <w:t xml:space="preserve"> </w:t>
      </w:r>
      <w:r w:rsidRPr="00A86D51">
        <w:rPr>
          <w:rFonts w:ascii="Gill Sans" w:hAnsi="Gill Sans" w:cs="Gill Sans"/>
          <w:sz w:val="22"/>
          <w:szCs w:val="22"/>
          <w:lang w:val="en-GB"/>
        </w:rPr>
        <w:t>new wording for the Law on Social Services.</w:t>
      </w:r>
      <w:r w:rsidRPr="00A86D51">
        <w:rPr>
          <w:rStyle w:val="EndnoteReference"/>
          <w:rFonts w:ascii="Gill Sans" w:hAnsi="Gill Sans" w:cs="Gill Sans"/>
          <w:sz w:val="22"/>
          <w:szCs w:val="22"/>
          <w:lang w:val="en-GB"/>
        </w:rPr>
        <w:endnoteReference w:id="80"/>
      </w:r>
      <w:r w:rsidRPr="00A86D51">
        <w:rPr>
          <w:rFonts w:ascii="Gill Sans" w:hAnsi="Gill Sans" w:cs="Gill Sans"/>
          <w:sz w:val="22"/>
          <w:szCs w:val="22"/>
          <w:lang w:val="en-GB"/>
        </w:rPr>
        <w:t xml:space="preserve"> The draft law proposed to revise the Law on Social Services and amend eight other laws. It aimed to protect persons receiving social services, create a market </w:t>
      </w:r>
      <w:r w:rsidR="00071776">
        <w:rPr>
          <w:rFonts w:ascii="Gill Sans" w:hAnsi="Gill Sans" w:cs="Gill Sans"/>
          <w:sz w:val="22"/>
          <w:szCs w:val="22"/>
          <w:lang w:val="en-GB"/>
        </w:rPr>
        <w:t>for</w:t>
      </w:r>
      <w:r w:rsidR="00071776" w:rsidRPr="00A86D51">
        <w:rPr>
          <w:rFonts w:ascii="Gill Sans" w:hAnsi="Gill Sans" w:cs="Gill Sans"/>
          <w:sz w:val="22"/>
          <w:szCs w:val="22"/>
          <w:lang w:val="en-GB"/>
        </w:rPr>
        <w:t xml:space="preserve"> </w:t>
      </w:r>
      <w:r w:rsidRPr="00A86D51">
        <w:rPr>
          <w:rFonts w:ascii="Gill Sans" w:hAnsi="Gill Sans" w:cs="Gill Sans"/>
          <w:sz w:val="22"/>
          <w:szCs w:val="22"/>
          <w:lang w:val="en-GB"/>
        </w:rPr>
        <w:t xml:space="preserve">social services, and improve their quality. It would also allow aligning relevant legislation with EU standards, particularly </w:t>
      </w:r>
      <w:r w:rsidR="00D6486B">
        <w:rPr>
          <w:rFonts w:ascii="Gill Sans" w:hAnsi="Gill Sans" w:cs="Gill Sans"/>
          <w:sz w:val="22"/>
          <w:szCs w:val="22"/>
          <w:lang w:val="en-GB"/>
        </w:rPr>
        <w:t>regarding</w:t>
      </w:r>
      <w:r w:rsidRPr="00A86D51">
        <w:rPr>
          <w:rFonts w:ascii="Gill Sans" w:hAnsi="Gill Sans" w:cs="Gill Sans"/>
          <w:sz w:val="22"/>
          <w:szCs w:val="22"/>
          <w:lang w:val="en-GB"/>
        </w:rPr>
        <w:t xml:space="preserve"> payment policy. (Social services will be provided </w:t>
      </w:r>
      <w:r w:rsidR="00071776">
        <w:rPr>
          <w:rFonts w:ascii="Gill Sans" w:hAnsi="Gill Sans" w:cs="Gill Sans"/>
          <w:sz w:val="22"/>
          <w:szCs w:val="22"/>
          <w:lang w:val="en-GB"/>
        </w:rPr>
        <w:t>based</w:t>
      </w:r>
      <w:r w:rsidR="00071776" w:rsidRPr="00A86D51">
        <w:rPr>
          <w:rFonts w:ascii="Gill Sans" w:hAnsi="Gill Sans" w:cs="Gill Sans"/>
          <w:sz w:val="22"/>
          <w:szCs w:val="22"/>
          <w:lang w:val="en-GB"/>
        </w:rPr>
        <w:t xml:space="preserve"> </w:t>
      </w:r>
      <w:r w:rsidRPr="00A86D51">
        <w:rPr>
          <w:rFonts w:ascii="Gill Sans" w:hAnsi="Gill Sans" w:cs="Gill Sans"/>
          <w:sz w:val="22"/>
          <w:szCs w:val="22"/>
          <w:lang w:val="en-GB"/>
        </w:rPr>
        <w:t xml:space="preserve">on </w:t>
      </w:r>
      <w:r w:rsidR="00071776">
        <w:rPr>
          <w:rFonts w:ascii="Gill Sans" w:hAnsi="Gill Sans" w:cs="Gill Sans"/>
          <w:sz w:val="22"/>
          <w:szCs w:val="22"/>
          <w:lang w:val="en-GB"/>
        </w:rPr>
        <w:t>a</w:t>
      </w:r>
      <w:r w:rsidR="00071776" w:rsidRPr="00A86D51">
        <w:rPr>
          <w:rFonts w:ascii="Gill Sans" w:hAnsi="Gill Sans" w:cs="Gill Sans"/>
          <w:sz w:val="22"/>
          <w:szCs w:val="22"/>
          <w:lang w:val="en-GB"/>
        </w:rPr>
        <w:t xml:space="preserve"> </w:t>
      </w:r>
      <w:r w:rsidRPr="00A86D51">
        <w:rPr>
          <w:rFonts w:ascii="Gill Sans" w:hAnsi="Gill Sans" w:cs="Gill Sans"/>
          <w:sz w:val="22"/>
          <w:szCs w:val="22"/>
          <w:lang w:val="en-GB"/>
        </w:rPr>
        <w:t xml:space="preserve">person’s income, not </w:t>
      </w:r>
      <w:r w:rsidR="00BF1A39">
        <w:rPr>
          <w:rFonts w:ascii="Gill Sans" w:hAnsi="Gill Sans" w:cs="Gill Sans"/>
          <w:sz w:val="22"/>
          <w:szCs w:val="22"/>
        </w:rPr>
        <w:t xml:space="preserve">on the basis of </w:t>
      </w:r>
      <w:r w:rsidR="003C61C9">
        <w:rPr>
          <w:rFonts w:ascii="Gill Sans" w:hAnsi="Gill Sans" w:cs="Gill Sans"/>
          <w:sz w:val="22"/>
          <w:szCs w:val="22"/>
        </w:rPr>
        <w:t>whether</w:t>
      </w:r>
      <w:r w:rsidR="00BF1A39">
        <w:rPr>
          <w:rFonts w:ascii="Gill Sans" w:hAnsi="Gill Sans" w:cs="Gill Sans"/>
          <w:sz w:val="22"/>
          <w:szCs w:val="22"/>
        </w:rPr>
        <w:t xml:space="preserve"> </w:t>
      </w:r>
      <w:r w:rsidR="00BF1A39">
        <w:rPr>
          <w:rFonts w:ascii="Gill Sans" w:hAnsi="Gill Sans" w:cs="Gill Sans"/>
          <w:sz w:val="22"/>
          <w:szCs w:val="22"/>
        </w:rPr>
        <w:lastRenderedPageBreak/>
        <w:t xml:space="preserve">he/she </w:t>
      </w:r>
      <w:r w:rsidR="00BF1A39">
        <w:rPr>
          <w:rFonts w:ascii="Gill Sans" w:hAnsi="Gill Sans" w:cs="Gill Sans"/>
          <w:sz w:val="22"/>
          <w:szCs w:val="22"/>
          <w:lang w:val="en-GB"/>
        </w:rPr>
        <w:t xml:space="preserve">has any </w:t>
      </w:r>
      <w:r w:rsidRPr="00A86D51">
        <w:rPr>
          <w:rFonts w:ascii="Gill Sans" w:hAnsi="Gill Sans" w:cs="Gill Sans"/>
          <w:sz w:val="22"/>
          <w:szCs w:val="22"/>
          <w:lang w:val="en-GB"/>
        </w:rPr>
        <w:t>relatives</w:t>
      </w:r>
      <w:r w:rsidR="00BF1A39">
        <w:rPr>
          <w:rFonts w:ascii="Gill Sans" w:hAnsi="Gill Sans" w:cs="Gill Sans"/>
          <w:sz w:val="22"/>
          <w:szCs w:val="22"/>
          <w:lang w:val="en-GB"/>
        </w:rPr>
        <w:t xml:space="preserve"> or </w:t>
      </w:r>
      <w:r w:rsidR="003C61C9">
        <w:rPr>
          <w:rFonts w:ascii="Gill Sans" w:hAnsi="Gill Sans" w:cs="Gill Sans"/>
          <w:sz w:val="22"/>
          <w:szCs w:val="22"/>
          <w:lang w:val="en-GB"/>
        </w:rPr>
        <w:t>guardians</w:t>
      </w:r>
      <w:r w:rsidRPr="00A86D51">
        <w:rPr>
          <w:rFonts w:ascii="Gill Sans" w:hAnsi="Gill Sans" w:cs="Gill Sans"/>
          <w:sz w:val="22"/>
          <w:szCs w:val="22"/>
          <w:lang w:val="en-GB"/>
        </w:rPr>
        <w:t>)</w:t>
      </w:r>
      <w:r w:rsidR="00071776">
        <w:rPr>
          <w:rFonts w:ascii="Gill Sans" w:hAnsi="Gill Sans" w:cs="Gill Sans"/>
          <w:sz w:val="22"/>
          <w:szCs w:val="22"/>
          <w:lang w:val="en-GB"/>
        </w:rPr>
        <w:t>.</w:t>
      </w:r>
      <w:r w:rsidRPr="00A86D51">
        <w:rPr>
          <w:rFonts w:ascii="Gill Sans" w:hAnsi="Gill Sans" w:cs="Gill Sans"/>
          <w:sz w:val="22"/>
          <w:szCs w:val="22"/>
          <w:lang w:val="en-GB"/>
        </w:rPr>
        <w:t xml:space="preserve"> T</w:t>
      </w:r>
      <w:r w:rsidR="00F322E5" w:rsidRPr="00A86D51">
        <w:rPr>
          <w:rFonts w:ascii="Gill Sans" w:hAnsi="Gill Sans" w:cs="Gill Sans"/>
          <w:sz w:val="22"/>
          <w:szCs w:val="22"/>
          <w:lang w:val="en-GB"/>
        </w:rPr>
        <w:t>he draft law also suggested</w:t>
      </w:r>
      <w:r w:rsidRPr="00A86D51">
        <w:rPr>
          <w:rFonts w:ascii="Gill Sans" w:hAnsi="Gill Sans" w:cs="Gill Sans"/>
          <w:sz w:val="22"/>
          <w:szCs w:val="22"/>
          <w:lang w:val="en-GB"/>
        </w:rPr>
        <w:t xml:space="preserve"> involving non-state entities in the provision of social services through social contracting on a competitive basis. This </w:t>
      </w:r>
      <w:r w:rsidR="00F322E5" w:rsidRPr="00A86D51">
        <w:rPr>
          <w:rFonts w:ascii="Gill Sans" w:hAnsi="Gill Sans" w:cs="Gill Sans"/>
          <w:sz w:val="22"/>
          <w:szCs w:val="22"/>
          <w:lang w:val="en-GB"/>
        </w:rPr>
        <w:t xml:space="preserve">was </w:t>
      </w:r>
      <w:r w:rsidRPr="00A86D51">
        <w:rPr>
          <w:rFonts w:ascii="Gill Sans" w:hAnsi="Gill Sans" w:cs="Gill Sans"/>
          <w:sz w:val="22"/>
          <w:szCs w:val="22"/>
          <w:lang w:val="en-GB"/>
        </w:rPr>
        <w:t xml:space="preserve">supposed to significantly </w:t>
      </w:r>
      <w:r w:rsidRPr="00850E8C">
        <w:rPr>
          <w:rFonts w:ascii="Gill Sans" w:hAnsi="Gill Sans" w:cs="Gill Sans"/>
          <w:sz w:val="22"/>
          <w:szCs w:val="22"/>
          <w:lang w:val="en-GB"/>
        </w:rPr>
        <w:t xml:space="preserve">broaden the range of social services providers and improve the quality of services. The draft law </w:t>
      </w:r>
      <w:r w:rsidR="00071776">
        <w:rPr>
          <w:rFonts w:ascii="Gill Sans" w:hAnsi="Gill Sans" w:cs="Gill Sans"/>
          <w:sz w:val="22"/>
          <w:szCs w:val="22"/>
          <w:lang w:val="en-GB"/>
        </w:rPr>
        <w:t>further</w:t>
      </w:r>
      <w:r w:rsidR="00071776" w:rsidRPr="00850E8C">
        <w:rPr>
          <w:rFonts w:ascii="Gill Sans" w:hAnsi="Gill Sans" w:cs="Gill Sans"/>
          <w:sz w:val="22"/>
          <w:szCs w:val="22"/>
          <w:lang w:val="en-GB"/>
        </w:rPr>
        <w:t xml:space="preserve"> </w:t>
      </w:r>
      <w:r w:rsidR="00F322E5" w:rsidRPr="00850E8C">
        <w:rPr>
          <w:rFonts w:ascii="Gill Sans" w:hAnsi="Gill Sans" w:cs="Gill Sans"/>
          <w:sz w:val="22"/>
          <w:szCs w:val="22"/>
          <w:lang w:val="en-GB"/>
        </w:rPr>
        <w:t xml:space="preserve">provided for </w:t>
      </w:r>
      <w:r w:rsidRPr="00850E8C">
        <w:rPr>
          <w:rFonts w:ascii="Gill Sans" w:hAnsi="Gill Sans" w:cs="Gill Sans"/>
          <w:sz w:val="22"/>
          <w:szCs w:val="22"/>
          <w:lang w:val="en-GB"/>
        </w:rPr>
        <w:t>decentralisation of regulations in the area of social services provision.</w:t>
      </w:r>
      <w:r w:rsidRPr="00850E8C">
        <w:rPr>
          <w:rStyle w:val="EndnoteReference"/>
          <w:rFonts w:ascii="Gill Sans" w:hAnsi="Gill Sans" w:cs="Gill Sans"/>
          <w:sz w:val="22"/>
          <w:szCs w:val="22"/>
          <w:lang w:val="en-GB"/>
        </w:rPr>
        <w:endnoteReference w:id="81"/>
      </w:r>
    </w:p>
    <w:p w14:paraId="07295A92" w14:textId="69D6FB70" w:rsidR="00DB09F9" w:rsidRPr="00850E8C" w:rsidRDefault="00DB09F9" w:rsidP="00A86D51">
      <w:pPr>
        <w:pStyle w:val="Normalrglronly"/>
        <w:rPr>
          <w:b/>
          <w:lang w:val="en-US"/>
        </w:rPr>
      </w:pPr>
      <w:r w:rsidRPr="00850E8C">
        <w:rPr>
          <w:b/>
          <w:lang w:val="en-GB"/>
        </w:rPr>
        <w:t xml:space="preserve">End of term: </w:t>
      </w:r>
      <w:r w:rsidR="00850E8C" w:rsidRPr="00A86D51">
        <w:rPr>
          <w:b/>
          <w:lang w:val="en-GB"/>
        </w:rPr>
        <w:t>Substantial</w:t>
      </w:r>
    </w:p>
    <w:p w14:paraId="58845978" w14:textId="752ADBA9" w:rsidR="00DB09F9" w:rsidRPr="00850E8C" w:rsidRDefault="00A86D51" w:rsidP="00CC51A7">
      <w:pPr>
        <w:spacing w:after="120"/>
        <w:rPr>
          <w:rFonts w:ascii="Gill Sans" w:hAnsi="Gill Sans" w:cs="Gill Sans"/>
          <w:noProof/>
          <w:sz w:val="22"/>
          <w:szCs w:val="22"/>
          <w:lang w:val="en-GB"/>
        </w:rPr>
      </w:pPr>
      <w:r w:rsidRPr="00850E8C">
        <w:rPr>
          <w:rFonts w:ascii="Gill Sans" w:hAnsi="Gill Sans" w:cs="Gill Sans"/>
          <w:noProof/>
          <w:sz w:val="22"/>
          <w:szCs w:val="22"/>
          <w:lang w:val="en-GB"/>
        </w:rPr>
        <w:t xml:space="preserve">No progress was made since the </w:t>
      </w:r>
      <w:r w:rsidR="002605F4">
        <w:rPr>
          <w:rFonts w:ascii="Gill Sans" w:hAnsi="Gill Sans" w:cs="Gill Sans"/>
          <w:noProof/>
          <w:sz w:val="22"/>
          <w:szCs w:val="22"/>
          <w:lang w:val="en-GB"/>
        </w:rPr>
        <w:t>midterm</w:t>
      </w:r>
      <w:r w:rsidR="002605F4" w:rsidRPr="00850E8C">
        <w:rPr>
          <w:rFonts w:ascii="Gill Sans" w:hAnsi="Gill Sans" w:cs="Gill Sans"/>
          <w:noProof/>
          <w:sz w:val="22"/>
          <w:szCs w:val="22"/>
          <w:lang w:val="en-GB"/>
        </w:rPr>
        <w:t xml:space="preserve"> </w:t>
      </w:r>
      <w:r w:rsidRPr="00850E8C">
        <w:rPr>
          <w:rFonts w:ascii="Gill Sans" w:hAnsi="Gill Sans" w:cs="Gill Sans"/>
          <w:noProof/>
          <w:sz w:val="22"/>
          <w:szCs w:val="22"/>
          <w:lang w:val="en-GB"/>
        </w:rPr>
        <w:t>report. In May 2016</w:t>
      </w:r>
      <w:r w:rsidR="00237C20">
        <w:rPr>
          <w:rFonts w:ascii="Gill Sans" w:hAnsi="Gill Sans" w:cs="Gill Sans"/>
          <w:noProof/>
          <w:sz w:val="22"/>
          <w:szCs w:val="22"/>
          <w:lang w:val="en-GB"/>
        </w:rPr>
        <w:t>,</w:t>
      </w:r>
      <w:r w:rsidRPr="00850E8C">
        <w:rPr>
          <w:rFonts w:ascii="Gill Sans" w:hAnsi="Gill Sans" w:cs="Gill Sans"/>
          <w:noProof/>
          <w:sz w:val="22"/>
          <w:szCs w:val="22"/>
          <w:lang w:val="en-GB"/>
        </w:rPr>
        <w:t xml:space="preserve"> the draft law was re-submitted </w:t>
      </w:r>
      <w:r w:rsidR="00CC51A7">
        <w:rPr>
          <w:rFonts w:ascii="Gill Sans" w:hAnsi="Gill Sans" w:cs="Gill Sans"/>
          <w:noProof/>
          <w:sz w:val="22"/>
          <w:szCs w:val="22"/>
          <w:lang w:val="en-GB"/>
        </w:rPr>
        <w:t>to</w:t>
      </w:r>
      <w:r w:rsidRPr="00850E8C">
        <w:rPr>
          <w:rFonts w:ascii="Gill Sans" w:hAnsi="Gill Sans" w:cs="Gill Sans"/>
          <w:noProof/>
          <w:sz w:val="22"/>
          <w:szCs w:val="22"/>
          <w:lang w:val="en-GB"/>
        </w:rPr>
        <w:t xml:space="preserve"> </w:t>
      </w:r>
      <w:r w:rsidR="00CC51A7">
        <w:rPr>
          <w:rFonts w:ascii="Gill Sans" w:hAnsi="Gill Sans" w:cs="Gill Sans"/>
          <w:noProof/>
          <w:sz w:val="22"/>
          <w:szCs w:val="22"/>
          <w:lang w:val="en-GB"/>
        </w:rPr>
        <w:t>P</w:t>
      </w:r>
      <w:r w:rsidRPr="00850E8C">
        <w:rPr>
          <w:rFonts w:ascii="Gill Sans" w:hAnsi="Gill Sans" w:cs="Gill Sans"/>
          <w:noProof/>
          <w:sz w:val="22"/>
          <w:szCs w:val="22"/>
          <w:lang w:val="en-GB"/>
        </w:rPr>
        <w:t xml:space="preserve">arliament due to </w:t>
      </w:r>
      <w:r w:rsidR="007B52FA">
        <w:rPr>
          <w:rFonts w:ascii="Gill Sans" w:hAnsi="Gill Sans" w:cs="Gill Sans"/>
          <w:noProof/>
          <w:sz w:val="22"/>
          <w:szCs w:val="22"/>
          <w:lang w:val="en-GB"/>
        </w:rPr>
        <w:t xml:space="preserve">a </w:t>
      </w:r>
      <w:r w:rsidRPr="00850E8C">
        <w:rPr>
          <w:rFonts w:ascii="Gill Sans" w:hAnsi="Gill Sans" w:cs="Gill Sans"/>
          <w:noProof/>
          <w:sz w:val="22"/>
          <w:szCs w:val="22"/>
          <w:lang w:val="en-GB"/>
        </w:rPr>
        <w:t>change</w:t>
      </w:r>
      <w:r w:rsidR="007B52FA">
        <w:rPr>
          <w:rFonts w:ascii="Gill Sans" w:hAnsi="Gill Sans" w:cs="Gill Sans"/>
          <w:noProof/>
          <w:sz w:val="22"/>
          <w:szCs w:val="22"/>
          <w:lang w:val="en-GB"/>
        </w:rPr>
        <w:t xml:space="preserve"> in</w:t>
      </w:r>
      <w:r w:rsidRPr="00850E8C">
        <w:rPr>
          <w:rFonts w:ascii="Gill Sans" w:hAnsi="Gill Sans" w:cs="Gill Sans"/>
          <w:noProof/>
          <w:sz w:val="22"/>
          <w:szCs w:val="22"/>
          <w:lang w:val="en-GB"/>
        </w:rPr>
        <w:t xml:space="preserve"> </w:t>
      </w:r>
      <w:r w:rsidR="007B52FA">
        <w:rPr>
          <w:rFonts w:ascii="Gill Sans" w:hAnsi="Gill Sans" w:cs="Gill Sans"/>
          <w:noProof/>
          <w:sz w:val="22"/>
          <w:szCs w:val="22"/>
          <w:lang w:val="en-GB"/>
        </w:rPr>
        <w:t>g</w:t>
      </w:r>
      <w:r w:rsidRPr="00850E8C">
        <w:rPr>
          <w:rFonts w:ascii="Gill Sans" w:hAnsi="Gill Sans" w:cs="Gill Sans"/>
          <w:noProof/>
          <w:sz w:val="22"/>
          <w:szCs w:val="22"/>
          <w:lang w:val="en-GB"/>
        </w:rPr>
        <w:t>overnment. Its consideration is pending.</w:t>
      </w:r>
    </w:p>
    <w:p w14:paraId="686946E7" w14:textId="77777777" w:rsidR="00DB09F9" w:rsidRDefault="00DB09F9" w:rsidP="006319F4">
      <w:pPr>
        <w:pStyle w:val="Heading3"/>
      </w:pPr>
      <w:r w:rsidRPr="00850E8C">
        <w:t>Did it open government?</w:t>
      </w:r>
    </w:p>
    <w:p w14:paraId="763D29ED" w14:textId="1F7A13D3" w:rsidR="00D6486B" w:rsidRDefault="00D6486B" w:rsidP="00D6486B">
      <w:pPr>
        <w:pStyle w:val="Normalrglronly"/>
        <w:rPr>
          <w:b/>
          <w:lang w:val="en-GB"/>
        </w:rPr>
      </w:pPr>
      <w:r>
        <w:rPr>
          <w:b/>
          <w:lang w:val="en-GB"/>
        </w:rPr>
        <w:t>Access to Information: Did not change</w:t>
      </w:r>
    </w:p>
    <w:p w14:paraId="12D2B1AE" w14:textId="1DCF0C32" w:rsidR="00D6486B" w:rsidRDefault="00D6486B" w:rsidP="00D6486B">
      <w:pPr>
        <w:pStyle w:val="Normalrglronly"/>
        <w:rPr>
          <w:b/>
          <w:lang w:val="en-GB"/>
        </w:rPr>
      </w:pPr>
      <w:r>
        <w:rPr>
          <w:b/>
          <w:lang w:val="en-GB"/>
        </w:rPr>
        <w:t>Civic Participation: Did not change</w:t>
      </w:r>
    </w:p>
    <w:p w14:paraId="6B8C08DE" w14:textId="578785F6" w:rsidR="00D6486B" w:rsidRPr="006023C3" w:rsidRDefault="00D6486B" w:rsidP="006023C3">
      <w:pPr>
        <w:pStyle w:val="Normalrglronly"/>
        <w:rPr>
          <w:lang w:val="en-US"/>
        </w:rPr>
      </w:pPr>
      <w:r>
        <w:rPr>
          <w:b/>
          <w:lang w:val="en-GB"/>
        </w:rPr>
        <w:t>Public Accountability: Did not change</w:t>
      </w:r>
    </w:p>
    <w:p w14:paraId="7910FF7A" w14:textId="65A18D0E" w:rsidR="00DB09F9" w:rsidRPr="00850E8C" w:rsidRDefault="00850E8C" w:rsidP="00E80E32">
      <w:pPr>
        <w:spacing w:after="120"/>
        <w:rPr>
          <w:rFonts w:ascii="Gill Sans" w:hAnsi="Gill Sans" w:cs="Gill Sans"/>
          <w:noProof/>
          <w:sz w:val="22"/>
          <w:szCs w:val="22"/>
          <w:lang w:val="en-GB"/>
        </w:rPr>
      </w:pPr>
      <w:r w:rsidRPr="00850E8C">
        <w:rPr>
          <w:rFonts w:ascii="Gill Sans" w:hAnsi="Gill Sans" w:cs="Gill Sans"/>
          <w:sz w:val="22"/>
          <w:szCs w:val="22"/>
          <w:lang w:val="en-GB"/>
        </w:rPr>
        <w:t xml:space="preserve">While the law </w:t>
      </w:r>
      <w:r w:rsidR="00272577">
        <w:rPr>
          <w:rFonts w:ascii="Gill Sans" w:hAnsi="Gill Sans" w:cs="Gill Sans"/>
          <w:sz w:val="22"/>
          <w:szCs w:val="22"/>
          <w:lang w:val="en-GB"/>
        </w:rPr>
        <w:t>is</w:t>
      </w:r>
      <w:r w:rsidRPr="00850E8C">
        <w:rPr>
          <w:rFonts w:ascii="Gill Sans" w:hAnsi="Gill Sans" w:cs="Gill Sans"/>
          <w:sz w:val="22"/>
          <w:szCs w:val="22"/>
          <w:lang w:val="en-GB"/>
        </w:rPr>
        <w:t xml:space="preserve"> an important step forward in improving the provision of social services, this commitment did not contain elements </w:t>
      </w:r>
      <w:r w:rsidR="00C129F8">
        <w:rPr>
          <w:rFonts w:ascii="Gill Sans" w:hAnsi="Gill Sans" w:cs="Gill Sans"/>
          <w:sz w:val="22"/>
          <w:szCs w:val="22"/>
          <w:lang w:val="en-GB"/>
        </w:rPr>
        <w:t>to</w:t>
      </w:r>
      <w:r w:rsidRPr="00850E8C">
        <w:rPr>
          <w:rFonts w:ascii="Gill Sans" w:hAnsi="Gill Sans" w:cs="Gill Sans"/>
          <w:sz w:val="22"/>
          <w:szCs w:val="22"/>
          <w:lang w:val="en-GB"/>
        </w:rPr>
        <w:t xml:space="preserve"> further </w:t>
      </w:r>
      <w:r w:rsidR="00762CD3">
        <w:rPr>
          <w:rFonts w:ascii="Gill Sans" w:hAnsi="Gill Sans" w:cs="Gill Sans"/>
          <w:sz w:val="22"/>
          <w:szCs w:val="22"/>
          <w:lang w:val="en-GB"/>
        </w:rPr>
        <w:t xml:space="preserve">the </w:t>
      </w:r>
      <w:r w:rsidRPr="00850E8C">
        <w:rPr>
          <w:rFonts w:ascii="Gill Sans" w:hAnsi="Gill Sans" w:cs="Gill Sans"/>
          <w:sz w:val="22"/>
          <w:szCs w:val="22"/>
          <w:lang w:val="en-GB"/>
        </w:rPr>
        <w:t xml:space="preserve">OGP values of access to information, civic participation, or public accountability. Therefore, its relevance to OGP values </w:t>
      </w:r>
      <w:r w:rsidR="00BE60D4">
        <w:rPr>
          <w:rFonts w:ascii="Gill Sans" w:hAnsi="Gill Sans" w:cs="Gill Sans"/>
          <w:sz w:val="22"/>
          <w:szCs w:val="22"/>
          <w:lang w:val="en-GB"/>
        </w:rPr>
        <w:t>remained</w:t>
      </w:r>
      <w:r w:rsidR="00BE60D4" w:rsidRPr="00850E8C">
        <w:rPr>
          <w:rFonts w:ascii="Gill Sans" w:hAnsi="Gill Sans" w:cs="Gill Sans"/>
          <w:sz w:val="22"/>
          <w:szCs w:val="22"/>
          <w:lang w:val="en-GB"/>
        </w:rPr>
        <w:t xml:space="preserve"> </w:t>
      </w:r>
      <w:r w:rsidRPr="00850E8C">
        <w:rPr>
          <w:rFonts w:ascii="Gill Sans" w:hAnsi="Gill Sans" w:cs="Gill Sans"/>
          <w:sz w:val="22"/>
          <w:szCs w:val="22"/>
          <w:lang w:val="en-GB"/>
        </w:rPr>
        <w:t>unclear.</w:t>
      </w:r>
    </w:p>
    <w:p w14:paraId="1C25D4D2" w14:textId="77777777" w:rsidR="00DB09F9" w:rsidRPr="00850E8C" w:rsidRDefault="00DB09F9" w:rsidP="006319F4">
      <w:pPr>
        <w:pStyle w:val="Heading3"/>
      </w:pPr>
      <w:r w:rsidRPr="00850E8C">
        <w:t>Carried forward?</w:t>
      </w:r>
    </w:p>
    <w:p w14:paraId="72624C89" w14:textId="29703EF3" w:rsidR="00DB09F9" w:rsidRDefault="00DB09F9" w:rsidP="00DB09F9">
      <w:pPr>
        <w:spacing w:after="120"/>
        <w:rPr>
          <w:rFonts w:ascii="Gill Sans" w:hAnsi="Gill Sans" w:cs="Gill Sans"/>
          <w:noProof/>
          <w:sz w:val="22"/>
          <w:szCs w:val="22"/>
          <w:lang w:val="en-GB"/>
        </w:rPr>
      </w:pPr>
      <w:r w:rsidRPr="00850E8C">
        <w:rPr>
          <w:rFonts w:ascii="Gill Sans" w:hAnsi="Gill Sans" w:cs="Gill Sans"/>
          <w:noProof/>
          <w:sz w:val="22"/>
          <w:szCs w:val="22"/>
          <w:lang w:val="en-GB"/>
        </w:rPr>
        <w:t>The commitment was</w:t>
      </w:r>
      <w:r w:rsidR="00850E8C">
        <w:rPr>
          <w:rFonts w:ascii="Gill Sans" w:hAnsi="Gill Sans" w:cs="Gill Sans"/>
          <w:noProof/>
          <w:sz w:val="22"/>
          <w:szCs w:val="22"/>
          <w:lang w:val="en-GB"/>
        </w:rPr>
        <w:t xml:space="preserve"> not</w:t>
      </w:r>
      <w:r w:rsidRPr="00850E8C">
        <w:rPr>
          <w:rFonts w:ascii="Gill Sans" w:hAnsi="Gill Sans" w:cs="Gill Sans"/>
          <w:noProof/>
          <w:sz w:val="22"/>
          <w:szCs w:val="22"/>
          <w:lang w:val="en-GB"/>
        </w:rPr>
        <w:t xml:space="preserve"> carried over to the</w:t>
      </w:r>
      <w:r>
        <w:rPr>
          <w:rFonts w:ascii="Gill Sans" w:hAnsi="Gill Sans" w:cs="Gill Sans"/>
          <w:noProof/>
          <w:sz w:val="22"/>
          <w:szCs w:val="22"/>
          <w:lang w:val="en-GB"/>
        </w:rPr>
        <w:t xml:space="preserve"> new action plan.</w:t>
      </w:r>
    </w:p>
    <w:p w14:paraId="06E2AB0D" w14:textId="77777777" w:rsidR="00CB791F" w:rsidRDefault="00CB791F" w:rsidP="00EB22DF">
      <w:pPr>
        <w:tabs>
          <w:tab w:val="left" w:pos="3037"/>
        </w:tabs>
        <w:rPr>
          <w:lang w:val="en-GB"/>
        </w:rPr>
        <w:sectPr w:rsidR="00CB791F" w:rsidSect="00F561B7">
          <w:endnotePr>
            <w:numFmt w:val="decimal"/>
            <w:numRestart w:val="eachSect"/>
          </w:endnotePr>
          <w:pgSz w:w="12240" w:h="15840"/>
          <w:pgMar w:top="1440" w:right="1800" w:bottom="1440" w:left="1800" w:header="720" w:footer="720" w:gutter="0"/>
          <w:cols w:space="720"/>
          <w:docGrid w:linePitch="360"/>
        </w:sectPr>
      </w:pPr>
    </w:p>
    <w:p w14:paraId="27A1A8D7" w14:textId="21AFE574" w:rsidR="00DE1C85" w:rsidRPr="00D307EB" w:rsidRDefault="00DE1C85" w:rsidP="00DE1C85">
      <w:pPr>
        <w:pStyle w:val="Heading2"/>
        <w:spacing w:before="0" w:after="120"/>
        <w:rPr>
          <w:noProof/>
          <w:lang w:val="en-GB"/>
        </w:rPr>
      </w:pPr>
      <w:bookmarkStart w:id="7" w:name="_Toc437543877"/>
      <w:r w:rsidRPr="00D307EB">
        <w:rPr>
          <w:noProof/>
          <w:lang w:val="en-GB"/>
        </w:rPr>
        <w:lastRenderedPageBreak/>
        <w:t xml:space="preserve">Theme </w:t>
      </w:r>
      <w:r w:rsidR="00D6486B">
        <w:rPr>
          <w:noProof/>
          <w:lang w:val="en-GB"/>
        </w:rPr>
        <w:t>V:</w:t>
      </w:r>
      <w:r w:rsidRPr="00D307EB">
        <w:rPr>
          <w:noProof/>
          <w:lang w:val="en-GB"/>
        </w:rPr>
        <w:t xml:space="preserve"> E-governance technologies to develop e-democracy</w:t>
      </w:r>
      <w:bookmarkEnd w:id="7"/>
    </w:p>
    <w:p w14:paraId="7FD71884" w14:textId="64DB877C" w:rsidR="00DE1C85" w:rsidRPr="00DE1C85" w:rsidRDefault="00DE1C85" w:rsidP="00DE1C85">
      <w:pPr>
        <w:pStyle w:val="Heading2"/>
        <w:spacing w:before="0" w:after="120"/>
        <w:rPr>
          <w:rFonts w:eastAsiaTheme="minorEastAsia"/>
          <w:bCs w:val="0"/>
          <w:color w:val="222222"/>
          <w:sz w:val="22"/>
          <w:szCs w:val="22"/>
          <w:lang w:val="en-GB"/>
        </w:rPr>
      </w:pPr>
      <w:bookmarkStart w:id="8" w:name="_Toc437543878"/>
      <w:r w:rsidRPr="00DE1C85">
        <w:rPr>
          <w:rFonts w:eastAsiaTheme="minorEastAsia"/>
          <w:bCs w:val="0"/>
          <w:color w:val="222222"/>
          <w:sz w:val="22"/>
          <w:szCs w:val="22"/>
          <w:lang w:val="en-GB"/>
        </w:rPr>
        <w:t>18. E-governance laws</w:t>
      </w:r>
      <w:bookmarkEnd w:id="8"/>
    </w:p>
    <w:p w14:paraId="1D2156F1" w14:textId="54E4459A" w:rsidR="00DE1C85" w:rsidRPr="00DE1C85" w:rsidRDefault="005B3A16" w:rsidP="00DE1C85">
      <w:pPr>
        <w:spacing w:after="120"/>
        <w:rPr>
          <w:rFonts w:ascii="Gill Sans" w:hAnsi="Gill Sans" w:cs="Gill Sans"/>
          <w:i/>
          <w:noProof/>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DE1C85" w:rsidRPr="00DE1C85">
        <w:rPr>
          <w:rFonts w:ascii="Gill Sans" w:hAnsi="Gill Sans" w:cs="Gill Sans"/>
          <w:i/>
          <w:noProof/>
          <w:sz w:val="22"/>
          <w:szCs w:val="22"/>
          <w:lang w:val="en-GB"/>
        </w:rPr>
        <w:t>18. Developing and submitting to the Cabinet of Ministers of Ukraine in due course the draft laws of Ukraine of top priority for bringing the national legal framework into conformity with the European legislation:</w:t>
      </w:r>
    </w:p>
    <w:p w14:paraId="23112CC6" w14:textId="77777777" w:rsidR="00DE1C85" w:rsidRPr="00DE1C85" w:rsidRDefault="00DE1C85" w:rsidP="00DE1C85">
      <w:pPr>
        <w:spacing w:after="120"/>
        <w:rPr>
          <w:rFonts w:ascii="Gill Sans" w:hAnsi="Gill Sans" w:cs="Gill Sans"/>
          <w:i/>
          <w:noProof/>
          <w:sz w:val="22"/>
          <w:szCs w:val="22"/>
          <w:lang w:val="en-GB"/>
        </w:rPr>
      </w:pPr>
      <w:r w:rsidRPr="00DE1C85">
        <w:rPr>
          <w:rFonts w:ascii="Gill Sans" w:hAnsi="Gill Sans" w:cs="Gill Sans"/>
          <w:i/>
          <w:noProof/>
          <w:sz w:val="22"/>
          <w:szCs w:val="22"/>
          <w:lang w:val="en-GB"/>
        </w:rPr>
        <w:t>- On Amending Some Legislative Acts (to envisage the possible certification by a requesting person of his digital signature of validity of a package of electronic copies of scanned documents required to obtain an administrative service and to establish the requesting person’s liability for submission of false documents and data);</w:t>
      </w:r>
    </w:p>
    <w:p w14:paraId="64EF7DDF" w14:textId="77777777" w:rsidR="00DE1C85" w:rsidRPr="00DE1C85" w:rsidRDefault="00DE1C85" w:rsidP="00DE1C85">
      <w:pPr>
        <w:spacing w:after="120"/>
        <w:rPr>
          <w:rFonts w:ascii="Gill Sans" w:hAnsi="Gill Sans" w:cs="Gill Sans"/>
          <w:i/>
          <w:noProof/>
          <w:sz w:val="22"/>
          <w:szCs w:val="22"/>
          <w:lang w:val="en-GB"/>
        </w:rPr>
      </w:pPr>
      <w:r w:rsidRPr="00DE1C85">
        <w:rPr>
          <w:rFonts w:ascii="Gill Sans" w:hAnsi="Gill Sans" w:cs="Gill Sans"/>
          <w:i/>
          <w:noProof/>
          <w:sz w:val="22"/>
          <w:szCs w:val="22"/>
          <w:lang w:val="en-GB"/>
        </w:rPr>
        <w:t>- On Amending the Law of Ukraine on the Electronic Digital Signature (to improve the procedure of state regulation in the field of electronic digital signature services, supervise compliance with the electronic digital signature legislation, reform the legislation on the use of public key infrastructure and provision of electronic trust services taking into account the European Union experience);</w:t>
      </w:r>
    </w:p>
    <w:p w14:paraId="52BCBAF6" w14:textId="77777777" w:rsidR="00DE1C85" w:rsidRPr="00DE1C85" w:rsidRDefault="00DE1C85" w:rsidP="00DE1C85">
      <w:pPr>
        <w:spacing w:after="120"/>
        <w:rPr>
          <w:rFonts w:ascii="Gill Sans" w:hAnsi="Gill Sans" w:cs="Gill Sans"/>
          <w:i/>
          <w:noProof/>
          <w:sz w:val="22"/>
          <w:szCs w:val="22"/>
          <w:lang w:val="en-GB"/>
        </w:rPr>
      </w:pPr>
      <w:r w:rsidRPr="00DE1C85">
        <w:rPr>
          <w:rFonts w:ascii="Gill Sans" w:hAnsi="Gill Sans" w:cs="Gill Sans"/>
          <w:i/>
          <w:noProof/>
          <w:sz w:val="22"/>
          <w:szCs w:val="22"/>
          <w:lang w:val="en-GB"/>
        </w:rPr>
        <w:t>- On Amending the Law of Ukraine on Citizens’ Petitions;</w:t>
      </w:r>
    </w:p>
    <w:p w14:paraId="2D5D5F3D" w14:textId="77777777" w:rsidR="00DE1C85" w:rsidRPr="00DE1C85" w:rsidRDefault="00DE1C85" w:rsidP="00DE1C85">
      <w:pPr>
        <w:spacing w:after="120"/>
        <w:rPr>
          <w:rFonts w:ascii="Gill Sans" w:hAnsi="Gill Sans" w:cs="Gill Sans"/>
          <w:i/>
          <w:noProof/>
          <w:sz w:val="22"/>
          <w:szCs w:val="22"/>
          <w:lang w:val="en-GB"/>
        </w:rPr>
      </w:pPr>
      <w:r w:rsidRPr="00DE1C85">
        <w:rPr>
          <w:rFonts w:ascii="Gill Sans" w:hAnsi="Gill Sans" w:cs="Gill Sans"/>
          <w:i/>
          <w:noProof/>
          <w:sz w:val="22"/>
          <w:szCs w:val="22"/>
          <w:lang w:val="en-GB"/>
        </w:rPr>
        <w:t>- On Amending the Law of Ukraine on Protection of Personal Data.</w:t>
      </w:r>
    </w:p>
    <w:p w14:paraId="721B61E7" w14:textId="1D6AE020" w:rsidR="00DE1C85" w:rsidRPr="00DE1C85" w:rsidRDefault="00DE1C85" w:rsidP="00DE1C85">
      <w:pPr>
        <w:spacing w:after="120"/>
        <w:rPr>
          <w:rFonts w:ascii="Gill Sans" w:hAnsi="Gill Sans" w:cs="Gill Sans"/>
          <w:i/>
          <w:noProof/>
          <w:sz w:val="22"/>
          <w:szCs w:val="22"/>
          <w:lang w:val="en-GB"/>
        </w:rPr>
      </w:pPr>
      <w:r w:rsidRPr="00DE1C85">
        <w:rPr>
          <w:rFonts w:ascii="Gill Sans" w:hAnsi="Gill Sans" w:cs="Gill Sans"/>
          <w:i/>
          <w:noProof/>
          <w:sz w:val="22"/>
          <w:szCs w:val="22"/>
          <w:lang w:val="en-GB"/>
        </w:rPr>
        <w:t xml:space="preserve">Expected result: </w:t>
      </w:r>
      <w:r w:rsidRPr="00DE1C85">
        <w:rPr>
          <w:rFonts w:ascii="Gill Sans" w:hAnsi="Gill Sans" w:cs="Gill Sans"/>
          <w:i/>
          <w:sz w:val="22"/>
          <w:szCs w:val="22"/>
          <w:lang w:val="en-GB"/>
        </w:rPr>
        <w:t xml:space="preserve">relevant draft laws endorsed by the Cabinet of Ministers of Ukraine, submitted to the </w:t>
      </w:r>
      <w:proofErr w:type="spellStart"/>
      <w:r w:rsidRPr="00DE1C85">
        <w:rPr>
          <w:rFonts w:ascii="Gill Sans" w:hAnsi="Gill Sans" w:cs="Gill Sans"/>
          <w:i/>
          <w:sz w:val="22"/>
          <w:szCs w:val="22"/>
          <w:lang w:val="en-GB"/>
        </w:rPr>
        <w:t>Verkhovna</w:t>
      </w:r>
      <w:proofErr w:type="spellEnd"/>
      <w:r w:rsidRPr="00DE1C85">
        <w:rPr>
          <w:rFonts w:ascii="Gill Sans" w:hAnsi="Gill Sans" w:cs="Gill Sans"/>
          <w:i/>
          <w:sz w:val="22"/>
          <w:szCs w:val="22"/>
          <w:lang w:val="en-GB"/>
        </w:rPr>
        <w:t xml:space="preserve"> Rada of Ukraine, and followed up until adoption</w:t>
      </w:r>
      <w:r w:rsidR="00071776">
        <w:rPr>
          <w:rFonts w:ascii="Gill Sans" w:hAnsi="Gill Sans" w:cs="Gill Sans"/>
          <w:i/>
          <w:sz w:val="22"/>
          <w:szCs w:val="22"/>
          <w:lang w:val="en-GB"/>
        </w:rPr>
        <w:t>.</w:t>
      </w:r>
    </w:p>
    <w:p w14:paraId="1F87C458" w14:textId="2824FF2C" w:rsidR="00DE1C85" w:rsidRPr="00DE1C85" w:rsidRDefault="00DE1C85" w:rsidP="00DE1C85">
      <w:pPr>
        <w:spacing w:after="120"/>
        <w:rPr>
          <w:rFonts w:ascii="Gill Sans" w:hAnsi="Gill Sans" w:cs="Gill Sans"/>
          <w:noProof/>
          <w:sz w:val="22"/>
          <w:szCs w:val="22"/>
          <w:lang w:val="en-GB"/>
        </w:rPr>
      </w:pPr>
      <w:r w:rsidRPr="00DE1C85">
        <w:rPr>
          <w:rFonts w:ascii="Gill Sans" w:hAnsi="Gill Sans" w:cs="Gill Sans"/>
          <w:noProof/>
          <w:sz w:val="22"/>
          <w:szCs w:val="22"/>
          <w:lang w:val="en-GB"/>
        </w:rPr>
        <w:t>Lead institution</w:t>
      </w:r>
      <w:r w:rsidR="00071776">
        <w:rPr>
          <w:rFonts w:ascii="Gill Sans" w:hAnsi="Gill Sans" w:cs="Gill Sans"/>
          <w:noProof/>
          <w:sz w:val="22"/>
          <w:szCs w:val="22"/>
          <w:lang w:val="en-GB"/>
        </w:rPr>
        <w:t>(s)</w:t>
      </w:r>
      <w:r w:rsidRPr="00DE1C85">
        <w:rPr>
          <w:rFonts w:ascii="Gill Sans" w:hAnsi="Gill Sans" w:cs="Gill Sans"/>
          <w:noProof/>
          <w:sz w:val="22"/>
          <w:szCs w:val="22"/>
          <w:lang w:val="en-GB"/>
        </w:rPr>
        <w:t>: Ministry of Justice</w:t>
      </w:r>
    </w:p>
    <w:p w14:paraId="2938E775" w14:textId="679CF37D" w:rsidR="00DE1C85" w:rsidRPr="00DE1C85" w:rsidRDefault="00DE1C85" w:rsidP="00DE1C85">
      <w:pPr>
        <w:spacing w:after="120"/>
        <w:rPr>
          <w:rFonts w:ascii="Gill Sans" w:hAnsi="Gill Sans" w:cs="Gill Sans"/>
          <w:noProof/>
          <w:sz w:val="22"/>
          <w:szCs w:val="22"/>
          <w:lang w:val="en-GB"/>
        </w:rPr>
      </w:pPr>
      <w:r w:rsidRPr="00DE1C85">
        <w:rPr>
          <w:rFonts w:ascii="Gill Sans" w:hAnsi="Gill Sans" w:cs="Gill Sans"/>
          <w:noProof/>
          <w:sz w:val="22"/>
          <w:szCs w:val="22"/>
          <w:lang w:val="en-GB"/>
        </w:rPr>
        <w:t>Supporting institution</w:t>
      </w:r>
      <w:r w:rsidR="00071776">
        <w:rPr>
          <w:rFonts w:ascii="Gill Sans" w:hAnsi="Gill Sans" w:cs="Gill Sans"/>
          <w:noProof/>
          <w:sz w:val="22"/>
          <w:szCs w:val="22"/>
          <w:lang w:val="en-GB"/>
        </w:rPr>
        <w:t>(</w:t>
      </w:r>
      <w:r w:rsidRPr="00DE1C85">
        <w:rPr>
          <w:rFonts w:ascii="Gill Sans" w:hAnsi="Gill Sans" w:cs="Gill Sans"/>
          <w:noProof/>
          <w:sz w:val="22"/>
          <w:szCs w:val="22"/>
          <w:lang w:val="en-GB"/>
        </w:rPr>
        <w:t>s</w:t>
      </w:r>
      <w:r w:rsidR="00071776">
        <w:rPr>
          <w:rFonts w:ascii="Gill Sans" w:hAnsi="Gill Sans" w:cs="Gill Sans"/>
          <w:noProof/>
          <w:sz w:val="22"/>
          <w:szCs w:val="22"/>
          <w:lang w:val="en-GB"/>
        </w:rPr>
        <w:t>)</w:t>
      </w:r>
      <w:r w:rsidRPr="00DE1C85">
        <w:rPr>
          <w:rFonts w:ascii="Gill Sans" w:hAnsi="Gill Sans" w:cs="Gill Sans"/>
          <w:noProof/>
          <w:sz w:val="22"/>
          <w:szCs w:val="22"/>
          <w:lang w:val="en-GB"/>
        </w:rPr>
        <w:t xml:space="preserve">: State Agency for E-Governance, Ministry of Regional Development, Ministry of Economic Development, Administration of the State Service for Special Communications and Information Protection, National Commission for Regulation of Communications, State Archive Service of Ukraine, non-specified NGOs and international organisations </w:t>
      </w:r>
    </w:p>
    <w:p w14:paraId="223128B7" w14:textId="6FE781D0" w:rsidR="00DE1C85" w:rsidRPr="00CA5EDC" w:rsidRDefault="00DE1C85" w:rsidP="00DE1C85">
      <w:pPr>
        <w:spacing w:after="120"/>
        <w:rPr>
          <w:rFonts w:ascii="Gill Sans" w:hAnsi="Gill Sans" w:cs="Gill Sans"/>
          <w:noProof/>
          <w:sz w:val="22"/>
          <w:szCs w:val="22"/>
          <w:lang w:val="en-GB"/>
        </w:rPr>
      </w:pPr>
      <w:r w:rsidRPr="00DE1C85">
        <w:rPr>
          <w:rFonts w:ascii="Gill Sans" w:hAnsi="Gill Sans" w:cs="Gill Sans"/>
          <w:noProof/>
          <w:sz w:val="22"/>
          <w:szCs w:val="22"/>
          <w:lang w:val="en-GB"/>
        </w:rPr>
        <w:t xml:space="preserve">Start </w:t>
      </w:r>
      <w:r w:rsidR="00071776">
        <w:rPr>
          <w:rFonts w:ascii="Gill Sans" w:hAnsi="Gill Sans" w:cs="Gill Sans"/>
          <w:noProof/>
          <w:sz w:val="22"/>
          <w:szCs w:val="22"/>
          <w:lang w:val="en-GB"/>
        </w:rPr>
        <w:t>D</w:t>
      </w:r>
      <w:r w:rsidRPr="00DE1C85">
        <w:rPr>
          <w:rFonts w:ascii="Gill Sans" w:hAnsi="Gill Sans" w:cs="Gill Sans"/>
          <w:noProof/>
          <w:sz w:val="22"/>
          <w:szCs w:val="22"/>
          <w:lang w:val="en-GB"/>
        </w:rPr>
        <w:t xml:space="preserve">ate: Not specified </w:t>
      </w:r>
      <w:r w:rsidRPr="00DE1C85">
        <w:rPr>
          <w:rFonts w:ascii="Gill Sans" w:hAnsi="Gill Sans" w:cs="Gill Sans"/>
          <w:noProof/>
          <w:sz w:val="22"/>
          <w:szCs w:val="22"/>
          <w:lang w:val="en-GB"/>
        </w:rPr>
        <w:tab/>
      </w:r>
      <w:r w:rsidRPr="00DE1C85">
        <w:rPr>
          <w:rFonts w:ascii="Gill Sans" w:hAnsi="Gill Sans" w:cs="Gill Sans"/>
          <w:noProof/>
          <w:sz w:val="22"/>
          <w:szCs w:val="22"/>
          <w:lang w:val="en-GB"/>
        </w:rPr>
        <w:tab/>
      </w:r>
      <w:r w:rsidRPr="00DE1C85">
        <w:rPr>
          <w:rFonts w:ascii="Gill Sans" w:hAnsi="Gill Sans" w:cs="Gill Sans"/>
          <w:noProof/>
          <w:sz w:val="22"/>
          <w:szCs w:val="22"/>
          <w:lang w:val="en-GB"/>
        </w:rPr>
        <w:tab/>
        <w:t xml:space="preserve">End </w:t>
      </w:r>
      <w:r w:rsidR="00071776">
        <w:rPr>
          <w:rFonts w:ascii="Gill Sans" w:hAnsi="Gill Sans" w:cs="Gill Sans"/>
          <w:noProof/>
          <w:sz w:val="22"/>
          <w:szCs w:val="22"/>
          <w:lang w:val="en-GB"/>
        </w:rPr>
        <w:t>D</w:t>
      </w:r>
      <w:r w:rsidRPr="00DE1C85">
        <w:rPr>
          <w:rFonts w:ascii="Gill Sans" w:hAnsi="Gill Sans" w:cs="Gill Sans"/>
          <w:noProof/>
          <w:sz w:val="22"/>
          <w:szCs w:val="22"/>
          <w:lang w:val="en-GB"/>
        </w:rPr>
        <w:t>ate: 31 December 2015</w:t>
      </w:r>
    </w:p>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475"/>
        <w:gridCol w:w="418"/>
        <w:gridCol w:w="343"/>
        <w:gridCol w:w="343"/>
        <w:gridCol w:w="365"/>
        <w:gridCol w:w="365"/>
        <w:gridCol w:w="365"/>
        <w:gridCol w:w="735"/>
        <w:gridCol w:w="350"/>
        <w:gridCol w:w="341"/>
        <w:gridCol w:w="341"/>
        <w:gridCol w:w="493"/>
        <w:gridCol w:w="459"/>
        <w:gridCol w:w="516"/>
        <w:gridCol w:w="516"/>
        <w:gridCol w:w="405"/>
        <w:gridCol w:w="341"/>
        <w:gridCol w:w="417"/>
        <w:gridCol w:w="341"/>
        <w:gridCol w:w="341"/>
        <w:gridCol w:w="486"/>
      </w:tblGrid>
      <w:tr w:rsidR="00D6486B" w:rsidRPr="009651AC" w14:paraId="3ED40782" w14:textId="77777777" w:rsidTr="00B223BA">
        <w:trPr>
          <w:trHeight w:val="405"/>
        </w:trPr>
        <w:tc>
          <w:tcPr>
            <w:tcW w:w="1504" w:type="dxa"/>
            <w:vMerge w:val="restart"/>
            <w:tcBorders>
              <w:top w:val="single" w:sz="18" w:space="0" w:color="FFFFFF"/>
              <w:left w:val="single" w:sz="4" w:space="0" w:color="FFFFFF"/>
              <w:right w:val="single" w:sz="18" w:space="0" w:color="FFFFFF"/>
            </w:tcBorders>
            <w:shd w:val="clear" w:color="auto" w:fill="000000"/>
          </w:tcPr>
          <w:p w14:paraId="4D231435" w14:textId="77777777" w:rsidR="00D6486B" w:rsidRPr="009651AC" w:rsidRDefault="00D6486B" w:rsidP="00DE1C85">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52F3AEC6" w14:textId="1CFEF0B4" w:rsidR="00D6486B" w:rsidRPr="009651AC" w:rsidRDefault="00D6486B" w:rsidP="00DE1C85">
            <w:pPr>
              <w:rPr>
                <w:rFonts w:ascii="Gill Sans" w:hAnsi="Gill Sans" w:cs="Gill Sans"/>
                <w:color w:val="FFFFFF" w:themeColor="background1"/>
                <w:sz w:val="22"/>
                <w:szCs w:val="22"/>
                <w:lang w:val="en-GB"/>
              </w:rPr>
            </w:pPr>
          </w:p>
        </w:tc>
        <w:tc>
          <w:tcPr>
            <w:tcW w:w="1579" w:type="dxa"/>
            <w:gridSpan w:val="4"/>
            <w:vMerge w:val="restart"/>
            <w:tcBorders>
              <w:top w:val="single" w:sz="18" w:space="0" w:color="FFFFFF"/>
              <w:left w:val="single" w:sz="18" w:space="0" w:color="FFFFFF"/>
              <w:right w:val="single" w:sz="18" w:space="0" w:color="FFFFFF"/>
            </w:tcBorders>
            <w:shd w:val="clear" w:color="auto" w:fill="D6E3BC"/>
          </w:tcPr>
          <w:p w14:paraId="6984C7E8"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Specificity</w:t>
            </w:r>
          </w:p>
        </w:tc>
        <w:tc>
          <w:tcPr>
            <w:tcW w:w="1830" w:type="dxa"/>
            <w:gridSpan w:val="4"/>
            <w:vMerge w:val="restart"/>
            <w:tcBorders>
              <w:top w:val="single" w:sz="18" w:space="0" w:color="FFFFFF"/>
              <w:left w:val="single" w:sz="18" w:space="0" w:color="FFFFFF"/>
              <w:right w:val="single" w:sz="18" w:space="0" w:color="FFFFFF"/>
            </w:tcBorders>
            <w:shd w:val="clear" w:color="auto" w:fill="FBD4B4"/>
          </w:tcPr>
          <w:p w14:paraId="25F5F14A" w14:textId="0CAAC620"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525" w:type="dxa"/>
            <w:gridSpan w:val="4"/>
            <w:vMerge w:val="restart"/>
            <w:tcBorders>
              <w:top w:val="single" w:sz="18" w:space="0" w:color="FFFFFF"/>
              <w:left w:val="single" w:sz="18" w:space="0" w:color="FFFFFF"/>
              <w:right w:val="single" w:sz="18" w:space="0" w:color="FFFFFF"/>
            </w:tcBorders>
            <w:shd w:val="clear" w:color="auto" w:fill="CCC0D9"/>
          </w:tcPr>
          <w:p w14:paraId="67366DD6"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975" w:type="dxa"/>
            <w:gridSpan w:val="2"/>
            <w:vMerge w:val="restart"/>
            <w:tcBorders>
              <w:top w:val="single" w:sz="18" w:space="0" w:color="FFFFFF"/>
              <w:left w:val="single" w:sz="18" w:space="0" w:color="FFFFFF"/>
              <w:right w:val="single" w:sz="2" w:space="0" w:color="FFFFFF"/>
            </w:tcBorders>
            <w:shd w:val="clear" w:color="auto" w:fill="B8CCE4"/>
          </w:tcPr>
          <w:p w14:paraId="2E208F4C" w14:textId="3AD3353F" w:rsidR="00D6486B" w:rsidRPr="009651AC" w:rsidRDefault="00D6486B" w:rsidP="00DE1C85">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2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3226274F"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Midterm</w:t>
            </w:r>
          </w:p>
        </w:tc>
        <w:tc>
          <w:tcPr>
            <w:tcW w:w="1926" w:type="dxa"/>
            <w:gridSpan w:val="5"/>
            <w:vMerge w:val="restart"/>
            <w:tcBorders>
              <w:top w:val="single" w:sz="18" w:space="0" w:color="FFFFFF"/>
              <w:left w:val="single" w:sz="18" w:space="0" w:color="FFFFFF"/>
              <w:right w:val="single" w:sz="18" w:space="0" w:color="FFFFFF"/>
            </w:tcBorders>
            <w:shd w:val="clear" w:color="auto" w:fill="D99594"/>
          </w:tcPr>
          <w:p w14:paraId="7CBECD39" w14:textId="4AD9A0FC"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D6486B" w:rsidRPr="009651AC" w14:paraId="4429952E" w14:textId="77777777" w:rsidTr="00B223BA">
        <w:trPr>
          <w:trHeight w:val="373"/>
        </w:trPr>
        <w:tc>
          <w:tcPr>
            <w:tcW w:w="1504" w:type="dxa"/>
            <w:vMerge/>
            <w:tcBorders>
              <w:left w:val="single" w:sz="4" w:space="0" w:color="FFFFFF"/>
              <w:right w:val="single" w:sz="18" w:space="0" w:color="FFFFFF"/>
            </w:tcBorders>
            <w:shd w:val="clear" w:color="auto" w:fill="000000"/>
          </w:tcPr>
          <w:p w14:paraId="6730CD2E" w14:textId="4CC8C464" w:rsidR="00D6486B" w:rsidRPr="009651AC" w:rsidRDefault="00D6486B" w:rsidP="00DE1C85">
            <w:pPr>
              <w:rPr>
                <w:rFonts w:ascii="Gill Sans" w:hAnsi="Gill Sans" w:cs="Gill Sans"/>
                <w:color w:val="FFFFFF" w:themeColor="background1"/>
                <w:sz w:val="22"/>
                <w:szCs w:val="22"/>
                <w:lang w:val="en-GB"/>
              </w:rPr>
            </w:pPr>
          </w:p>
        </w:tc>
        <w:tc>
          <w:tcPr>
            <w:tcW w:w="1579" w:type="dxa"/>
            <w:gridSpan w:val="4"/>
            <w:vMerge/>
            <w:tcBorders>
              <w:left w:val="single" w:sz="18" w:space="0" w:color="FFFFFF"/>
              <w:bottom w:val="single" w:sz="18" w:space="0" w:color="FFFFFF"/>
              <w:right w:val="single" w:sz="18" w:space="0" w:color="FFFFFF"/>
            </w:tcBorders>
            <w:shd w:val="clear" w:color="auto" w:fill="D6E3BC"/>
          </w:tcPr>
          <w:p w14:paraId="563C5E70" w14:textId="77777777" w:rsidR="00D6486B" w:rsidRPr="009651AC" w:rsidRDefault="00D6486B" w:rsidP="00DE1C85">
            <w:pPr>
              <w:rPr>
                <w:rFonts w:ascii="Gill Sans" w:hAnsi="Gill Sans" w:cs="Gill Sans"/>
                <w:sz w:val="22"/>
                <w:szCs w:val="22"/>
                <w:lang w:val="en-GB"/>
              </w:rPr>
            </w:pPr>
          </w:p>
        </w:tc>
        <w:tc>
          <w:tcPr>
            <w:tcW w:w="1830" w:type="dxa"/>
            <w:gridSpan w:val="4"/>
            <w:vMerge/>
            <w:tcBorders>
              <w:left w:val="single" w:sz="18" w:space="0" w:color="FFFFFF"/>
              <w:bottom w:val="single" w:sz="18" w:space="0" w:color="FFFFFF"/>
              <w:right w:val="single" w:sz="18" w:space="0" w:color="FFFFFF"/>
            </w:tcBorders>
            <w:shd w:val="clear" w:color="auto" w:fill="FBD4B4"/>
          </w:tcPr>
          <w:p w14:paraId="64FFCAC6" w14:textId="77777777" w:rsidR="00D6486B" w:rsidRPr="009651AC" w:rsidRDefault="00D6486B" w:rsidP="00DE1C85">
            <w:pPr>
              <w:rPr>
                <w:rFonts w:ascii="Gill Sans" w:hAnsi="Gill Sans" w:cs="Gill Sans"/>
                <w:sz w:val="22"/>
                <w:szCs w:val="22"/>
                <w:lang w:val="en-GB"/>
              </w:rPr>
            </w:pPr>
          </w:p>
        </w:tc>
        <w:tc>
          <w:tcPr>
            <w:tcW w:w="1525" w:type="dxa"/>
            <w:gridSpan w:val="4"/>
            <w:vMerge/>
            <w:tcBorders>
              <w:left w:val="single" w:sz="18" w:space="0" w:color="FFFFFF"/>
              <w:bottom w:val="single" w:sz="18" w:space="0" w:color="FFFFFF"/>
              <w:right w:val="single" w:sz="18" w:space="0" w:color="FFFFFF"/>
            </w:tcBorders>
            <w:shd w:val="clear" w:color="auto" w:fill="CCC0D9"/>
          </w:tcPr>
          <w:p w14:paraId="4412F0D6" w14:textId="77777777" w:rsidR="00D6486B" w:rsidRPr="009651AC" w:rsidRDefault="00D6486B" w:rsidP="00DE1C85">
            <w:pPr>
              <w:rPr>
                <w:rFonts w:ascii="Gill Sans" w:hAnsi="Gill Sans" w:cs="Gill Sans"/>
                <w:sz w:val="22"/>
                <w:szCs w:val="22"/>
                <w:lang w:val="en-GB"/>
              </w:rPr>
            </w:pPr>
          </w:p>
        </w:tc>
        <w:tc>
          <w:tcPr>
            <w:tcW w:w="975" w:type="dxa"/>
            <w:gridSpan w:val="2"/>
            <w:vMerge/>
            <w:tcBorders>
              <w:left w:val="single" w:sz="18" w:space="0" w:color="FFFFFF"/>
              <w:bottom w:val="single" w:sz="18" w:space="0" w:color="FFFFFF"/>
              <w:right w:val="single" w:sz="2" w:space="0" w:color="FFFFFF"/>
            </w:tcBorders>
            <w:shd w:val="clear" w:color="auto" w:fill="B8CCE4"/>
          </w:tcPr>
          <w:p w14:paraId="25AE1297" w14:textId="77777777" w:rsidR="00D6486B" w:rsidRPr="009651AC" w:rsidRDefault="00D6486B" w:rsidP="00DE1C85">
            <w:pPr>
              <w:rPr>
                <w:rFonts w:ascii="Gill Sans" w:hAnsi="Gill Sans" w:cs="Gill Sans"/>
                <w:sz w:val="22"/>
                <w:szCs w:val="22"/>
                <w:lang w:val="en-GB"/>
              </w:rPr>
            </w:pPr>
          </w:p>
        </w:tc>
        <w:tc>
          <w:tcPr>
            <w:tcW w:w="92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220C0452" w14:textId="1A01CD80"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1926" w:type="dxa"/>
            <w:gridSpan w:val="5"/>
            <w:vMerge/>
            <w:tcBorders>
              <w:left w:val="single" w:sz="18" w:space="0" w:color="FFFFFF"/>
              <w:bottom w:val="single" w:sz="18" w:space="0" w:color="FFFFFF"/>
              <w:right w:val="single" w:sz="18" w:space="0" w:color="FFFFFF"/>
            </w:tcBorders>
            <w:shd w:val="clear" w:color="auto" w:fill="D99594"/>
          </w:tcPr>
          <w:p w14:paraId="420E92FC" w14:textId="77777777" w:rsidR="00D6486B" w:rsidRPr="009651AC" w:rsidRDefault="00D6486B" w:rsidP="00DE1C85">
            <w:pPr>
              <w:rPr>
                <w:rFonts w:ascii="Gill Sans" w:hAnsi="Gill Sans" w:cs="Gill Sans"/>
                <w:sz w:val="22"/>
                <w:szCs w:val="22"/>
                <w:lang w:val="en-GB"/>
              </w:rPr>
            </w:pPr>
          </w:p>
        </w:tc>
      </w:tr>
      <w:tr w:rsidR="00D6486B" w:rsidRPr="009651AC" w14:paraId="351BF4CF" w14:textId="77777777" w:rsidTr="00B223BA">
        <w:trPr>
          <w:cantSplit/>
          <w:trHeight w:val="2336"/>
        </w:trPr>
        <w:tc>
          <w:tcPr>
            <w:tcW w:w="1504" w:type="dxa"/>
            <w:vMerge/>
            <w:tcBorders>
              <w:left w:val="single" w:sz="4" w:space="0" w:color="FFFFFF"/>
              <w:right w:val="single" w:sz="18" w:space="0" w:color="FFFFFF"/>
            </w:tcBorders>
            <w:shd w:val="clear" w:color="auto" w:fill="000000"/>
          </w:tcPr>
          <w:p w14:paraId="0A4CD211" w14:textId="6EE7B570" w:rsidR="00D6486B" w:rsidRPr="009651AC" w:rsidRDefault="00D6486B" w:rsidP="00DE1C85">
            <w:pPr>
              <w:rPr>
                <w:rFonts w:ascii="Gill Sans" w:hAnsi="Gill Sans" w:cs="Gill Sans"/>
                <w:color w:val="FFFFFF" w:themeColor="background1"/>
                <w:sz w:val="22"/>
                <w:szCs w:val="22"/>
                <w:lang w:val="en-GB"/>
              </w:rPr>
            </w:pPr>
          </w:p>
        </w:tc>
        <w:tc>
          <w:tcPr>
            <w:tcW w:w="475"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40238D2C"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None</w:t>
            </w:r>
          </w:p>
        </w:tc>
        <w:tc>
          <w:tcPr>
            <w:tcW w:w="418"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2EEBB743"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Low</w:t>
            </w:r>
          </w:p>
        </w:tc>
        <w:tc>
          <w:tcPr>
            <w:tcW w:w="343"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23E25CDC"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Medium</w:t>
            </w:r>
          </w:p>
        </w:tc>
        <w:tc>
          <w:tcPr>
            <w:tcW w:w="343"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3E111D64"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High</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31A16B62"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18A15137"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7FB570CF"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735"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6EB5C07D"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50"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4DA66F06"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None</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04FE1D83"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Minor</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23BEE662"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Moderate</w:t>
            </w:r>
          </w:p>
        </w:tc>
        <w:tc>
          <w:tcPr>
            <w:tcW w:w="493"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6D99157D"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459"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24DA5F16" w14:textId="523554D5"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687EA070"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Limited</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5CDDD389"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Substantial</w:t>
            </w:r>
          </w:p>
        </w:tc>
        <w:tc>
          <w:tcPr>
            <w:tcW w:w="405"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4509095C"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Completed</w:t>
            </w:r>
          </w:p>
        </w:tc>
        <w:tc>
          <w:tcPr>
            <w:tcW w:w="34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06B8D90E" w14:textId="2FB73908"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Worsen</w:t>
            </w:r>
            <w:r w:rsidR="00AA2264">
              <w:rPr>
                <w:rFonts w:ascii="Gill Sans" w:hAnsi="Gill Sans" w:cs="Gill Sans"/>
                <w:sz w:val="22"/>
                <w:szCs w:val="22"/>
                <w:lang w:val="en-GB"/>
              </w:rPr>
              <w:t>ed</w:t>
            </w:r>
          </w:p>
        </w:tc>
        <w:tc>
          <w:tcPr>
            <w:tcW w:w="41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C6B9E43" w14:textId="35DBA221"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34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7A368AD"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Marginal</w:t>
            </w:r>
          </w:p>
        </w:tc>
        <w:tc>
          <w:tcPr>
            <w:tcW w:w="34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2F383E5"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86"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3317DA3C" w14:textId="77777777" w:rsidR="00D6486B" w:rsidRPr="009651AC" w:rsidRDefault="00D6486B" w:rsidP="00DE1C85">
            <w:pPr>
              <w:rPr>
                <w:rFonts w:ascii="Gill Sans" w:hAnsi="Gill Sans" w:cs="Gill Sans"/>
                <w:sz w:val="22"/>
                <w:szCs w:val="22"/>
                <w:lang w:val="en-GB"/>
              </w:rPr>
            </w:pPr>
            <w:r w:rsidRPr="009651AC">
              <w:rPr>
                <w:rFonts w:ascii="Gill Sans" w:hAnsi="Gill Sans" w:cs="Gill Sans"/>
                <w:sz w:val="22"/>
                <w:szCs w:val="22"/>
                <w:lang w:val="en-GB"/>
              </w:rPr>
              <w:t>Outstanding</w:t>
            </w:r>
          </w:p>
        </w:tc>
      </w:tr>
      <w:tr w:rsidR="00D6486B" w:rsidRPr="009651AC" w14:paraId="4DCF0037" w14:textId="77777777" w:rsidTr="00B223BA">
        <w:trPr>
          <w:trHeight w:val="340"/>
        </w:trPr>
        <w:tc>
          <w:tcPr>
            <w:tcW w:w="1504" w:type="dxa"/>
            <w:vMerge/>
            <w:tcBorders>
              <w:left w:val="single" w:sz="4" w:space="0" w:color="FFFFFF"/>
              <w:right w:val="single" w:sz="18" w:space="0" w:color="FFFFFF"/>
            </w:tcBorders>
            <w:shd w:val="clear" w:color="auto" w:fill="000000"/>
          </w:tcPr>
          <w:p w14:paraId="0C8B67D8" w14:textId="43B54827" w:rsidR="00D6486B" w:rsidRPr="009651AC" w:rsidRDefault="00D6486B" w:rsidP="00DE1C85">
            <w:pPr>
              <w:rPr>
                <w:rFonts w:ascii="Gill Sans" w:hAnsi="Gill Sans" w:cs="Gill Sans"/>
                <w:noProof/>
                <w:color w:val="FFFFFF" w:themeColor="background1"/>
                <w:sz w:val="22"/>
                <w:szCs w:val="22"/>
                <w:lang w:val="en-GB"/>
              </w:rPr>
            </w:pPr>
          </w:p>
        </w:tc>
        <w:tc>
          <w:tcPr>
            <w:tcW w:w="475" w:type="dxa"/>
            <w:vMerge w:val="restart"/>
            <w:tcBorders>
              <w:top w:val="single" w:sz="18" w:space="0" w:color="FFFFFF"/>
              <w:left w:val="single" w:sz="18" w:space="0" w:color="FFFFFF"/>
              <w:right w:val="single" w:sz="2" w:space="0" w:color="FFFFFF"/>
            </w:tcBorders>
            <w:shd w:val="clear" w:color="auto" w:fill="D6E3BC"/>
          </w:tcPr>
          <w:p w14:paraId="5B1B7740" w14:textId="77777777" w:rsidR="00D6486B" w:rsidRPr="009651AC" w:rsidRDefault="00D6486B" w:rsidP="000D2EE2">
            <w:pPr>
              <w:jc w:val="center"/>
              <w:rPr>
                <w:rFonts w:ascii="Gill Sans" w:hAnsi="Gill Sans" w:cs="Gill Sans"/>
                <w:sz w:val="22"/>
                <w:szCs w:val="22"/>
                <w:lang w:val="en-GB"/>
              </w:rPr>
            </w:pPr>
          </w:p>
        </w:tc>
        <w:tc>
          <w:tcPr>
            <w:tcW w:w="418" w:type="dxa"/>
            <w:vMerge w:val="restart"/>
            <w:tcBorders>
              <w:top w:val="single" w:sz="18" w:space="0" w:color="FFFFFF"/>
              <w:left w:val="single" w:sz="2" w:space="0" w:color="FFFFFF"/>
              <w:right w:val="single" w:sz="2" w:space="0" w:color="FFFFFF"/>
            </w:tcBorders>
            <w:shd w:val="clear" w:color="auto" w:fill="D6E3BC"/>
          </w:tcPr>
          <w:p w14:paraId="47BAAB6A" w14:textId="77777777" w:rsidR="00D6486B" w:rsidRPr="009651AC" w:rsidRDefault="00D6486B" w:rsidP="000D2EE2">
            <w:pPr>
              <w:jc w:val="center"/>
              <w:rPr>
                <w:rFonts w:ascii="Gill Sans" w:hAnsi="Gill Sans" w:cs="Gill Sans"/>
                <w:sz w:val="22"/>
                <w:szCs w:val="22"/>
                <w:lang w:val="en-GB"/>
              </w:rPr>
            </w:pPr>
          </w:p>
        </w:tc>
        <w:tc>
          <w:tcPr>
            <w:tcW w:w="343" w:type="dxa"/>
            <w:vMerge w:val="restart"/>
            <w:tcBorders>
              <w:top w:val="single" w:sz="18" w:space="0" w:color="FFFFFF"/>
              <w:left w:val="single" w:sz="2" w:space="0" w:color="FFFFFF"/>
              <w:right w:val="single" w:sz="2" w:space="0" w:color="FFFFFF"/>
            </w:tcBorders>
            <w:shd w:val="clear" w:color="auto" w:fill="D6E3BC"/>
          </w:tcPr>
          <w:p w14:paraId="5F4EE131" w14:textId="77777777" w:rsidR="00D6486B" w:rsidRPr="009651AC" w:rsidRDefault="00D6486B" w:rsidP="000D2EE2">
            <w:pPr>
              <w:jc w:val="center"/>
              <w:rPr>
                <w:rFonts w:ascii="Gill Sans" w:hAnsi="Gill Sans" w:cs="Gill Sans"/>
                <w:sz w:val="22"/>
                <w:szCs w:val="22"/>
                <w:lang w:val="en-GB"/>
              </w:rPr>
            </w:pPr>
          </w:p>
        </w:tc>
        <w:tc>
          <w:tcPr>
            <w:tcW w:w="343" w:type="dxa"/>
            <w:vMerge w:val="restart"/>
            <w:tcBorders>
              <w:top w:val="single" w:sz="18" w:space="0" w:color="FFFFFF"/>
              <w:left w:val="single" w:sz="2" w:space="0" w:color="FFFFFF"/>
              <w:right w:val="single" w:sz="18" w:space="0" w:color="FFFFFF"/>
            </w:tcBorders>
            <w:shd w:val="clear" w:color="auto" w:fill="D6E3BC"/>
          </w:tcPr>
          <w:p w14:paraId="7021ECEA" w14:textId="77777777" w:rsidR="00D6486B" w:rsidRPr="00466E44" w:rsidRDefault="00D6486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65" w:type="dxa"/>
            <w:vMerge w:val="restart"/>
            <w:tcBorders>
              <w:top w:val="single" w:sz="18" w:space="0" w:color="FFFFFF"/>
              <w:left w:val="single" w:sz="2" w:space="0" w:color="FFFFFF"/>
              <w:right w:val="single" w:sz="2" w:space="0" w:color="FFFFFF"/>
            </w:tcBorders>
            <w:shd w:val="clear" w:color="auto" w:fill="FBD4B4"/>
          </w:tcPr>
          <w:p w14:paraId="608ABE39" w14:textId="620FDC6A" w:rsidR="00D6486B" w:rsidRPr="00466E44" w:rsidRDefault="00D6486B" w:rsidP="00466E44">
            <w:pPr>
              <w:rPr>
                <w:rFonts w:ascii="Zapf Dingbats" w:eastAsia="MS Mincho" w:hAnsi="Zapf Dingbats" w:cs="MS Mincho"/>
                <w:noProof/>
                <w:sz w:val="22"/>
                <w:szCs w:val="22"/>
                <w:lang w:val="en-GB"/>
              </w:rPr>
            </w:pPr>
          </w:p>
        </w:tc>
        <w:tc>
          <w:tcPr>
            <w:tcW w:w="365" w:type="dxa"/>
            <w:vMerge w:val="restart"/>
            <w:tcBorders>
              <w:top w:val="single" w:sz="18" w:space="0" w:color="FFFFFF"/>
              <w:left w:val="single" w:sz="2" w:space="0" w:color="FFFFFF"/>
              <w:right w:val="single" w:sz="2" w:space="0" w:color="FFFFFF"/>
            </w:tcBorders>
            <w:shd w:val="clear" w:color="auto" w:fill="FBD4B4"/>
          </w:tcPr>
          <w:p w14:paraId="45B07C3B" w14:textId="1587CC3E" w:rsidR="00D6486B" w:rsidRPr="00466E44" w:rsidRDefault="00D6486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65" w:type="dxa"/>
            <w:vMerge w:val="restart"/>
            <w:tcBorders>
              <w:top w:val="single" w:sz="18" w:space="0" w:color="FFFFFF"/>
              <w:left w:val="single" w:sz="2" w:space="0" w:color="FFFFFF"/>
              <w:right w:val="single" w:sz="2" w:space="0" w:color="FFFFFF"/>
            </w:tcBorders>
            <w:shd w:val="clear" w:color="auto" w:fill="FBD4B4"/>
          </w:tcPr>
          <w:p w14:paraId="1E9AB003" w14:textId="77777777" w:rsidR="00D6486B" w:rsidRPr="00466E44" w:rsidRDefault="00D6486B" w:rsidP="00466E44">
            <w:pPr>
              <w:rPr>
                <w:rFonts w:ascii="Zapf Dingbats" w:eastAsia="MS Mincho" w:hAnsi="Zapf Dingbats" w:cs="MS Mincho"/>
                <w:noProof/>
                <w:sz w:val="22"/>
                <w:szCs w:val="22"/>
                <w:lang w:val="en-GB"/>
              </w:rPr>
            </w:pPr>
          </w:p>
        </w:tc>
        <w:tc>
          <w:tcPr>
            <w:tcW w:w="735" w:type="dxa"/>
            <w:vMerge w:val="restart"/>
            <w:tcBorders>
              <w:top w:val="single" w:sz="18" w:space="0" w:color="FFFFFF"/>
              <w:left w:val="single" w:sz="2" w:space="0" w:color="FFFFFF"/>
              <w:right w:val="single" w:sz="18" w:space="0" w:color="FFFFFF"/>
            </w:tcBorders>
            <w:shd w:val="clear" w:color="auto" w:fill="FBD4B4"/>
          </w:tcPr>
          <w:p w14:paraId="2F5F2EFE" w14:textId="77777777" w:rsidR="00D6486B" w:rsidRPr="00466E44" w:rsidRDefault="00D6486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50" w:type="dxa"/>
            <w:vMerge w:val="restart"/>
            <w:tcBorders>
              <w:top w:val="single" w:sz="18" w:space="0" w:color="FFFFFF"/>
              <w:left w:val="single" w:sz="18" w:space="0" w:color="FFFFFF"/>
              <w:right w:val="single" w:sz="2" w:space="0" w:color="FFFFFF"/>
            </w:tcBorders>
            <w:shd w:val="clear" w:color="auto" w:fill="CCC0D9"/>
          </w:tcPr>
          <w:p w14:paraId="719AA02F" w14:textId="77777777" w:rsidR="00D6486B" w:rsidRPr="00466E44" w:rsidRDefault="00D6486B" w:rsidP="00466E44">
            <w:pPr>
              <w:rPr>
                <w:rFonts w:ascii="Zapf Dingbats" w:eastAsia="MS Mincho" w:hAnsi="Zapf Dingbats" w:cs="MS Mincho"/>
                <w:noProof/>
                <w:sz w:val="22"/>
                <w:szCs w:val="22"/>
                <w:lang w:val="en-GB"/>
              </w:rPr>
            </w:pPr>
          </w:p>
        </w:tc>
        <w:tc>
          <w:tcPr>
            <w:tcW w:w="341" w:type="dxa"/>
            <w:vMerge w:val="restart"/>
            <w:tcBorders>
              <w:top w:val="single" w:sz="18" w:space="0" w:color="FFFFFF"/>
              <w:left w:val="single" w:sz="2" w:space="0" w:color="FFFFFF"/>
              <w:right w:val="single" w:sz="2" w:space="0" w:color="FFFFFF"/>
            </w:tcBorders>
            <w:shd w:val="clear" w:color="auto" w:fill="CCC0D9"/>
          </w:tcPr>
          <w:p w14:paraId="54002A14" w14:textId="77777777" w:rsidR="00D6486B" w:rsidRPr="00466E44" w:rsidRDefault="00D6486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41" w:type="dxa"/>
            <w:vMerge w:val="restart"/>
            <w:tcBorders>
              <w:top w:val="single" w:sz="18" w:space="0" w:color="FFFFFF"/>
              <w:left w:val="single" w:sz="2" w:space="0" w:color="FFFFFF"/>
              <w:right w:val="single" w:sz="2" w:space="0" w:color="FFFFFF"/>
            </w:tcBorders>
            <w:shd w:val="clear" w:color="auto" w:fill="CCC0D9"/>
          </w:tcPr>
          <w:p w14:paraId="255B169C" w14:textId="77777777" w:rsidR="00D6486B" w:rsidRPr="00466E44" w:rsidRDefault="00D6486B" w:rsidP="00466E44">
            <w:pPr>
              <w:rPr>
                <w:rFonts w:ascii="Zapf Dingbats" w:eastAsia="MS Mincho" w:hAnsi="Zapf Dingbats" w:cs="MS Mincho"/>
                <w:noProof/>
                <w:sz w:val="22"/>
                <w:szCs w:val="22"/>
                <w:lang w:val="en-GB"/>
              </w:rPr>
            </w:pPr>
          </w:p>
        </w:tc>
        <w:tc>
          <w:tcPr>
            <w:tcW w:w="493" w:type="dxa"/>
            <w:vMerge w:val="restart"/>
            <w:tcBorders>
              <w:top w:val="single" w:sz="18" w:space="0" w:color="FFFFFF"/>
              <w:left w:val="single" w:sz="2" w:space="0" w:color="FFFFFF"/>
              <w:right w:val="single" w:sz="18" w:space="0" w:color="FFFFFF"/>
            </w:tcBorders>
            <w:shd w:val="clear" w:color="auto" w:fill="CCC0D9"/>
          </w:tcPr>
          <w:p w14:paraId="327F343E" w14:textId="77777777" w:rsidR="00D6486B" w:rsidRPr="00466E44" w:rsidRDefault="00D6486B" w:rsidP="00466E44">
            <w:pPr>
              <w:rPr>
                <w:rFonts w:ascii="Zapf Dingbats" w:eastAsia="MS Mincho" w:hAnsi="Zapf Dingbats" w:cs="MS Mincho"/>
                <w:noProof/>
                <w:sz w:val="22"/>
                <w:szCs w:val="22"/>
                <w:lang w:val="en-GB"/>
              </w:rPr>
            </w:pPr>
          </w:p>
        </w:tc>
        <w:tc>
          <w:tcPr>
            <w:tcW w:w="459"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5503F2A2" w14:textId="77777777" w:rsidR="00D6486B" w:rsidRPr="00466E44" w:rsidRDefault="00D6486B" w:rsidP="00466E44">
            <w:pPr>
              <w:rPr>
                <w:rFonts w:ascii="Zapf Dingbats" w:eastAsia="MS Mincho" w:hAnsi="Zapf Dingbats" w:cs="MS Mincho"/>
                <w:noProof/>
                <w:sz w:val="22"/>
                <w:szCs w:val="22"/>
                <w:lang w:val="en-GB"/>
              </w:rPr>
            </w:pP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3800EF7" w14:textId="77777777" w:rsidR="00D6486B" w:rsidRPr="00466E44" w:rsidRDefault="00D6486B" w:rsidP="00466E44">
            <w:pPr>
              <w:rPr>
                <w:rFonts w:ascii="Zapf Dingbats" w:eastAsia="MS Mincho" w:hAnsi="Zapf Dingbats" w:cs="MS Mincho"/>
                <w:noProof/>
                <w:sz w:val="22"/>
                <w:szCs w:val="22"/>
                <w:lang w:val="en-GB"/>
              </w:rPr>
            </w:pP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2CAD29A" w14:textId="15B3120F" w:rsidR="00D6486B" w:rsidRPr="00466E44" w:rsidRDefault="00D6486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05"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29FE329E" w14:textId="11C89162" w:rsidR="00D6486B" w:rsidRPr="009651AC" w:rsidRDefault="00D6486B" w:rsidP="000D2EE2">
            <w:pPr>
              <w:jc w:val="center"/>
              <w:rPr>
                <w:rFonts w:ascii="Gill Sans" w:hAnsi="Gill Sans" w:cs="Gill Sans"/>
                <w:sz w:val="22"/>
                <w:szCs w:val="22"/>
                <w:lang w:val="en-GB"/>
              </w:rPr>
            </w:pPr>
          </w:p>
        </w:tc>
        <w:tc>
          <w:tcPr>
            <w:tcW w:w="341" w:type="dxa"/>
            <w:vMerge w:val="restart"/>
            <w:tcBorders>
              <w:top w:val="single" w:sz="18" w:space="0" w:color="FFFFFF"/>
              <w:left w:val="single" w:sz="18" w:space="0" w:color="FFFFFF"/>
              <w:right w:val="single" w:sz="2" w:space="0" w:color="FFFFFF"/>
            </w:tcBorders>
            <w:shd w:val="clear" w:color="auto" w:fill="D99594"/>
          </w:tcPr>
          <w:p w14:paraId="17E8949E" w14:textId="77777777" w:rsidR="00D6486B" w:rsidRPr="009651AC" w:rsidRDefault="00D6486B" w:rsidP="000D2EE2">
            <w:pPr>
              <w:jc w:val="center"/>
              <w:rPr>
                <w:rFonts w:ascii="Gill Sans" w:hAnsi="Gill Sans" w:cs="Gill Sans"/>
                <w:sz w:val="22"/>
                <w:szCs w:val="22"/>
                <w:lang w:val="en-GB"/>
              </w:rPr>
            </w:pPr>
          </w:p>
        </w:tc>
        <w:tc>
          <w:tcPr>
            <w:tcW w:w="417" w:type="dxa"/>
            <w:vMerge w:val="restart"/>
            <w:tcBorders>
              <w:top w:val="single" w:sz="18" w:space="0" w:color="FFFFFF"/>
              <w:left w:val="single" w:sz="2" w:space="0" w:color="FFFFFF"/>
              <w:right w:val="single" w:sz="2" w:space="0" w:color="FFFFFF"/>
            </w:tcBorders>
            <w:shd w:val="clear" w:color="auto" w:fill="D99594"/>
          </w:tcPr>
          <w:p w14:paraId="509A343C" w14:textId="77777777" w:rsidR="00D6486B" w:rsidRPr="009651AC" w:rsidRDefault="00D6486B" w:rsidP="000D2EE2">
            <w:pPr>
              <w:jc w:val="center"/>
              <w:rPr>
                <w:rFonts w:ascii="Gill Sans" w:hAnsi="Gill Sans" w:cs="Gill Sans"/>
                <w:sz w:val="22"/>
                <w:szCs w:val="22"/>
                <w:lang w:val="en-GB"/>
              </w:rPr>
            </w:pPr>
          </w:p>
        </w:tc>
        <w:tc>
          <w:tcPr>
            <w:tcW w:w="341" w:type="dxa"/>
            <w:vMerge w:val="restart"/>
            <w:tcBorders>
              <w:top w:val="single" w:sz="18" w:space="0" w:color="FFFFFF"/>
              <w:left w:val="single" w:sz="2" w:space="0" w:color="FFFFFF"/>
              <w:right w:val="single" w:sz="2" w:space="0" w:color="FFFFFF"/>
            </w:tcBorders>
            <w:shd w:val="clear" w:color="auto" w:fill="D99594"/>
          </w:tcPr>
          <w:p w14:paraId="46D2BC89" w14:textId="46A15CC2" w:rsidR="00D6486B" w:rsidRPr="009651AC" w:rsidRDefault="00D6486B" w:rsidP="000D2EE2">
            <w:pPr>
              <w:jc w:val="center"/>
              <w:rPr>
                <w:rFonts w:ascii="Gill Sans" w:hAnsi="Gill Sans" w:cs="Gill Sans"/>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D99594"/>
          </w:tcPr>
          <w:p w14:paraId="1D97AC56" w14:textId="77777777" w:rsidR="00D6486B" w:rsidRPr="00466E44" w:rsidRDefault="00D6486B" w:rsidP="00466E44">
            <w:pPr>
              <w:rPr>
                <w:rFonts w:ascii="Zapf Dingbats" w:eastAsia="MS Mincho" w:hAnsi="Zapf Dingbats" w:cs="MS Mincho"/>
                <w:noProof/>
                <w:sz w:val="22"/>
                <w:szCs w:val="22"/>
                <w:lang w:val="en-GB"/>
              </w:rPr>
            </w:pPr>
          </w:p>
        </w:tc>
        <w:tc>
          <w:tcPr>
            <w:tcW w:w="486" w:type="dxa"/>
            <w:vMerge w:val="restart"/>
            <w:tcBorders>
              <w:top w:val="single" w:sz="18" w:space="0" w:color="FFFFFF"/>
              <w:left w:val="single" w:sz="2" w:space="0" w:color="FFFFFF"/>
              <w:right w:val="single" w:sz="18" w:space="0" w:color="FFFFFF"/>
            </w:tcBorders>
            <w:shd w:val="clear" w:color="auto" w:fill="D99594"/>
          </w:tcPr>
          <w:p w14:paraId="5EBB2D8A" w14:textId="13A028CF" w:rsidR="00D6486B" w:rsidRPr="00466E44" w:rsidRDefault="00D6486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r>
      <w:tr w:rsidR="00D6486B" w:rsidRPr="009651AC" w14:paraId="47B47A39" w14:textId="77777777" w:rsidTr="00B223BA">
        <w:trPr>
          <w:trHeight w:val="340"/>
        </w:trPr>
        <w:tc>
          <w:tcPr>
            <w:tcW w:w="1504" w:type="dxa"/>
            <w:vMerge/>
            <w:tcBorders>
              <w:left w:val="single" w:sz="4" w:space="0" w:color="FFFFFF"/>
              <w:right w:val="single" w:sz="18" w:space="0" w:color="FFFFFF"/>
            </w:tcBorders>
            <w:shd w:val="clear" w:color="auto" w:fill="000000"/>
          </w:tcPr>
          <w:p w14:paraId="19482C34" w14:textId="77777777" w:rsidR="00D6486B" w:rsidRPr="009651AC" w:rsidRDefault="00D6486B" w:rsidP="00DE1C85">
            <w:pPr>
              <w:rPr>
                <w:rFonts w:ascii="Gill Sans" w:hAnsi="Gill Sans" w:cs="Gill Sans"/>
                <w:color w:val="FFFFFF" w:themeColor="background1"/>
                <w:sz w:val="22"/>
                <w:szCs w:val="22"/>
                <w:lang w:val="en-GB"/>
              </w:rPr>
            </w:pPr>
          </w:p>
        </w:tc>
        <w:tc>
          <w:tcPr>
            <w:tcW w:w="475" w:type="dxa"/>
            <w:vMerge/>
            <w:tcBorders>
              <w:left w:val="single" w:sz="18" w:space="0" w:color="FFFFFF"/>
              <w:right w:val="single" w:sz="2" w:space="0" w:color="FFFFFF"/>
            </w:tcBorders>
            <w:shd w:val="clear" w:color="auto" w:fill="D6E3BC"/>
          </w:tcPr>
          <w:p w14:paraId="00D481CA" w14:textId="77777777" w:rsidR="00D6486B" w:rsidRPr="009651AC" w:rsidRDefault="00D6486B" w:rsidP="00DE1C85">
            <w:pPr>
              <w:rPr>
                <w:rFonts w:ascii="Gill Sans" w:hAnsi="Gill Sans" w:cs="Gill Sans"/>
                <w:sz w:val="22"/>
                <w:szCs w:val="22"/>
                <w:lang w:val="en-GB"/>
              </w:rPr>
            </w:pPr>
          </w:p>
        </w:tc>
        <w:tc>
          <w:tcPr>
            <w:tcW w:w="418" w:type="dxa"/>
            <w:vMerge/>
            <w:tcBorders>
              <w:left w:val="single" w:sz="2" w:space="0" w:color="FFFFFF"/>
              <w:right w:val="single" w:sz="2" w:space="0" w:color="FFFFFF"/>
            </w:tcBorders>
            <w:shd w:val="clear" w:color="auto" w:fill="D6E3BC"/>
          </w:tcPr>
          <w:p w14:paraId="7383CD04" w14:textId="77777777" w:rsidR="00D6486B" w:rsidRPr="009651AC" w:rsidRDefault="00D6486B" w:rsidP="00DE1C85">
            <w:pPr>
              <w:rPr>
                <w:rFonts w:ascii="Gill Sans" w:hAnsi="Gill Sans" w:cs="Gill Sans"/>
                <w:sz w:val="22"/>
                <w:szCs w:val="22"/>
                <w:lang w:val="en-GB"/>
              </w:rPr>
            </w:pPr>
          </w:p>
        </w:tc>
        <w:tc>
          <w:tcPr>
            <w:tcW w:w="343" w:type="dxa"/>
            <w:vMerge/>
            <w:tcBorders>
              <w:left w:val="single" w:sz="2" w:space="0" w:color="FFFFFF"/>
              <w:right w:val="single" w:sz="2" w:space="0" w:color="FFFFFF"/>
            </w:tcBorders>
            <w:shd w:val="clear" w:color="auto" w:fill="D6E3BC"/>
          </w:tcPr>
          <w:p w14:paraId="225CF9DC" w14:textId="77777777" w:rsidR="00D6486B" w:rsidRPr="009651AC" w:rsidRDefault="00D6486B" w:rsidP="00DE1C85">
            <w:pPr>
              <w:rPr>
                <w:rFonts w:ascii="Gill Sans" w:hAnsi="Gill Sans" w:cs="Gill Sans"/>
                <w:sz w:val="22"/>
                <w:szCs w:val="22"/>
                <w:lang w:val="en-GB"/>
              </w:rPr>
            </w:pPr>
          </w:p>
        </w:tc>
        <w:tc>
          <w:tcPr>
            <w:tcW w:w="343" w:type="dxa"/>
            <w:vMerge/>
            <w:tcBorders>
              <w:left w:val="single" w:sz="2" w:space="0" w:color="FFFFFF"/>
              <w:right w:val="single" w:sz="18" w:space="0" w:color="FFFFFF"/>
            </w:tcBorders>
            <w:shd w:val="clear" w:color="auto" w:fill="D6E3BC"/>
          </w:tcPr>
          <w:p w14:paraId="63EA1F0C" w14:textId="77777777" w:rsidR="00D6486B" w:rsidRPr="00466E44" w:rsidRDefault="00D6486B" w:rsidP="00DE1C85">
            <w:pPr>
              <w:rPr>
                <w:rFonts w:ascii="Zapf Dingbats" w:eastAsia="MS Mincho" w:hAnsi="Zapf Dingbats" w:cs="MS Mincho"/>
                <w:noProof/>
                <w:sz w:val="22"/>
                <w:szCs w:val="22"/>
                <w:lang w:val="en-GB"/>
              </w:rPr>
            </w:pPr>
          </w:p>
        </w:tc>
        <w:tc>
          <w:tcPr>
            <w:tcW w:w="365" w:type="dxa"/>
            <w:vMerge/>
            <w:tcBorders>
              <w:left w:val="single" w:sz="2" w:space="0" w:color="FFFFFF"/>
              <w:right w:val="single" w:sz="2" w:space="0" w:color="FFFFFF"/>
            </w:tcBorders>
            <w:shd w:val="clear" w:color="auto" w:fill="FBD4B4"/>
          </w:tcPr>
          <w:p w14:paraId="27B5FD0E" w14:textId="77777777" w:rsidR="00D6486B" w:rsidRPr="00466E44" w:rsidRDefault="00D6486B" w:rsidP="00DE1C85">
            <w:pPr>
              <w:rPr>
                <w:rFonts w:ascii="Zapf Dingbats" w:eastAsia="MS Mincho" w:hAnsi="Zapf Dingbats" w:cs="MS Mincho"/>
                <w:noProof/>
                <w:sz w:val="22"/>
                <w:szCs w:val="22"/>
                <w:lang w:val="en-GB"/>
              </w:rPr>
            </w:pPr>
          </w:p>
        </w:tc>
        <w:tc>
          <w:tcPr>
            <w:tcW w:w="365" w:type="dxa"/>
            <w:vMerge/>
            <w:tcBorders>
              <w:left w:val="single" w:sz="2" w:space="0" w:color="FFFFFF"/>
              <w:right w:val="single" w:sz="2" w:space="0" w:color="FFFFFF"/>
            </w:tcBorders>
            <w:shd w:val="clear" w:color="auto" w:fill="FBD4B4"/>
          </w:tcPr>
          <w:p w14:paraId="0BB9D8EE" w14:textId="77777777" w:rsidR="00D6486B" w:rsidRPr="00466E44" w:rsidRDefault="00D6486B" w:rsidP="00DE1C85">
            <w:pPr>
              <w:rPr>
                <w:rFonts w:ascii="Zapf Dingbats" w:eastAsia="MS Mincho" w:hAnsi="Zapf Dingbats" w:cs="MS Mincho"/>
                <w:noProof/>
                <w:sz w:val="22"/>
                <w:szCs w:val="22"/>
                <w:lang w:val="en-GB"/>
              </w:rPr>
            </w:pPr>
          </w:p>
        </w:tc>
        <w:tc>
          <w:tcPr>
            <w:tcW w:w="365" w:type="dxa"/>
            <w:vMerge/>
            <w:tcBorders>
              <w:left w:val="single" w:sz="2" w:space="0" w:color="FFFFFF"/>
              <w:right w:val="single" w:sz="2" w:space="0" w:color="FFFFFF"/>
            </w:tcBorders>
            <w:shd w:val="clear" w:color="auto" w:fill="FBD4B4"/>
          </w:tcPr>
          <w:p w14:paraId="73C3E9F1" w14:textId="77777777" w:rsidR="00D6486B" w:rsidRPr="00466E44" w:rsidRDefault="00D6486B" w:rsidP="00DE1C85">
            <w:pPr>
              <w:rPr>
                <w:rFonts w:ascii="Zapf Dingbats" w:eastAsia="MS Mincho" w:hAnsi="Zapf Dingbats" w:cs="MS Mincho"/>
                <w:noProof/>
                <w:sz w:val="22"/>
                <w:szCs w:val="22"/>
                <w:lang w:val="en-GB"/>
              </w:rPr>
            </w:pPr>
          </w:p>
        </w:tc>
        <w:tc>
          <w:tcPr>
            <w:tcW w:w="735" w:type="dxa"/>
            <w:vMerge/>
            <w:tcBorders>
              <w:left w:val="single" w:sz="2" w:space="0" w:color="FFFFFF"/>
              <w:right w:val="single" w:sz="18" w:space="0" w:color="FFFFFF"/>
            </w:tcBorders>
            <w:shd w:val="clear" w:color="auto" w:fill="FBD4B4"/>
          </w:tcPr>
          <w:p w14:paraId="3DF2A754" w14:textId="77777777" w:rsidR="00D6486B" w:rsidRPr="00466E44" w:rsidRDefault="00D6486B" w:rsidP="00DE1C85">
            <w:pPr>
              <w:rPr>
                <w:rFonts w:ascii="Zapf Dingbats" w:eastAsia="MS Mincho" w:hAnsi="Zapf Dingbats" w:cs="MS Mincho"/>
                <w:noProof/>
                <w:sz w:val="22"/>
                <w:szCs w:val="22"/>
                <w:lang w:val="en-GB"/>
              </w:rPr>
            </w:pPr>
          </w:p>
        </w:tc>
        <w:tc>
          <w:tcPr>
            <w:tcW w:w="350" w:type="dxa"/>
            <w:vMerge/>
            <w:tcBorders>
              <w:left w:val="single" w:sz="18" w:space="0" w:color="FFFFFF"/>
              <w:right w:val="single" w:sz="2" w:space="0" w:color="FFFFFF"/>
            </w:tcBorders>
            <w:shd w:val="clear" w:color="auto" w:fill="CCC0D9"/>
          </w:tcPr>
          <w:p w14:paraId="210A2732" w14:textId="77777777" w:rsidR="00D6486B" w:rsidRPr="00466E44" w:rsidRDefault="00D6486B" w:rsidP="00DE1C85">
            <w:pPr>
              <w:rPr>
                <w:rFonts w:ascii="Zapf Dingbats" w:eastAsia="MS Mincho" w:hAnsi="Zapf Dingbats" w:cs="MS Mincho"/>
                <w:noProof/>
                <w:sz w:val="22"/>
                <w:szCs w:val="22"/>
                <w:lang w:val="en-GB"/>
              </w:rPr>
            </w:pPr>
          </w:p>
        </w:tc>
        <w:tc>
          <w:tcPr>
            <w:tcW w:w="341" w:type="dxa"/>
            <w:vMerge/>
            <w:tcBorders>
              <w:left w:val="single" w:sz="2" w:space="0" w:color="FFFFFF"/>
              <w:right w:val="single" w:sz="2" w:space="0" w:color="FFFFFF"/>
            </w:tcBorders>
            <w:shd w:val="clear" w:color="auto" w:fill="CCC0D9"/>
          </w:tcPr>
          <w:p w14:paraId="1D8E6F4D" w14:textId="77777777" w:rsidR="00D6486B" w:rsidRPr="00466E44" w:rsidRDefault="00D6486B" w:rsidP="00DE1C85">
            <w:pPr>
              <w:rPr>
                <w:rFonts w:ascii="Zapf Dingbats" w:eastAsia="MS Mincho" w:hAnsi="Zapf Dingbats" w:cs="MS Mincho"/>
                <w:noProof/>
                <w:sz w:val="22"/>
                <w:szCs w:val="22"/>
                <w:lang w:val="en-GB"/>
              </w:rPr>
            </w:pPr>
          </w:p>
        </w:tc>
        <w:tc>
          <w:tcPr>
            <w:tcW w:w="341" w:type="dxa"/>
            <w:vMerge/>
            <w:tcBorders>
              <w:left w:val="single" w:sz="2" w:space="0" w:color="FFFFFF"/>
              <w:right w:val="single" w:sz="2" w:space="0" w:color="FFFFFF"/>
            </w:tcBorders>
            <w:shd w:val="clear" w:color="auto" w:fill="CCC0D9"/>
          </w:tcPr>
          <w:p w14:paraId="7C50910B" w14:textId="77777777" w:rsidR="00D6486B" w:rsidRPr="00466E44" w:rsidRDefault="00D6486B" w:rsidP="00DE1C85">
            <w:pPr>
              <w:rPr>
                <w:rFonts w:ascii="Zapf Dingbats" w:eastAsia="MS Mincho" w:hAnsi="Zapf Dingbats" w:cs="MS Mincho"/>
                <w:noProof/>
                <w:sz w:val="22"/>
                <w:szCs w:val="22"/>
                <w:lang w:val="en-GB"/>
              </w:rPr>
            </w:pPr>
          </w:p>
        </w:tc>
        <w:tc>
          <w:tcPr>
            <w:tcW w:w="493" w:type="dxa"/>
            <w:vMerge/>
            <w:tcBorders>
              <w:left w:val="single" w:sz="2" w:space="0" w:color="FFFFFF"/>
              <w:right w:val="single" w:sz="18" w:space="0" w:color="FFFFFF"/>
            </w:tcBorders>
            <w:shd w:val="clear" w:color="auto" w:fill="CCC0D9"/>
          </w:tcPr>
          <w:p w14:paraId="39D95C6A" w14:textId="77777777" w:rsidR="00D6486B" w:rsidRPr="00466E44" w:rsidRDefault="00D6486B" w:rsidP="00DE1C85">
            <w:pPr>
              <w:rPr>
                <w:rFonts w:ascii="Zapf Dingbats" w:eastAsia="MS Mincho" w:hAnsi="Zapf Dingbats" w:cs="MS Mincho"/>
                <w:noProof/>
                <w:sz w:val="22"/>
                <w:szCs w:val="22"/>
                <w:lang w:val="en-GB"/>
              </w:rPr>
            </w:pPr>
          </w:p>
        </w:tc>
        <w:tc>
          <w:tcPr>
            <w:tcW w:w="459"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62BB2D71" w14:textId="77777777" w:rsidR="00D6486B" w:rsidRPr="00466E44" w:rsidRDefault="00D6486B" w:rsidP="00DE1C85">
            <w:pPr>
              <w:rPr>
                <w:rFonts w:ascii="Zapf Dingbats" w:eastAsia="MS Mincho" w:hAnsi="Zapf Dingbats" w:cs="MS Mincho"/>
                <w:noProof/>
                <w:sz w:val="22"/>
                <w:szCs w:val="22"/>
                <w:lang w:val="en-GB"/>
              </w:rPr>
            </w:pPr>
          </w:p>
        </w:tc>
        <w:tc>
          <w:tcPr>
            <w:tcW w:w="516"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41CB2736" w14:textId="77777777" w:rsidR="00D6486B" w:rsidRPr="00466E44" w:rsidRDefault="00D6486B" w:rsidP="00DE1C85">
            <w:pPr>
              <w:rPr>
                <w:rFonts w:ascii="Zapf Dingbats" w:eastAsia="MS Mincho" w:hAnsi="Zapf Dingbats" w:cs="MS Mincho"/>
                <w:noProof/>
                <w:sz w:val="22"/>
                <w:szCs w:val="22"/>
                <w:lang w:val="en-GB"/>
              </w:rPr>
            </w:pPr>
          </w:p>
        </w:tc>
        <w:tc>
          <w:tcPr>
            <w:tcW w:w="516"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29AC1052" w14:textId="3F63881B" w:rsidR="00D6486B" w:rsidRPr="00466E44" w:rsidRDefault="00D6486B" w:rsidP="000D2EE2">
            <w:pPr>
              <w:jc w:val="cente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05"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48FADB20" w14:textId="567E1E76" w:rsidR="00D6486B" w:rsidRPr="009651AC" w:rsidRDefault="00D6486B" w:rsidP="00DE1C85">
            <w:pPr>
              <w:jc w:val="center"/>
              <w:rPr>
                <w:rFonts w:ascii="Gill Sans" w:hAnsi="Gill Sans" w:cs="Gill Sans"/>
                <w:sz w:val="22"/>
                <w:szCs w:val="22"/>
                <w:lang w:val="en-GB"/>
              </w:rPr>
            </w:pPr>
          </w:p>
        </w:tc>
        <w:tc>
          <w:tcPr>
            <w:tcW w:w="341" w:type="dxa"/>
            <w:vMerge/>
            <w:tcBorders>
              <w:left w:val="single" w:sz="18" w:space="0" w:color="FFFFFF"/>
              <w:right w:val="single" w:sz="2" w:space="0" w:color="FFFFFF"/>
            </w:tcBorders>
            <w:shd w:val="clear" w:color="auto" w:fill="D99594"/>
          </w:tcPr>
          <w:p w14:paraId="5AB54373" w14:textId="77777777" w:rsidR="00D6486B" w:rsidRPr="009651AC" w:rsidRDefault="00D6486B" w:rsidP="00DE1C85">
            <w:pPr>
              <w:rPr>
                <w:rFonts w:ascii="Gill Sans" w:hAnsi="Gill Sans" w:cs="Gill Sans"/>
                <w:sz w:val="22"/>
                <w:szCs w:val="22"/>
                <w:lang w:val="en-GB"/>
              </w:rPr>
            </w:pPr>
          </w:p>
        </w:tc>
        <w:tc>
          <w:tcPr>
            <w:tcW w:w="417" w:type="dxa"/>
            <w:vMerge/>
            <w:tcBorders>
              <w:left w:val="single" w:sz="2" w:space="0" w:color="FFFFFF"/>
              <w:right w:val="single" w:sz="2" w:space="0" w:color="FFFFFF"/>
            </w:tcBorders>
            <w:shd w:val="clear" w:color="auto" w:fill="D99594"/>
          </w:tcPr>
          <w:p w14:paraId="76E97109" w14:textId="77777777" w:rsidR="00D6486B" w:rsidRPr="009651AC" w:rsidRDefault="00D6486B" w:rsidP="00DE1C85">
            <w:pPr>
              <w:rPr>
                <w:rFonts w:ascii="Gill Sans" w:hAnsi="Gill Sans" w:cs="Gill Sans"/>
                <w:sz w:val="22"/>
                <w:szCs w:val="22"/>
                <w:lang w:val="en-GB"/>
              </w:rPr>
            </w:pPr>
          </w:p>
        </w:tc>
        <w:tc>
          <w:tcPr>
            <w:tcW w:w="341" w:type="dxa"/>
            <w:vMerge/>
            <w:tcBorders>
              <w:left w:val="single" w:sz="2" w:space="0" w:color="FFFFFF"/>
              <w:right w:val="single" w:sz="2" w:space="0" w:color="FFFFFF"/>
            </w:tcBorders>
            <w:shd w:val="clear" w:color="auto" w:fill="D99594"/>
          </w:tcPr>
          <w:p w14:paraId="74A25370" w14:textId="77777777" w:rsidR="00D6486B" w:rsidRPr="009651AC" w:rsidRDefault="00D6486B" w:rsidP="00DE1C85">
            <w:pPr>
              <w:rPr>
                <w:rFonts w:ascii="Gill Sans" w:hAnsi="Gill Sans" w:cs="Gill Sans"/>
                <w:sz w:val="22"/>
                <w:szCs w:val="22"/>
                <w:lang w:val="en-GB"/>
              </w:rPr>
            </w:pPr>
          </w:p>
        </w:tc>
        <w:tc>
          <w:tcPr>
            <w:tcW w:w="341" w:type="dxa"/>
            <w:vMerge/>
            <w:tcBorders>
              <w:left w:val="single" w:sz="2" w:space="0" w:color="FFFFFF"/>
              <w:right w:val="single" w:sz="2" w:space="0" w:color="FFFFFF"/>
            </w:tcBorders>
            <w:shd w:val="clear" w:color="auto" w:fill="D99594"/>
          </w:tcPr>
          <w:p w14:paraId="1267E28E" w14:textId="77777777" w:rsidR="00D6486B" w:rsidRPr="009651AC" w:rsidRDefault="00D6486B" w:rsidP="00DE1C85">
            <w:pPr>
              <w:rPr>
                <w:rFonts w:ascii="Gill Sans" w:hAnsi="Gill Sans" w:cs="Gill Sans"/>
                <w:noProof/>
                <w:sz w:val="22"/>
                <w:szCs w:val="22"/>
                <w:lang w:val="en-GB"/>
              </w:rPr>
            </w:pPr>
          </w:p>
        </w:tc>
        <w:tc>
          <w:tcPr>
            <w:tcW w:w="486" w:type="dxa"/>
            <w:vMerge/>
            <w:tcBorders>
              <w:left w:val="single" w:sz="2" w:space="0" w:color="FFFFFF"/>
              <w:right w:val="single" w:sz="18" w:space="0" w:color="FFFFFF"/>
            </w:tcBorders>
            <w:shd w:val="clear" w:color="auto" w:fill="D99594"/>
          </w:tcPr>
          <w:p w14:paraId="366B2699" w14:textId="77777777" w:rsidR="00D6486B" w:rsidRPr="009651AC" w:rsidRDefault="00D6486B" w:rsidP="00DE1C85">
            <w:pPr>
              <w:rPr>
                <w:rFonts w:ascii="Gill Sans" w:hAnsi="Gill Sans" w:cs="Gill Sans"/>
                <w:sz w:val="22"/>
                <w:szCs w:val="22"/>
                <w:lang w:val="en-GB"/>
              </w:rPr>
            </w:pPr>
          </w:p>
        </w:tc>
      </w:tr>
    </w:tbl>
    <w:p w14:paraId="692C95A2" w14:textId="77777777" w:rsidR="006558BF" w:rsidRPr="00E80E32" w:rsidRDefault="006558BF" w:rsidP="00163080"/>
    <w:p w14:paraId="2EAA745D" w14:textId="62392E8A" w:rsidR="00DE1C85" w:rsidRPr="000D214B" w:rsidRDefault="00DE1C85" w:rsidP="006319F4">
      <w:pPr>
        <w:pStyle w:val="Heading3"/>
      </w:pPr>
      <w:r w:rsidRPr="000D214B">
        <w:t xml:space="preserve">Commitment </w:t>
      </w:r>
      <w:r w:rsidR="006558BF">
        <w:t>a</w:t>
      </w:r>
      <w:r w:rsidRPr="000D214B">
        <w:t>im</w:t>
      </w:r>
    </w:p>
    <w:p w14:paraId="6F11836A" w14:textId="5C70312D" w:rsidR="00A85732" w:rsidRPr="000D214B" w:rsidRDefault="0029384B" w:rsidP="00E80E32">
      <w:pPr>
        <w:spacing w:after="120"/>
        <w:rPr>
          <w:rFonts w:ascii="Gill Sans" w:hAnsi="Gill Sans" w:cs="Gill Sans"/>
          <w:sz w:val="22"/>
          <w:szCs w:val="22"/>
          <w:lang w:val="en-GB"/>
        </w:rPr>
      </w:pPr>
      <w:r>
        <w:rPr>
          <w:rFonts w:ascii="Gill Sans" w:hAnsi="Gill Sans" w:cs="Gill Sans"/>
          <w:sz w:val="22"/>
          <w:szCs w:val="22"/>
          <w:lang w:val="en-GB"/>
        </w:rPr>
        <w:t xml:space="preserve">The commitment </w:t>
      </w:r>
      <w:r w:rsidR="00071776">
        <w:rPr>
          <w:rFonts w:ascii="Gill Sans" w:hAnsi="Gill Sans" w:cs="Gill Sans"/>
          <w:sz w:val="22"/>
          <w:szCs w:val="22"/>
          <w:lang w:val="en-GB"/>
        </w:rPr>
        <w:t>sought</w:t>
      </w:r>
      <w:r w:rsidR="00071776" w:rsidRPr="000D214B">
        <w:rPr>
          <w:rFonts w:ascii="Gill Sans" w:hAnsi="Gill Sans" w:cs="Gill Sans"/>
          <w:sz w:val="22"/>
          <w:szCs w:val="22"/>
          <w:lang w:val="en-GB"/>
        </w:rPr>
        <w:t xml:space="preserve"> </w:t>
      </w:r>
      <w:r w:rsidR="00A85732" w:rsidRPr="000D214B">
        <w:rPr>
          <w:rFonts w:ascii="Gill Sans" w:hAnsi="Gill Sans" w:cs="Gill Sans"/>
          <w:sz w:val="22"/>
          <w:szCs w:val="22"/>
          <w:lang w:val="en-GB"/>
        </w:rPr>
        <w:t>to amend a number of legislative acts</w:t>
      </w:r>
      <w:r w:rsidR="00071776">
        <w:rPr>
          <w:rFonts w:ascii="Gill Sans" w:hAnsi="Gill Sans" w:cs="Gill Sans"/>
          <w:sz w:val="22"/>
          <w:szCs w:val="22"/>
          <w:lang w:val="en-GB"/>
        </w:rPr>
        <w:t>,</w:t>
      </w:r>
      <w:r w:rsidR="00A85732" w:rsidRPr="000D214B">
        <w:rPr>
          <w:rFonts w:ascii="Gill Sans" w:hAnsi="Gill Sans" w:cs="Gill Sans"/>
          <w:sz w:val="22"/>
          <w:szCs w:val="22"/>
          <w:lang w:val="en-GB"/>
        </w:rPr>
        <w:t xml:space="preserve"> without clearly explaining the overall goals or cohesion between different legal amendments. It </w:t>
      </w:r>
      <w:r w:rsidR="00E80E32">
        <w:rPr>
          <w:rFonts w:ascii="Gill Sans" w:hAnsi="Gill Sans" w:cs="Gill Sans"/>
          <w:sz w:val="22"/>
          <w:szCs w:val="22"/>
          <w:lang w:val="en-GB"/>
        </w:rPr>
        <w:t>is</w:t>
      </w:r>
      <w:r w:rsidR="00A85732" w:rsidRPr="000D214B">
        <w:rPr>
          <w:rFonts w:ascii="Gill Sans" w:hAnsi="Gill Sans" w:cs="Gill Sans"/>
          <w:sz w:val="22"/>
          <w:szCs w:val="22"/>
          <w:lang w:val="en-GB"/>
        </w:rPr>
        <w:t xml:space="preserve"> an example of a commitment </w:t>
      </w:r>
      <w:r w:rsidR="00E80E32">
        <w:rPr>
          <w:rFonts w:ascii="Gill Sans" w:hAnsi="Gill Sans" w:cs="Gill Sans"/>
          <w:sz w:val="22"/>
          <w:szCs w:val="22"/>
          <w:lang w:val="en-GB"/>
        </w:rPr>
        <w:lastRenderedPageBreak/>
        <w:t xml:space="preserve">that </w:t>
      </w:r>
      <w:r w:rsidR="00A85732" w:rsidRPr="000D214B">
        <w:rPr>
          <w:rFonts w:ascii="Gill Sans" w:hAnsi="Gill Sans" w:cs="Gill Sans"/>
          <w:sz w:val="22"/>
          <w:szCs w:val="22"/>
          <w:lang w:val="en-GB"/>
        </w:rPr>
        <w:t>lack</w:t>
      </w:r>
      <w:r w:rsidR="00E80E32">
        <w:rPr>
          <w:rFonts w:ascii="Gill Sans" w:hAnsi="Gill Sans" w:cs="Gill Sans"/>
          <w:sz w:val="22"/>
          <w:szCs w:val="22"/>
          <w:lang w:val="en-GB"/>
        </w:rPr>
        <w:t>s</w:t>
      </w:r>
      <w:r w:rsidR="00A85732" w:rsidRPr="000D214B">
        <w:rPr>
          <w:rFonts w:ascii="Gill Sans" w:hAnsi="Gill Sans" w:cs="Gill Sans"/>
          <w:sz w:val="22"/>
          <w:szCs w:val="22"/>
          <w:lang w:val="en-GB"/>
        </w:rPr>
        <w:t xml:space="preserve"> </w:t>
      </w:r>
      <w:r w:rsidR="00071776">
        <w:rPr>
          <w:rFonts w:ascii="Gill Sans" w:hAnsi="Gill Sans" w:cs="Gill Sans"/>
          <w:sz w:val="22"/>
          <w:szCs w:val="22"/>
          <w:lang w:val="en-GB"/>
        </w:rPr>
        <w:t xml:space="preserve">a </w:t>
      </w:r>
      <w:r w:rsidR="00A85732" w:rsidRPr="000D214B">
        <w:rPr>
          <w:rFonts w:ascii="Gill Sans" w:hAnsi="Gill Sans" w:cs="Gill Sans"/>
          <w:sz w:val="22"/>
          <w:szCs w:val="22"/>
          <w:lang w:val="en-GB"/>
        </w:rPr>
        <w:t xml:space="preserve">clear objective </w:t>
      </w:r>
      <w:r w:rsidR="00E80E32">
        <w:rPr>
          <w:rFonts w:ascii="Gill Sans" w:hAnsi="Gill Sans" w:cs="Gill Sans"/>
          <w:sz w:val="22"/>
          <w:szCs w:val="22"/>
          <w:lang w:val="en-GB"/>
        </w:rPr>
        <w:t>and</w:t>
      </w:r>
      <w:r w:rsidR="00A85732" w:rsidRPr="000D214B">
        <w:rPr>
          <w:rFonts w:ascii="Gill Sans" w:hAnsi="Gill Sans" w:cs="Gill Sans"/>
          <w:sz w:val="22"/>
          <w:szCs w:val="22"/>
          <w:lang w:val="en-GB"/>
        </w:rPr>
        <w:t xml:space="preserve"> includ</w:t>
      </w:r>
      <w:r w:rsidR="00E80E32">
        <w:rPr>
          <w:rFonts w:ascii="Gill Sans" w:hAnsi="Gill Sans" w:cs="Gill Sans"/>
          <w:sz w:val="22"/>
          <w:szCs w:val="22"/>
          <w:lang w:val="en-GB"/>
        </w:rPr>
        <w:t>es</w:t>
      </w:r>
      <w:r w:rsidR="00A85732" w:rsidRPr="000D214B">
        <w:rPr>
          <w:rFonts w:ascii="Gill Sans" w:hAnsi="Gill Sans" w:cs="Gill Sans"/>
          <w:sz w:val="22"/>
          <w:szCs w:val="22"/>
          <w:lang w:val="en-GB"/>
        </w:rPr>
        <w:t xml:space="preserve"> too many different elements. Eventually, the government revoked one part of the commitment</w:t>
      </w:r>
      <w:r w:rsidR="00E80E32">
        <w:rPr>
          <w:rFonts w:ascii="Gill Sans" w:hAnsi="Gill Sans" w:cs="Gill Sans"/>
          <w:sz w:val="22"/>
          <w:szCs w:val="22"/>
          <w:lang w:val="en-GB"/>
        </w:rPr>
        <w:t>,</w:t>
      </w:r>
      <w:r w:rsidR="00A85732" w:rsidRPr="000D214B">
        <w:rPr>
          <w:rFonts w:ascii="Gill Sans" w:hAnsi="Gill Sans" w:cs="Gill Sans"/>
          <w:sz w:val="22"/>
          <w:szCs w:val="22"/>
          <w:lang w:val="en-GB"/>
        </w:rPr>
        <w:t xml:space="preserve"> and found that another part did not require action. </w:t>
      </w:r>
      <w:r>
        <w:rPr>
          <w:rFonts w:ascii="Gill Sans" w:hAnsi="Gill Sans" w:cs="Gill Sans"/>
          <w:sz w:val="22"/>
          <w:szCs w:val="22"/>
          <w:lang w:val="en-GB"/>
        </w:rPr>
        <w:t>Overall</w:t>
      </w:r>
      <w:r w:rsidR="00071776">
        <w:rPr>
          <w:rFonts w:ascii="Gill Sans" w:hAnsi="Gill Sans" w:cs="Gill Sans"/>
          <w:sz w:val="22"/>
          <w:szCs w:val="22"/>
          <w:lang w:val="en-GB"/>
        </w:rPr>
        <w:t>, the</w:t>
      </w:r>
      <w:r>
        <w:rPr>
          <w:rFonts w:ascii="Gill Sans" w:hAnsi="Gill Sans" w:cs="Gill Sans"/>
          <w:sz w:val="22"/>
          <w:szCs w:val="22"/>
          <w:lang w:val="en-GB"/>
        </w:rPr>
        <w:t xml:space="preserve"> different measures mentioned in the commitment aimed to develop e-governance </w:t>
      </w:r>
      <w:r w:rsidR="00E80E32">
        <w:rPr>
          <w:rFonts w:ascii="Gill Sans" w:hAnsi="Gill Sans" w:cs="Gill Sans"/>
          <w:sz w:val="22"/>
          <w:szCs w:val="22"/>
          <w:lang w:val="en-GB"/>
        </w:rPr>
        <w:t xml:space="preserve">by </w:t>
      </w:r>
      <w:r>
        <w:rPr>
          <w:rFonts w:ascii="Gill Sans" w:hAnsi="Gill Sans" w:cs="Gill Sans"/>
          <w:sz w:val="22"/>
          <w:szCs w:val="22"/>
          <w:lang w:val="en-GB"/>
        </w:rPr>
        <w:t>improv</w:t>
      </w:r>
      <w:r w:rsidR="00E80E32">
        <w:rPr>
          <w:rFonts w:ascii="Gill Sans" w:hAnsi="Gill Sans" w:cs="Gill Sans"/>
          <w:sz w:val="22"/>
          <w:szCs w:val="22"/>
          <w:lang w:val="en-GB"/>
        </w:rPr>
        <w:t>ing</w:t>
      </w:r>
      <w:r>
        <w:rPr>
          <w:rFonts w:ascii="Gill Sans" w:hAnsi="Gill Sans" w:cs="Gill Sans"/>
          <w:sz w:val="22"/>
          <w:szCs w:val="22"/>
          <w:lang w:val="en-GB"/>
        </w:rPr>
        <w:t xml:space="preserve"> the legal framework.</w:t>
      </w:r>
    </w:p>
    <w:p w14:paraId="70551CAA" w14:textId="571B681C" w:rsidR="00DE1C85" w:rsidRPr="000D214B" w:rsidRDefault="00DE1C85" w:rsidP="006319F4">
      <w:pPr>
        <w:pStyle w:val="Heading3"/>
      </w:pPr>
      <w:r w:rsidRPr="000D214B">
        <w:t>Status</w:t>
      </w:r>
    </w:p>
    <w:p w14:paraId="0C398EBC" w14:textId="5175CF11" w:rsidR="00DE1C85" w:rsidRPr="000D214B" w:rsidRDefault="00DE1C85" w:rsidP="0032654A">
      <w:pPr>
        <w:pStyle w:val="Normalrglronly"/>
        <w:rPr>
          <w:b/>
          <w:lang w:val="en-GB"/>
        </w:rPr>
      </w:pPr>
      <w:r w:rsidRPr="000D214B">
        <w:rPr>
          <w:b/>
          <w:lang w:val="en-GB"/>
        </w:rPr>
        <w:t xml:space="preserve">Midterm: </w:t>
      </w:r>
      <w:r w:rsidR="00A85732" w:rsidRPr="000D214B">
        <w:rPr>
          <w:b/>
          <w:lang w:val="en-GB"/>
        </w:rPr>
        <w:t>Substantial</w:t>
      </w:r>
    </w:p>
    <w:p w14:paraId="7B544263" w14:textId="03E90A48" w:rsidR="00A85732" w:rsidRPr="000D214B" w:rsidRDefault="00A85732" w:rsidP="00CC5FBD">
      <w:pPr>
        <w:spacing w:after="120"/>
        <w:rPr>
          <w:rFonts w:ascii="Gill Sans" w:hAnsi="Gill Sans" w:cs="Gill Sans"/>
          <w:noProof/>
          <w:sz w:val="22"/>
          <w:szCs w:val="22"/>
          <w:lang w:val="en-GB"/>
        </w:rPr>
      </w:pPr>
      <w:r w:rsidRPr="000D214B">
        <w:rPr>
          <w:rFonts w:ascii="Gill Sans" w:hAnsi="Gill Sans" w:cs="Gill Sans"/>
          <w:sz w:val="22"/>
          <w:szCs w:val="22"/>
          <w:lang w:val="en-GB"/>
        </w:rPr>
        <w:t xml:space="preserve">The government reported that the draft law </w:t>
      </w:r>
      <w:r w:rsidR="000F26C0">
        <w:rPr>
          <w:rFonts w:ascii="Gill Sans" w:hAnsi="Gill Sans" w:cs="Gill Sans"/>
          <w:sz w:val="22"/>
          <w:szCs w:val="22"/>
          <w:lang w:val="en-GB"/>
        </w:rPr>
        <w:t>to</w:t>
      </w:r>
      <w:r w:rsidR="000F26C0" w:rsidRPr="000D214B">
        <w:rPr>
          <w:rFonts w:ascii="Gill Sans" w:hAnsi="Gill Sans" w:cs="Gill Sans"/>
          <w:sz w:val="22"/>
          <w:szCs w:val="22"/>
          <w:lang w:val="en-GB"/>
        </w:rPr>
        <w:t xml:space="preserve"> </w:t>
      </w:r>
      <w:r w:rsidR="000F26C0">
        <w:rPr>
          <w:rFonts w:ascii="Gill Sans" w:hAnsi="Gill Sans" w:cs="Gill Sans"/>
          <w:sz w:val="22"/>
          <w:szCs w:val="22"/>
          <w:lang w:val="en-GB"/>
        </w:rPr>
        <w:t>allow</w:t>
      </w:r>
      <w:r w:rsidR="000F26C0" w:rsidRPr="000D214B">
        <w:rPr>
          <w:rFonts w:ascii="Gill Sans" w:hAnsi="Gill Sans" w:cs="Gill Sans"/>
          <w:sz w:val="22"/>
          <w:szCs w:val="22"/>
          <w:lang w:val="en-GB"/>
        </w:rPr>
        <w:t xml:space="preserve"> </w:t>
      </w:r>
      <w:r w:rsidRPr="000D214B">
        <w:rPr>
          <w:rFonts w:ascii="Gill Sans" w:hAnsi="Gill Sans" w:cs="Gill Sans"/>
          <w:sz w:val="22"/>
          <w:szCs w:val="22"/>
          <w:lang w:val="en-GB"/>
        </w:rPr>
        <w:t xml:space="preserve">digital signatures for </w:t>
      </w:r>
      <w:r w:rsidR="00BF6819">
        <w:rPr>
          <w:rFonts w:ascii="Gill Sans" w:hAnsi="Gill Sans" w:cs="Gill Sans"/>
          <w:sz w:val="22"/>
          <w:szCs w:val="22"/>
          <w:lang w:val="en-GB"/>
        </w:rPr>
        <w:t xml:space="preserve">the provision of </w:t>
      </w:r>
      <w:r w:rsidRPr="000D214B">
        <w:rPr>
          <w:rFonts w:ascii="Gill Sans" w:hAnsi="Gill Sans" w:cs="Gill Sans"/>
          <w:sz w:val="22"/>
          <w:szCs w:val="22"/>
          <w:lang w:val="en-GB"/>
        </w:rPr>
        <w:t>administrative service</w:t>
      </w:r>
      <w:r w:rsidR="00BF6819">
        <w:rPr>
          <w:rFonts w:ascii="Gill Sans" w:hAnsi="Gill Sans" w:cs="Gill Sans"/>
          <w:sz w:val="22"/>
          <w:szCs w:val="22"/>
          <w:lang w:val="en-GB"/>
        </w:rPr>
        <w:t>s</w:t>
      </w:r>
      <w:r w:rsidRPr="000D214B">
        <w:rPr>
          <w:rFonts w:ascii="Gill Sans" w:hAnsi="Gill Sans" w:cs="Gill Sans"/>
          <w:sz w:val="22"/>
          <w:szCs w:val="22"/>
          <w:lang w:val="en-GB"/>
        </w:rPr>
        <w:t xml:space="preserve"> was excluded from the action plan in August 2015</w:t>
      </w:r>
      <w:r w:rsidR="00E80E32">
        <w:rPr>
          <w:rFonts w:ascii="Gill Sans" w:hAnsi="Gill Sans" w:cs="Gill Sans"/>
          <w:sz w:val="22"/>
          <w:szCs w:val="22"/>
          <w:lang w:val="en-GB"/>
        </w:rPr>
        <w:t>,</w:t>
      </w:r>
      <w:r w:rsidRPr="000D214B">
        <w:rPr>
          <w:rFonts w:ascii="Gill Sans" w:hAnsi="Gill Sans" w:cs="Gill Sans"/>
          <w:sz w:val="22"/>
          <w:szCs w:val="22"/>
          <w:lang w:val="en-GB"/>
        </w:rPr>
        <w:t xml:space="preserve"> </w:t>
      </w:r>
      <w:r w:rsidR="007A6F93">
        <w:rPr>
          <w:rFonts w:ascii="Gill Sans" w:hAnsi="Gill Sans" w:cs="Gill Sans"/>
          <w:sz w:val="22"/>
          <w:szCs w:val="22"/>
          <w:lang w:val="en-GB"/>
        </w:rPr>
        <w:t>as</w:t>
      </w:r>
      <w:r w:rsidR="00E80E32">
        <w:rPr>
          <w:rFonts w:ascii="Gill Sans" w:hAnsi="Gill Sans" w:cs="Gill Sans"/>
          <w:sz w:val="22"/>
          <w:szCs w:val="22"/>
          <w:lang w:val="en-GB"/>
        </w:rPr>
        <w:t xml:space="preserve"> those</w:t>
      </w:r>
      <w:r w:rsidR="00BF6819">
        <w:rPr>
          <w:rFonts w:ascii="Gill Sans" w:hAnsi="Gill Sans" w:cs="Gill Sans"/>
          <w:sz w:val="22"/>
          <w:szCs w:val="22"/>
          <w:lang w:val="en-GB"/>
        </w:rPr>
        <w:t xml:space="preserve"> measures were already </w:t>
      </w:r>
      <w:r w:rsidRPr="000D214B">
        <w:rPr>
          <w:rFonts w:ascii="Gill Sans" w:hAnsi="Gill Sans" w:cs="Gill Sans"/>
          <w:sz w:val="22"/>
          <w:szCs w:val="22"/>
          <w:lang w:val="en-GB"/>
        </w:rPr>
        <w:t>covered in the draft of the Law on Electronic Trust Services.</w:t>
      </w:r>
      <w:r w:rsidRPr="000D214B">
        <w:rPr>
          <w:rStyle w:val="EndnoteReference"/>
          <w:rFonts w:ascii="Gill Sans" w:hAnsi="Gill Sans" w:cs="Gill Sans"/>
          <w:sz w:val="22"/>
          <w:szCs w:val="22"/>
          <w:lang w:val="en-GB"/>
        </w:rPr>
        <w:endnoteReference w:id="82"/>
      </w:r>
      <w:r w:rsidRPr="000D214B">
        <w:rPr>
          <w:rFonts w:ascii="Gill Sans" w:hAnsi="Gill Sans" w:cs="Gill Sans"/>
          <w:sz w:val="22"/>
          <w:szCs w:val="22"/>
          <w:lang w:val="en-GB"/>
        </w:rPr>
        <w:t xml:space="preserve"> The Ministry of Justice announced that no amendments would be made to the </w:t>
      </w:r>
      <w:r w:rsidRPr="000D214B">
        <w:rPr>
          <w:rFonts w:ascii="Gill Sans" w:hAnsi="Gill Sans" w:cs="Gill Sans"/>
          <w:noProof/>
          <w:sz w:val="22"/>
          <w:szCs w:val="22"/>
          <w:lang w:val="en-GB"/>
        </w:rPr>
        <w:t>Law on Protection of Personal Data</w:t>
      </w:r>
      <w:r w:rsidR="009426F7">
        <w:rPr>
          <w:rFonts w:ascii="Gill Sans" w:hAnsi="Gill Sans" w:cs="Gill Sans"/>
          <w:noProof/>
          <w:sz w:val="22"/>
          <w:szCs w:val="22"/>
          <w:lang w:val="en-GB"/>
        </w:rPr>
        <w:t>, since it</w:t>
      </w:r>
      <w:r w:rsidRPr="000D214B">
        <w:rPr>
          <w:rFonts w:ascii="Gill Sans" w:hAnsi="Gill Sans" w:cs="Gill Sans"/>
          <w:noProof/>
          <w:sz w:val="22"/>
          <w:szCs w:val="22"/>
          <w:lang w:val="en-GB"/>
        </w:rPr>
        <w:t xml:space="preserve"> is </w:t>
      </w:r>
      <w:r w:rsidR="00BF6819">
        <w:rPr>
          <w:rFonts w:ascii="Gill Sans" w:hAnsi="Gill Sans" w:cs="Gill Sans"/>
          <w:noProof/>
          <w:sz w:val="22"/>
          <w:szCs w:val="22"/>
          <w:lang w:val="en-GB"/>
        </w:rPr>
        <w:t xml:space="preserve">already </w:t>
      </w:r>
      <w:r w:rsidRPr="000D214B">
        <w:rPr>
          <w:rFonts w:ascii="Gill Sans" w:hAnsi="Gill Sans" w:cs="Gill Sans"/>
          <w:noProof/>
          <w:sz w:val="22"/>
          <w:szCs w:val="22"/>
          <w:lang w:val="en-GB"/>
        </w:rPr>
        <w:t>in line with European standards.</w:t>
      </w:r>
    </w:p>
    <w:p w14:paraId="6A83B9FC" w14:textId="2ACCA259" w:rsidR="00A85732" w:rsidRPr="000D214B" w:rsidRDefault="00A85732" w:rsidP="001E48D4">
      <w:pPr>
        <w:spacing w:after="120"/>
        <w:rPr>
          <w:rFonts w:ascii="Gill Sans" w:hAnsi="Gill Sans" w:cs="Gill Sans"/>
          <w:sz w:val="22"/>
          <w:szCs w:val="22"/>
          <w:lang w:val="en-GB"/>
        </w:rPr>
      </w:pPr>
      <w:r w:rsidRPr="000D214B">
        <w:rPr>
          <w:rFonts w:ascii="Gill Sans" w:hAnsi="Gill Sans" w:cs="Gill Sans"/>
          <w:sz w:val="22"/>
          <w:szCs w:val="22"/>
          <w:lang w:val="en-GB"/>
        </w:rPr>
        <w:t xml:space="preserve">The Ministry of Justice developed a new draft of the Law on </w:t>
      </w:r>
      <w:r w:rsidRPr="000D214B">
        <w:rPr>
          <w:rFonts w:ascii="Gill Sans" w:hAnsi="Gill Sans" w:cs="Gill Sans"/>
          <w:noProof/>
          <w:sz w:val="22"/>
          <w:szCs w:val="22"/>
          <w:lang w:val="en-GB"/>
        </w:rPr>
        <w:t xml:space="preserve">Electronic Trust Services, replacing previous draft legislation in this area. This was connected </w:t>
      </w:r>
      <w:r w:rsidR="00E80E32">
        <w:rPr>
          <w:rFonts w:ascii="Gill Sans" w:hAnsi="Gill Sans" w:cs="Gill Sans"/>
          <w:noProof/>
          <w:sz w:val="22"/>
          <w:szCs w:val="22"/>
          <w:lang w:val="en-GB"/>
        </w:rPr>
        <w:t>to</w:t>
      </w:r>
      <w:r w:rsidR="00E80E32" w:rsidRPr="000D214B">
        <w:rPr>
          <w:rFonts w:ascii="Gill Sans" w:hAnsi="Gill Sans" w:cs="Gill Sans"/>
          <w:noProof/>
          <w:sz w:val="22"/>
          <w:szCs w:val="22"/>
          <w:lang w:val="en-GB"/>
        </w:rPr>
        <w:t xml:space="preserve"> </w:t>
      </w:r>
      <w:r w:rsidRPr="000D214B">
        <w:rPr>
          <w:rFonts w:ascii="Gill Sans" w:hAnsi="Gill Sans" w:cs="Gill Sans"/>
          <w:noProof/>
          <w:sz w:val="22"/>
          <w:szCs w:val="22"/>
          <w:lang w:val="en-GB"/>
        </w:rPr>
        <w:t xml:space="preserve">the revision of the EU legal framework. The government submitted the draft </w:t>
      </w:r>
      <w:r w:rsidR="009426F7">
        <w:rPr>
          <w:rFonts w:ascii="Gill Sans" w:hAnsi="Gill Sans" w:cs="Gill Sans"/>
          <w:noProof/>
          <w:sz w:val="22"/>
          <w:szCs w:val="22"/>
          <w:lang w:val="en-GB"/>
        </w:rPr>
        <w:t>to</w:t>
      </w:r>
      <w:r w:rsidRPr="000D214B">
        <w:rPr>
          <w:rFonts w:ascii="Gill Sans" w:hAnsi="Gill Sans" w:cs="Gill Sans"/>
          <w:noProof/>
          <w:sz w:val="22"/>
          <w:szCs w:val="22"/>
          <w:lang w:val="en-GB"/>
        </w:rPr>
        <w:t xml:space="preserve"> </w:t>
      </w:r>
      <w:r w:rsidR="009426F7">
        <w:rPr>
          <w:rFonts w:ascii="Gill Sans" w:hAnsi="Gill Sans" w:cs="Gill Sans"/>
          <w:noProof/>
          <w:sz w:val="22"/>
          <w:szCs w:val="22"/>
          <w:lang w:val="en-GB"/>
        </w:rPr>
        <w:t>P</w:t>
      </w:r>
      <w:r w:rsidRPr="000D214B">
        <w:rPr>
          <w:rFonts w:ascii="Gill Sans" w:hAnsi="Gill Sans" w:cs="Gill Sans"/>
          <w:noProof/>
          <w:sz w:val="22"/>
          <w:szCs w:val="22"/>
          <w:lang w:val="en-GB"/>
        </w:rPr>
        <w:t>arliament in August 2015.</w:t>
      </w:r>
      <w:r w:rsidRPr="000D214B">
        <w:rPr>
          <w:rStyle w:val="EndnoteReference"/>
          <w:rFonts w:ascii="Gill Sans" w:hAnsi="Gill Sans" w:cs="Gill Sans"/>
          <w:noProof/>
          <w:sz w:val="22"/>
          <w:szCs w:val="22"/>
          <w:lang w:val="en-GB"/>
        </w:rPr>
        <w:endnoteReference w:id="83"/>
      </w:r>
      <w:r w:rsidRPr="000D214B">
        <w:rPr>
          <w:rFonts w:ascii="Gill Sans" w:hAnsi="Gill Sans" w:cs="Gill Sans"/>
          <w:noProof/>
          <w:sz w:val="22"/>
          <w:szCs w:val="22"/>
          <w:lang w:val="en-GB"/>
        </w:rPr>
        <w:t xml:space="preserve"> The ministry had conducted a number of public consultations on the draft law.</w:t>
      </w:r>
      <w:r w:rsidRPr="000D214B">
        <w:rPr>
          <w:rStyle w:val="EndnoteReference"/>
          <w:rFonts w:ascii="Gill Sans" w:hAnsi="Gill Sans" w:cs="Gill Sans"/>
          <w:noProof/>
          <w:sz w:val="22"/>
          <w:szCs w:val="22"/>
          <w:lang w:val="en-GB"/>
        </w:rPr>
        <w:endnoteReference w:id="84"/>
      </w:r>
    </w:p>
    <w:p w14:paraId="17258835" w14:textId="0055CFC8" w:rsidR="00DE1C85" w:rsidRPr="008E1065" w:rsidRDefault="00A85732" w:rsidP="0008527B">
      <w:pPr>
        <w:spacing w:after="120"/>
        <w:rPr>
          <w:rFonts w:ascii="Gill Sans" w:hAnsi="Gill Sans" w:cs="Gill Sans"/>
          <w:noProof/>
          <w:sz w:val="22"/>
          <w:szCs w:val="22"/>
          <w:lang w:val="en-GB"/>
        </w:rPr>
      </w:pPr>
      <w:r w:rsidRPr="000D214B">
        <w:rPr>
          <w:rFonts w:ascii="Gill Sans" w:hAnsi="Gill Sans" w:cs="Gill Sans"/>
          <w:sz w:val="22"/>
          <w:szCs w:val="22"/>
          <w:lang w:val="en-GB"/>
        </w:rPr>
        <w:t xml:space="preserve">Of all the proposed legal amendments, </w:t>
      </w:r>
      <w:r w:rsidR="000F72FC" w:rsidRPr="000D214B">
        <w:rPr>
          <w:rFonts w:ascii="Gill Sans" w:hAnsi="Gill Sans" w:cs="Gill Sans"/>
          <w:sz w:val="22"/>
          <w:szCs w:val="22"/>
          <w:lang w:val="en-GB"/>
        </w:rPr>
        <w:t xml:space="preserve">the introduction of a new type of petition </w:t>
      </w:r>
      <w:r w:rsidR="000F72FC">
        <w:rPr>
          <w:rFonts w:ascii="Gill Sans" w:hAnsi="Gill Sans" w:cs="Gill Sans"/>
          <w:sz w:val="22"/>
          <w:szCs w:val="22"/>
          <w:lang w:val="en-GB"/>
        </w:rPr>
        <w:t>achieved the most</w:t>
      </w:r>
      <w:r w:rsidR="000F72FC" w:rsidRPr="000D214B">
        <w:rPr>
          <w:rFonts w:ascii="Gill Sans" w:hAnsi="Gill Sans" w:cs="Gill Sans"/>
          <w:sz w:val="22"/>
          <w:szCs w:val="22"/>
          <w:lang w:val="en-GB"/>
        </w:rPr>
        <w:t xml:space="preserve"> </w:t>
      </w:r>
      <w:r w:rsidRPr="000D214B">
        <w:rPr>
          <w:rFonts w:ascii="Gill Sans" w:hAnsi="Gill Sans" w:cs="Gill Sans"/>
          <w:sz w:val="22"/>
          <w:szCs w:val="22"/>
          <w:lang w:val="en-GB"/>
        </w:rPr>
        <w:t>progress. A</w:t>
      </w:r>
      <w:r w:rsidR="00DC298C">
        <w:rPr>
          <w:rFonts w:ascii="Gill Sans" w:hAnsi="Gill Sans" w:cs="Gill Sans"/>
          <w:sz w:val="22"/>
          <w:szCs w:val="22"/>
          <w:lang w:val="en-GB"/>
        </w:rPr>
        <w:t xml:space="preserve"> law adopted in July 2015 allowed</w:t>
      </w:r>
      <w:r w:rsidRPr="000D214B">
        <w:rPr>
          <w:rFonts w:ascii="Gill Sans" w:hAnsi="Gill Sans" w:cs="Gill Sans"/>
          <w:sz w:val="22"/>
          <w:szCs w:val="22"/>
          <w:lang w:val="en-GB"/>
        </w:rPr>
        <w:t xml:space="preserve"> </w:t>
      </w:r>
      <w:r w:rsidR="000F72FC" w:rsidRPr="000D214B">
        <w:rPr>
          <w:rFonts w:ascii="Gill Sans" w:hAnsi="Gill Sans" w:cs="Gill Sans"/>
          <w:sz w:val="22"/>
          <w:szCs w:val="22"/>
          <w:lang w:val="en-GB"/>
        </w:rPr>
        <w:t xml:space="preserve">regular petitions </w:t>
      </w:r>
      <w:r w:rsidR="000F72FC">
        <w:rPr>
          <w:rFonts w:ascii="Gill Sans" w:hAnsi="Gill Sans" w:cs="Gill Sans"/>
          <w:sz w:val="22"/>
          <w:szCs w:val="22"/>
          <w:lang w:val="en-GB"/>
        </w:rPr>
        <w:t xml:space="preserve">to be submitted </w:t>
      </w:r>
      <w:r w:rsidR="00BF6819">
        <w:rPr>
          <w:rFonts w:ascii="Gill Sans" w:hAnsi="Gill Sans" w:cs="Gill Sans"/>
          <w:sz w:val="22"/>
          <w:szCs w:val="22"/>
          <w:lang w:val="en-GB"/>
        </w:rPr>
        <w:t>electronic</w:t>
      </w:r>
      <w:r w:rsidR="000F72FC">
        <w:rPr>
          <w:rFonts w:ascii="Gill Sans" w:hAnsi="Gill Sans" w:cs="Gill Sans"/>
          <w:sz w:val="22"/>
          <w:szCs w:val="22"/>
          <w:lang w:val="en-GB"/>
        </w:rPr>
        <w:t>ally (the p</w:t>
      </w:r>
      <w:r w:rsidRPr="000D214B">
        <w:rPr>
          <w:rFonts w:ascii="Gill Sans" w:hAnsi="Gill Sans" w:cs="Gill Sans"/>
          <w:sz w:val="22"/>
          <w:szCs w:val="22"/>
          <w:lang w:val="en-GB"/>
        </w:rPr>
        <w:t>revious law allowed only the submission of hard-copy paper petitions)</w:t>
      </w:r>
      <w:r w:rsidR="009426F7">
        <w:rPr>
          <w:rFonts w:ascii="Gill Sans" w:hAnsi="Gill Sans" w:cs="Gill Sans"/>
          <w:sz w:val="22"/>
          <w:szCs w:val="22"/>
          <w:lang w:val="en-GB"/>
        </w:rPr>
        <w:t>.</w:t>
      </w:r>
      <w:r w:rsidRPr="000D214B">
        <w:rPr>
          <w:rFonts w:ascii="Gill Sans" w:hAnsi="Gill Sans" w:cs="Gill Sans"/>
          <w:sz w:val="22"/>
          <w:szCs w:val="22"/>
          <w:lang w:val="en-GB"/>
        </w:rPr>
        <w:t xml:space="preserve"> </w:t>
      </w:r>
      <w:r w:rsidR="00DC298C">
        <w:rPr>
          <w:rFonts w:ascii="Gill Sans" w:hAnsi="Gill Sans" w:cs="Gill Sans"/>
          <w:sz w:val="22"/>
          <w:szCs w:val="22"/>
          <w:lang w:val="en-GB"/>
        </w:rPr>
        <w:t>The law also introduced</w:t>
      </w:r>
      <w:r w:rsidR="009426F7">
        <w:rPr>
          <w:rFonts w:ascii="Gill Sans" w:hAnsi="Gill Sans" w:cs="Gill Sans"/>
          <w:sz w:val="22"/>
          <w:szCs w:val="22"/>
          <w:lang w:val="en-GB"/>
        </w:rPr>
        <w:t>,</w:t>
      </w:r>
      <w:r w:rsidR="00DC298C">
        <w:rPr>
          <w:rFonts w:ascii="Gill Sans" w:hAnsi="Gill Sans" w:cs="Gill Sans"/>
          <w:sz w:val="22"/>
          <w:szCs w:val="22"/>
          <w:lang w:val="en-GB"/>
        </w:rPr>
        <w:t xml:space="preserve"> </w:t>
      </w:r>
      <w:r w:rsidR="00BF6819">
        <w:rPr>
          <w:rFonts w:ascii="Gill Sans" w:hAnsi="Gill Sans" w:cs="Gill Sans"/>
          <w:sz w:val="22"/>
          <w:szCs w:val="22"/>
          <w:lang w:val="en-GB"/>
        </w:rPr>
        <w:t>for the first time</w:t>
      </w:r>
      <w:r w:rsidR="009426F7">
        <w:rPr>
          <w:rFonts w:ascii="Gill Sans" w:hAnsi="Gill Sans" w:cs="Gill Sans"/>
          <w:sz w:val="22"/>
          <w:szCs w:val="22"/>
          <w:lang w:val="en-GB"/>
        </w:rPr>
        <w:t>,</w:t>
      </w:r>
      <w:r w:rsidR="00BF6819">
        <w:rPr>
          <w:rFonts w:ascii="Gill Sans" w:hAnsi="Gill Sans" w:cs="Gill Sans"/>
          <w:sz w:val="22"/>
          <w:szCs w:val="22"/>
          <w:lang w:val="en-GB"/>
        </w:rPr>
        <w:t xml:space="preserve"> </w:t>
      </w:r>
      <w:r w:rsidR="00DC298C">
        <w:rPr>
          <w:rFonts w:ascii="Gill Sans" w:hAnsi="Gill Sans" w:cs="Gill Sans"/>
          <w:sz w:val="22"/>
          <w:szCs w:val="22"/>
          <w:lang w:val="en-GB"/>
        </w:rPr>
        <w:t>e-petitions</w:t>
      </w:r>
      <w:r w:rsidR="00BF6819">
        <w:rPr>
          <w:rFonts w:ascii="Gill Sans" w:hAnsi="Gill Sans" w:cs="Gill Sans"/>
          <w:sz w:val="22"/>
          <w:szCs w:val="22"/>
          <w:lang w:val="en-GB"/>
        </w:rPr>
        <w:t>, which can be</w:t>
      </w:r>
      <w:r w:rsidRPr="000D214B">
        <w:rPr>
          <w:rFonts w:ascii="Gill Sans" w:hAnsi="Gill Sans" w:cs="Gill Sans"/>
          <w:sz w:val="22"/>
          <w:szCs w:val="22"/>
          <w:lang w:val="en-GB"/>
        </w:rPr>
        <w:t xml:space="preserve"> addressed to </w:t>
      </w:r>
      <w:r w:rsidR="009426F7">
        <w:rPr>
          <w:rFonts w:ascii="Gill Sans" w:hAnsi="Gill Sans" w:cs="Gill Sans"/>
          <w:sz w:val="22"/>
          <w:szCs w:val="22"/>
          <w:lang w:val="en-GB"/>
        </w:rPr>
        <w:t>P</w:t>
      </w:r>
      <w:r w:rsidRPr="000D214B">
        <w:rPr>
          <w:rFonts w:ascii="Gill Sans" w:hAnsi="Gill Sans" w:cs="Gill Sans"/>
          <w:sz w:val="22"/>
          <w:szCs w:val="22"/>
          <w:lang w:val="en-GB"/>
        </w:rPr>
        <w:t>arliament, the government, the president, or local self-government bodies</w:t>
      </w:r>
      <w:r w:rsidR="000F72FC">
        <w:rPr>
          <w:rFonts w:ascii="Gill Sans" w:hAnsi="Gill Sans" w:cs="Gill Sans"/>
          <w:sz w:val="22"/>
          <w:szCs w:val="22"/>
          <w:lang w:val="en-GB"/>
        </w:rPr>
        <w:t xml:space="preserve">. </w:t>
      </w:r>
      <w:r w:rsidR="005703E0">
        <w:rPr>
          <w:rFonts w:ascii="Gill Sans" w:hAnsi="Gill Sans" w:cs="Gill Sans"/>
          <w:sz w:val="22"/>
          <w:szCs w:val="22"/>
          <w:lang w:val="en-GB"/>
        </w:rPr>
        <w:t>An e</w:t>
      </w:r>
      <w:r w:rsidR="000F72FC">
        <w:rPr>
          <w:rFonts w:ascii="Gill Sans" w:hAnsi="Gill Sans" w:cs="Gill Sans"/>
          <w:sz w:val="22"/>
          <w:szCs w:val="22"/>
          <w:lang w:val="en-GB"/>
        </w:rPr>
        <w:t>-petition</w:t>
      </w:r>
      <w:r w:rsidRPr="000D214B">
        <w:rPr>
          <w:rFonts w:ascii="Gill Sans" w:hAnsi="Gill Sans" w:cs="Gill Sans"/>
          <w:sz w:val="22"/>
          <w:szCs w:val="22"/>
          <w:lang w:val="en-GB"/>
        </w:rPr>
        <w:t xml:space="preserve"> require</w:t>
      </w:r>
      <w:r w:rsidR="005703E0">
        <w:rPr>
          <w:rFonts w:ascii="Gill Sans" w:hAnsi="Gill Sans" w:cs="Gill Sans"/>
          <w:sz w:val="22"/>
          <w:szCs w:val="22"/>
          <w:lang w:val="en-GB"/>
        </w:rPr>
        <w:t>s</w:t>
      </w:r>
      <w:r w:rsidRPr="000D214B">
        <w:rPr>
          <w:rFonts w:ascii="Gill Sans" w:hAnsi="Gill Sans" w:cs="Gill Sans"/>
          <w:sz w:val="22"/>
          <w:szCs w:val="22"/>
          <w:lang w:val="en-GB"/>
        </w:rPr>
        <w:t xml:space="preserve"> a certain number of signatures</w:t>
      </w:r>
      <w:r w:rsidR="005703E0">
        <w:rPr>
          <w:rStyle w:val="EndnoteReference"/>
          <w:rFonts w:ascii="Gill Sans" w:hAnsi="Gill Sans" w:cs="Gill Sans"/>
          <w:sz w:val="22"/>
          <w:szCs w:val="22"/>
          <w:lang w:val="en-GB"/>
        </w:rPr>
        <w:endnoteReference w:id="85"/>
      </w:r>
      <w:r w:rsidR="005703E0" w:rsidRPr="000D214B">
        <w:rPr>
          <w:rFonts w:ascii="Gill Sans" w:hAnsi="Gill Sans" w:cs="Gill Sans"/>
          <w:sz w:val="22"/>
          <w:szCs w:val="22"/>
          <w:lang w:val="en-GB"/>
        </w:rPr>
        <w:t xml:space="preserve"> </w:t>
      </w:r>
      <w:r w:rsidRPr="000D214B">
        <w:rPr>
          <w:rFonts w:ascii="Gill Sans" w:hAnsi="Gill Sans" w:cs="Gill Sans"/>
          <w:sz w:val="22"/>
          <w:szCs w:val="22"/>
          <w:lang w:val="en-GB"/>
        </w:rPr>
        <w:t>to support and valid</w:t>
      </w:r>
      <w:r w:rsidR="000F72FC">
        <w:rPr>
          <w:rFonts w:ascii="Gill Sans" w:hAnsi="Gill Sans" w:cs="Gill Sans"/>
          <w:sz w:val="22"/>
          <w:szCs w:val="22"/>
          <w:lang w:val="en-GB"/>
        </w:rPr>
        <w:t xml:space="preserve">ate </w:t>
      </w:r>
      <w:r w:rsidR="005703E0">
        <w:rPr>
          <w:rFonts w:ascii="Gill Sans" w:hAnsi="Gill Sans" w:cs="Gill Sans"/>
          <w:sz w:val="22"/>
          <w:szCs w:val="22"/>
          <w:lang w:val="en-GB"/>
        </w:rPr>
        <w:t>it</w:t>
      </w:r>
      <w:r w:rsidRPr="000D214B">
        <w:rPr>
          <w:rFonts w:ascii="Gill Sans" w:hAnsi="Gill Sans" w:cs="Gill Sans"/>
          <w:sz w:val="22"/>
          <w:szCs w:val="22"/>
          <w:lang w:val="en-GB"/>
        </w:rPr>
        <w:t xml:space="preserve">. </w:t>
      </w:r>
      <w:r w:rsidR="00BF6819">
        <w:rPr>
          <w:rFonts w:ascii="Gill Sans" w:hAnsi="Gill Sans" w:cs="Gill Sans"/>
          <w:sz w:val="22"/>
          <w:szCs w:val="22"/>
          <w:lang w:val="en-GB"/>
        </w:rPr>
        <w:t xml:space="preserve">Once </w:t>
      </w:r>
      <w:r w:rsidR="005703E0">
        <w:rPr>
          <w:rFonts w:ascii="Gill Sans" w:hAnsi="Gill Sans" w:cs="Gill Sans"/>
          <w:sz w:val="22"/>
          <w:szCs w:val="22"/>
          <w:lang w:val="en-GB"/>
        </w:rPr>
        <w:t>this is done</w:t>
      </w:r>
      <w:r w:rsidRPr="000D214B">
        <w:rPr>
          <w:rFonts w:ascii="Gill Sans" w:hAnsi="Gill Sans" w:cs="Gill Sans"/>
          <w:sz w:val="22"/>
          <w:szCs w:val="22"/>
          <w:lang w:val="en-GB"/>
        </w:rPr>
        <w:t xml:space="preserve">, the </w:t>
      </w:r>
      <w:r w:rsidR="005703E0">
        <w:rPr>
          <w:rFonts w:ascii="Gill Sans" w:hAnsi="Gill Sans" w:cs="Gill Sans"/>
          <w:sz w:val="22"/>
          <w:szCs w:val="22"/>
          <w:lang w:val="en-GB"/>
        </w:rPr>
        <w:t xml:space="preserve">relevant </w:t>
      </w:r>
      <w:r w:rsidRPr="000D214B">
        <w:rPr>
          <w:rFonts w:ascii="Gill Sans" w:hAnsi="Gill Sans" w:cs="Gill Sans"/>
          <w:sz w:val="22"/>
          <w:szCs w:val="22"/>
          <w:lang w:val="en-GB"/>
        </w:rPr>
        <w:t>authority</w:t>
      </w:r>
      <w:r w:rsidR="005703E0">
        <w:rPr>
          <w:rFonts w:ascii="Gill Sans" w:hAnsi="Gill Sans" w:cs="Gill Sans"/>
          <w:sz w:val="22"/>
          <w:szCs w:val="22"/>
          <w:lang w:val="en-GB"/>
        </w:rPr>
        <w:t xml:space="preserve"> gives it</w:t>
      </w:r>
      <w:r w:rsidRPr="000D214B">
        <w:rPr>
          <w:rFonts w:ascii="Gill Sans" w:hAnsi="Gill Sans" w:cs="Gill Sans"/>
          <w:sz w:val="22"/>
          <w:szCs w:val="22"/>
          <w:lang w:val="en-GB"/>
        </w:rPr>
        <w:t xml:space="preserve"> </w:t>
      </w:r>
      <w:r w:rsidR="009426F7" w:rsidRPr="000D214B">
        <w:rPr>
          <w:rFonts w:ascii="Gill Sans" w:hAnsi="Gill Sans" w:cs="Gill Sans"/>
          <w:sz w:val="22"/>
          <w:szCs w:val="22"/>
          <w:lang w:val="en-GB"/>
        </w:rPr>
        <w:t xml:space="preserve">priority treatment </w:t>
      </w:r>
      <w:r w:rsidRPr="000D214B">
        <w:rPr>
          <w:rFonts w:ascii="Gill Sans" w:hAnsi="Gill Sans" w:cs="Gill Sans"/>
          <w:sz w:val="22"/>
          <w:szCs w:val="22"/>
          <w:lang w:val="en-GB"/>
        </w:rPr>
        <w:t xml:space="preserve">and </w:t>
      </w:r>
      <w:r w:rsidR="00BF6819" w:rsidRPr="000D214B">
        <w:rPr>
          <w:rFonts w:ascii="Gill Sans" w:hAnsi="Gill Sans" w:cs="Gill Sans"/>
          <w:sz w:val="22"/>
          <w:szCs w:val="22"/>
          <w:lang w:val="en-GB"/>
        </w:rPr>
        <w:t xml:space="preserve">replies </w:t>
      </w:r>
      <w:r w:rsidR="005703E0">
        <w:rPr>
          <w:rFonts w:ascii="Gill Sans" w:hAnsi="Gill Sans" w:cs="Gill Sans"/>
          <w:sz w:val="22"/>
          <w:szCs w:val="22"/>
          <w:lang w:val="en-GB"/>
        </w:rPr>
        <w:t xml:space="preserve">to it </w:t>
      </w:r>
      <w:r w:rsidRPr="000D214B">
        <w:rPr>
          <w:rFonts w:ascii="Gill Sans" w:hAnsi="Gill Sans" w:cs="Gill Sans"/>
          <w:sz w:val="22"/>
          <w:szCs w:val="22"/>
          <w:lang w:val="en-GB"/>
        </w:rPr>
        <w:t>online.</w:t>
      </w:r>
      <w:r w:rsidR="005F7337" w:rsidRPr="000D214B">
        <w:rPr>
          <w:rFonts w:ascii="Gill Sans" w:hAnsi="Gill Sans" w:cs="Gill Sans"/>
          <w:sz w:val="22"/>
          <w:szCs w:val="22"/>
          <w:lang w:val="en-GB"/>
        </w:rPr>
        <w:t xml:space="preserve"> </w:t>
      </w:r>
      <w:r w:rsidRPr="000D214B">
        <w:rPr>
          <w:rFonts w:ascii="Gill Sans" w:hAnsi="Gill Sans" w:cs="Gill Sans"/>
          <w:noProof/>
          <w:sz w:val="22"/>
          <w:szCs w:val="22"/>
          <w:lang w:val="en-GB"/>
        </w:rPr>
        <w:t>The amendments were developed by civil society organisations and subm</w:t>
      </w:r>
      <w:r w:rsidR="00DC298C">
        <w:rPr>
          <w:rFonts w:ascii="Gill Sans" w:hAnsi="Gill Sans" w:cs="Gill Sans"/>
          <w:noProof/>
          <w:sz w:val="22"/>
          <w:szCs w:val="22"/>
          <w:lang w:val="en-GB"/>
        </w:rPr>
        <w:t xml:space="preserve">itted to </w:t>
      </w:r>
      <w:r w:rsidR="009426F7">
        <w:rPr>
          <w:rFonts w:ascii="Gill Sans" w:hAnsi="Gill Sans" w:cs="Gill Sans"/>
          <w:noProof/>
          <w:sz w:val="22"/>
          <w:szCs w:val="22"/>
          <w:lang w:val="en-GB"/>
        </w:rPr>
        <w:t>P</w:t>
      </w:r>
      <w:r w:rsidR="00DC298C">
        <w:rPr>
          <w:rFonts w:ascii="Gill Sans" w:hAnsi="Gill Sans" w:cs="Gill Sans"/>
          <w:noProof/>
          <w:sz w:val="22"/>
          <w:szCs w:val="22"/>
          <w:lang w:val="en-GB"/>
        </w:rPr>
        <w:t xml:space="preserve">arliament by the </w:t>
      </w:r>
      <w:r w:rsidR="009426F7">
        <w:rPr>
          <w:rFonts w:ascii="Gill Sans" w:hAnsi="Gill Sans" w:cs="Gill Sans"/>
          <w:noProof/>
          <w:sz w:val="22"/>
          <w:szCs w:val="22"/>
          <w:lang w:val="en-GB"/>
        </w:rPr>
        <w:t>p</w:t>
      </w:r>
      <w:r w:rsidRPr="000D214B">
        <w:rPr>
          <w:rFonts w:ascii="Gill Sans" w:hAnsi="Gill Sans" w:cs="Gill Sans"/>
          <w:noProof/>
          <w:sz w:val="22"/>
          <w:szCs w:val="22"/>
          <w:lang w:val="en-GB"/>
        </w:rPr>
        <w:t>resident of Ukraine.</w:t>
      </w:r>
      <w:r w:rsidR="00DE1C85" w:rsidRPr="008E1065">
        <w:rPr>
          <w:rStyle w:val="EndnoteReference"/>
          <w:rFonts w:ascii="Gill Sans" w:hAnsi="Gill Sans" w:cs="Gill Sans"/>
          <w:noProof/>
          <w:sz w:val="22"/>
          <w:szCs w:val="22"/>
          <w:lang w:val="en-GB"/>
        </w:rPr>
        <w:endnoteReference w:id="86"/>
      </w:r>
    </w:p>
    <w:p w14:paraId="3CE28042" w14:textId="5EDE0063" w:rsidR="008E1065" w:rsidRPr="008E1065" w:rsidRDefault="008E1065" w:rsidP="00F00809">
      <w:pPr>
        <w:spacing w:after="120"/>
        <w:rPr>
          <w:rFonts w:ascii="Gill Sans" w:hAnsi="Gill Sans" w:cs="Gill Sans"/>
          <w:noProof/>
          <w:sz w:val="22"/>
          <w:szCs w:val="22"/>
          <w:lang w:val="en-GB"/>
        </w:rPr>
      </w:pPr>
      <w:r w:rsidRPr="008E1065">
        <w:rPr>
          <w:rFonts w:ascii="Gill Sans" w:hAnsi="Gill Sans" w:cs="Gill Sans"/>
          <w:sz w:val="22"/>
          <w:szCs w:val="22"/>
          <w:lang w:val="en-GB"/>
        </w:rPr>
        <w:t>In October 2015, the Government Agency on E-Governance launched an electronic system for submi</w:t>
      </w:r>
      <w:r w:rsidR="005703E0">
        <w:rPr>
          <w:rFonts w:ascii="Gill Sans" w:hAnsi="Gill Sans" w:cs="Gill Sans"/>
          <w:sz w:val="22"/>
          <w:szCs w:val="22"/>
          <w:lang w:val="en-GB"/>
        </w:rPr>
        <w:t xml:space="preserve">tting </w:t>
      </w:r>
      <w:r w:rsidRPr="008E1065">
        <w:rPr>
          <w:rFonts w:ascii="Gill Sans" w:hAnsi="Gill Sans" w:cs="Gill Sans"/>
          <w:sz w:val="22"/>
          <w:szCs w:val="22"/>
          <w:lang w:val="en-GB"/>
        </w:rPr>
        <w:t xml:space="preserve">local e-petitions (e-dem.in.ua). It provided a platform for local self-government bodies to receive e-petitions in accordance with the new law. The system was developed under the E-Governance for Accountability and Participation (E-GAP) project funded by the Swiss Confederation and implemented by </w:t>
      </w:r>
      <w:proofErr w:type="spellStart"/>
      <w:r w:rsidRPr="008E1065">
        <w:rPr>
          <w:rFonts w:ascii="Gill Sans" w:hAnsi="Gill Sans" w:cs="Gill Sans"/>
          <w:sz w:val="22"/>
          <w:szCs w:val="22"/>
          <w:lang w:val="en-GB"/>
        </w:rPr>
        <w:t>InnovaBridge</w:t>
      </w:r>
      <w:proofErr w:type="spellEnd"/>
      <w:r w:rsidR="00C00679">
        <w:rPr>
          <w:rFonts w:ascii="Gill Sans" w:hAnsi="Gill Sans" w:cs="Gill Sans"/>
          <w:sz w:val="22"/>
          <w:szCs w:val="22"/>
          <w:lang w:val="en-GB"/>
        </w:rPr>
        <w:t xml:space="preserve"> Foundation</w:t>
      </w:r>
      <w:r w:rsidRPr="008E1065">
        <w:rPr>
          <w:rFonts w:ascii="Gill Sans" w:hAnsi="Gill Sans" w:cs="Gill Sans"/>
          <w:sz w:val="22"/>
          <w:szCs w:val="22"/>
          <w:lang w:val="en-GB"/>
        </w:rPr>
        <w:t>.</w:t>
      </w:r>
      <w:r w:rsidRPr="008E1065">
        <w:rPr>
          <w:rStyle w:val="EndnoteReference"/>
          <w:rFonts w:ascii="Gill Sans" w:hAnsi="Gill Sans" w:cs="Gill Sans"/>
          <w:sz w:val="22"/>
          <w:szCs w:val="22"/>
          <w:lang w:val="en-GB"/>
        </w:rPr>
        <w:endnoteReference w:id="87"/>
      </w:r>
    </w:p>
    <w:p w14:paraId="15E71ECA" w14:textId="754CA244" w:rsidR="00DE1C85" w:rsidRPr="008E1065" w:rsidRDefault="00DE1C85" w:rsidP="0032654A">
      <w:pPr>
        <w:pStyle w:val="Normalrglronly"/>
        <w:rPr>
          <w:b/>
          <w:lang w:val="en-US"/>
        </w:rPr>
      </w:pPr>
      <w:r w:rsidRPr="008E1065">
        <w:rPr>
          <w:b/>
          <w:lang w:val="en-GB"/>
        </w:rPr>
        <w:t xml:space="preserve">End of </w:t>
      </w:r>
      <w:r w:rsidRPr="00CC5FBD">
        <w:rPr>
          <w:b/>
          <w:lang w:val="en-GB"/>
        </w:rPr>
        <w:t>term</w:t>
      </w:r>
      <w:r w:rsidRPr="008E1065">
        <w:rPr>
          <w:b/>
          <w:lang w:val="en-GB"/>
        </w:rPr>
        <w:t xml:space="preserve">: </w:t>
      </w:r>
      <w:r w:rsidR="00D20958" w:rsidRPr="008E1065">
        <w:rPr>
          <w:b/>
          <w:lang w:val="en-GB"/>
        </w:rPr>
        <w:t>Substantial</w:t>
      </w:r>
    </w:p>
    <w:p w14:paraId="2F267C11" w14:textId="3FD2C915" w:rsidR="00FB1217" w:rsidRPr="00E8566F" w:rsidRDefault="00DC298C" w:rsidP="00CC5FBD">
      <w:pPr>
        <w:spacing w:after="120"/>
        <w:rPr>
          <w:rFonts w:ascii="Gill Sans" w:hAnsi="Gill Sans" w:cs="Gill Sans"/>
          <w:noProof/>
          <w:sz w:val="22"/>
          <w:szCs w:val="22"/>
          <w:lang w:val="uk-UA"/>
        </w:rPr>
      </w:pPr>
      <w:r>
        <w:rPr>
          <w:rFonts w:ascii="Gill Sans" w:hAnsi="Gill Sans" w:cs="Gill Sans"/>
          <w:sz w:val="22"/>
          <w:szCs w:val="22"/>
        </w:rPr>
        <w:t>T</w:t>
      </w:r>
      <w:r>
        <w:rPr>
          <w:rFonts w:ascii="Gill Sans" w:hAnsi="Gill Sans" w:cs="Gill Sans"/>
          <w:sz w:val="22"/>
          <w:szCs w:val="22"/>
          <w:lang w:val="en-GB"/>
        </w:rPr>
        <w:t xml:space="preserve">he </w:t>
      </w:r>
      <w:r w:rsidR="009426F7">
        <w:rPr>
          <w:rFonts w:ascii="Gill Sans" w:hAnsi="Gill Sans" w:cs="Gill Sans"/>
          <w:sz w:val="22"/>
          <w:szCs w:val="22"/>
          <w:lang w:val="en-GB"/>
        </w:rPr>
        <w:t>g</w:t>
      </w:r>
      <w:r>
        <w:rPr>
          <w:rFonts w:ascii="Gill Sans" w:hAnsi="Gill Sans" w:cs="Gill Sans"/>
          <w:sz w:val="22"/>
          <w:szCs w:val="22"/>
          <w:lang w:val="en-GB"/>
        </w:rPr>
        <w:t>overnment submitted t</w:t>
      </w:r>
      <w:r w:rsidR="00E8566F">
        <w:rPr>
          <w:rFonts w:ascii="Gill Sans" w:hAnsi="Gill Sans" w:cs="Gill Sans"/>
          <w:sz w:val="22"/>
          <w:szCs w:val="22"/>
          <w:lang w:val="en-GB"/>
        </w:rPr>
        <w:t xml:space="preserve">he </w:t>
      </w:r>
      <w:r w:rsidR="00E8566F" w:rsidRPr="000D214B">
        <w:rPr>
          <w:rFonts w:ascii="Gill Sans" w:hAnsi="Gill Sans" w:cs="Gill Sans"/>
          <w:sz w:val="22"/>
          <w:szCs w:val="22"/>
          <w:lang w:val="en-GB"/>
        </w:rPr>
        <w:t>draft Law on Electronic Trust Services</w:t>
      </w:r>
      <w:r w:rsidR="00E8566F">
        <w:rPr>
          <w:rFonts w:ascii="Gill Sans" w:hAnsi="Gill Sans" w:cs="Gill Sans"/>
          <w:sz w:val="22"/>
          <w:szCs w:val="22"/>
          <w:lang w:val="en-GB"/>
        </w:rPr>
        <w:t xml:space="preserve"> </w:t>
      </w:r>
      <w:r w:rsidR="009426F7">
        <w:rPr>
          <w:rFonts w:ascii="Gill Sans" w:hAnsi="Gill Sans" w:cs="Gill Sans"/>
          <w:sz w:val="22"/>
          <w:szCs w:val="22"/>
          <w:lang w:val="en-GB"/>
        </w:rPr>
        <w:t>to P</w:t>
      </w:r>
      <w:r w:rsidR="00E8566F">
        <w:rPr>
          <w:rFonts w:ascii="Gill Sans" w:hAnsi="Gill Sans" w:cs="Gill Sans"/>
          <w:sz w:val="22"/>
          <w:szCs w:val="22"/>
          <w:lang w:val="en-GB"/>
        </w:rPr>
        <w:t xml:space="preserve">arliament </w:t>
      </w:r>
      <w:r>
        <w:rPr>
          <w:rFonts w:ascii="Gill Sans" w:hAnsi="Gill Sans" w:cs="Gill Sans"/>
          <w:sz w:val="22"/>
          <w:szCs w:val="22"/>
          <w:lang w:val="en-GB"/>
        </w:rPr>
        <w:t xml:space="preserve">in </w:t>
      </w:r>
      <w:r w:rsidR="00E8566F">
        <w:rPr>
          <w:rFonts w:ascii="Gill Sans" w:hAnsi="Gill Sans" w:cs="Gill Sans"/>
          <w:sz w:val="22"/>
          <w:szCs w:val="22"/>
          <w:lang w:val="en-GB"/>
        </w:rPr>
        <w:t>August 2015</w:t>
      </w:r>
      <w:r w:rsidR="00C00679">
        <w:rPr>
          <w:rFonts w:ascii="Gill Sans" w:hAnsi="Gill Sans" w:cs="Gill Sans"/>
          <w:sz w:val="22"/>
          <w:szCs w:val="22"/>
          <w:lang w:val="en-GB"/>
        </w:rPr>
        <w:t>. A</w:t>
      </w:r>
      <w:r>
        <w:rPr>
          <w:rFonts w:ascii="Gill Sans" w:hAnsi="Gill Sans" w:cs="Gill Sans"/>
          <w:sz w:val="22"/>
          <w:szCs w:val="22"/>
          <w:lang w:val="en-GB"/>
        </w:rPr>
        <w:t xml:space="preserve"> new </w:t>
      </w:r>
      <w:r w:rsidR="009426F7">
        <w:rPr>
          <w:rFonts w:ascii="Gill Sans" w:hAnsi="Gill Sans" w:cs="Gill Sans"/>
          <w:sz w:val="22"/>
          <w:szCs w:val="22"/>
          <w:lang w:val="en-GB"/>
        </w:rPr>
        <w:t>g</w:t>
      </w:r>
      <w:r>
        <w:rPr>
          <w:rFonts w:ascii="Gill Sans" w:hAnsi="Gill Sans" w:cs="Gill Sans"/>
          <w:sz w:val="22"/>
          <w:szCs w:val="22"/>
          <w:lang w:val="en-GB"/>
        </w:rPr>
        <w:t xml:space="preserve">overnment </w:t>
      </w:r>
      <w:r w:rsidR="00E8566F">
        <w:rPr>
          <w:rFonts w:ascii="Gill Sans" w:hAnsi="Gill Sans" w:cs="Gill Sans"/>
          <w:sz w:val="22"/>
          <w:szCs w:val="22"/>
          <w:lang w:val="en-GB"/>
        </w:rPr>
        <w:t xml:space="preserve">re-submitted </w:t>
      </w:r>
      <w:r>
        <w:rPr>
          <w:rFonts w:ascii="Gill Sans" w:hAnsi="Gill Sans" w:cs="Gill Sans"/>
          <w:sz w:val="22"/>
          <w:szCs w:val="22"/>
          <w:lang w:val="en-GB"/>
        </w:rPr>
        <w:t xml:space="preserve">it </w:t>
      </w:r>
      <w:r w:rsidR="00E8566F">
        <w:rPr>
          <w:rFonts w:ascii="Gill Sans" w:hAnsi="Gill Sans" w:cs="Gill Sans"/>
          <w:sz w:val="22"/>
          <w:szCs w:val="22"/>
          <w:lang w:val="en-GB"/>
        </w:rPr>
        <w:t>in May 2016.</w:t>
      </w:r>
      <w:r w:rsidR="00E8566F">
        <w:rPr>
          <w:rStyle w:val="EndnoteReference"/>
          <w:rFonts w:ascii="Gill Sans" w:hAnsi="Gill Sans" w:cs="Gill Sans"/>
          <w:sz w:val="22"/>
          <w:szCs w:val="22"/>
          <w:lang w:val="en-GB"/>
        </w:rPr>
        <w:endnoteReference w:id="88"/>
      </w:r>
      <w:r w:rsidR="005649AB">
        <w:rPr>
          <w:rFonts w:ascii="Gill Sans" w:hAnsi="Gill Sans" w:cs="Gill Sans"/>
          <w:sz w:val="22"/>
          <w:szCs w:val="22"/>
          <w:lang w:val="en-GB"/>
        </w:rPr>
        <w:t xml:space="preserve"> </w:t>
      </w:r>
      <w:r w:rsidR="00C00679">
        <w:rPr>
          <w:rFonts w:ascii="Gill Sans" w:hAnsi="Gill Sans" w:cs="Gill Sans"/>
          <w:sz w:val="22"/>
          <w:szCs w:val="22"/>
          <w:lang w:val="en-GB"/>
        </w:rPr>
        <w:t xml:space="preserve">By </w:t>
      </w:r>
      <w:r w:rsidR="005649AB">
        <w:rPr>
          <w:rFonts w:ascii="Gill Sans" w:hAnsi="Gill Sans" w:cs="Gill Sans"/>
          <w:sz w:val="22"/>
          <w:szCs w:val="22"/>
          <w:lang w:val="en-GB"/>
        </w:rPr>
        <w:t xml:space="preserve">September 2016, </w:t>
      </w:r>
      <w:r w:rsidR="009426F7">
        <w:rPr>
          <w:rFonts w:ascii="Gill Sans" w:hAnsi="Gill Sans" w:cs="Gill Sans"/>
          <w:sz w:val="22"/>
          <w:szCs w:val="22"/>
          <w:lang w:val="en-GB"/>
        </w:rPr>
        <w:t>P</w:t>
      </w:r>
      <w:r w:rsidR="005649AB">
        <w:rPr>
          <w:rFonts w:ascii="Gill Sans" w:hAnsi="Gill Sans" w:cs="Gill Sans"/>
          <w:sz w:val="22"/>
          <w:szCs w:val="22"/>
          <w:lang w:val="en-GB"/>
        </w:rPr>
        <w:t>arliament approved the draft law in the first reading.</w:t>
      </w:r>
    </w:p>
    <w:p w14:paraId="5E94F470" w14:textId="072B4ABC" w:rsidR="00DE1C85" w:rsidRPr="008E1065" w:rsidRDefault="00B435D8" w:rsidP="009426F7">
      <w:pPr>
        <w:rPr>
          <w:lang w:val="en-GB"/>
        </w:rPr>
      </w:pPr>
      <w:r>
        <w:rPr>
          <w:rFonts w:ascii="Gill Sans" w:hAnsi="Gill Sans" w:cs="Gill Sans"/>
          <w:noProof/>
          <w:sz w:val="22"/>
          <w:szCs w:val="22"/>
          <w:lang w:val="uk-UA"/>
        </w:rPr>
        <w:t xml:space="preserve">In August 2015, the </w:t>
      </w:r>
      <w:r w:rsidR="009426F7">
        <w:rPr>
          <w:rFonts w:ascii="Gill Sans" w:hAnsi="Gill Sans" w:cs="Gill Sans"/>
          <w:noProof/>
          <w:sz w:val="22"/>
          <w:szCs w:val="22"/>
          <w:lang w:val="uk-UA"/>
        </w:rPr>
        <w:t>p</w:t>
      </w:r>
      <w:r>
        <w:rPr>
          <w:rFonts w:ascii="Gill Sans" w:hAnsi="Gill Sans" w:cs="Gill Sans"/>
          <w:noProof/>
          <w:sz w:val="22"/>
          <w:szCs w:val="22"/>
          <w:lang w:val="uk-UA"/>
        </w:rPr>
        <w:t xml:space="preserve">resident of Ukraine adopted rules on consideration of e-petitions addressed to the </w:t>
      </w:r>
      <w:r w:rsidR="009426F7">
        <w:rPr>
          <w:rFonts w:ascii="Gill Sans" w:hAnsi="Gill Sans" w:cs="Gill Sans"/>
          <w:noProof/>
          <w:sz w:val="22"/>
          <w:szCs w:val="22"/>
          <w:lang w:val="uk-UA"/>
        </w:rPr>
        <w:t>p</w:t>
      </w:r>
      <w:r>
        <w:rPr>
          <w:rFonts w:ascii="Gill Sans" w:hAnsi="Gill Sans" w:cs="Gill Sans"/>
          <w:noProof/>
          <w:sz w:val="22"/>
          <w:szCs w:val="22"/>
          <w:lang w:val="uk-UA"/>
        </w:rPr>
        <w:t>resident.</w:t>
      </w:r>
      <w:r w:rsidR="00042F7B">
        <w:rPr>
          <w:rStyle w:val="EndnoteReference"/>
          <w:rFonts w:ascii="Gill Sans" w:hAnsi="Gill Sans" w:cs="Gill Sans"/>
          <w:noProof/>
          <w:sz w:val="22"/>
          <w:szCs w:val="22"/>
          <w:lang w:val="uk-UA"/>
        </w:rPr>
        <w:endnoteReference w:id="89"/>
      </w:r>
      <w:r>
        <w:rPr>
          <w:rFonts w:ascii="Gill Sans" w:hAnsi="Gill Sans" w:cs="Gill Sans"/>
          <w:noProof/>
          <w:sz w:val="22"/>
          <w:szCs w:val="22"/>
          <w:lang w:val="uk-UA"/>
        </w:rPr>
        <w:t xml:space="preserve"> </w:t>
      </w:r>
      <w:r w:rsidR="009426F7">
        <w:rPr>
          <w:rFonts w:ascii="Gill Sans" w:hAnsi="Gill Sans" w:cs="Gill Sans"/>
          <w:noProof/>
          <w:sz w:val="22"/>
          <w:szCs w:val="22"/>
          <w:lang w:val="uk-UA"/>
        </w:rPr>
        <w:t>P</w:t>
      </w:r>
      <w:r>
        <w:rPr>
          <w:rFonts w:ascii="Gill Sans" w:hAnsi="Gill Sans" w:cs="Gill Sans"/>
          <w:noProof/>
          <w:sz w:val="22"/>
          <w:szCs w:val="22"/>
          <w:lang w:val="uk-UA"/>
        </w:rPr>
        <w:t xml:space="preserve">arliament and the </w:t>
      </w:r>
      <w:r w:rsidR="009426F7">
        <w:rPr>
          <w:rFonts w:ascii="Gill Sans" w:hAnsi="Gill Sans" w:cs="Gill Sans"/>
          <w:noProof/>
          <w:sz w:val="22"/>
          <w:szCs w:val="22"/>
          <w:lang w:val="uk-UA"/>
        </w:rPr>
        <w:t>g</w:t>
      </w:r>
      <w:r>
        <w:rPr>
          <w:rFonts w:ascii="Gill Sans" w:hAnsi="Gill Sans" w:cs="Gill Sans"/>
          <w:noProof/>
          <w:sz w:val="22"/>
          <w:szCs w:val="22"/>
          <w:lang w:val="uk-UA"/>
        </w:rPr>
        <w:t xml:space="preserve">overnment adopted their </w:t>
      </w:r>
      <w:r w:rsidR="000B4543">
        <w:rPr>
          <w:rFonts w:ascii="Gill Sans" w:hAnsi="Gill Sans" w:cs="Gill Sans"/>
          <w:noProof/>
          <w:sz w:val="22"/>
          <w:szCs w:val="22"/>
          <w:lang w:val="uk-UA"/>
        </w:rPr>
        <w:t xml:space="preserve">respective </w:t>
      </w:r>
      <w:r>
        <w:rPr>
          <w:rFonts w:ascii="Gill Sans" w:hAnsi="Gill Sans" w:cs="Gill Sans"/>
          <w:noProof/>
          <w:sz w:val="22"/>
          <w:szCs w:val="22"/>
          <w:lang w:val="uk-UA"/>
        </w:rPr>
        <w:t>regulations in October 2015 and July 2016</w:t>
      </w:r>
      <w:r w:rsidR="000B4543">
        <w:rPr>
          <w:rFonts w:ascii="Gill Sans" w:hAnsi="Gill Sans" w:cs="Gill Sans"/>
          <w:noProof/>
          <w:sz w:val="22"/>
          <w:szCs w:val="22"/>
          <w:lang w:val="uk-UA"/>
        </w:rPr>
        <w:t xml:space="preserve"> accordingly</w:t>
      </w:r>
      <w:r>
        <w:rPr>
          <w:rFonts w:ascii="Gill Sans" w:hAnsi="Gill Sans" w:cs="Gill Sans"/>
          <w:noProof/>
          <w:sz w:val="22"/>
          <w:szCs w:val="22"/>
          <w:lang w:val="uk-UA"/>
        </w:rPr>
        <w:t>.</w:t>
      </w:r>
      <w:r w:rsidR="00042F7B">
        <w:rPr>
          <w:rStyle w:val="EndnoteReference"/>
          <w:rFonts w:ascii="Gill Sans" w:hAnsi="Gill Sans" w:cs="Gill Sans"/>
          <w:noProof/>
          <w:sz w:val="22"/>
          <w:szCs w:val="22"/>
          <w:lang w:val="uk-UA"/>
        </w:rPr>
        <w:endnoteReference w:id="90"/>
      </w:r>
      <w:r>
        <w:rPr>
          <w:rFonts w:ascii="Gill Sans" w:hAnsi="Gill Sans" w:cs="Gill Sans"/>
          <w:noProof/>
          <w:sz w:val="22"/>
          <w:szCs w:val="22"/>
          <w:lang w:val="uk-UA"/>
        </w:rPr>
        <w:t xml:space="preserve"> This allowed </w:t>
      </w:r>
      <w:r w:rsidR="009426F7">
        <w:rPr>
          <w:rFonts w:ascii="Gill Sans" w:hAnsi="Gill Sans" w:cs="Gill Sans"/>
          <w:noProof/>
          <w:sz w:val="22"/>
          <w:szCs w:val="22"/>
          <w:lang w:val="uk-UA"/>
        </w:rPr>
        <w:t>for</w:t>
      </w:r>
      <w:r>
        <w:rPr>
          <w:rFonts w:ascii="Gill Sans" w:hAnsi="Gill Sans" w:cs="Gill Sans"/>
          <w:noProof/>
          <w:sz w:val="22"/>
          <w:szCs w:val="22"/>
          <w:lang w:val="uk-UA"/>
        </w:rPr>
        <w:t xml:space="preserve"> implement</w:t>
      </w:r>
      <w:r w:rsidR="009426F7">
        <w:rPr>
          <w:rFonts w:ascii="Gill Sans" w:hAnsi="Gill Sans" w:cs="Gill Sans"/>
          <w:noProof/>
          <w:sz w:val="22"/>
          <w:szCs w:val="22"/>
          <w:lang w:val="uk-UA"/>
        </w:rPr>
        <w:t>ation of</w:t>
      </w:r>
      <w:r>
        <w:rPr>
          <w:rFonts w:ascii="Gill Sans" w:hAnsi="Gill Sans" w:cs="Gill Sans"/>
          <w:noProof/>
          <w:sz w:val="22"/>
          <w:szCs w:val="22"/>
          <w:lang w:val="uk-UA"/>
        </w:rPr>
        <w:t xml:space="preserve"> provisions on submission and consideration of e-petitions addressed to the </w:t>
      </w:r>
      <w:r w:rsidR="000B4543">
        <w:rPr>
          <w:rFonts w:ascii="Gill Sans" w:hAnsi="Gill Sans" w:cs="Gill Sans"/>
          <w:noProof/>
          <w:sz w:val="22"/>
          <w:szCs w:val="22"/>
          <w:lang w:val="uk-UA"/>
        </w:rPr>
        <w:t xml:space="preserve">highest </w:t>
      </w:r>
      <w:r>
        <w:rPr>
          <w:rFonts w:ascii="Gill Sans" w:hAnsi="Gill Sans" w:cs="Gill Sans"/>
          <w:noProof/>
          <w:sz w:val="22"/>
          <w:szCs w:val="22"/>
          <w:lang w:val="uk-UA"/>
        </w:rPr>
        <w:t xml:space="preserve">national authorities. A number of local councils </w:t>
      </w:r>
      <w:r w:rsidR="00042F7B">
        <w:rPr>
          <w:rFonts w:ascii="Gill Sans" w:hAnsi="Gill Sans" w:cs="Gill Sans"/>
          <w:noProof/>
          <w:sz w:val="22"/>
          <w:szCs w:val="22"/>
          <w:lang w:val="uk-UA"/>
        </w:rPr>
        <w:t>appr</w:t>
      </w:r>
      <w:r w:rsidR="000B4543">
        <w:rPr>
          <w:rFonts w:ascii="Gill Sans" w:hAnsi="Gill Sans" w:cs="Gill Sans"/>
          <w:noProof/>
          <w:sz w:val="22"/>
          <w:szCs w:val="22"/>
          <w:lang w:val="uk-UA"/>
        </w:rPr>
        <w:t>oved regulations on e-petitions</w:t>
      </w:r>
      <w:r w:rsidR="00042F7B">
        <w:rPr>
          <w:rFonts w:ascii="Gill Sans" w:hAnsi="Gill Sans" w:cs="Gill Sans"/>
          <w:noProof/>
          <w:sz w:val="22"/>
          <w:szCs w:val="22"/>
          <w:lang w:val="uk-UA"/>
        </w:rPr>
        <w:t xml:space="preserve"> addressed to them.</w:t>
      </w:r>
      <w:r w:rsidR="00042F7B">
        <w:rPr>
          <w:rStyle w:val="EndnoteReference"/>
          <w:rFonts w:ascii="Gill Sans" w:hAnsi="Gill Sans" w:cs="Gill Sans"/>
          <w:noProof/>
          <w:sz w:val="22"/>
          <w:szCs w:val="22"/>
          <w:lang w:val="uk-UA"/>
        </w:rPr>
        <w:endnoteReference w:id="91"/>
      </w:r>
      <w:r w:rsidR="008E1065">
        <w:rPr>
          <w:rFonts w:ascii="Gill Sans" w:hAnsi="Gill Sans" w:cs="Gill Sans"/>
          <w:noProof/>
          <w:sz w:val="22"/>
          <w:szCs w:val="22"/>
          <w:lang w:val="uk-UA"/>
        </w:rPr>
        <w:t xml:space="preserve"> </w:t>
      </w:r>
      <w:r w:rsidR="008E1065">
        <w:rPr>
          <w:rFonts w:ascii="Gill Sans" w:hAnsi="Gill Sans" w:cs="Gill Sans"/>
          <w:sz w:val="22"/>
          <w:szCs w:val="22"/>
          <w:lang w:val="en-GB"/>
        </w:rPr>
        <w:t>A</w:t>
      </w:r>
      <w:r w:rsidR="008E1065" w:rsidRPr="008E1065">
        <w:rPr>
          <w:rFonts w:ascii="Gill Sans" w:hAnsi="Gill Sans" w:cs="Gill Sans"/>
          <w:sz w:val="22"/>
          <w:szCs w:val="22"/>
          <w:lang w:val="en-GB"/>
        </w:rPr>
        <w:t xml:space="preserve">n electronic system for </w:t>
      </w:r>
      <w:r w:rsidR="009426F7" w:rsidRPr="008E1065">
        <w:rPr>
          <w:rFonts w:ascii="Gill Sans" w:hAnsi="Gill Sans" w:cs="Gill Sans"/>
          <w:sz w:val="22"/>
          <w:szCs w:val="22"/>
          <w:lang w:val="en-GB"/>
        </w:rPr>
        <w:t>submi</w:t>
      </w:r>
      <w:r w:rsidR="009426F7">
        <w:rPr>
          <w:rFonts w:ascii="Gill Sans" w:hAnsi="Gill Sans" w:cs="Gill Sans"/>
          <w:sz w:val="22"/>
          <w:szCs w:val="22"/>
          <w:lang w:val="en-GB"/>
        </w:rPr>
        <w:t>tting</w:t>
      </w:r>
      <w:r w:rsidR="009426F7" w:rsidRPr="008E1065">
        <w:rPr>
          <w:rFonts w:ascii="Gill Sans" w:hAnsi="Gill Sans" w:cs="Gill Sans"/>
          <w:sz w:val="22"/>
          <w:szCs w:val="22"/>
          <w:lang w:val="en-GB"/>
        </w:rPr>
        <w:t xml:space="preserve"> </w:t>
      </w:r>
      <w:r w:rsidR="008E1065" w:rsidRPr="008E1065">
        <w:rPr>
          <w:rFonts w:ascii="Gill Sans" w:hAnsi="Gill Sans" w:cs="Gill Sans"/>
          <w:sz w:val="22"/>
          <w:szCs w:val="22"/>
          <w:lang w:val="en-GB"/>
        </w:rPr>
        <w:t>local e-petitions (</w:t>
      </w:r>
      <w:r w:rsidR="008E1065">
        <w:rPr>
          <w:rFonts w:ascii="Gill Sans" w:hAnsi="Gill Sans" w:cs="Gill Sans"/>
          <w:sz w:val="22"/>
          <w:szCs w:val="22"/>
          <w:lang w:val="en-GB"/>
        </w:rPr>
        <w:t>e-dem.in.ua</w:t>
      </w:r>
      <w:r w:rsidR="008E1065" w:rsidRPr="008E1065">
        <w:rPr>
          <w:rFonts w:ascii="Gill Sans" w:hAnsi="Gill Sans" w:cs="Gill Sans"/>
          <w:sz w:val="22"/>
          <w:szCs w:val="22"/>
          <w:lang w:val="en-GB"/>
        </w:rPr>
        <w:t>)</w:t>
      </w:r>
      <w:r w:rsidR="008E1065">
        <w:rPr>
          <w:rFonts w:ascii="Gill Sans" w:hAnsi="Gill Sans" w:cs="Gill Sans"/>
          <w:sz w:val="22"/>
          <w:szCs w:val="22"/>
          <w:lang w:val="en-GB"/>
        </w:rPr>
        <w:t>, launched in 2015 by the E-Governance Agency in co-operation with international partners (see above), extended its scope from 11 cities to more than 100 local communities</w:t>
      </w:r>
      <w:r w:rsidR="009426F7">
        <w:rPr>
          <w:rFonts w:ascii="Gill Sans" w:hAnsi="Gill Sans" w:cs="Gill Sans"/>
          <w:sz w:val="22"/>
          <w:szCs w:val="22"/>
          <w:lang w:val="en-GB"/>
        </w:rPr>
        <w:t>,</w:t>
      </w:r>
      <w:r w:rsidR="008E1065">
        <w:rPr>
          <w:rFonts w:ascii="Gill Sans" w:hAnsi="Gill Sans" w:cs="Gill Sans"/>
          <w:sz w:val="22"/>
          <w:szCs w:val="22"/>
          <w:lang w:val="en-GB"/>
        </w:rPr>
        <w:t xml:space="preserve"> and </w:t>
      </w:r>
      <w:r w:rsidR="000B4543">
        <w:rPr>
          <w:rFonts w:ascii="Gill Sans" w:hAnsi="Gill Sans" w:cs="Gill Sans"/>
          <w:sz w:val="22"/>
          <w:szCs w:val="22"/>
          <w:lang w:val="en-GB"/>
        </w:rPr>
        <w:t xml:space="preserve">has </w:t>
      </w:r>
      <w:r w:rsidR="008E1065">
        <w:rPr>
          <w:rFonts w:ascii="Gill Sans" w:hAnsi="Gill Sans" w:cs="Gill Sans"/>
          <w:sz w:val="22"/>
          <w:szCs w:val="22"/>
          <w:lang w:val="en-GB"/>
        </w:rPr>
        <w:t>accepted more than 7,000 e-petitions.</w:t>
      </w:r>
      <w:r w:rsidR="008E1065">
        <w:rPr>
          <w:rStyle w:val="EndnoteReference"/>
          <w:rFonts w:ascii="Gill Sans" w:hAnsi="Gill Sans" w:cs="Gill Sans"/>
          <w:sz w:val="22"/>
          <w:szCs w:val="22"/>
          <w:lang w:val="en-GB"/>
        </w:rPr>
        <w:endnoteReference w:id="92"/>
      </w:r>
    </w:p>
    <w:p w14:paraId="206AD8C3" w14:textId="77777777" w:rsidR="00071776" w:rsidRDefault="00071776">
      <w:pPr>
        <w:rPr>
          <w:rFonts w:ascii="Gill Sans" w:eastAsiaTheme="majorEastAsia" w:hAnsi="Gill Sans" w:cs="Gill Sans"/>
          <w:b/>
          <w:bCs/>
          <w:color w:val="1F497D" w:themeColor="text2"/>
          <w:sz w:val="22"/>
          <w:szCs w:val="20"/>
          <w:lang w:val="en-GB"/>
        </w:rPr>
      </w:pPr>
      <w:r>
        <w:br w:type="page"/>
      </w:r>
    </w:p>
    <w:p w14:paraId="13724A5A" w14:textId="79CF4A85" w:rsidR="00DE1C85" w:rsidRPr="001B61E6" w:rsidRDefault="00DE1C85" w:rsidP="006319F4">
      <w:pPr>
        <w:pStyle w:val="Heading3"/>
      </w:pPr>
      <w:r w:rsidRPr="001B61E6">
        <w:lastRenderedPageBreak/>
        <w:t>Did it open government?</w:t>
      </w:r>
    </w:p>
    <w:p w14:paraId="229B141F" w14:textId="32343BE8" w:rsidR="00DE1C85" w:rsidRPr="001B61E6" w:rsidRDefault="007917B7" w:rsidP="001B61E6">
      <w:pPr>
        <w:spacing w:after="120"/>
        <w:rPr>
          <w:rFonts w:ascii="Gill Sans" w:hAnsi="Gill Sans" w:cs="Gill Sans"/>
          <w:b/>
          <w:color w:val="000000" w:themeColor="text1"/>
          <w:sz w:val="22"/>
          <w:szCs w:val="22"/>
          <w:lang w:val="en-GB"/>
        </w:rPr>
      </w:pPr>
      <w:r w:rsidRPr="001B61E6">
        <w:rPr>
          <w:rFonts w:ascii="Gill Sans" w:hAnsi="Gill Sans" w:cs="Gill Sans"/>
          <w:b/>
          <w:color w:val="000000" w:themeColor="text1"/>
          <w:sz w:val="22"/>
          <w:szCs w:val="22"/>
          <w:lang w:val="en-GB"/>
        </w:rPr>
        <w:t>Civic Participation</w:t>
      </w:r>
      <w:r w:rsidR="00DE1C85" w:rsidRPr="001B61E6">
        <w:rPr>
          <w:rFonts w:ascii="Gill Sans" w:hAnsi="Gill Sans" w:cs="Gill Sans"/>
          <w:b/>
          <w:color w:val="000000" w:themeColor="text1"/>
          <w:sz w:val="22"/>
          <w:szCs w:val="22"/>
          <w:lang w:val="en-GB"/>
        </w:rPr>
        <w:t xml:space="preserve">: </w:t>
      </w:r>
      <w:r w:rsidR="007C2BC9">
        <w:rPr>
          <w:rFonts w:ascii="Gill Sans" w:hAnsi="Gill Sans" w:cs="Gill Sans"/>
          <w:b/>
          <w:color w:val="000000" w:themeColor="text1"/>
          <w:sz w:val="22"/>
          <w:szCs w:val="22"/>
          <w:lang w:val="en-GB"/>
        </w:rPr>
        <w:t>Major</w:t>
      </w:r>
    </w:p>
    <w:p w14:paraId="7466657F" w14:textId="6B3CF6FE" w:rsidR="009F2503" w:rsidRDefault="008F66F8" w:rsidP="00CC5FBD">
      <w:pPr>
        <w:spacing w:after="120"/>
        <w:rPr>
          <w:rFonts w:ascii="Gill Sans" w:hAnsi="Gill Sans" w:cs="Gill Sans"/>
          <w:sz w:val="22"/>
          <w:szCs w:val="22"/>
          <w:lang w:val="en-GB"/>
        </w:rPr>
      </w:pPr>
      <w:r w:rsidRPr="001B61E6">
        <w:rPr>
          <w:rFonts w:ascii="Gill Sans" w:hAnsi="Gill Sans" w:cs="Gill Sans"/>
          <w:sz w:val="22"/>
          <w:szCs w:val="22"/>
          <w:lang w:val="en-GB"/>
        </w:rPr>
        <w:t xml:space="preserve">The original commitment lacked a clear focus and goals, making it </w:t>
      </w:r>
      <w:r w:rsidR="009426F7">
        <w:rPr>
          <w:rFonts w:ascii="Gill Sans" w:hAnsi="Gill Sans" w:cs="Gill Sans"/>
          <w:sz w:val="22"/>
          <w:szCs w:val="22"/>
          <w:lang w:val="en-GB"/>
        </w:rPr>
        <w:t>difficult</w:t>
      </w:r>
      <w:r w:rsidR="009426F7" w:rsidRPr="001B61E6">
        <w:rPr>
          <w:rFonts w:ascii="Gill Sans" w:hAnsi="Gill Sans" w:cs="Gill Sans"/>
          <w:sz w:val="22"/>
          <w:szCs w:val="22"/>
          <w:lang w:val="en-GB"/>
        </w:rPr>
        <w:t xml:space="preserve"> </w:t>
      </w:r>
      <w:r w:rsidRPr="001B61E6">
        <w:rPr>
          <w:rFonts w:ascii="Gill Sans" w:hAnsi="Gill Sans" w:cs="Gill Sans"/>
          <w:sz w:val="22"/>
          <w:szCs w:val="22"/>
          <w:lang w:val="en-GB"/>
        </w:rPr>
        <w:t xml:space="preserve">to ascertain </w:t>
      </w:r>
      <w:r w:rsidR="00C00679">
        <w:rPr>
          <w:rFonts w:ascii="Gill Sans" w:hAnsi="Gill Sans" w:cs="Gill Sans"/>
          <w:sz w:val="22"/>
          <w:szCs w:val="22"/>
          <w:lang w:val="en-GB"/>
        </w:rPr>
        <w:t>its</w:t>
      </w:r>
      <w:r w:rsidRPr="001B61E6">
        <w:rPr>
          <w:rFonts w:ascii="Gill Sans" w:hAnsi="Gill Sans" w:cs="Gill Sans"/>
          <w:sz w:val="22"/>
          <w:szCs w:val="22"/>
          <w:lang w:val="en-GB"/>
        </w:rPr>
        <w:t xml:space="preserve"> potential impact. However, implementation exceeded original plans</w:t>
      </w:r>
      <w:r w:rsidR="00C00679">
        <w:rPr>
          <w:rFonts w:ascii="Gill Sans" w:hAnsi="Gill Sans" w:cs="Gill Sans"/>
          <w:sz w:val="22"/>
          <w:szCs w:val="22"/>
          <w:lang w:val="en-GB"/>
        </w:rPr>
        <w:t>, and the e-petition system</w:t>
      </w:r>
      <w:r w:rsidR="001D7A7E" w:rsidRPr="001B61E6">
        <w:rPr>
          <w:rFonts w:ascii="Gill Sans" w:hAnsi="Gill Sans" w:cs="Gill Sans"/>
          <w:sz w:val="22"/>
          <w:szCs w:val="22"/>
          <w:lang w:val="en-GB"/>
        </w:rPr>
        <w:t xml:space="preserve"> </w:t>
      </w:r>
      <w:r w:rsidR="00C00679">
        <w:rPr>
          <w:rFonts w:ascii="Gill Sans" w:hAnsi="Gill Sans" w:cs="Gill Sans"/>
          <w:sz w:val="22"/>
          <w:szCs w:val="22"/>
          <w:lang w:val="en-GB"/>
        </w:rPr>
        <w:t>had</w:t>
      </w:r>
      <w:r w:rsidRPr="001B61E6">
        <w:rPr>
          <w:rFonts w:ascii="Gill Sans" w:hAnsi="Gill Sans" w:cs="Gill Sans"/>
          <w:sz w:val="22"/>
          <w:szCs w:val="22"/>
          <w:lang w:val="en-GB"/>
        </w:rPr>
        <w:t xml:space="preserve"> </w:t>
      </w:r>
      <w:r w:rsidR="001D7A7E">
        <w:rPr>
          <w:rFonts w:ascii="Gill Sans" w:hAnsi="Gill Sans" w:cs="Gill Sans"/>
          <w:sz w:val="22"/>
          <w:szCs w:val="22"/>
          <w:lang w:val="en-GB"/>
        </w:rPr>
        <w:t xml:space="preserve">a </w:t>
      </w:r>
      <w:r w:rsidR="007C2BC9">
        <w:rPr>
          <w:rFonts w:ascii="Gill Sans" w:hAnsi="Gill Sans" w:cs="Gill Sans"/>
          <w:sz w:val="22"/>
          <w:szCs w:val="22"/>
          <w:lang w:val="en-GB"/>
        </w:rPr>
        <w:t>major</w:t>
      </w:r>
      <w:r w:rsidR="007C2BC9" w:rsidRPr="001B61E6">
        <w:rPr>
          <w:rFonts w:ascii="Gill Sans" w:hAnsi="Gill Sans" w:cs="Gill Sans"/>
          <w:sz w:val="22"/>
          <w:szCs w:val="22"/>
          <w:lang w:val="en-GB"/>
        </w:rPr>
        <w:t xml:space="preserve"> </w:t>
      </w:r>
      <w:r w:rsidRPr="001B61E6">
        <w:rPr>
          <w:rFonts w:ascii="Gill Sans" w:hAnsi="Gill Sans" w:cs="Gill Sans"/>
          <w:sz w:val="22"/>
          <w:szCs w:val="22"/>
          <w:lang w:val="en-GB"/>
        </w:rPr>
        <w:t xml:space="preserve">impact. </w:t>
      </w:r>
      <w:r w:rsidR="00D73562">
        <w:rPr>
          <w:rFonts w:ascii="Gill Sans" w:hAnsi="Gill Sans" w:cs="Gill Sans"/>
          <w:sz w:val="22"/>
          <w:szCs w:val="22"/>
          <w:lang w:val="en-GB"/>
        </w:rPr>
        <w:t>This</w:t>
      </w:r>
      <w:r w:rsidR="000D22CC">
        <w:rPr>
          <w:rFonts w:ascii="Gill Sans" w:hAnsi="Gill Sans" w:cs="Gill Sans"/>
          <w:sz w:val="22"/>
          <w:szCs w:val="22"/>
          <w:lang w:val="en-GB"/>
        </w:rPr>
        <w:t xml:space="preserve"> new e-democracy tool has been implemented by the </w:t>
      </w:r>
      <w:r w:rsidR="008D0B74">
        <w:rPr>
          <w:rFonts w:ascii="Gill Sans" w:hAnsi="Gill Sans" w:cs="Gill Sans"/>
          <w:sz w:val="22"/>
          <w:szCs w:val="22"/>
          <w:lang w:val="en-GB"/>
        </w:rPr>
        <w:t xml:space="preserve">highest </w:t>
      </w:r>
      <w:r w:rsidR="000D22CC">
        <w:rPr>
          <w:rFonts w:ascii="Gill Sans" w:hAnsi="Gill Sans" w:cs="Gill Sans"/>
          <w:sz w:val="22"/>
          <w:szCs w:val="22"/>
          <w:lang w:val="en-GB"/>
        </w:rPr>
        <w:t xml:space="preserve">national </w:t>
      </w:r>
      <w:r w:rsidR="008D0B74">
        <w:rPr>
          <w:rFonts w:ascii="Gill Sans" w:hAnsi="Gill Sans" w:cs="Gill Sans"/>
          <w:sz w:val="22"/>
          <w:szCs w:val="22"/>
          <w:lang w:val="en-GB"/>
        </w:rPr>
        <w:t>authorities (</w:t>
      </w:r>
      <w:r w:rsidR="001D7A7E">
        <w:rPr>
          <w:rFonts w:ascii="Gill Sans" w:hAnsi="Gill Sans" w:cs="Gill Sans"/>
          <w:sz w:val="22"/>
          <w:szCs w:val="22"/>
          <w:lang w:val="en-GB"/>
        </w:rPr>
        <w:t>p</w:t>
      </w:r>
      <w:r w:rsidR="008D0B74">
        <w:rPr>
          <w:rFonts w:ascii="Gill Sans" w:hAnsi="Gill Sans" w:cs="Gill Sans"/>
          <w:sz w:val="22"/>
          <w:szCs w:val="22"/>
          <w:lang w:val="en-GB"/>
        </w:rPr>
        <w:t xml:space="preserve">resident, </w:t>
      </w:r>
      <w:r w:rsidR="001D7A7E">
        <w:rPr>
          <w:rFonts w:ascii="Gill Sans" w:hAnsi="Gill Sans" w:cs="Gill Sans"/>
          <w:sz w:val="22"/>
          <w:szCs w:val="22"/>
          <w:lang w:val="en-GB"/>
        </w:rPr>
        <w:t>g</w:t>
      </w:r>
      <w:r w:rsidR="008D0B74">
        <w:rPr>
          <w:rFonts w:ascii="Gill Sans" w:hAnsi="Gill Sans" w:cs="Gill Sans"/>
          <w:sz w:val="22"/>
          <w:szCs w:val="22"/>
          <w:lang w:val="en-GB"/>
        </w:rPr>
        <w:t xml:space="preserve">overnment, parliament) </w:t>
      </w:r>
      <w:r w:rsidR="000D22CC">
        <w:rPr>
          <w:rFonts w:ascii="Gill Sans" w:hAnsi="Gill Sans" w:cs="Gill Sans"/>
          <w:sz w:val="22"/>
          <w:szCs w:val="22"/>
          <w:lang w:val="en-GB"/>
        </w:rPr>
        <w:t xml:space="preserve">and </w:t>
      </w:r>
      <w:r w:rsidR="00D6486B">
        <w:rPr>
          <w:rFonts w:ascii="Gill Sans" w:hAnsi="Gill Sans" w:cs="Gill Sans"/>
          <w:sz w:val="22"/>
          <w:szCs w:val="22"/>
          <w:lang w:val="en-GB"/>
        </w:rPr>
        <w:t>several</w:t>
      </w:r>
      <w:r w:rsidR="000D22CC">
        <w:rPr>
          <w:rFonts w:ascii="Gill Sans" w:hAnsi="Gill Sans" w:cs="Gill Sans"/>
          <w:sz w:val="22"/>
          <w:szCs w:val="22"/>
          <w:lang w:val="en-GB"/>
        </w:rPr>
        <w:t xml:space="preserve"> local authorities</w:t>
      </w:r>
      <w:r w:rsidR="001D7A7E">
        <w:rPr>
          <w:rFonts w:ascii="Gill Sans" w:hAnsi="Gill Sans" w:cs="Gill Sans"/>
          <w:sz w:val="22"/>
          <w:szCs w:val="22"/>
          <w:lang w:val="en-GB"/>
        </w:rPr>
        <w:t>. T</w:t>
      </w:r>
      <w:r w:rsidR="000D22CC">
        <w:rPr>
          <w:rFonts w:ascii="Gill Sans" w:hAnsi="Gill Sans" w:cs="Gill Sans"/>
          <w:sz w:val="22"/>
          <w:szCs w:val="22"/>
          <w:lang w:val="en-GB"/>
        </w:rPr>
        <w:t>housands of petitions have been submitted</w:t>
      </w:r>
      <w:r w:rsidR="001D7A7E">
        <w:rPr>
          <w:rFonts w:ascii="Gill Sans" w:hAnsi="Gill Sans" w:cs="Gill Sans"/>
          <w:sz w:val="22"/>
          <w:szCs w:val="22"/>
          <w:lang w:val="en-GB"/>
        </w:rPr>
        <w:t>,</w:t>
      </w:r>
      <w:r w:rsidR="000D22CC">
        <w:rPr>
          <w:rFonts w:ascii="Gill Sans" w:hAnsi="Gill Sans" w:cs="Gill Sans"/>
          <w:sz w:val="22"/>
          <w:szCs w:val="22"/>
          <w:lang w:val="en-GB"/>
        </w:rPr>
        <w:t xml:space="preserve"> and a number of them considered after</w:t>
      </w:r>
      <w:r w:rsidR="00B40B26">
        <w:rPr>
          <w:rFonts w:ascii="Gill Sans" w:hAnsi="Gill Sans" w:cs="Gill Sans"/>
          <w:sz w:val="22"/>
          <w:szCs w:val="22"/>
          <w:lang w:val="en-GB"/>
        </w:rPr>
        <w:t xml:space="preserve"> receiving </w:t>
      </w:r>
      <w:r w:rsidR="001D7A7E">
        <w:rPr>
          <w:rFonts w:ascii="Gill Sans" w:hAnsi="Gill Sans" w:cs="Gill Sans"/>
          <w:sz w:val="22"/>
          <w:szCs w:val="22"/>
          <w:lang w:val="en-GB"/>
        </w:rPr>
        <w:t xml:space="preserve">the </w:t>
      </w:r>
      <w:r w:rsidR="00B40B26">
        <w:rPr>
          <w:rFonts w:ascii="Gill Sans" w:hAnsi="Gill Sans" w:cs="Gill Sans"/>
          <w:sz w:val="22"/>
          <w:szCs w:val="22"/>
          <w:lang w:val="en-GB"/>
        </w:rPr>
        <w:t xml:space="preserve">minimum support required. For example, the e-petitions website of the </w:t>
      </w:r>
      <w:r w:rsidR="001D7A7E">
        <w:rPr>
          <w:rFonts w:ascii="Gill Sans" w:hAnsi="Gill Sans" w:cs="Gill Sans"/>
          <w:sz w:val="22"/>
          <w:szCs w:val="22"/>
          <w:lang w:val="en-GB"/>
        </w:rPr>
        <w:t>Ukrainian p</w:t>
      </w:r>
      <w:r w:rsidR="00B40B26">
        <w:rPr>
          <w:rFonts w:ascii="Gill Sans" w:hAnsi="Gill Sans" w:cs="Gill Sans"/>
          <w:sz w:val="22"/>
          <w:szCs w:val="22"/>
          <w:lang w:val="en-GB"/>
        </w:rPr>
        <w:t xml:space="preserve">resident </w:t>
      </w:r>
      <w:r w:rsidR="001D7A7E">
        <w:rPr>
          <w:rFonts w:ascii="Gill Sans" w:hAnsi="Gill Sans" w:cs="Gill Sans"/>
          <w:sz w:val="22"/>
          <w:szCs w:val="22"/>
          <w:lang w:val="en-GB"/>
        </w:rPr>
        <w:t xml:space="preserve">has </w:t>
      </w:r>
      <w:r w:rsidR="00B40B26">
        <w:rPr>
          <w:rFonts w:ascii="Gill Sans" w:hAnsi="Gill Sans" w:cs="Gill Sans"/>
          <w:sz w:val="22"/>
          <w:szCs w:val="22"/>
          <w:lang w:val="en-GB"/>
        </w:rPr>
        <w:t xml:space="preserve">received </w:t>
      </w:r>
      <w:r w:rsidR="001D7A7E">
        <w:rPr>
          <w:rFonts w:ascii="Gill Sans" w:hAnsi="Gill Sans" w:cs="Gill Sans"/>
          <w:sz w:val="22"/>
          <w:szCs w:val="22"/>
          <w:lang w:val="en-GB"/>
        </w:rPr>
        <w:t>over</w:t>
      </w:r>
      <w:r w:rsidR="00B40B26">
        <w:rPr>
          <w:rFonts w:ascii="Gill Sans" w:hAnsi="Gill Sans" w:cs="Gill Sans"/>
          <w:sz w:val="22"/>
          <w:szCs w:val="22"/>
          <w:lang w:val="en-GB"/>
        </w:rPr>
        <w:t xml:space="preserve"> 28,000 </w:t>
      </w:r>
      <w:r w:rsidR="001D7A7E">
        <w:rPr>
          <w:rFonts w:ascii="Gill Sans" w:hAnsi="Gill Sans" w:cs="Gill Sans"/>
          <w:sz w:val="22"/>
          <w:szCs w:val="22"/>
          <w:lang w:val="en-GB"/>
        </w:rPr>
        <w:t xml:space="preserve">petitions so far, </w:t>
      </w:r>
      <w:r w:rsidR="00B40B26">
        <w:rPr>
          <w:rFonts w:ascii="Gill Sans" w:hAnsi="Gill Sans" w:cs="Gill Sans"/>
          <w:sz w:val="22"/>
          <w:szCs w:val="22"/>
          <w:lang w:val="en-GB"/>
        </w:rPr>
        <w:t>and more than 870,000 people signed at least one petition</w:t>
      </w:r>
      <w:r w:rsidR="001D7A7E">
        <w:rPr>
          <w:rFonts w:ascii="Gill Sans" w:hAnsi="Gill Sans" w:cs="Gill Sans"/>
          <w:sz w:val="22"/>
          <w:szCs w:val="22"/>
          <w:lang w:val="en-GB"/>
        </w:rPr>
        <w:t>. At the same time,</w:t>
      </w:r>
      <w:r w:rsidR="00B40B26">
        <w:rPr>
          <w:rFonts w:ascii="Gill Sans" w:hAnsi="Gill Sans" w:cs="Gill Sans"/>
          <w:sz w:val="22"/>
          <w:szCs w:val="22"/>
          <w:lang w:val="en-GB"/>
        </w:rPr>
        <w:t xml:space="preserve"> only 40 petitions overcame the threshold of 25,000 signatures.</w:t>
      </w:r>
      <w:r w:rsidR="00B40B26">
        <w:rPr>
          <w:rStyle w:val="EndnoteReference"/>
          <w:rFonts w:ascii="Gill Sans" w:hAnsi="Gill Sans" w:cs="Gill Sans"/>
          <w:sz w:val="22"/>
          <w:szCs w:val="22"/>
          <w:lang w:val="en-GB"/>
        </w:rPr>
        <w:endnoteReference w:id="93"/>
      </w:r>
      <w:r w:rsidR="0012584B">
        <w:rPr>
          <w:rFonts w:ascii="Gill Sans" w:hAnsi="Gill Sans" w:cs="Gill Sans"/>
          <w:sz w:val="22"/>
          <w:szCs w:val="22"/>
          <w:lang w:val="en-GB"/>
        </w:rPr>
        <w:t xml:space="preserve"> </w:t>
      </w:r>
      <w:r w:rsidR="004F13A5">
        <w:rPr>
          <w:rFonts w:ascii="Gill Sans" w:hAnsi="Gill Sans" w:cs="Gill Sans"/>
          <w:sz w:val="22"/>
          <w:szCs w:val="22"/>
          <w:lang w:val="en-GB"/>
        </w:rPr>
        <w:t xml:space="preserve">Some of the petitions that have </w:t>
      </w:r>
      <w:r w:rsidR="009F2503">
        <w:rPr>
          <w:rFonts w:ascii="Gill Sans" w:hAnsi="Gill Sans" w:cs="Gill Sans"/>
          <w:sz w:val="22"/>
          <w:szCs w:val="22"/>
          <w:lang w:val="en-GB"/>
        </w:rPr>
        <w:t>passed the required threshold for official consideration include restricting bails for officials accused of corruption crimes, increasing penalties for civil servants taking bribes</w:t>
      </w:r>
      <w:r w:rsidR="001D7A7E">
        <w:rPr>
          <w:rFonts w:ascii="Gill Sans" w:hAnsi="Gill Sans" w:cs="Gill Sans"/>
          <w:sz w:val="22"/>
          <w:szCs w:val="22"/>
          <w:lang w:val="en-GB"/>
        </w:rPr>
        <w:t>,</w:t>
      </w:r>
      <w:r w:rsidR="009F2503">
        <w:rPr>
          <w:rFonts w:ascii="Gill Sans" w:hAnsi="Gill Sans" w:cs="Gill Sans"/>
          <w:sz w:val="22"/>
          <w:szCs w:val="22"/>
          <w:lang w:val="en-GB"/>
        </w:rPr>
        <w:t xml:space="preserve"> and cancellation of excise taxes on imported automobiles. </w:t>
      </w:r>
    </w:p>
    <w:p w14:paraId="4B1EF8C3" w14:textId="655FB94F" w:rsidR="00FD6C0C" w:rsidRPr="00254401" w:rsidRDefault="0012584B" w:rsidP="00426663">
      <w:pPr>
        <w:spacing w:after="120"/>
        <w:rPr>
          <w:rFonts w:ascii="Gill Sans" w:hAnsi="Gill Sans" w:cs="Gill Sans"/>
          <w:sz w:val="22"/>
          <w:szCs w:val="22"/>
          <w:lang w:val="en-GB"/>
        </w:rPr>
      </w:pPr>
      <w:r>
        <w:rPr>
          <w:rFonts w:ascii="Gill Sans" w:hAnsi="Gill Sans" w:cs="Gill Sans"/>
          <w:sz w:val="22"/>
          <w:szCs w:val="22"/>
          <w:lang w:val="en-GB"/>
        </w:rPr>
        <w:t xml:space="preserve">The e-petitions instrument changed </w:t>
      </w:r>
      <w:r w:rsidR="00FD6C0C">
        <w:rPr>
          <w:rFonts w:ascii="Gill Sans" w:hAnsi="Gill Sans" w:cs="Gill Sans"/>
          <w:sz w:val="22"/>
          <w:szCs w:val="22"/>
          <w:lang w:val="en-GB"/>
        </w:rPr>
        <w:t xml:space="preserve">the way government </w:t>
      </w:r>
      <w:r w:rsidR="001D7A7E">
        <w:rPr>
          <w:rFonts w:ascii="Gill Sans" w:hAnsi="Gill Sans" w:cs="Gill Sans"/>
          <w:sz w:val="22"/>
          <w:szCs w:val="22"/>
          <w:lang w:val="en-GB"/>
        </w:rPr>
        <w:t xml:space="preserve">gathers </w:t>
      </w:r>
      <w:r w:rsidR="00FD6C0C">
        <w:rPr>
          <w:rFonts w:ascii="Gill Sans" w:hAnsi="Gill Sans" w:cs="Gill Sans"/>
          <w:sz w:val="22"/>
          <w:szCs w:val="22"/>
          <w:lang w:val="en-GB"/>
        </w:rPr>
        <w:t>citizen input</w:t>
      </w:r>
      <w:r w:rsidR="001D7A7E">
        <w:rPr>
          <w:rFonts w:ascii="Gill Sans" w:hAnsi="Gill Sans" w:cs="Gill Sans"/>
          <w:sz w:val="22"/>
          <w:szCs w:val="22"/>
          <w:lang w:val="en-GB"/>
        </w:rPr>
        <w:t>.</w:t>
      </w:r>
      <w:r w:rsidR="00FD6C0C">
        <w:rPr>
          <w:rFonts w:ascii="Gill Sans" w:hAnsi="Gill Sans" w:cs="Gill Sans"/>
          <w:sz w:val="22"/>
          <w:szCs w:val="22"/>
          <w:lang w:val="en-GB"/>
        </w:rPr>
        <w:t xml:space="preserve"> P</w:t>
      </w:r>
      <w:r w:rsidR="00280389">
        <w:rPr>
          <w:rFonts w:ascii="Gill Sans" w:hAnsi="Gill Sans" w:cs="Gill Sans"/>
          <w:sz w:val="22"/>
          <w:szCs w:val="22"/>
          <w:lang w:val="en-GB"/>
        </w:rPr>
        <w:t>reviously</w:t>
      </w:r>
      <w:r w:rsidR="001D7A7E">
        <w:rPr>
          <w:rFonts w:ascii="Gill Sans" w:hAnsi="Gill Sans" w:cs="Gill Sans"/>
          <w:sz w:val="22"/>
          <w:szCs w:val="22"/>
          <w:lang w:val="en-GB"/>
        </w:rPr>
        <w:t>,</w:t>
      </w:r>
      <w:r w:rsidR="00280389">
        <w:rPr>
          <w:rFonts w:ascii="Gill Sans" w:hAnsi="Gill Sans" w:cs="Gill Sans"/>
          <w:sz w:val="22"/>
          <w:szCs w:val="22"/>
          <w:lang w:val="en-GB"/>
        </w:rPr>
        <w:t xml:space="preserve"> </w:t>
      </w:r>
      <w:r w:rsidR="00FD6C0C">
        <w:rPr>
          <w:rFonts w:ascii="Gill Sans" w:hAnsi="Gill Sans" w:cs="Gill Sans"/>
          <w:sz w:val="22"/>
          <w:szCs w:val="22"/>
          <w:lang w:val="en-GB"/>
        </w:rPr>
        <w:t>collective petitions were very rare and did not attract much public attention. Ci</w:t>
      </w:r>
      <w:r w:rsidR="00280389">
        <w:rPr>
          <w:rFonts w:ascii="Gill Sans" w:hAnsi="Gill Sans" w:cs="Gill Sans"/>
          <w:sz w:val="22"/>
          <w:szCs w:val="22"/>
          <w:lang w:val="en-GB"/>
        </w:rPr>
        <w:t>tizens could only</w:t>
      </w:r>
      <w:r w:rsidR="00FD6C0C">
        <w:rPr>
          <w:rFonts w:ascii="Gill Sans" w:hAnsi="Gill Sans" w:cs="Gill Sans"/>
          <w:sz w:val="22"/>
          <w:szCs w:val="22"/>
          <w:lang w:val="en-GB"/>
        </w:rPr>
        <w:t xml:space="preserve"> petition government</w:t>
      </w:r>
      <w:r w:rsidR="00280389">
        <w:rPr>
          <w:rFonts w:ascii="Gill Sans" w:hAnsi="Gill Sans" w:cs="Gill Sans"/>
          <w:sz w:val="22"/>
          <w:szCs w:val="22"/>
          <w:lang w:val="en-GB"/>
        </w:rPr>
        <w:t xml:space="preserve"> through written complaints. </w:t>
      </w:r>
      <w:r w:rsidR="00FD6C0C">
        <w:rPr>
          <w:rFonts w:ascii="Gill Sans" w:hAnsi="Gill Sans" w:cs="Gill Sans"/>
          <w:sz w:val="22"/>
          <w:szCs w:val="22"/>
          <w:lang w:val="en-GB"/>
        </w:rPr>
        <w:t>This limited their ability to take collective action</w:t>
      </w:r>
      <w:r w:rsidR="001D7A7E">
        <w:rPr>
          <w:rFonts w:ascii="Gill Sans" w:hAnsi="Gill Sans" w:cs="Gill Sans"/>
          <w:sz w:val="22"/>
          <w:szCs w:val="22"/>
          <w:lang w:val="en-GB"/>
        </w:rPr>
        <w:t>,</w:t>
      </w:r>
      <w:r w:rsidR="00FD6C0C">
        <w:rPr>
          <w:rFonts w:ascii="Gill Sans" w:hAnsi="Gill Sans" w:cs="Gill Sans"/>
          <w:sz w:val="22"/>
          <w:szCs w:val="22"/>
          <w:lang w:val="en-GB"/>
        </w:rPr>
        <w:t xml:space="preserve"> whereas the new online portal allows the pubic to leverage the </w:t>
      </w:r>
      <w:r w:rsidR="001D7A7E">
        <w:rPr>
          <w:rFonts w:ascii="Gill Sans" w:hAnsi="Gill Sans" w:cs="Gill Sans"/>
          <w:sz w:val="22"/>
          <w:szCs w:val="22"/>
          <w:lang w:val="en-GB"/>
        </w:rPr>
        <w:t xml:space="preserve">Internet </w:t>
      </w:r>
      <w:r w:rsidR="00043ABD">
        <w:rPr>
          <w:rFonts w:ascii="Gill Sans" w:hAnsi="Gill Sans" w:cs="Gill Sans"/>
          <w:sz w:val="22"/>
          <w:szCs w:val="22"/>
          <w:lang w:val="en-GB"/>
        </w:rPr>
        <w:t>to gather a wide variety of views quicker</w:t>
      </w:r>
      <w:r w:rsidR="00C00679">
        <w:rPr>
          <w:rFonts w:ascii="Gill Sans" w:hAnsi="Gill Sans" w:cs="Gill Sans"/>
          <w:sz w:val="22"/>
          <w:szCs w:val="22"/>
          <w:lang w:val="en-GB"/>
        </w:rPr>
        <w:t>,</w:t>
      </w:r>
      <w:r w:rsidR="00043ABD">
        <w:rPr>
          <w:rFonts w:ascii="Gill Sans" w:hAnsi="Gill Sans" w:cs="Gill Sans"/>
          <w:sz w:val="22"/>
          <w:szCs w:val="22"/>
          <w:lang w:val="en-GB"/>
        </w:rPr>
        <w:t xml:space="preserve"> and without the limitations of geography. </w:t>
      </w:r>
      <w:r w:rsidR="00C00679">
        <w:rPr>
          <w:rFonts w:ascii="Gill Sans" w:hAnsi="Gill Sans" w:cs="Gill Sans"/>
          <w:sz w:val="22"/>
          <w:szCs w:val="22"/>
          <w:lang w:val="en-GB"/>
        </w:rPr>
        <w:t>E</w:t>
      </w:r>
      <w:r>
        <w:rPr>
          <w:rFonts w:ascii="Gill Sans" w:hAnsi="Gill Sans" w:cs="Gill Sans"/>
          <w:sz w:val="22"/>
          <w:szCs w:val="22"/>
          <w:lang w:val="en-GB"/>
        </w:rPr>
        <w:t xml:space="preserve">-petitions introduced a new </w:t>
      </w:r>
      <w:r w:rsidR="00280389">
        <w:rPr>
          <w:rFonts w:ascii="Gill Sans" w:hAnsi="Gill Sans" w:cs="Gill Sans"/>
          <w:sz w:val="22"/>
          <w:szCs w:val="22"/>
          <w:lang w:val="en-GB"/>
        </w:rPr>
        <w:t>means</w:t>
      </w:r>
      <w:r>
        <w:rPr>
          <w:rFonts w:ascii="Gill Sans" w:hAnsi="Gill Sans" w:cs="Gill Sans"/>
          <w:sz w:val="22"/>
          <w:szCs w:val="22"/>
          <w:lang w:val="en-GB"/>
        </w:rPr>
        <w:t xml:space="preserve"> </w:t>
      </w:r>
      <w:r w:rsidR="00363BA9">
        <w:rPr>
          <w:rFonts w:ascii="Gill Sans" w:hAnsi="Gill Sans" w:cs="Gill Sans"/>
          <w:sz w:val="22"/>
          <w:szCs w:val="22"/>
          <w:lang w:val="en-GB"/>
        </w:rPr>
        <w:t xml:space="preserve">for citizens </w:t>
      </w:r>
      <w:r>
        <w:rPr>
          <w:rFonts w:ascii="Gill Sans" w:hAnsi="Gill Sans" w:cs="Gill Sans"/>
          <w:sz w:val="22"/>
          <w:szCs w:val="22"/>
          <w:lang w:val="en-GB"/>
        </w:rPr>
        <w:t xml:space="preserve">to </w:t>
      </w:r>
      <w:r w:rsidR="00280389">
        <w:rPr>
          <w:rFonts w:ascii="Gill Sans" w:hAnsi="Gill Sans" w:cs="Gill Sans"/>
          <w:sz w:val="22"/>
          <w:szCs w:val="22"/>
          <w:lang w:val="en-GB"/>
        </w:rPr>
        <w:t>demand action</w:t>
      </w:r>
      <w:r w:rsidR="001D7A7E">
        <w:rPr>
          <w:rFonts w:ascii="Gill Sans" w:hAnsi="Gill Sans" w:cs="Gill Sans"/>
          <w:sz w:val="22"/>
          <w:szCs w:val="22"/>
          <w:lang w:val="en-GB"/>
        </w:rPr>
        <w:t>,</w:t>
      </w:r>
      <w:r w:rsidR="00363BA9">
        <w:rPr>
          <w:rFonts w:ascii="Gill Sans" w:hAnsi="Gill Sans" w:cs="Gill Sans"/>
          <w:sz w:val="22"/>
          <w:szCs w:val="22"/>
          <w:lang w:val="en-GB"/>
        </w:rPr>
        <w:t xml:space="preserve"> and</w:t>
      </w:r>
      <w:r>
        <w:rPr>
          <w:rFonts w:ascii="Gill Sans" w:hAnsi="Gill Sans" w:cs="Gill Sans"/>
          <w:sz w:val="22"/>
          <w:szCs w:val="22"/>
          <w:lang w:val="en-GB"/>
        </w:rPr>
        <w:t xml:space="preserve"> fostered civic participation and enhanced </w:t>
      </w:r>
      <w:r w:rsidR="00363BA9">
        <w:rPr>
          <w:rFonts w:ascii="Gill Sans" w:hAnsi="Gill Sans" w:cs="Gill Sans"/>
          <w:sz w:val="22"/>
          <w:szCs w:val="22"/>
          <w:lang w:val="en-GB"/>
        </w:rPr>
        <w:t>opportunities</w:t>
      </w:r>
      <w:r>
        <w:rPr>
          <w:rFonts w:ascii="Gill Sans" w:hAnsi="Gill Sans" w:cs="Gill Sans"/>
          <w:sz w:val="22"/>
          <w:szCs w:val="22"/>
          <w:lang w:val="en-GB"/>
        </w:rPr>
        <w:t xml:space="preserve"> for public control over how their petitions are considered and acted upon.</w:t>
      </w:r>
      <w:r w:rsidR="00363BA9">
        <w:rPr>
          <w:rFonts w:ascii="Gill Sans" w:hAnsi="Gill Sans" w:cs="Gill Sans"/>
          <w:sz w:val="22"/>
          <w:szCs w:val="22"/>
          <w:lang w:val="en-GB"/>
        </w:rPr>
        <w:t xml:space="preserve"> However, it is not entirely clear to what extent e-petitions </w:t>
      </w:r>
      <w:r w:rsidR="001D7A7E">
        <w:rPr>
          <w:rFonts w:ascii="Gill Sans" w:hAnsi="Gill Sans" w:cs="Gill Sans"/>
          <w:sz w:val="22"/>
          <w:szCs w:val="22"/>
          <w:lang w:val="en-GB"/>
        </w:rPr>
        <w:t>with</w:t>
      </w:r>
      <w:r w:rsidR="00363BA9">
        <w:rPr>
          <w:rFonts w:ascii="Gill Sans" w:hAnsi="Gill Sans" w:cs="Gill Sans"/>
          <w:sz w:val="22"/>
          <w:szCs w:val="22"/>
          <w:lang w:val="en-GB"/>
        </w:rPr>
        <w:t xml:space="preserve"> </w:t>
      </w:r>
      <w:r w:rsidR="00896933">
        <w:rPr>
          <w:rFonts w:ascii="Gill Sans" w:hAnsi="Gill Sans" w:cs="Gill Sans"/>
          <w:sz w:val="22"/>
          <w:szCs w:val="22"/>
          <w:lang w:val="en-GB"/>
        </w:rPr>
        <w:t xml:space="preserve">the </w:t>
      </w:r>
      <w:r w:rsidR="00363BA9">
        <w:rPr>
          <w:rFonts w:ascii="Gill Sans" w:hAnsi="Gill Sans" w:cs="Gill Sans"/>
          <w:sz w:val="22"/>
          <w:szCs w:val="22"/>
          <w:lang w:val="en-GB"/>
        </w:rPr>
        <w:t xml:space="preserve">required </w:t>
      </w:r>
      <w:r w:rsidR="001D7A7E">
        <w:rPr>
          <w:rFonts w:ascii="Gill Sans" w:hAnsi="Gill Sans" w:cs="Gill Sans"/>
          <w:sz w:val="22"/>
          <w:szCs w:val="22"/>
          <w:lang w:val="en-GB"/>
        </w:rPr>
        <w:t xml:space="preserve">number </w:t>
      </w:r>
      <w:r w:rsidR="00363BA9">
        <w:rPr>
          <w:rFonts w:ascii="Gill Sans" w:hAnsi="Gill Sans" w:cs="Gill Sans"/>
          <w:sz w:val="22"/>
          <w:szCs w:val="22"/>
          <w:lang w:val="en-GB"/>
        </w:rPr>
        <w:t>of signatures</w:t>
      </w:r>
      <w:r w:rsidR="00896933">
        <w:rPr>
          <w:rFonts w:ascii="Gill Sans" w:hAnsi="Gill Sans" w:cs="Gill Sans"/>
          <w:sz w:val="22"/>
          <w:szCs w:val="22"/>
          <w:lang w:val="en-GB"/>
        </w:rPr>
        <w:t xml:space="preserve"> have</w:t>
      </w:r>
      <w:r w:rsidR="00363BA9">
        <w:rPr>
          <w:rFonts w:ascii="Gill Sans" w:hAnsi="Gill Sans" w:cs="Gill Sans"/>
          <w:sz w:val="22"/>
          <w:szCs w:val="22"/>
          <w:lang w:val="en-GB"/>
        </w:rPr>
        <w:t xml:space="preserve"> affected the decision</w:t>
      </w:r>
      <w:r w:rsidR="001D7A7E">
        <w:rPr>
          <w:rFonts w:ascii="Gill Sans" w:hAnsi="Gill Sans" w:cs="Gill Sans"/>
          <w:sz w:val="22"/>
          <w:szCs w:val="22"/>
          <w:lang w:val="en-GB"/>
        </w:rPr>
        <w:t>-</w:t>
      </w:r>
      <w:r w:rsidR="00363BA9">
        <w:rPr>
          <w:rFonts w:ascii="Gill Sans" w:hAnsi="Gill Sans" w:cs="Gill Sans"/>
          <w:sz w:val="22"/>
          <w:szCs w:val="22"/>
          <w:lang w:val="en-GB"/>
        </w:rPr>
        <w:t xml:space="preserve">making process </w:t>
      </w:r>
      <w:r w:rsidR="00C00679">
        <w:rPr>
          <w:rFonts w:ascii="Gill Sans" w:hAnsi="Gill Sans" w:cs="Gill Sans"/>
          <w:sz w:val="22"/>
          <w:szCs w:val="22"/>
          <w:lang w:val="en-GB"/>
        </w:rPr>
        <w:t xml:space="preserve">of </w:t>
      </w:r>
      <w:r w:rsidR="00363BA9">
        <w:rPr>
          <w:rFonts w:ascii="Gill Sans" w:hAnsi="Gill Sans" w:cs="Gill Sans"/>
          <w:sz w:val="22"/>
          <w:szCs w:val="22"/>
          <w:lang w:val="en-GB"/>
        </w:rPr>
        <w:t>government actors</w:t>
      </w:r>
      <w:r w:rsidR="00896933">
        <w:rPr>
          <w:rFonts w:ascii="Gill Sans" w:hAnsi="Gill Sans" w:cs="Gill Sans"/>
          <w:sz w:val="22"/>
          <w:szCs w:val="22"/>
          <w:lang w:val="en-GB"/>
        </w:rPr>
        <w:t>.</w:t>
      </w:r>
      <w:r w:rsidR="00363BA9">
        <w:rPr>
          <w:rFonts w:ascii="Gill Sans" w:hAnsi="Gill Sans" w:cs="Gill Sans"/>
          <w:sz w:val="22"/>
          <w:szCs w:val="22"/>
          <w:lang w:val="en-GB"/>
        </w:rPr>
        <w:t xml:space="preserve"> </w:t>
      </w:r>
      <w:r w:rsidR="00896933">
        <w:rPr>
          <w:rFonts w:ascii="Gill Sans" w:hAnsi="Gill Sans" w:cs="Gill Sans"/>
          <w:sz w:val="22"/>
          <w:szCs w:val="22"/>
          <w:lang w:val="en-GB"/>
        </w:rPr>
        <w:t xml:space="preserve">While submitted petitions have helped shape the public dialogue by </w:t>
      </w:r>
      <w:r w:rsidR="001D7A7E">
        <w:rPr>
          <w:rFonts w:ascii="Gill Sans" w:hAnsi="Gill Sans" w:cs="Gill Sans"/>
          <w:sz w:val="22"/>
          <w:szCs w:val="22"/>
          <w:lang w:val="en-GB"/>
        </w:rPr>
        <w:t xml:space="preserve">shining </w:t>
      </w:r>
      <w:r w:rsidR="00896933">
        <w:rPr>
          <w:rFonts w:ascii="Gill Sans" w:hAnsi="Gill Sans" w:cs="Gill Sans"/>
          <w:sz w:val="22"/>
          <w:szCs w:val="22"/>
          <w:lang w:val="en-GB"/>
        </w:rPr>
        <w:t xml:space="preserve">a spotlight on issues of public interest, at the time of the assessment, there was no evidence to </w:t>
      </w:r>
      <w:r w:rsidR="001D7A7E">
        <w:rPr>
          <w:rFonts w:ascii="Gill Sans" w:hAnsi="Gill Sans" w:cs="Gill Sans"/>
          <w:sz w:val="22"/>
          <w:szCs w:val="22"/>
          <w:lang w:val="en-GB"/>
        </w:rPr>
        <w:t xml:space="preserve">indicate </w:t>
      </w:r>
      <w:r w:rsidR="00896933">
        <w:rPr>
          <w:rFonts w:ascii="Gill Sans" w:hAnsi="Gill Sans" w:cs="Gill Sans"/>
          <w:sz w:val="22"/>
          <w:szCs w:val="22"/>
          <w:lang w:val="en-GB"/>
        </w:rPr>
        <w:t>that the submitted petitions ha</w:t>
      </w:r>
      <w:r w:rsidR="001D7A7E">
        <w:rPr>
          <w:rFonts w:ascii="Gill Sans" w:hAnsi="Gill Sans" w:cs="Gill Sans"/>
          <w:sz w:val="22"/>
          <w:szCs w:val="22"/>
          <w:lang w:val="en-GB"/>
        </w:rPr>
        <w:t>d</w:t>
      </w:r>
      <w:r w:rsidR="00896933">
        <w:rPr>
          <w:rFonts w:ascii="Gill Sans" w:hAnsi="Gill Sans" w:cs="Gill Sans"/>
          <w:sz w:val="22"/>
          <w:szCs w:val="22"/>
          <w:lang w:val="en-GB"/>
        </w:rPr>
        <w:t xml:space="preserve"> meaningfully influenced government decision-making. </w:t>
      </w:r>
    </w:p>
    <w:p w14:paraId="1BFB0E95" w14:textId="77777777" w:rsidR="00DE1C85" w:rsidRPr="00161CF6" w:rsidRDefault="00DE1C85" w:rsidP="006319F4">
      <w:pPr>
        <w:pStyle w:val="Heading3"/>
      </w:pPr>
      <w:r w:rsidRPr="00161CF6">
        <w:t>Carried forward?</w:t>
      </w:r>
    </w:p>
    <w:p w14:paraId="096B1BBC" w14:textId="328AB4D5" w:rsidR="00DE1C85" w:rsidRDefault="00DE1C85" w:rsidP="00DE1C85">
      <w:pPr>
        <w:spacing w:after="120"/>
        <w:rPr>
          <w:rFonts w:ascii="Gill Sans" w:hAnsi="Gill Sans" w:cs="Gill Sans"/>
          <w:noProof/>
          <w:sz w:val="22"/>
          <w:szCs w:val="22"/>
          <w:lang w:val="en-GB"/>
        </w:rPr>
      </w:pPr>
      <w:r w:rsidRPr="00161CF6">
        <w:rPr>
          <w:rFonts w:ascii="Gill Sans" w:hAnsi="Gill Sans" w:cs="Gill Sans"/>
          <w:noProof/>
          <w:sz w:val="22"/>
          <w:szCs w:val="22"/>
          <w:lang w:val="en-GB"/>
        </w:rPr>
        <w:t xml:space="preserve">The commitment was </w:t>
      </w:r>
      <w:r w:rsidR="00A409A6">
        <w:rPr>
          <w:rFonts w:ascii="Gill Sans" w:hAnsi="Gill Sans" w:cs="Gill Sans"/>
          <w:noProof/>
          <w:sz w:val="22"/>
          <w:szCs w:val="22"/>
          <w:lang w:val="en-GB"/>
        </w:rPr>
        <w:t xml:space="preserve">not </w:t>
      </w:r>
      <w:r w:rsidRPr="00161CF6">
        <w:rPr>
          <w:rFonts w:ascii="Gill Sans" w:hAnsi="Gill Sans" w:cs="Gill Sans"/>
          <w:noProof/>
          <w:sz w:val="22"/>
          <w:szCs w:val="22"/>
          <w:lang w:val="en-GB"/>
        </w:rPr>
        <w:t>carr</w:t>
      </w:r>
      <w:r>
        <w:rPr>
          <w:rFonts w:ascii="Gill Sans" w:hAnsi="Gill Sans" w:cs="Gill Sans"/>
          <w:noProof/>
          <w:sz w:val="22"/>
          <w:szCs w:val="22"/>
          <w:lang w:val="en-GB"/>
        </w:rPr>
        <w:t>ied over to the new action plan.</w:t>
      </w:r>
    </w:p>
    <w:p w14:paraId="11B16AC8" w14:textId="77777777" w:rsidR="0033158A" w:rsidRDefault="0033158A" w:rsidP="00EB22DF">
      <w:pPr>
        <w:tabs>
          <w:tab w:val="left" w:pos="3037"/>
        </w:tabs>
        <w:rPr>
          <w:lang w:val="en-GB"/>
        </w:rPr>
        <w:sectPr w:rsidR="0033158A" w:rsidSect="00F561B7">
          <w:endnotePr>
            <w:numFmt w:val="decimal"/>
            <w:numRestart w:val="eachSect"/>
          </w:endnotePr>
          <w:pgSz w:w="12240" w:h="15840"/>
          <w:pgMar w:top="1440" w:right="1800" w:bottom="1440" w:left="1800" w:header="720" w:footer="720" w:gutter="0"/>
          <w:cols w:space="720"/>
          <w:docGrid w:linePitch="360"/>
        </w:sectPr>
      </w:pPr>
    </w:p>
    <w:p w14:paraId="5E5A25E3" w14:textId="4F8CCFCF" w:rsidR="0033158A" w:rsidRPr="0033158A" w:rsidRDefault="0033158A" w:rsidP="0033158A">
      <w:pPr>
        <w:pStyle w:val="Heading2"/>
        <w:spacing w:before="0" w:after="120"/>
        <w:rPr>
          <w:rFonts w:eastAsiaTheme="minorEastAsia"/>
          <w:bCs w:val="0"/>
          <w:color w:val="222222"/>
          <w:sz w:val="22"/>
          <w:szCs w:val="22"/>
          <w:lang w:val="en-GB"/>
        </w:rPr>
      </w:pPr>
      <w:r w:rsidRPr="0033158A">
        <w:rPr>
          <w:rFonts w:eastAsiaTheme="minorEastAsia"/>
          <w:bCs w:val="0"/>
          <w:color w:val="222222"/>
          <w:sz w:val="22"/>
          <w:szCs w:val="22"/>
          <w:lang w:val="en-GB"/>
        </w:rPr>
        <w:lastRenderedPageBreak/>
        <w:t>19. Electronic readiness assessment</w:t>
      </w:r>
    </w:p>
    <w:p w14:paraId="498059BB" w14:textId="61C9D7BB" w:rsidR="0033158A" w:rsidRPr="0033158A" w:rsidRDefault="005B3A16" w:rsidP="0033158A">
      <w:pPr>
        <w:spacing w:after="120"/>
        <w:rPr>
          <w:rFonts w:ascii="Gill Sans" w:hAnsi="Gill Sans" w:cs="Gill Sans"/>
          <w:i/>
          <w:noProof/>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33158A" w:rsidRPr="0033158A">
        <w:rPr>
          <w:rFonts w:ascii="Gill Sans" w:hAnsi="Gill Sans" w:cs="Gill Sans"/>
          <w:i/>
          <w:noProof/>
          <w:sz w:val="22"/>
          <w:szCs w:val="22"/>
          <w:lang w:val="en-GB"/>
        </w:rPr>
        <w:t>19. Establishing the Assessment of Electronic Readiness of Ukraine interactive system, and conducting the assessment</w:t>
      </w:r>
      <w:r w:rsidR="00B7154A">
        <w:rPr>
          <w:rFonts w:ascii="Gill Sans" w:hAnsi="Gill Sans" w:cs="Gill Sans"/>
          <w:i/>
          <w:noProof/>
          <w:sz w:val="22"/>
          <w:szCs w:val="22"/>
          <w:lang w:val="en-GB"/>
        </w:rPr>
        <w:t>.</w:t>
      </w:r>
      <w:r w:rsidR="0033158A" w:rsidRPr="0033158A">
        <w:rPr>
          <w:rFonts w:ascii="Gill Sans" w:hAnsi="Gill Sans" w:cs="Gill Sans"/>
          <w:i/>
          <w:noProof/>
          <w:sz w:val="22"/>
          <w:szCs w:val="22"/>
          <w:lang w:val="en-GB"/>
        </w:rPr>
        <w:t xml:space="preserve"> </w:t>
      </w:r>
    </w:p>
    <w:p w14:paraId="5BFF41A9" w14:textId="17660C9C" w:rsidR="0033158A" w:rsidRPr="0033158A" w:rsidRDefault="0033158A" w:rsidP="0033158A">
      <w:pPr>
        <w:spacing w:after="120"/>
        <w:rPr>
          <w:rFonts w:ascii="Gill Sans" w:hAnsi="Gill Sans" w:cs="Gill Sans"/>
          <w:i/>
          <w:noProof/>
          <w:sz w:val="22"/>
          <w:szCs w:val="22"/>
          <w:lang w:val="en-GB"/>
        </w:rPr>
      </w:pPr>
      <w:r w:rsidRPr="0033158A">
        <w:rPr>
          <w:rFonts w:ascii="Gill Sans" w:hAnsi="Gill Sans" w:cs="Gill Sans"/>
          <w:i/>
          <w:noProof/>
          <w:sz w:val="22"/>
          <w:szCs w:val="22"/>
          <w:lang w:val="en-GB"/>
        </w:rPr>
        <w:t xml:space="preserve">Expected result: </w:t>
      </w:r>
      <w:r w:rsidRPr="0033158A">
        <w:rPr>
          <w:rFonts w:ascii="Gill Sans" w:hAnsi="Gill Sans" w:cs="Gill Sans"/>
          <w:i/>
          <w:sz w:val="22"/>
          <w:szCs w:val="22"/>
          <w:lang w:val="en-GB"/>
        </w:rPr>
        <w:t>Assessment of Electronic Readiness of Ukraine interactive system established, assessment conducted</w:t>
      </w:r>
      <w:r w:rsidR="00B7154A">
        <w:rPr>
          <w:rFonts w:ascii="Gill Sans" w:hAnsi="Gill Sans" w:cs="Gill Sans"/>
          <w:i/>
          <w:sz w:val="22"/>
          <w:szCs w:val="22"/>
          <w:lang w:val="en-GB"/>
        </w:rPr>
        <w:t>.</w:t>
      </w:r>
    </w:p>
    <w:p w14:paraId="6A86CB5B" w14:textId="40FE70D2" w:rsidR="0033158A" w:rsidRPr="0033158A" w:rsidRDefault="0033158A" w:rsidP="0033158A">
      <w:pPr>
        <w:spacing w:after="120"/>
        <w:rPr>
          <w:rFonts w:ascii="Gill Sans" w:hAnsi="Gill Sans" w:cs="Gill Sans"/>
          <w:noProof/>
          <w:sz w:val="22"/>
          <w:szCs w:val="22"/>
          <w:lang w:val="en-GB"/>
        </w:rPr>
      </w:pPr>
      <w:r w:rsidRPr="0033158A">
        <w:rPr>
          <w:rFonts w:ascii="Gill Sans" w:hAnsi="Gill Sans" w:cs="Gill Sans"/>
          <w:noProof/>
          <w:sz w:val="22"/>
          <w:szCs w:val="22"/>
          <w:lang w:val="en-GB"/>
        </w:rPr>
        <w:t>Lead institution</w:t>
      </w:r>
      <w:r w:rsidR="00B7154A">
        <w:rPr>
          <w:rFonts w:ascii="Gill Sans" w:hAnsi="Gill Sans" w:cs="Gill Sans"/>
          <w:noProof/>
          <w:sz w:val="22"/>
          <w:szCs w:val="22"/>
          <w:lang w:val="en-GB"/>
        </w:rPr>
        <w:t>(s)</w:t>
      </w:r>
      <w:r w:rsidRPr="0033158A">
        <w:rPr>
          <w:rFonts w:ascii="Gill Sans" w:hAnsi="Gill Sans" w:cs="Gill Sans"/>
          <w:noProof/>
          <w:sz w:val="22"/>
          <w:szCs w:val="22"/>
          <w:lang w:val="en-GB"/>
        </w:rPr>
        <w:t>: State Agency for E-Governance</w:t>
      </w:r>
    </w:p>
    <w:p w14:paraId="50344F87" w14:textId="013A61BB" w:rsidR="0033158A" w:rsidRPr="0033158A" w:rsidRDefault="0033158A" w:rsidP="0033158A">
      <w:pPr>
        <w:spacing w:after="120"/>
        <w:rPr>
          <w:rFonts w:ascii="Gill Sans" w:hAnsi="Gill Sans" w:cs="Gill Sans"/>
          <w:noProof/>
          <w:sz w:val="22"/>
          <w:szCs w:val="22"/>
          <w:lang w:val="en-GB"/>
        </w:rPr>
      </w:pPr>
      <w:r w:rsidRPr="0033158A">
        <w:rPr>
          <w:rFonts w:ascii="Gill Sans" w:hAnsi="Gill Sans" w:cs="Gill Sans"/>
          <w:noProof/>
          <w:sz w:val="22"/>
          <w:szCs w:val="22"/>
          <w:lang w:val="en-GB"/>
        </w:rPr>
        <w:t>Supporting institution</w:t>
      </w:r>
      <w:r w:rsidR="00B7154A">
        <w:rPr>
          <w:rFonts w:ascii="Gill Sans" w:hAnsi="Gill Sans" w:cs="Gill Sans"/>
          <w:noProof/>
          <w:sz w:val="22"/>
          <w:szCs w:val="22"/>
          <w:lang w:val="en-GB"/>
        </w:rPr>
        <w:t>(</w:t>
      </w:r>
      <w:r w:rsidRPr="0033158A">
        <w:rPr>
          <w:rFonts w:ascii="Gill Sans" w:hAnsi="Gill Sans" w:cs="Gill Sans"/>
          <w:noProof/>
          <w:sz w:val="22"/>
          <w:szCs w:val="22"/>
          <w:lang w:val="en-GB"/>
        </w:rPr>
        <w:t>s</w:t>
      </w:r>
      <w:r w:rsidR="00B7154A">
        <w:rPr>
          <w:rFonts w:ascii="Gill Sans" w:hAnsi="Gill Sans" w:cs="Gill Sans"/>
          <w:noProof/>
          <w:sz w:val="22"/>
          <w:szCs w:val="22"/>
          <w:lang w:val="en-GB"/>
        </w:rPr>
        <w:t>)</w:t>
      </w:r>
      <w:r w:rsidRPr="0033158A">
        <w:rPr>
          <w:rFonts w:ascii="Gill Sans" w:hAnsi="Gill Sans" w:cs="Gill Sans"/>
          <w:noProof/>
          <w:sz w:val="22"/>
          <w:szCs w:val="22"/>
          <w:lang w:val="en-GB"/>
        </w:rPr>
        <w:t>: Ministry of Regional Development, National Centre for E-Governance of the State Company Derzhinformresurs, the United Nations Development Programme (UNDP), International Renaissance Foundation, other unspecified NGOs and international organisations</w:t>
      </w:r>
    </w:p>
    <w:p w14:paraId="165EAF86" w14:textId="0F31294A" w:rsidR="0033158A" w:rsidRPr="00CA5EDC" w:rsidRDefault="0033158A" w:rsidP="00E80E32">
      <w:pPr>
        <w:spacing w:after="120"/>
        <w:rPr>
          <w:rFonts w:ascii="Gill Sans" w:hAnsi="Gill Sans" w:cs="Gill Sans"/>
          <w:noProof/>
          <w:sz w:val="22"/>
          <w:szCs w:val="22"/>
          <w:lang w:val="en-GB"/>
        </w:rPr>
      </w:pPr>
      <w:r w:rsidRPr="0033158A">
        <w:rPr>
          <w:rFonts w:ascii="Gill Sans" w:hAnsi="Gill Sans" w:cs="Gill Sans"/>
          <w:noProof/>
          <w:sz w:val="22"/>
          <w:szCs w:val="22"/>
          <w:lang w:val="en-GB"/>
        </w:rPr>
        <w:t xml:space="preserve">Start </w:t>
      </w:r>
      <w:r w:rsidR="00E921D9">
        <w:rPr>
          <w:rFonts w:ascii="Gill Sans" w:hAnsi="Gill Sans" w:cs="Gill Sans"/>
          <w:noProof/>
          <w:sz w:val="22"/>
          <w:szCs w:val="22"/>
          <w:lang w:val="en-GB"/>
        </w:rPr>
        <w:t>D</w:t>
      </w:r>
      <w:r w:rsidRPr="0033158A">
        <w:rPr>
          <w:rFonts w:ascii="Gill Sans" w:hAnsi="Gill Sans" w:cs="Gill Sans"/>
          <w:noProof/>
          <w:sz w:val="22"/>
          <w:szCs w:val="22"/>
          <w:lang w:val="en-GB"/>
        </w:rPr>
        <w:t xml:space="preserve">ate: Not specified </w:t>
      </w:r>
      <w:r w:rsidRPr="0033158A">
        <w:rPr>
          <w:rFonts w:ascii="Gill Sans" w:hAnsi="Gill Sans" w:cs="Gill Sans"/>
          <w:noProof/>
          <w:sz w:val="22"/>
          <w:szCs w:val="22"/>
          <w:lang w:val="en-GB"/>
        </w:rPr>
        <w:tab/>
      </w:r>
      <w:r w:rsidRPr="0033158A">
        <w:rPr>
          <w:rFonts w:ascii="Gill Sans" w:hAnsi="Gill Sans" w:cs="Gill Sans"/>
          <w:noProof/>
          <w:sz w:val="22"/>
          <w:szCs w:val="22"/>
          <w:lang w:val="en-GB"/>
        </w:rPr>
        <w:tab/>
      </w:r>
      <w:r w:rsidRPr="0033158A">
        <w:rPr>
          <w:rFonts w:ascii="Gill Sans" w:hAnsi="Gill Sans" w:cs="Gill Sans"/>
          <w:noProof/>
          <w:sz w:val="22"/>
          <w:szCs w:val="22"/>
          <w:lang w:val="en-GB"/>
        </w:rPr>
        <w:tab/>
      </w:r>
      <w:r w:rsidR="00D6486B">
        <w:rPr>
          <w:rFonts w:ascii="Gill Sans" w:hAnsi="Gill Sans" w:cs="Gill Sans"/>
          <w:noProof/>
          <w:sz w:val="22"/>
          <w:szCs w:val="22"/>
          <w:lang w:val="en-GB"/>
        </w:rPr>
        <w:tab/>
      </w:r>
      <w:r w:rsidRPr="0033158A">
        <w:rPr>
          <w:rFonts w:ascii="Gill Sans" w:hAnsi="Gill Sans" w:cs="Gill Sans"/>
          <w:noProof/>
          <w:sz w:val="22"/>
          <w:szCs w:val="22"/>
          <w:lang w:val="en-GB"/>
        </w:rPr>
        <w:t xml:space="preserve">End </w:t>
      </w:r>
      <w:r w:rsidR="00E921D9">
        <w:rPr>
          <w:rFonts w:ascii="Gill Sans" w:hAnsi="Gill Sans" w:cs="Gill Sans"/>
          <w:noProof/>
          <w:sz w:val="22"/>
          <w:szCs w:val="22"/>
          <w:lang w:val="en-GB"/>
        </w:rPr>
        <w:t>D</w:t>
      </w:r>
      <w:r w:rsidRPr="0033158A">
        <w:rPr>
          <w:rFonts w:ascii="Gill Sans" w:hAnsi="Gill Sans" w:cs="Gill Sans"/>
          <w:noProof/>
          <w:sz w:val="22"/>
          <w:szCs w:val="22"/>
          <w:lang w:val="en-GB"/>
        </w:rPr>
        <w:t>ate: 31 December 2014</w:t>
      </w: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47"/>
        <w:gridCol w:w="354"/>
        <w:gridCol w:w="328"/>
        <w:gridCol w:w="417"/>
        <w:gridCol w:w="341"/>
        <w:gridCol w:w="341"/>
        <w:gridCol w:w="341"/>
        <w:gridCol w:w="798"/>
        <w:gridCol w:w="374"/>
        <w:gridCol w:w="420"/>
        <w:gridCol w:w="341"/>
        <w:gridCol w:w="409"/>
        <w:gridCol w:w="466"/>
        <w:gridCol w:w="493"/>
        <w:gridCol w:w="493"/>
        <w:gridCol w:w="417"/>
        <w:gridCol w:w="341"/>
        <w:gridCol w:w="387"/>
        <w:gridCol w:w="370"/>
        <w:gridCol w:w="417"/>
        <w:gridCol w:w="562"/>
      </w:tblGrid>
      <w:tr w:rsidR="00D6486B" w:rsidRPr="009651AC" w14:paraId="1B20BB5E" w14:textId="77777777" w:rsidTr="00B223BA">
        <w:trPr>
          <w:trHeight w:val="405"/>
        </w:trPr>
        <w:tc>
          <w:tcPr>
            <w:tcW w:w="1413" w:type="dxa"/>
            <w:vMerge w:val="restart"/>
            <w:tcBorders>
              <w:top w:val="single" w:sz="18" w:space="0" w:color="FFFFFF"/>
              <w:left w:val="single" w:sz="4" w:space="0" w:color="FFFFFF"/>
              <w:right w:val="single" w:sz="18" w:space="0" w:color="FFFFFF"/>
            </w:tcBorders>
            <w:shd w:val="clear" w:color="auto" w:fill="000000"/>
          </w:tcPr>
          <w:p w14:paraId="719FCE15" w14:textId="77777777" w:rsidR="00D6486B" w:rsidRPr="009651AC" w:rsidRDefault="00D6486B" w:rsidP="007A1164">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038A3E1C" w14:textId="003F94A3" w:rsidR="00D6486B" w:rsidRPr="009651AC" w:rsidRDefault="00D6486B" w:rsidP="007A1164">
            <w:pPr>
              <w:rPr>
                <w:rFonts w:ascii="Gill Sans" w:hAnsi="Gill Sans" w:cs="Gill Sans"/>
                <w:color w:val="FFFFFF" w:themeColor="background1"/>
                <w:sz w:val="22"/>
                <w:szCs w:val="22"/>
                <w:lang w:val="en-GB"/>
              </w:rPr>
            </w:pPr>
          </w:p>
        </w:tc>
        <w:tc>
          <w:tcPr>
            <w:tcW w:w="1446" w:type="dxa"/>
            <w:gridSpan w:val="4"/>
            <w:vMerge w:val="restart"/>
            <w:tcBorders>
              <w:top w:val="single" w:sz="18" w:space="0" w:color="FFFFFF"/>
              <w:left w:val="single" w:sz="18" w:space="0" w:color="FFFFFF"/>
              <w:right w:val="single" w:sz="18" w:space="0" w:color="FFFFFF"/>
            </w:tcBorders>
            <w:shd w:val="clear" w:color="auto" w:fill="D6E3BC"/>
          </w:tcPr>
          <w:p w14:paraId="697D735D"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Specificity</w:t>
            </w:r>
          </w:p>
        </w:tc>
        <w:tc>
          <w:tcPr>
            <w:tcW w:w="1821" w:type="dxa"/>
            <w:gridSpan w:val="4"/>
            <w:vMerge w:val="restart"/>
            <w:tcBorders>
              <w:top w:val="single" w:sz="18" w:space="0" w:color="FFFFFF"/>
              <w:left w:val="single" w:sz="18" w:space="0" w:color="FFFFFF"/>
              <w:right w:val="single" w:sz="18" w:space="0" w:color="FFFFFF"/>
            </w:tcBorders>
            <w:shd w:val="clear" w:color="auto" w:fill="FBD4B4"/>
          </w:tcPr>
          <w:p w14:paraId="0CBFA3A9" w14:textId="569F01C6"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544" w:type="dxa"/>
            <w:gridSpan w:val="4"/>
            <w:vMerge w:val="restart"/>
            <w:tcBorders>
              <w:top w:val="single" w:sz="18" w:space="0" w:color="FFFFFF"/>
              <w:left w:val="single" w:sz="18" w:space="0" w:color="FFFFFF"/>
              <w:right w:val="single" w:sz="18" w:space="0" w:color="FFFFFF"/>
            </w:tcBorders>
            <w:shd w:val="clear" w:color="auto" w:fill="CCC0D9"/>
          </w:tcPr>
          <w:p w14:paraId="2EF63AF3"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959" w:type="dxa"/>
            <w:gridSpan w:val="2"/>
            <w:vMerge w:val="restart"/>
            <w:tcBorders>
              <w:top w:val="single" w:sz="18" w:space="0" w:color="FFFFFF"/>
              <w:left w:val="single" w:sz="18" w:space="0" w:color="FFFFFF"/>
              <w:right w:val="single" w:sz="2" w:space="0" w:color="FFFFFF"/>
            </w:tcBorders>
            <w:shd w:val="clear" w:color="auto" w:fill="B8CCE4"/>
          </w:tcPr>
          <w:p w14:paraId="37404ABA" w14:textId="7554E694" w:rsidR="00D6486B" w:rsidRPr="009651AC" w:rsidRDefault="00D6486B" w:rsidP="007A1164">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10"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387FA23B"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Midterm</w:t>
            </w:r>
          </w:p>
        </w:tc>
        <w:tc>
          <w:tcPr>
            <w:tcW w:w="2077" w:type="dxa"/>
            <w:gridSpan w:val="5"/>
            <w:vMerge w:val="restart"/>
            <w:tcBorders>
              <w:top w:val="single" w:sz="18" w:space="0" w:color="FFFFFF"/>
              <w:left w:val="single" w:sz="18" w:space="0" w:color="FFFFFF"/>
              <w:right w:val="single" w:sz="18" w:space="0" w:color="FFFFFF"/>
            </w:tcBorders>
            <w:shd w:val="clear" w:color="auto" w:fill="D99594"/>
          </w:tcPr>
          <w:p w14:paraId="137F710D" w14:textId="708D5E9D"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D6486B" w:rsidRPr="009651AC" w14:paraId="74B82EFA" w14:textId="77777777" w:rsidTr="00B223BA">
        <w:trPr>
          <w:trHeight w:val="373"/>
        </w:trPr>
        <w:tc>
          <w:tcPr>
            <w:tcW w:w="1413" w:type="dxa"/>
            <w:vMerge/>
            <w:tcBorders>
              <w:left w:val="single" w:sz="4" w:space="0" w:color="FFFFFF"/>
              <w:right w:val="single" w:sz="18" w:space="0" w:color="FFFFFF"/>
            </w:tcBorders>
            <w:shd w:val="clear" w:color="auto" w:fill="000000"/>
          </w:tcPr>
          <w:p w14:paraId="51C0CF1A" w14:textId="7CB2C796" w:rsidR="00D6486B" w:rsidRPr="009651AC" w:rsidRDefault="00D6486B" w:rsidP="007A1164">
            <w:pPr>
              <w:rPr>
                <w:rFonts w:ascii="Gill Sans" w:hAnsi="Gill Sans" w:cs="Gill Sans"/>
                <w:color w:val="FFFFFF" w:themeColor="background1"/>
                <w:sz w:val="22"/>
                <w:szCs w:val="22"/>
                <w:lang w:val="en-GB"/>
              </w:rPr>
            </w:pPr>
          </w:p>
        </w:tc>
        <w:tc>
          <w:tcPr>
            <w:tcW w:w="1446" w:type="dxa"/>
            <w:gridSpan w:val="4"/>
            <w:vMerge/>
            <w:tcBorders>
              <w:left w:val="single" w:sz="18" w:space="0" w:color="FFFFFF"/>
              <w:bottom w:val="single" w:sz="18" w:space="0" w:color="FFFFFF"/>
              <w:right w:val="single" w:sz="18" w:space="0" w:color="FFFFFF"/>
            </w:tcBorders>
            <w:shd w:val="clear" w:color="auto" w:fill="D6E3BC"/>
          </w:tcPr>
          <w:p w14:paraId="6CD5FCFF" w14:textId="77777777" w:rsidR="00D6486B" w:rsidRPr="009651AC" w:rsidRDefault="00D6486B" w:rsidP="007A1164">
            <w:pPr>
              <w:rPr>
                <w:rFonts w:ascii="Gill Sans" w:hAnsi="Gill Sans" w:cs="Gill Sans"/>
                <w:sz w:val="22"/>
                <w:szCs w:val="22"/>
                <w:lang w:val="en-GB"/>
              </w:rPr>
            </w:pPr>
          </w:p>
        </w:tc>
        <w:tc>
          <w:tcPr>
            <w:tcW w:w="1821" w:type="dxa"/>
            <w:gridSpan w:val="4"/>
            <w:vMerge/>
            <w:tcBorders>
              <w:left w:val="single" w:sz="18" w:space="0" w:color="FFFFFF"/>
              <w:bottom w:val="single" w:sz="18" w:space="0" w:color="FFFFFF"/>
              <w:right w:val="single" w:sz="18" w:space="0" w:color="FFFFFF"/>
            </w:tcBorders>
            <w:shd w:val="clear" w:color="auto" w:fill="FBD4B4"/>
          </w:tcPr>
          <w:p w14:paraId="6857B9B2" w14:textId="77777777" w:rsidR="00D6486B" w:rsidRPr="009651AC" w:rsidRDefault="00D6486B" w:rsidP="007A1164">
            <w:pPr>
              <w:rPr>
                <w:rFonts w:ascii="Gill Sans" w:hAnsi="Gill Sans" w:cs="Gill Sans"/>
                <w:sz w:val="22"/>
                <w:szCs w:val="22"/>
                <w:lang w:val="en-GB"/>
              </w:rPr>
            </w:pPr>
          </w:p>
        </w:tc>
        <w:tc>
          <w:tcPr>
            <w:tcW w:w="1544" w:type="dxa"/>
            <w:gridSpan w:val="4"/>
            <w:vMerge/>
            <w:tcBorders>
              <w:left w:val="single" w:sz="18" w:space="0" w:color="FFFFFF"/>
              <w:bottom w:val="single" w:sz="18" w:space="0" w:color="FFFFFF"/>
              <w:right w:val="single" w:sz="18" w:space="0" w:color="FFFFFF"/>
            </w:tcBorders>
            <w:shd w:val="clear" w:color="auto" w:fill="CCC0D9"/>
          </w:tcPr>
          <w:p w14:paraId="087BD3A2" w14:textId="77777777" w:rsidR="00D6486B" w:rsidRPr="009651AC" w:rsidRDefault="00D6486B" w:rsidP="007A1164">
            <w:pPr>
              <w:rPr>
                <w:rFonts w:ascii="Gill Sans" w:hAnsi="Gill Sans" w:cs="Gill Sans"/>
                <w:sz w:val="22"/>
                <w:szCs w:val="22"/>
                <w:lang w:val="en-GB"/>
              </w:rPr>
            </w:pPr>
          </w:p>
        </w:tc>
        <w:tc>
          <w:tcPr>
            <w:tcW w:w="959" w:type="dxa"/>
            <w:gridSpan w:val="2"/>
            <w:vMerge/>
            <w:tcBorders>
              <w:left w:val="single" w:sz="18" w:space="0" w:color="FFFFFF"/>
              <w:bottom w:val="single" w:sz="18" w:space="0" w:color="FFFFFF"/>
              <w:right w:val="single" w:sz="2" w:space="0" w:color="FFFFFF"/>
            </w:tcBorders>
            <w:shd w:val="clear" w:color="auto" w:fill="B8CCE4"/>
          </w:tcPr>
          <w:p w14:paraId="1172ABE5" w14:textId="77777777" w:rsidR="00D6486B" w:rsidRPr="009651AC" w:rsidRDefault="00D6486B" w:rsidP="007A1164">
            <w:pPr>
              <w:rPr>
                <w:rFonts w:ascii="Gill Sans" w:hAnsi="Gill Sans" w:cs="Gill Sans"/>
                <w:sz w:val="22"/>
                <w:szCs w:val="22"/>
                <w:lang w:val="en-GB"/>
              </w:rPr>
            </w:pPr>
          </w:p>
        </w:tc>
        <w:tc>
          <w:tcPr>
            <w:tcW w:w="910"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773932F3" w14:textId="7A739ACD"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2077" w:type="dxa"/>
            <w:gridSpan w:val="5"/>
            <w:vMerge/>
            <w:tcBorders>
              <w:left w:val="single" w:sz="18" w:space="0" w:color="FFFFFF"/>
              <w:bottom w:val="single" w:sz="18" w:space="0" w:color="FFFFFF"/>
              <w:right w:val="single" w:sz="18" w:space="0" w:color="FFFFFF"/>
            </w:tcBorders>
            <w:shd w:val="clear" w:color="auto" w:fill="D99594"/>
          </w:tcPr>
          <w:p w14:paraId="68648E69" w14:textId="77777777" w:rsidR="00D6486B" w:rsidRPr="009651AC" w:rsidRDefault="00D6486B" w:rsidP="007A1164">
            <w:pPr>
              <w:rPr>
                <w:rFonts w:ascii="Gill Sans" w:hAnsi="Gill Sans" w:cs="Gill Sans"/>
                <w:sz w:val="22"/>
                <w:szCs w:val="22"/>
                <w:lang w:val="en-GB"/>
              </w:rPr>
            </w:pPr>
          </w:p>
        </w:tc>
      </w:tr>
      <w:tr w:rsidR="00D6486B" w:rsidRPr="009651AC" w14:paraId="49222EC1" w14:textId="77777777" w:rsidTr="00B223BA">
        <w:trPr>
          <w:cantSplit/>
          <w:trHeight w:val="2336"/>
        </w:trPr>
        <w:tc>
          <w:tcPr>
            <w:tcW w:w="1413" w:type="dxa"/>
            <w:vMerge/>
            <w:tcBorders>
              <w:left w:val="single" w:sz="4" w:space="0" w:color="FFFFFF"/>
              <w:right w:val="single" w:sz="18" w:space="0" w:color="FFFFFF"/>
            </w:tcBorders>
            <w:shd w:val="clear" w:color="auto" w:fill="000000"/>
          </w:tcPr>
          <w:p w14:paraId="58EF2F0B" w14:textId="4217B43D" w:rsidR="00D6486B" w:rsidRPr="009651AC" w:rsidRDefault="00D6486B" w:rsidP="007A1164">
            <w:pPr>
              <w:rPr>
                <w:rFonts w:ascii="Gill Sans" w:hAnsi="Gill Sans" w:cs="Gill Sans"/>
                <w:color w:val="FFFFFF" w:themeColor="background1"/>
                <w:sz w:val="22"/>
                <w:szCs w:val="22"/>
                <w:lang w:val="en-GB"/>
              </w:rPr>
            </w:pPr>
          </w:p>
        </w:tc>
        <w:tc>
          <w:tcPr>
            <w:tcW w:w="347"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6AECAD82"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None</w:t>
            </w:r>
          </w:p>
        </w:tc>
        <w:tc>
          <w:tcPr>
            <w:tcW w:w="354"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14C93F61"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Low</w:t>
            </w:r>
          </w:p>
        </w:tc>
        <w:tc>
          <w:tcPr>
            <w:tcW w:w="328"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07911621"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Medium</w:t>
            </w:r>
          </w:p>
        </w:tc>
        <w:tc>
          <w:tcPr>
            <w:tcW w:w="417"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640A91B4"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High</w:t>
            </w:r>
          </w:p>
        </w:tc>
        <w:tc>
          <w:tcPr>
            <w:tcW w:w="341"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04849C8E"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41"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6E76B838"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41"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5B8624DE"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798"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44414179"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74"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16799D38"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None</w:t>
            </w:r>
          </w:p>
        </w:tc>
        <w:tc>
          <w:tcPr>
            <w:tcW w:w="42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52913426"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Minor</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278A8899"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Moderate</w:t>
            </w:r>
          </w:p>
        </w:tc>
        <w:tc>
          <w:tcPr>
            <w:tcW w:w="409"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08A7138D"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466"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0CA5C405" w14:textId="4006AEB9"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493"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4E5DA558"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Limited</w:t>
            </w:r>
          </w:p>
        </w:tc>
        <w:tc>
          <w:tcPr>
            <w:tcW w:w="493"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799CFD47"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Substantial</w:t>
            </w:r>
          </w:p>
        </w:tc>
        <w:tc>
          <w:tcPr>
            <w:tcW w:w="417"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16AD849B"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Completed</w:t>
            </w:r>
          </w:p>
        </w:tc>
        <w:tc>
          <w:tcPr>
            <w:tcW w:w="34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19C4F2DF" w14:textId="680D1050"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Worsen</w:t>
            </w:r>
            <w:r w:rsidR="00AA2264">
              <w:rPr>
                <w:rFonts w:ascii="Gill Sans" w:hAnsi="Gill Sans" w:cs="Gill Sans"/>
                <w:sz w:val="22"/>
                <w:szCs w:val="22"/>
                <w:lang w:val="en-GB"/>
              </w:rPr>
              <w:t>ed</w:t>
            </w:r>
          </w:p>
        </w:tc>
        <w:tc>
          <w:tcPr>
            <w:tcW w:w="38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3A61035" w14:textId="02027DAD"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37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4C887C4"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Marginal</w:t>
            </w:r>
          </w:p>
        </w:tc>
        <w:tc>
          <w:tcPr>
            <w:tcW w:w="41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C0D1AC2"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562"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3DC852ED" w14:textId="77777777" w:rsidR="00D6486B" w:rsidRPr="009651AC" w:rsidRDefault="00D6486B" w:rsidP="007A1164">
            <w:pPr>
              <w:rPr>
                <w:rFonts w:ascii="Gill Sans" w:hAnsi="Gill Sans" w:cs="Gill Sans"/>
                <w:sz w:val="22"/>
                <w:szCs w:val="22"/>
                <w:lang w:val="en-GB"/>
              </w:rPr>
            </w:pPr>
            <w:r w:rsidRPr="009651AC">
              <w:rPr>
                <w:rFonts w:ascii="Gill Sans" w:hAnsi="Gill Sans" w:cs="Gill Sans"/>
                <w:sz w:val="22"/>
                <w:szCs w:val="22"/>
                <w:lang w:val="en-GB"/>
              </w:rPr>
              <w:t>Outstanding</w:t>
            </w:r>
          </w:p>
        </w:tc>
      </w:tr>
      <w:tr w:rsidR="00D6486B" w:rsidRPr="009651AC" w14:paraId="0B7A2AD3" w14:textId="77777777" w:rsidTr="00B223BA">
        <w:trPr>
          <w:trHeight w:val="340"/>
        </w:trPr>
        <w:tc>
          <w:tcPr>
            <w:tcW w:w="1413" w:type="dxa"/>
            <w:vMerge/>
            <w:tcBorders>
              <w:left w:val="single" w:sz="4" w:space="0" w:color="FFFFFF"/>
              <w:right w:val="single" w:sz="18" w:space="0" w:color="FFFFFF"/>
            </w:tcBorders>
            <w:shd w:val="clear" w:color="auto" w:fill="000000"/>
          </w:tcPr>
          <w:p w14:paraId="3F688817" w14:textId="32B7D6C8" w:rsidR="00D6486B" w:rsidRPr="009651AC" w:rsidRDefault="00D6486B" w:rsidP="007A1164">
            <w:pPr>
              <w:rPr>
                <w:rFonts w:ascii="Gill Sans" w:hAnsi="Gill Sans" w:cs="Gill Sans"/>
                <w:noProof/>
                <w:color w:val="FFFFFF" w:themeColor="background1"/>
                <w:sz w:val="22"/>
                <w:szCs w:val="22"/>
                <w:lang w:val="en-GB"/>
              </w:rPr>
            </w:pPr>
          </w:p>
        </w:tc>
        <w:tc>
          <w:tcPr>
            <w:tcW w:w="347" w:type="dxa"/>
            <w:vMerge w:val="restart"/>
            <w:tcBorders>
              <w:top w:val="single" w:sz="18" w:space="0" w:color="FFFFFF"/>
              <w:left w:val="single" w:sz="18" w:space="0" w:color="FFFFFF"/>
              <w:right w:val="single" w:sz="2" w:space="0" w:color="FFFFFF"/>
            </w:tcBorders>
            <w:shd w:val="clear" w:color="auto" w:fill="D6E3BC"/>
          </w:tcPr>
          <w:p w14:paraId="2839BC5D" w14:textId="77777777" w:rsidR="00D6486B" w:rsidRPr="009651AC" w:rsidRDefault="00D6486B" w:rsidP="007A1164">
            <w:pPr>
              <w:jc w:val="center"/>
              <w:rPr>
                <w:rFonts w:ascii="Gill Sans" w:hAnsi="Gill Sans" w:cs="Gill Sans"/>
                <w:sz w:val="22"/>
                <w:szCs w:val="22"/>
                <w:lang w:val="en-GB"/>
              </w:rPr>
            </w:pPr>
          </w:p>
        </w:tc>
        <w:tc>
          <w:tcPr>
            <w:tcW w:w="354" w:type="dxa"/>
            <w:vMerge w:val="restart"/>
            <w:tcBorders>
              <w:top w:val="single" w:sz="18" w:space="0" w:color="FFFFFF"/>
              <w:left w:val="single" w:sz="2" w:space="0" w:color="FFFFFF"/>
              <w:right w:val="single" w:sz="2" w:space="0" w:color="FFFFFF"/>
            </w:tcBorders>
            <w:shd w:val="clear" w:color="auto" w:fill="D6E3BC"/>
          </w:tcPr>
          <w:p w14:paraId="49FC05BD" w14:textId="7455BE5F" w:rsidR="00D6486B" w:rsidRPr="00466E44" w:rsidRDefault="00D6486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28" w:type="dxa"/>
            <w:vMerge w:val="restart"/>
            <w:tcBorders>
              <w:top w:val="single" w:sz="18" w:space="0" w:color="FFFFFF"/>
              <w:left w:val="single" w:sz="2" w:space="0" w:color="FFFFFF"/>
              <w:right w:val="single" w:sz="2" w:space="0" w:color="FFFFFF"/>
            </w:tcBorders>
            <w:shd w:val="clear" w:color="auto" w:fill="D6E3BC"/>
          </w:tcPr>
          <w:p w14:paraId="64750836" w14:textId="77777777" w:rsidR="00D6486B" w:rsidRPr="00466E44" w:rsidRDefault="00D6486B" w:rsidP="00466E44">
            <w:pPr>
              <w:rPr>
                <w:rFonts w:ascii="Zapf Dingbats" w:eastAsia="MS Mincho" w:hAnsi="Zapf Dingbats" w:cs="MS Mincho"/>
                <w:noProof/>
                <w:sz w:val="22"/>
                <w:szCs w:val="22"/>
                <w:lang w:val="en-GB"/>
              </w:rPr>
            </w:pPr>
          </w:p>
        </w:tc>
        <w:tc>
          <w:tcPr>
            <w:tcW w:w="417" w:type="dxa"/>
            <w:vMerge w:val="restart"/>
            <w:tcBorders>
              <w:top w:val="single" w:sz="18" w:space="0" w:color="FFFFFF"/>
              <w:left w:val="single" w:sz="2" w:space="0" w:color="FFFFFF"/>
              <w:right w:val="single" w:sz="18" w:space="0" w:color="FFFFFF"/>
            </w:tcBorders>
            <w:shd w:val="clear" w:color="auto" w:fill="D6E3BC"/>
          </w:tcPr>
          <w:p w14:paraId="78C8F6AD" w14:textId="1B53AE63" w:rsidR="00D6486B" w:rsidRPr="009651AC" w:rsidRDefault="00D6486B" w:rsidP="007A1164">
            <w:pPr>
              <w:jc w:val="center"/>
              <w:rPr>
                <w:rFonts w:ascii="Gill Sans" w:hAnsi="Gill Sans" w:cs="Gill Sans"/>
                <w:noProof/>
                <w:sz w:val="22"/>
                <w:szCs w:val="22"/>
                <w:lang w:val="en-GB"/>
              </w:rPr>
            </w:pPr>
          </w:p>
        </w:tc>
        <w:tc>
          <w:tcPr>
            <w:tcW w:w="1821" w:type="dxa"/>
            <w:gridSpan w:val="4"/>
            <w:vMerge w:val="restart"/>
            <w:tcBorders>
              <w:top w:val="single" w:sz="18" w:space="0" w:color="FFFFFF"/>
              <w:left w:val="single" w:sz="2" w:space="0" w:color="FFFFFF"/>
              <w:right w:val="single" w:sz="18" w:space="0" w:color="FFFFFF"/>
            </w:tcBorders>
            <w:shd w:val="clear" w:color="auto" w:fill="FBD4B4"/>
          </w:tcPr>
          <w:p w14:paraId="05F40448" w14:textId="160E82D2" w:rsidR="00D6486B" w:rsidRPr="009651AC" w:rsidRDefault="00D6486B" w:rsidP="007A1164">
            <w:pPr>
              <w:jc w:val="center"/>
              <w:rPr>
                <w:rFonts w:ascii="Gill Sans" w:hAnsi="Gill Sans" w:cs="Gill Sans"/>
                <w:sz w:val="22"/>
                <w:szCs w:val="22"/>
                <w:lang w:val="en-GB"/>
              </w:rPr>
            </w:pPr>
            <w:r>
              <w:rPr>
                <w:rFonts w:ascii="Gill Sans" w:hAnsi="Gill Sans" w:cs="Gill Sans"/>
                <w:sz w:val="22"/>
                <w:szCs w:val="22"/>
                <w:lang w:val="en-GB"/>
              </w:rPr>
              <w:t>Unclear</w:t>
            </w:r>
          </w:p>
        </w:tc>
        <w:tc>
          <w:tcPr>
            <w:tcW w:w="374" w:type="dxa"/>
            <w:vMerge w:val="restart"/>
            <w:tcBorders>
              <w:top w:val="single" w:sz="18" w:space="0" w:color="FFFFFF"/>
              <w:left w:val="single" w:sz="18" w:space="0" w:color="FFFFFF"/>
              <w:right w:val="single" w:sz="2" w:space="0" w:color="FFFFFF"/>
            </w:tcBorders>
            <w:shd w:val="clear" w:color="auto" w:fill="CCC0D9"/>
          </w:tcPr>
          <w:p w14:paraId="7D54DF92" w14:textId="45BD7AAB" w:rsidR="00D6486B" w:rsidRPr="00466E44" w:rsidRDefault="00D6486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20" w:type="dxa"/>
            <w:vMerge w:val="restart"/>
            <w:tcBorders>
              <w:top w:val="single" w:sz="18" w:space="0" w:color="FFFFFF"/>
              <w:left w:val="single" w:sz="2" w:space="0" w:color="FFFFFF"/>
              <w:right w:val="single" w:sz="2" w:space="0" w:color="FFFFFF"/>
            </w:tcBorders>
            <w:shd w:val="clear" w:color="auto" w:fill="CCC0D9"/>
          </w:tcPr>
          <w:p w14:paraId="3C11E4B1" w14:textId="1117DDCC" w:rsidR="00D6486B" w:rsidRPr="00466E44" w:rsidRDefault="00D6486B" w:rsidP="00466E44">
            <w:pPr>
              <w:rPr>
                <w:rFonts w:ascii="Zapf Dingbats" w:eastAsia="MS Mincho" w:hAnsi="Zapf Dingbats" w:cs="MS Mincho"/>
                <w:noProof/>
                <w:sz w:val="22"/>
                <w:szCs w:val="22"/>
                <w:lang w:val="en-GB"/>
              </w:rPr>
            </w:pPr>
          </w:p>
        </w:tc>
        <w:tc>
          <w:tcPr>
            <w:tcW w:w="341" w:type="dxa"/>
            <w:vMerge w:val="restart"/>
            <w:tcBorders>
              <w:top w:val="single" w:sz="18" w:space="0" w:color="FFFFFF"/>
              <w:left w:val="single" w:sz="2" w:space="0" w:color="FFFFFF"/>
              <w:right w:val="single" w:sz="2" w:space="0" w:color="FFFFFF"/>
            </w:tcBorders>
            <w:shd w:val="clear" w:color="auto" w:fill="CCC0D9"/>
          </w:tcPr>
          <w:p w14:paraId="157F2F7F" w14:textId="77777777" w:rsidR="00D6486B" w:rsidRPr="00466E44" w:rsidRDefault="00D6486B" w:rsidP="00466E44">
            <w:pPr>
              <w:rPr>
                <w:rFonts w:ascii="Zapf Dingbats" w:eastAsia="MS Mincho" w:hAnsi="Zapf Dingbats" w:cs="MS Mincho"/>
                <w:noProof/>
                <w:sz w:val="22"/>
                <w:szCs w:val="22"/>
                <w:lang w:val="en-GB"/>
              </w:rPr>
            </w:pPr>
          </w:p>
        </w:tc>
        <w:tc>
          <w:tcPr>
            <w:tcW w:w="409" w:type="dxa"/>
            <w:vMerge w:val="restart"/>
            <w:tcBorders>
              <w:top w:val="single" w:sz="18" w:space="0" w:color="FFFFFF"/>
              <w:left w:val="single" w:sz="2" w:space="0" w:color="FFFFFF"/>
              <w:right w:val="single" w:sz="18" w:space="0" w:color="FFFFFF"/>
            </w:tcBorders>
            <w:shd w:val="clear" w:color="auto" w:fill="CCC0D9"/>
          </w:tcPr>
          <w:p w14:paraId="4B4DE2C5" w14:textId="77777777" w:rsidR="00D6486B" w:rsidRPr="00466E44" w:rsidRDefault="00D6486B" w:rsidP="00466E44">
            <w:pPr>
              <w:rPr>
                <w:rFonts w:ascii="Zapf Dingbats" w:eastAsia="MS Mincho" w:hAnsi="Zapf Dingbats" w:cs="MS Mincho"/>
                <w:noProof/>
                <w:sz w:val="22"/>
                <w:szCs w:val="22"/>
                <w:lang w:val="en-GB"/>
              </w:rPr>
            </w:pPr>
          </w:p>
        </w:tc>
        <w:tc>
          <w:tcPr>
            <w:tcW w:w="466"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06016BEC" w14:textId="77777777" w:rsidR="00D6486B" w:rsidRPr="00466E44" w:rsidRDefault="00D6486B" w:rsidP="00466E44">
            <w:pPr>
              <w:rPr>
                <w:rFonts w:ascii="Zapf Dingbats" w:eastAsia="MS Mincho" w:hAnsi="Zapf Dingbats" w:cs="MS Mincho"/>
                <w:noProof/>
                <w:sz w:val="22"/>
                <w:szCs w:val="22"/>
                <w:lang w:val="en-GB"/>
              </w:rPr>
            </w:pPr>
          </w:p>
        </w:tc>
        <w:tc>
          <w:tcPr>
            <w:tcW w:w="493"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F95F3BA" w14:textId="77777777" w:rsidR="00D6486B" w:rsidRPr="00466E44" w:rsidRDefault="00D6486B" w:rsidP="00466E44">
            <w:pPr>
              <w:rPr>
                <w:rFonts w:ascii="Zapf Dingbats" w:eastAsia="MS Mincho" w:hAnsi="Zapf Dingbats" w:cs="MS Mincho"/>
                <w:noProof/>
                <w:sz w:val="22"/>
                <w:szCs w:val="22"/>
                <w:lang w:val="en-GB"/>
              </w:rPr>
            </w:pPr>
          </w:p>
        </w:tc>
        <w:tc>
          <w:tcPr>
            <w:tcW w:w="493"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6B43336" w14:textId="77777777" w:rsidR="00D6486B" w:rsidRPr="00466E44" w:rsidRDefault="00D6486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17"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3A1D7636" w14:textId="77777777" w:rsidR="00D6486B" w:rsidRPr="009651AC" w:rsidRDefault="00D6486B" w:rsidP="007A1164">
            <w:pPr>
              <w:jc w:val="center"/>
              <w:rPr>
                <w:rFonts w:ascii="Gill Sans" w:hAnsi="Gill Sans" w:cs="Gill Sans"/>
                <w:sz w:val="22"/>
                <w:szCs w:val="22"/>
                <w:lang w:val="en-GB"/>
              </w:rPr>
            </w:pPr>
          </w:p>
        </w:tc>
        <w:tc>
          <w:tcPr>
            <w:tcW w:w="341" w:type="dxa"/>
            <w:vMerge w:val="restart"/>
            <w:tcBorders>
              <w:top w:val="single" w:sz="18" w:space="0" w:color="FFFFFF"/>
              <w:left w:val="single" w:sz="18" w:space="0" w:color="FFFFFF"/>
              <w:right w:val="single" w:sz="2" w:space="0" w:color="FFFFFF"/>
            </w:tcBorders>
            <w:shd w:val="clear" w:color="auto" w:fill="D99594"/>
          </w:tcPr>
          <w:p w14:paraId="174CB60F" w14:textId="77777777" w:rsidR="00D6486B" w:rsidRPr="009651AC" w:rsidRDefault="00D6486B" w:rsidP="007A1164">
            <w:pPr>
              <w:jc w:val="center"/>
              <w:rPr>
                <w:rFonts w:ascii="Gill Sans" w:hAnsi="Gill Sans" w:cs="Gill Sans"/>
                <w:sz w:val="22"/>
                <w:szCs w:val="22"/>
                <w:lang w:val="en-GB"/>
              </w:rPr>
            </w:pPr>
          </w:p>
        </w:tc>
        <w:tc>
          <w:tcPr>
            <w:tcW w:w="387" w:type="dxa"/>
            <w:vMerge w:val="restart"/>
            <w:tcBorders>
              <w:top w:val="single" w:sz="18" w:space="0" w:color="FFFFFF"/>
              <w:left w:val="single" w:sz="2" w:space="0" w:color="FFFFFF"/>
              <w:right w:val="single" w:sz="2" w:space="0" w:color="FFFFFF"/>
            </w:tcBorders>
            <w:shd w:val="clear" w:color="auto" w:fill="D99594"/>
          </w:tcPr>
          <w:p w14:paraId="74F11904" w14:textId="5BA48F42" w:rsidR="00D6486B" w:rsidRPr="00466E44" w:rsidRDefault="00D6486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70" w:type="dxa"/>
            <w:vMerge w:val="restart"/>
            <w:tcBorders>
              <w:top w:val="single" w:sz="18" w:space="0" w:color="FFFFFF"/>
              <w:left w:val="single" w:sz="2" w:space="0" w:color="FFFFFF"/>
              <w:right w:val="single" w:sz="2" w:space="0" w:color="FFFFFF"/>
            </w:tcBorders>
            <w:shd w:val="clear" w:color="auto" w:fill="D99594"/>
          </w:tcPr>
          <w:p w14:paraId="605997CD" w14:textId="77777777" w:rsidR="00D6486B" w:rsidRPr="00466E44" w:rsidRDefault="00D6486B" w:rsidP="00466E44">
            <w:pPr>
              <w:rPr>
                <w:rFonts w:ascii="Zapf Dingbats" w:eastAsia="MS Mincho" w:hAnsi="Zapf Dingbats" w:cs="MS Mincho"/>
                <w:noProof/>
                <w:sz w:val="22"/>
                <w:szCs w:val="22"/>
                <w:lang w:val="en-GB"/>
              </w:rPr>
            </w:pPr>
          </w:p>
        </w:tc>
        <w:tc>
          <w:tcPr>
            <w:tcW w:w="417" w:type="dxa"/>
            <w:vMerge w:val="restart"/>
            <w:tcBorders>
              <w:top w:val="single" w:sz="18" w:space="0" w:color="FFFFFF"/>
              <w:left w:val="single" w:sz="2" w:space="0" w:color="FFFFFF"/>
              <w:right w:val="single" w:sz="2" w:space="0" w:color="FFFFFF"/>
            </w:tcBorders>
            <w:shd w:val="clear" w:color="auto" w:fill="D99594"/>
          </w:tcPr>
          <w:p w14:paraId="68217C4C" w14:textId="77777777" w:rsidR="00D6486B" w:rsidRPr="008E2D1E" w:rsidRDefault="00D6486B" w:rsidP="007A1164">
            <w:pPr>
              <w:jc w:val="center"/>
              <w:rPr>
                <w:rFonts w:ascii="Gill Sans" w:hAnsi="Gill Sans" w:cs="Gill Sans"/>
                <w:noProof/>
                <w:sz w:val="22"/>
                <w:szCs w:val="22"/>
              </w:rPr>
            </w:pPr>
          </w:p>
        </w:tc>
        <w:tc>
          <w:tcPr>
            <w:tcW w:w="562" w:type="dxa"/>
            <w:vMerge w:val="restart"/>
            <w:tcBorders>
              <w:top w:val="single" w:sz="18" w:space="0" w:color="FFFFFF"/>
              <w:left w:val="single" w:sz="2" w:space="0" w:color="FFFFFF"/>
              <w:right w:val="single" w:sz="18" w:space="0" w:color="FFFFFF"/>
            </w:tcBorders>
            <w:shd w:val="clear" w:color="auto" w:fill="D99594"/>
          </w:tcPr>
          <w:p w14:paraId="67AA4DDE" w14:textId="5318C100" w:rsidR="00D6486B" w:rsidRPr="000D214B" w:rsidRDefault="00D6486B" w:rsidP="007A1164">
            <w:pPr>
              <w:jc w:val="center"/>
              <w:rPr>
                <w:rFonts w:ascii="Gill Sans" w:hAnsi="Gill Sans" w:cs="Gill Sans"/>
                <w:b/>
                <w:sz w:val="22"/>
                <w:szCs w:val="22"/>
                <w:lang w:val="en-GB"/>
              </w:rPr>
            </w:pPr>
          </w:p>
        </w:tc>
      </w:tr>
      <w:tr w:rsidR="00D6486B" w:rsidRPr="009651AC" w14:paraId="4DE7D86B" w14:textId="77777777" w:rsidTr="00B223BA">
        <w:trPr>
          <w:trHeight w:val="340"/>
        </w:trPr>
        <w:tc>
          <w:tcPr>
            <w:tcW w:w="1413" w:type="dxa"/>
            <w:vMerge/>
            <w:tcBorders>
              <w:left w:val="single" w:sz="4" w:space="0" w:color="FFFFFF"/>
              <w:right w:val="single" w:sz="18" w:space="0" w:color="FFFFFF"/>
            </w:tcBorders>
            <w:shd w:val="clear" w:color="auto" w:fill="000000"/>
          </w:tcPr>
          <w:p w14:paraId="68C986B7" w14:textId="77777777" w:rsidR="00D6486B" w:rsidRPr="009651AC" w:rsidRDefault="00D6486B" w:rsidP="007A1164">
            <w:pPr>
              <w:rPr>
                <w:rFonts w:ascii="Gill Sans" w:hAnsi="Gill Sans" w:cs="Gill Sans"/>
                <w:color w:val="FFFFFF" w:themeColor="background1"/>
                <w:sz w:val="22"/>
                <w:szCs w:val="22"/>
                <w:lang w:val="en-GB"/>
              </w:rPr>
            </w:pPr>
          </w:p>
        </w:tc>
        <w:tc>
          <w:tcPr>
            <w:tcW w:w="347" w:type="dxa"/>
            <w:vMerge/>
            <w:tcBorders>
              <w:left w:val="single" w:sz="18" w:space="0" w:color="FFFFFF"/>
              <w:right w:val="single" w:sz="2" w:space="0" w:color="FFFFFF"/>
            </w:tcBorders>
            <w:shd w:val="clear" w:color="auto" w:fill="D6E3BC"/>
          </w:tcPr>
          <w:p w14:paraId="1641FED0" w14:textId="77777777" w:rsidR="00D6486B" w:rsidRPr="009651AC" w:rsidRDefault="00D6486B" w:rsidP="007A1164">
            <w:pPr>
              <w:rPr>
                <w:rFonts w:ascii="Gill Sans" w:hAnsi="Gill Sans" w:cs="Gill Sans"/>
                <w:sz w:val="22"/>
                <w:szCs w:val="22"/>
                <w:lang w:val="en-GB"/>
              </w:rPr>
            </w:pPr>
          </w:p>
        </w:tc>
        <w:tc>
          <w:tcPr>
            <w:tcW w:w="354" w:type="dxa"/>
            <w:vMerge/>
            <w:tcBorders>
              <w:left w:val="single" w:sz="2" w:space="0" w:color="FFFFFF"/>
              <w:right w:val="single" w:sz="2" w:space="0" w:color="FFFFFF"/>
            </w:tcBorders>
            <w:shd w:val="clear" w:color="auto" w:fill="D6E3BC"/>
          </w:tcPr>
          <w:p w14:paraId="7CD92D5A" w14:textId="77777777" w:rsidR="00D6486B" w:rsidRPr="009651AC" w:rsidRDefault="00D6486B" w:rsidP="007A1164">
            <w:pPr>
              <w:rPr>
                <w:rFonts w:ascii="Gill Sans" w:hAnsi="Gill Sans" w:cs="Gill Sans"/>
                <w:sz w:val="22"/>
                <w:szCs w:val="22"/>
                <w:lang w:val="en-GB"/>
              </w:rPr>
            </w:pPr>
          </w:p>
        </w:tc>
        <w:tc>
          <w:tcPr>
            <w:tcW w:w="328" w:type="dxa"/>
            <w:vMerge/>
            <w:tcBorders>
              <w:left w:val="single" w:sz="2" w:space="0" w:color="FFFFFF"/>
              <w:right w:val="single" w:sz="2" w:space="0" w:color="FFFFFF"/>
            </w:tcBorders>
            <w:shd w:val="clear" w:color="auto" w:fill="D6E3BC"/>
          </w:tcPr>
          <w:p w14:paraId="32ADD3F3" w14:textId="77777777" w:rsidR="00D6486B" w:rsidRPr="009651AC" w:rsidRDefault="00D6486B" w:rsidP="007A1164">
            <w:pPr>
              <w:rPr>
                <w:rFonts w:ascii="Gill Sans" w:hAnsi="Gill Sans" w:cs="Gill Sans"/>
                <w:sz w:val="22"/>
                <w:szCs w:val="22"/>
                <w:lang w:val="en-GB"/>
              </w:rPr>
            </w:pPr>
          </w:p>
        </w:tc>
        <w:tc>
          <w:tcPr>
            <w:tcW w:w="417" w:type="dxa"/>
            <w:vMerge/>
            <w:tcBorders>
              <w:left w:val="single" w:sz="2" w:space="0" w:color="FFFFFF"/>
              <w:right w:val="single" w:sz="18" w:space="0" w:color="FFFFFF"/>
            </w:tcBorders>
            <w:shd w:val="clear" w:color="auto" w:fill="D6E3BC"/>
          </w:tcPr>
          <w:p w14:paraId="51A8EDAA" w14:textId="77777777" w:rsidR="00D6486B" w:rsidRPr="009651AC" w:rsidRDefault="00D6486B" w:rsidP="007A1164">
            <w:pPr>
              <w:rPr>
                <w:rFonts w:ascii="Gill Sans" w:hAnsi="Gill Sans" w:cs="Gill Sans"/>
                <w:noProof/>
                <w:sz w:val="22"/>
                <w:szCs w:val="22"/>
                <w:lang w:val="en-GB"/>
              </w:rPr>
            </w:pPr>
          </w:p>
        </w:tc>
        <w:tc>
          <w:tcPr>
            <w:tcW w:w="1821" w:type="dxa"/>
            <w:gridSpan w:val="4"/>
            <w:vMerge/>
            <w:tcBorders>
              <w:left w:val="single" w:sz="2" w:space="0" w:color="FFFFFF"/>
              <w:right w:val="single" w:sz="18" w:space="0" w:color="FFFFFF"/>
            </w:tcBorders>
            <w:shd w:val="clear" w:color="auto" w:fill="FBD4B4"/>
          </w:tcPr>
          <w:p w14:paraId="65F1EEBC" w14:textId="77777777" w:rsidR="00D6486B" w:rsidRPr="009651AC" w:rsidRDefault="00D6486B" w:rsidP="007A1164">
            <w:pPr>
              <w:rPr>
                <w:rFonts w:ascii="Gill Sans" w:hAnsi="Gill Sans" w:cs="Gill Sans"/>
                <w:sz w:val="22"/>
                <w:szCs w:val="22"/>
                <w:lang w:val="en-GB"/>
              </w:rPr>
            </w:pPr>
          </w:p>
        </w:tc>
        <w:tc>
          <w:tcPr>
            <w:tcW w:w="374" w:type="dxa"/>
            <w:vMerge/>
            <w:tcBorders>
              <w:left w:val="single" w:sz="18" w:space="0" w:color="FFFFFF"/>
              <w:right w:val="single" w:sz="2" w:space="0" w:color="FFFFFF"/>
            </w:tcBorders>
            <w:shd w:val="clear" w:color="auto" w:fill="CCC0D9"/>
          </w:tcPr>
          <w:p w14:paraId="0D608A9A" w14:textId="77777777" w:rsidR="00D6486B" w:rsidRPr="00466E44" w:rsidRDefault="00D6486B" w:rsidP="007A1164">
            <w:pPr>
              <w:rPr>
                <w:rFonts w:ascii="Zapf Dingbats" w:eastAsia="MS Mincho" w:hAnsi="Zapf Dingbats" w:cs="MS Mincho"/>
                <w:noProof/>
                <w:sz w:val="22"/>
                <w:szCs w:val="22"/>
                <w:lang w:val="en-GB"/>
              </w:rPr>
            </w:pPr>
          </w:p>
        </w:tc>
        <w:tc>
          <w:tcPr>
            <w:tcW w:w="420" w:type="dxa"/>
            <w:vMerge/>
            <w:tcBorders>
              <w:left w:val="single" w:sz="2" w:space="0" w:color="FFFFFF"/>
              <w:right w:val="single" w:sz="2" w:space="0" w:color="FFFFFF"/>
            </w:tcBorders>
            <w:shd w:val="clear" w:color="auto" w:fill="CCC0D9"/>
          </w:tcPr>
          <w:p w14:paraId="4BB1E36D" w14:textId="77777777" w:rsidR="00D6486B" w:rsidRPr="00466E44" w:rsidRDefault="00D6486B" w:rsidP="007A1164">
            <w:pPr>
              <w:rPr>
                <w:rFonts w:ascii="Zapf Dingbats" w:eastAsia="MS Mincho" w:hAnsi="Zapf Dingbats" w:cs="MS Mincho"/>
                <w:noProof/>
                <w:sz w:val="22"/>
                <w:szCs w:val="22"/>
                <w:lang w:val="en-GB"/>
              </w:rPr>
            </w:pPr>
          </w:p>
        </w:tc>
        <w:tc>
          <w:tcPr>
            <w:tcW w:w="341" w:type="dxa"/>
            <w:vMerge/>
            <w:tcBorders>
              <w:left w:val="single" w:sz="2" w:space="0" w:color="FFFFFF"/>
              <w:right w:val="single" w:sz="2" w:space="0" w:color="FFFFFF"/>
            </w:tcBorders>
            <w:shd w:val="clear" w:color="auto" w:fill="CCC0D9"/>
          </w:tcPr>
          <w:p w14:paraId="026EB042" w14:textId="77777777" w:rsidR="00D6486B" w:rsidRPr="00466E44" w:rsidRDefault="00D6486B" w:rsidP="007A1164">
            <w:pPr>
              <w:rPr>
                <w:rFonts w:ascii="Zapf Dingbats" w:eastAsia="MS Mincho" w:hAnsi="Zapf Dingbats" w:cs="MS Mincho"/>
                <w:noProof/>
                <w:sz w:val="22"/>
                <w:szCs w:val="22"/>
                <w:lang w:val="en-GB"/>
              </w:rPr>
            </w:pPr>
          </w:p>
        </w:tc>
        <w:tc>
          <w:tcPr>
            <w:tcW w:w="409" w:type="dxa"/>
            <w:vMerge/>
            <w:tcBorders>
              <w:left w:val="single" w:sz="2" w:space="0" w:color="FFFFFF"/>
              <w:right w:val="single" w:sz="18" w:space="0" w:color="FFFFFF"/>
            </w:tcBorders>
            <w:shd w:val="clear" w:color="auto" w:fill="CCC0D9"/>
          </w:tcPr>
          <w:p w14:paraId="6B6C776A" w14:textId="77777777" w:rsidR="00D6486B" w:rsidRPr="00466E44" w:rsidRDefault="00D6486B" w:rsidP="007A1164">
            <w:pPr>
              <w:rPr>
                <w:rFonts w:ascii="Zapf Dingbats" w:eastAsia="MS Mincho" w:hAnsi="Zapf Dingbats" w:cs="MS Mincho"/>
                <w:noProof/>
                <w:sz w:val="22"/>
                <w:szCs w:val="22"/>
                <w:lang w:val="en-GB"/>
              </w:rPr>
            </w:pPr>
          </w:p>
        </w:tc>
        <w:tc>
          <w:tcPr>
            <w:tcW w:w="466"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3B2E1A7E" w14:textId="77777777" w:rsidR="00D6486B" w:rsidRPr="00466E44" w:rsidRDefault="00D6486B" w:rsidP="007A1164">
            <w:pPr>
              <w:rPr>
                <w:rFonts w:ascii="Zapf Dingbats" w:eastAsia="MS Mincho" w:hAnsi="Zapf Dingbats" w:cs="MS Mincho"/>
                <w:noProof/>
                <w:sz w:val="22"/>
                <w:szCs w:val="22"/>
                <w:lang w:val="en-GB"/>
              </w:rPr>
            </w:pPr>
          </w:p>
        </w:tc>
        <w:tc>
          <w:tcPr>
            <w:tcW w:w="493"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72BB1D6D" w14:textId="77777777" w:rsidR="00D6486B" w:rsidRPr="00466E44" w:rsidRDefault="00D6486B" w:rsidP="007A1164">
            <w:pPr>
              <w:rPr>
                <w:rFonts w:ascii="Zapf Dingbats" w:eastAsia="MS Mincho" w:hAnsi="Zapf Dingbats" w:cs="MS Mincho"/>
                <w:noProof/>
                <w:sz w:val="22"/>
                <w:szCs w:val="22"/>
                <w:lang w:val="en-GB"/>
              </w:rPr>
            </w:pPr>
          </w:p>
        </w:tc>
        <w:tc>
          <w:tcPr>
            <w:tcW w:w="493"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0F64CDA5" w14:textId="77777777" w:rsidR="00D6486B" w:rsidRPr="00466E44" w:rsidRDefault="00D6486B" w:rsidP="007A116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17"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2931EDE9" w14:textId="77777777" w:rsidR="00D6486B" w:rsidRPr="009651AC" w:rsidRDefault="00D6486B" w:rsidP="007A1164">
            <w:pPr>
              <w:jc w:val="center"/>
              <w:rPr>
                <w:rFonts w:ascii="Gill Sans" w:hAnsi="Gill Sans" w:cs="Gill Sans"/>
                <w:sz w:val="22"/>
                <w:szCs w:val="22"/>
                <w:lang w:val="en-GB"/>
              </w:rPr>
            </w:pPr>
          </w:p>
        </w:tc>
        <w:tc>
          <w:tcPr>
            <w:tcW w:w="341" w:type="dxa"/>
            <w:vMerge/>
            <w:tcBorders>
              <w:left w:val="single" w:sz="18" w:space="0" w:color="FFFFFF"/>
              <w:right w:val="single" w:sz="2" w:space="0" w:color="FFFFFF"/>
            </w:tcBorders>
            <w:shd w:val="clear" w:color="auto" w:fill="D99594"/>
          </w:tcPr>
          <w:p w14:paraId="7B80DB9B" w14:textId="77777777" w:rsidR="00D6486B" w:rsidRPr="009651AC" w:rsidRDefault="00D6486B" w:rsidP="007A1164">
            <w:pPr>
              <w:rPr>
                <w:rFonts w:ascii="Gill Sans" w:hAnsi="Gill Sans" w:cs="Gill Sans"/>
                <w:sz w:val="22"/>
                <w:szCs w:val="22"/>
                <w:lang w:val="en-GB"/>
              </w:rPr>
            </w:pPr>
          </w:p>
        </w:tc>
        <w:tc>
          <w:tcPr>
            <w:tcW w:w="387" w:type="dxa"/>
            <w:vMerge/>
            <w:tcBorders>
              <w:left w:val="single" w:sz="2" w:space="0" w:color="FFFFFF"/>
              <w:right w:val="single" w:sz="2" w:space="0" w:color="FFFFFF"/>
            </w:tcBorders>
            <w:shd w:val="clear" w:color="auto" w:fill="D99594"/>
          </w:tcPr>
          <w:p w14:paraId="1975D2F4" w14:textId="77777777" w:rsidR="00D6486B" w:rsidRPr="009651AC" w:rsidRDefault="00D6486B" w:rsidP="007A1164">
            <w:pPr>
              <w:rPr>
                <w:rFonts w:ascii="Gill Sans" w:hAnsi="Gill Sans" w:cs="Gill Sans"/>
                <w:sz w:val="22"/>
                <w:szCs w:val="22"/>
                <w:lang w:val="en-GB"/>
              </w:rPr>
            </w:pPr>
          </w:p>
        </w:tc>
        <w:tc>
          <w:tcPr>
            <w:tcW w:w="370" w:type="dxa"/>
            <w:vMerge/>
            <w:tcBorders>
              <w:left w:val="single" w:sz="2" w:space="0" w:color="FFFFFF"/>
              <w:right w:val="single" w:sz="2" w:space="0" w:color="FFFFFF"/>
            </w:tcBorders>
            <w:shd w:val="clear" w:color="auto" w:fill="D99594"/>
          </w:tcPr>
          <w:p w14:paraId="582AA80A" w14:textId="77777777" w:rsidR="00D6486B" w:rsidRPr="009651AC" w:rsidRDefault="00D6486B" w:rsidP="007A1164">
            <w:pPr>
              <w:rPr>
                <w:rFonts w:ascii="Gill Sans" w:hAnsi="Gill Sans" w:cs="Gill Sans"/>
                <w:sz w:val="22"/>
                <w:szCs w:val="22"/>
                <w:lang w:val="en-GB"/>
              </w:rPr>
            </w:pPr>
          </w:p>
        </w:tc>
        <w:tc>
          <w:tcPr>
            <w:tcW w:w="417" w:type="dxa"/>
            <w:vMerge/>
            <w:tcBorders>
              <w:left w:val="single" w:sz="2" w:space="0" w:color="FFFFFF"/>
              <w:right w:val="single" w:sz="2" w:space="0" w:color="FFFFFF"/>
            </w:tcBorders>
            <w:shd w:val="clear" w:color="auto" w:fill="D99594"/>
          </w:tcPr>
          <w:p w14:paraId="777D79D2" w14:textId="77777777" w:rsidR="00D6486B" w:rsidRPr="009651AC" w:rsidRDefault="00D6486B" w:rsidP="007A1164">
            <w:pPr>
              <w:rPr>
                <w:rFonts w:ascii="Gill Sans" w:hAnsi="Gill Sans" w:cs="Gill Sans"/>
                <w:noProof/>
                <w:sz w:val="22"/>
                <w:szCs w:val="22"/>
                <w:lang w:val="en-GB"/>
              </w:rPr>
            </w:pPr>
          </w:p>
        </w:tc>
        <w:tc>
          <w:tcPr>
            <w:tcW w:w="562" w:type="dxa"/>
            <w:vMerge/>
            <w:tcBorders>
              <w:left w:val="single" w:sz="2" w:space="0" w:color="FFFFFF"/>
              <w:right w:val="single" w:sz="18" w:space="0" w:color="FFFFFF"/>
            </w:tcBorders>
            <w:shd w:val="clear" w:color="auto" w:fill="D99594"/>
          </w:tcPr>
          <w:p w14:paraId="23B7669A" w14:textId="77777777" w:rsidR="00D6486B" w:rsidRPr="009651AC" w:rsidRDefault="00D6486B" w:rsidP="007A1164">
            <w:pPr>
              <w:rPr>
                <w:rFonts w:ascii="Gill Sans" w:hAnsi="Gill Sans" w:cs="Gill Sans"/>
                <w:sz w:val="22"/>
                <w:szCs w:val="22"/>
                <w:lang w:val="en-GB"/>
              </w:rPr>
            </w:pPr>
          </w:p>
        </w:tc>
      </w:tr>
    </w:tbl>
    <w:p w14:paraId="108F561A" w14:textId="77777777" w:rsidR="006558BF" w:rsidRPr="00E80E32" w:rsidRDefault="006558BF" w:rsidP="00163080"/>
    <w:p w14:paraId="3C00664C" w14:textId="61CAFF11" w:rsidR="0033158A" w:rsidRPr="00381EA9" w:rsidRDefault="0033158A" w:rsidP="006319F4">
      <w:pPr>
        <w:pStyle w:val="Heading3"/>
      </w:pPr>
      <w:r w:rsidRPr="00381EA9">
        <w:t xml:space="preserve">Commitment </w:t>
      </w:r>
      <w:r w:rsidR="0044786C">
        <w:t>a</w:t>
      </w:r>
      <w:r w:rsidRPr="00381EA9">
        <w:t>im</w:t>
      </w:r>
    </w:p>
    <w:p w14:paraId="61A05B29" w14:textId="6D8B953D" w:rsidR="00CC5A5D" w:rsidRPr="00381EA9" w:rsidRDefault="00CC5A5D" w:rsidP="00426663">
      <w:pPr>
        <w:spacing w:after="120"/>
        <w:rPr>
          <w:rFonts w:ascii="Gill Sans" w:hAnsi="Gill Sans" w:cs="Gill Sans"/>
          <w:sz w:val="22"/>
          <w:szCs w:val="22"/>
          <w:lang w:val="en-GB"/>
        </w:rPr>
      </w:pPr>
      <w:r w:rsidRPr="00381EA9">
        <w:rPr>
          <w:rFonts w:ascii="Gill Sans" w:hAnsi="Gill Sans" w:cs="Gill Sans"/>
          <w:sz w:val="22"/>
          <w:szCs w:val="22"/>
          <w:lang w:val="en-GB"/>
        </w:rPr>
        <w:t xml:space="preserve">The e-readiness assessment </w:t>
      </w:r>
      <w:r w:rsidR="0044786C">
        <w:rPr>
          <w:rFonts w:ascii="Gill Sans" w:hAnsi="Gill Sans" w:cs="Gill Sans"/>
          <w:sz w:val="22"/>
          <w:szCs w:val="22"/>
          <w:lang w:val="en-GB"/>
        </w:rPr>
        <w:t xml:space="preserve">was an effort </w:t>
      </w:r>
      <w:r w:rsidRPr="00381EA9">
        <w:rPr>
          <w:rFonts w:ascii="Gill Sans" w:hAnsi="Gill Sans" w:cs="Gill Sans"/>
          <w:sz w:val="22"/>
          <w:szCs w:val="22"/>
          <w:lang w:val="en-GB"/>
        </w:rPr>
        <w:t xml:space="preserve">to evaluate </w:t>
      </w:r>
      <w:r w:rsidR="0044786C">
        <w:rPr>
          <w:rFonts w:ascii="Gill Sans" w:hAnsi="Gill Sans" w:cs="Gill Sans"/>
          <w:sz w:val="22"/>
          <w:szCs w:val="22"/>
          <w:lang w:val="en-GB"/>
        </w:rPr>
        <w:t xml:space="preserve">how </w:t>
      </w:r>
      <w:r w:rsidRPr="00381EA9">
        <w:rPr>
          <w:rFonts w:ascii="Gill Sans" w:hAnsi="Gill Sans" w:cs="Gill Sans"/>
          <w:sz w:val="22"/>
          <w:szCs w:val="22"/>
          <w:lang w:val="en-GB"/>
        </w:rPr>
        <w:t>read</w:t>
      </w:r>
      <w:r w:rsidR="0044786C">
        <w:rPr>
          <w:rFonts w:ascii="Gill Sans" w:hAnsi="Gill Sans" w:cs="Gill Sans"/>
          <w:sz w:val="22"/>
          <w:szCs w:val="22"/>
          <w:lang w:val="en-GB"/>
        </w:rPr>
        <w:t>y</w:t>
      </w:r>
      <w:r w:rsidRPr="00381EA9">
        <w:rPr>
          <w:rFonts w:ascii="Gill Sans" w:hAnsi="Gill Sans" w:cs="Gill Sans"/>
          <w:sz w:val="22"/>
          <w:szCs w:val="22"/>
          <w:lang w:val="en-GB"/>
        </w:rPr>
        <w:t xml:space="preserve"> public authorities </w:t>
      </w:r>
      <w:r w:rsidR="0044786C">
        <w:rPr>
          <w:rFonts w:ascii="Gill Sans" w:hAnsi="Gill Sans" w:cs="Gill Sans"/>
          <w:sz w:val="22"/>
          <w:szCs w:val="22"/>
          <w:lang w:val="en-GB"/>
        </w:rPr>
        <w:t xml:space="preserve">were </w:t>
      </w:r>
      <w:r w:rsidRPr="00381EA9">
        <w:rPr>
          <w:rFonts w:ascii="Gill Sans" w:hAnsi="Gill Sans" w:cs="Gill Sans"/>
          <w:sz w:val="22"/>
          <w:szCs w:val="22"/>
          <w:lang w:val="en-GB"/>
        </w:rPr>
        <w:t xml:space="preserve">to provide high-quality electronic public services </w:t>
      </w:r>
      <w:r w:rsidR="00D6486B">
        <w:rPr>
          <w:rFonts w:ascii="Gill Sans" w:hAnsi="Gill Sans" w:cs="Gill Sans"/>
          <w:sz w:val="22"/>
          <w:szCs w:val="22"/>
          <w:lang w:val="en-GB"/>
        </w:rPr>
        <w:t>to</w:t>
      </w:r>
      <w:r w:rsidRPr="00381EA9">
        <w:rPr>
          <w:rFonts w:ascii="Gill Sans" w:hAnsi="Gill Sans" w:cs="Gill Sans"/>
          <w:sz w:val="22"/>
          <w:szCs w:val="22"/>
          <w:lang w:val="en-GB"/>
        </w:rPr>
        <w:t xml:space="preserve"> develop e-governance policies and e-democracy. The assessment </w:t>
      </w:r>
      <w:r w:rsidR="0044786C">
        <w:rPr>
          <w:rFonts w:ascii="Gill Sans" w:hAnsi="Gill Sans" w:cs="Gill Sans"/>
          <w:sz w:val="22"/>
          <w:szCs w:val="22"/>
          <w:lang w:val="en-GB"/>
        </w:rPr>
        <w:t>wa</w:t>
      </w:r>
      <w:r w:rsidRPr="00381EA9">
        <w:rPr>
          <w:rFonts w:ascii="Gill Sans" w:hAnsi="Gill Sans" w:cs="Gill Sans"/>
          <w:sz w:val="22"/>
          <w:szCs w:val="22"/>
          <w:lang w:val="en-GB"/>
        </w:rPr>
        <w:t xml:space="preserve">s </w:t>
      </w:r>
      <w:r w:rsidR="0044786C">
        <w:rPr>
          <w:rFonts w:ascii="Gill Sans" w:hAnsi="Gill Sans" w:cs="Gill Sans"/>
          <w:sz w:val="22"/>
          <w:szCs w:val="22"/>
          <w:lang w:val="en-GB"/>
        </w:rPr>
        <w:t>intended</w:t>
      </w:r>
      <w:r w:rsidR="0044786C" w:rsidRPr="00381EA9">
        <w:rPr>
          <w:rFonts w:ascii="Gill Sans" w:hAnsi="Gill Sans" w:cs="Gill Sans"/>
          <w:sz w:val="22"/>
          <w:szCs w:val="22"/>
          <w:lang w:val="en-GB"/>
        </w:rPr>
        <w:t xml:space="preserve"> </w:t>
      </w:r>
      <w:r w:rsidRPr="00381EA9">
        <w:rPr>
          <w:rFonts w:ascii="Gill Sans" w:hAnsi="Gill Sans" w:cs="Gill Sans"/>
          <w:sz w:val="22"/>
          <w:szCs w:val="22"/>
          <w:lang w:val="en-GB"/>
        </w:rPr>
        <w:t xml:space="preserve">to provide a snapshot of e-governance </w:t>
      </w:r>
      <w:r w:rsidR="0044786C">
        <w:rPr>
          <w:rFonts w:ascii="Gill Sans" w:hAnsi="Gill Sans" w:cs="Gill Sans"/>
          <w:sz w:val="22"/>
          <w:szCs w:val="22"/>
          <w:lang w:val="en-GB"/>
        </w:rPr>
        <w:t>at</w:t>
      </w:r>
      <w:r w:rsidRPr="00381EA9">
        <w:rPr>
          <w:rFonts w:ascii="Gill Sans" w:hAnsi="Gill Sans" w:cs="Gill Sans"/>
          <w:sz w:val="22"/>
          <w:szCs w:val="22"/>
          <w:lang w:val="en-GB"/>
        </w:rPr>
        <w:t xml:space="preserve"> the national and regional level</w:t>
      </w:r>
      <w:r w:rsidR="00B7154A">
        <w:rPr>
          <w:rFonts w:ascii="Gill Sans" w:hAnsi="Gill Sans" w:cs="Gill Sans"/>
          <w:sz w:val="22"/>
          <w:szCs w:val="22"/>
          <w:lang w:val="en-GB"/>
        </w:rPr>
        <w:t>s,</w:t>
      </w:r>
      <w:r w:rsidRPr="00381EA9">
        <w:rPr>
          <w:rFonts w:ascii="Gill Sans" w:hAnsi="Gill Sans" w:cs="Gill Sans"/>
          <w:sz w:val="22"/>
          <w:szCs w:val="22"/>
          <w:lang w:val="en-GB"/>
        </w:rPr>
        <w:t xml:space="preserve"> and to assist in the development of measures to introduce information and communications technology (ICT) in public administration and governance. </w:t>
      </w:r>
      <w:r w:rsidRPr="00381EA9">
        <w:rPr>
          <w:rFonts w:ascii="Gill Sans" w:hAnsi="Gill Sans" w:cs="Gill Sans"/>
          <w:noProof/>
          <w:sz w:val="22"/>
          <w:szCs w:val="22"/>
          <w:lang w:val="en-GB"/>
        </w:rPr>
        <w:t>In Ukraine, the first assessment of e-readiness was conducted in 2002.</w:t>
      </w:r>
      <w:r w:rsidRPr="00381EA9">
        <w:rPr>
          <w:rStyle w:val="EndnoteReference"/>
          <w:rFonts w:ascii="Gill Sans" w:hAnsi="Gill Sans" w:cs="Gill Sans"/>
          <w:noProof/>
          <w:sz w:val="22"/>
          <w:szCs w:val="22"/>
          <w:lang w:val="en-GB"/>
        </w:rPr>
        <w:endnoteReference w:id="94"/>
      </w:r>
      <w:r w:rsidRPr="00381EA9">
        <w:rPr>
          <w:rFonts w:ascii="Gill Sans" w:hAnsi="Gill Sans" w:cs="Gill Sans"/>
          <w:noProof/>
          <w:sz w:val="22"/>
          <w:szCs w:val="22"/>
          <w:lang w:val="en-GB"/>
        </w:rPr>
        <w:t xml:space="preserve"> The National Centre for E-Governance carri</w:t>
      </w:r>
      <w:r w:rsidR="00381EA9">
        <w:rPr>
          <w:rFonts w:ascii="Gill Sans" w:hAnsi="Gill Sans" w:cs="Gill Sans"/>
          <w:noProof/>
          <w:sz w:val="22"/>
          <w:szCs w:val="22"/>
          <w:lang w:val="en-GB"/>
        </w:rPr>
        <w:t>ed out a new assessment in 2013</w:t>
      </w:r>
      <w:r w:rsidRPr="00381EA9">
        <w:rPr>
          <w:rFonts w:ascii="Gill Sans" w:hAnsi="Gill Sans" w:cs="Gill Sans"/>
          <w:noProof/>
          <w:sz w:val="22"/>
          <w:szCs w:val="22"/>
          <w:lang w:val="en-GB"/>
        </w:rPr>
        <w:t>.</w:t>
      </w:r>
      <w:r w:rsidRPr="00381EA9">
        <w:rPr>
          <w:rStyle w:val="EndnoteReference"/>
          <w:rFonts w:ascii="Gill Sans" w:hAnsi="Gill Sans" w:cs="Gill Sans"/>
          <w:noProof/>
          <w:sz w:val="22"/>
          <w:szCs w:val="22"/>
          <w:lang w:val="en-GB"/>
        </w:rPr>
        <w:endnoteReference w:id="95"/>
      </w:r>
      <w:r w:rsidR="0072068D">
        <w:rPr>
          <w:rFonts w:ascii="Gill Sans" w:hAnsi="Gill Sans" w:cs="Gill Sans"/>
          <w:noProof/>
          <w:sz w:val="22"/>
          <w:szCs w:val="22"/>
          <w:lang w:val="en-GB"/>
        </w:rPr>
        <w:t xml:space="preserve"> The</w:t>
      </w:r>
      <w:r w:rsidRPr="00381EA9">
        <w:rPr>
          <w:rFonts w:ascii="Gill Sans" w:hAnsi="Gill Sans" w:cs="Gill Sans"/>
          <w:noProof/>
          <w:sz w:val="22"/>
          <w:szCs w:val="22"/>
          <w:lang w:val="en-GB"/>
        </w:rPr>
        <w:t xml:space="preserve"> OGP action plan commitment built on this previous work</w:t>
      </w:r>
      <w:r w:rsidR="0044786C">
        <w:rPr>
          <w:rFonts w:ascii="Gill Sans" w:hAnsi="Gill Sans" w:cs="Gill Sans"/>
          <w:noProof/>
          <w:sz w:val="22"/>
          <w:szCs w:val="22"/>
          <w:lang w:val="en-GB"/>
        </w:rPr>
        <w:t>,</w:t>
      </w:r>
      <w:r w:rsidRPr="00381EA9">
        <w:rPr>
          <w:rFonts w:ascii="Gill Sans" w:hAnsi="Gill Sans" w:cs="Gill Sans"/>
          <w:noProof/>
          <w:sz w:val="22"/>
          <w:szCs w:val="22"/>
          <w:lang w:val="en-GB"/>
        </w:rPr>
        <w:t xml:space="preserve"> and aimed to develop an interactive tool to conduct and update the assessment.</w:t>
      </w:r>
    </w:p>
    <w:p w14:paraId="0E19A6A2" w14:textId="16D59D18" w:rsidR="0033158A" w:rsidRPr="00381EA9" w:rsidRDefault="0033158A" w:rsidP="006319F4">
      <w:pPr>
        <w:pStyle w:val="Heading3"/>
      </w:pPr>
      <w:r w:rsidRPr="00381EA9">
        <w:t>Status</w:t>
      </w:r>
    </w:p>
    <w:p w14:paraId="091A4E53" w14:textId="1BF850C7" w:rsidR="0033158A" w:rsidRPr="00381EA9" w:rsidRDefault="0033158A" w:rsidP="00381EA9">
      <w:pPr>
        <w:pStyle w:val="Normalrglronly"/>
        <w:rPr>
          <w:b/>
          <w:lang w:val="en-GB"/>
        </w:rPr>
      </w:pPr>
      <w:r w:rsidRPr="00381EA9">
        <w:rPr>
          <w:b/>
          <w:lang w:val="en-GB"/>
        </w:rPr>
        <w:t>Midterm: Substantial</w:t>
      </w:r>
    </w:p>
    <w:p w14:paraId="48A674CC" w14:textId="44822FBB" w:rsidR="0033158A" w:rsidRPr="00381EA9" w:rsidRDefault="00CC5A5D" w:rsidP="00381EA9">
      <w:pPr>
        <w:spacing w:after="120"/>
        <w:rPr>
          <w:rFonts w:ascii="Gill Sans" w:hAnsi="Gill Sans" w:cs="Gill Sans"/>
          <w:sz w:val="22"/>
          <w:szCs w:val="22"/>
          <w:lang w:val="en-GB"/>
        </w:rPr>
      </w:pPr>
      <w:r w:rsidRPr="00381EA9">
        <w:rPr>
          <w:rFonts w:ascii="Gill Sans" w:hAnsi="Gill Sans" w:cs="Gill Sans"/>
          <w:sz w:val="22"/>
          <w:szCs w:val="22"/>
          <w:lang w:val="en-GB"/>
        </w:rPr>
        <w:t xml:space="preserve">According to the government’s self-assessment report, the State Agency for E-Governance, with support from the Organisation for Security and Cooperation in Europe (OSCE) Project Coordinator Office in Ukraine, created an interactive system for the e-readiness assessment. The system allows </w:t>
      </w:r>
      <w:r w:rsidR="00B7154A">
        <w:rPr>
          <w:rFonts w:ascii="Gill Sans" w:hAnsi="Gill Sans" w:cs="Gill Sans"/>
          <w:sz w:val="22"/>
          <w:szCs w:val="22"/>
          <w:lang w:val="en-GB"/>
        </w:rPr>
        <w:t xml:space="preserve">for the </w:t>
      </w:r>
      <w:r w:rsidRPr="00381EA9">
        <w:rPr>
          <w:rFonts w:ascii="Gill Sans" w:hAnsi="Gill Sans" w:cs="Gill Sans"/>
          <w:sz w:val="22"/>
          <w:szCs w:val="22"/>
          <w:lang w:val="en-GB"/>
        </w:rPr>
        <w:t>collecti</w:t>
      </w:r>
      <w:r w:rsidR="00B7154A">
        <w:rPr>
          <w:rFonts w:ascii="Gill Sans" w:hAnsi="Gill Sans" w:cs="Gill Sans"/>
          <w:sz w:val="22"/>
          <w:szCs w:val="22"/>
          <w:lang w:val="en-GB"/>
        </w:rPr>
        <w:t>on</w:t>
      </w:r>
      <w:r w:rsidRPr="00381EA9">
        <w:rPr>
          <w:rFonts w:ascii="Gill Sans" w:hAnsi="Gill Sans" w:cs="Gill Sans"/>
          <w:sz w:val="22"/>
          <w:szCs w:val="22"/>
          <w:lang w:val="en-GB"/>
        </w:rPr>
        <w:t xml:space="preserve">, structuring, storing, and processing </w:t>
      </w:r>
      <w:r w:rsidR="00B7154A">
        <w:rPr>
          <w:rFonts w:ascii="Gill Sans" w:hAnsi="Gill Sans" w:cs="Gill Sans"/>
          <w:sz w:val="22"/>
          <w:szCs w:val="22"/>
          <w:lang w:val="en-GB"/>
        </w:rPr>
        <w:t xml:space="preserve">of </w:t>
      </w:r>
      <w:r w:rsidRPr="00381EA9">
        <w:rPr>
          <w:rFonts w:ascii="Gill Sans" w:hAnsi="Gill Sans" w:cs="Gill Sans"/>
          <w:sz w:val="22"/>
          <w:szCs w:val="22"/>
          <w:lang w:val="en-GB"/>
        </w:rPr>
        <w:t>data to conduct an analysis of e-readiness in Ukraine. The agency has started prepar</w:t>
      </w:r>
      <w:r w:rsidR="00B7154A">
        <w:rPr>
          <w:rFonts w:ascii="Gill Sans" w:hAnsi="Gill Sans" w:cs="Gill Sans"/>
          <w:sz w:val="22"/>
          <w:szCs w:val="22"/>
          <w:lang w:val="en-GB"/>
        </w:rPr>
        <w:t>ing</w:t>
      </w:r>
      <w:r w:rsidRPr="00381EA9">
        <w:rPr>
          <w:rFonts w:ascii="Gill Sans" w:hAnsi="Gill Sans" w:cs="Gill Sans"/>
          <w:sz w:val="22"/>
          <w:szCs w:val="22"/>
          <w:lang w:val="en-GB"/>
        </w:rPr>
        <w:t xml:space="preserve"> the assessment itself</w:t>
      </w:r>
      <w:r w:rsidR="0033158A" w:rsidRPr="00381EA9">
        <w:rPr>
          <w:rFonts w:ascii="Gill Sans" w:hAnsi="Gill Sans" w:cs="Gill Sans"/>
          <w:noProof/>
          <w:sz w:val="22"/>
          <w:szCs w:val="22"/>
          <w:lang w:val="en-GB"/>
        </w:rPr>
        <w:t>.</w:t>
      </w:r>
      <w:r w:rsidR="0033158A" w:rsidRPr="00381EA9">
        <w:rPr>
          <w:rStyle w:val="EndnoteReference"/>
          <w:rFonts w:ascii="Gill Sans" w:hAnsi="Gill Sans" w:cs="Gill Sans"/>
          <w:noProof/>
          <w:sz w:val="22"/>
          <w:szCs w:val="22"/>
          <w:lang w:val="en-GB"/>
        </w:rPr>
        <w:endnoteReference w:id="96"/>
      </w:r>
    </w:p>
    <w:p w14:paraId="40AB9688" w14:textId="77777777" w:rsidR="0044786C" w:rsidRDefault="0044786C">
      <w:pPr>
        <w:rPr>
          <w:rFonts w:ascii="Gill Sans" w:hAnsi="Gill Sans" w:cs="Gill Sans"/>
          <w:b/>
          <w:color w:val="222222"/>
          <w:sz w:val="22"/>
          <w:szCs w:val="22"/>
          <w:lang w:val="en-GB"/>
        </w:rPr>
      </w:pPr>
      <w:r>
        <w:rPr>
          <w:b/>
          <w:lang w:val="en-GB"/>
        </w:rPr>
        <w:br w:type="page"/>
      </w:r>
    </w:p>
    <w:p w14:paraId="34DB8349" w14:textId="69140909" w:rsidR="0033158A" w:rsidRPr="00381EA9" w:rsidRDefault="0033158A" w:rsidP="00381EA9">
      <w:pPr>
        <w:pStyle w:val="Normalrglronly"/>
        <w:rPr>
          <w:b/>
          <w:lang w:val="en-US"/>
        </w:rPr>
      </w:pPr>
      <w:r w:rsidRPr="00381EA9">
        <w:rPr>
          <w:b/>
          <w:lang w:val="en-GB"/>
        </w:rPr>
        <w:lastRenderedPageBreak/>
        <w:t>End of term: Substantial</w:t>
      </w:r>
    </w:p>
    <w:p w14:paraId="48501225" w14:textId="13DBBA5A" w:rsidR="0033158A" w:rsidRPr="00381EA9" w:rsidRDefault="00381EA9" w:rsidP="00381EA9">
      <w:pPr>
        <w:spacing w:after="120"/>
        <w:rPr>
          <w:rFonts w:ascii="Gill Sans" w:hAnsi="Gill Sans" w:cs="Gill Sans"/>
          <w:sz w:val="22"/>
          <w:szCs w:val="22"/>
          <w:lang w:val="en-GB"/>
        </w:rPr>
      </w:pPr>
      <w:r w:rsidRPr="00381EA9">
        <w:rPr>
          <w:rFonts w:ascii="Gill Sans" w:hAnsi="Gill Sans" w:cs="Gill Sans"/>
          <w:sz w:val="22"/>
          <w:szCs w:val="22"/>
          <w:lang w:val="en-GB"/>
        </w:rPr>
        <w:t>No progress has been made since the previous report</w:t>
      </w:r>
      <w:r w:rsidR="00B7154A">
        <w:rPr>
          <w:rFonts w:ascii="Gill Sans" w:hAnsi="Gill Sans" w:cs="Gill Sans"/>
          <w:sz w:val="22"/>
          <w:szCs w:val="22"/>
          <w:lang w:val="en-GB"/>
        </w:rPr>
        <w:t>,</w:t>
      </w:r>
      <w:r w:rsidR="0072068D">
        <w:rPr>
          <w:rFonts w:ascii="Gill Sans" w:hAnsi="Gill Sans" w:cs="Gill Sans"/>
          <w:sz w:val="22"/>
          <w:szCs w:val="22"/>
          <w:lang w:val="en-GB"/>
        </w:rPr>
        <w:t xml:space="preserve"> and the assessment has not been conducted</w:t>
      </w:r>
      <w:r w:rsidRPr="00381EA9">
        <w:rPr>
          <w:rFonts w:ascii="Gill Sans" w:hAnsi="Gill Sans" w:cs="Gill Sans"/>
          <w:sz w:val="22"/>
          <w:szCs w:val="22"/>
          <w:lang w:val="en-GB"/>
        </w:rPr>
        <w:t>.</w:t>
      </w:r>
    </w:p>
    <w:p w14:paraId="42D4F114" w14:textId="77777777" w:rsidR="0033158A" w:rsidRPr="00381EA9" w:rsidRDefault="0033158A" w:rsidP="006319F4">
      <w:pPr>
        <w:pStyle w:val="Heading3"/>
      </w:pPr>
      <w:r w:rsidRPr="00381EA9">
        <w:t>Did it open government?</w:t>
      </w:r>
    </w:p>
    <w:p w14:paraId="6504648D" w14:textId="77777777" w:rsidR="00D6486B" w:rsidRDefault="00D6486B" w:rsidP="00D6486B">
      <w:pPr>
        <w:pStyle w:val="Normalrglronly"/>
        <w:rPr>
          <w:b/>
          <w:lang w:val="en-GB"/>
        </w:rPr>
      </w:pPr>
      <w:r>
        <w:rPr>
          <w:b/>
          <w:lang w:val="en-GB"/>
        </w:rPr>
        <w:t>Access to Information: Did not change</w:t>
      </w:r>
    </w:p>
    <w:p w14:paraId="749274AC" w14:textId="77777777" w:rsidR="00D6486B" w:rsidRDefault="00D6486B" w:rsidP="00D6486B">
      <w:pPr>
        <w:pStyle w:val="Normalrglronly"/>
        <w:rPr>
          <w:b/>
          <w:lang w:val="en-GB"/>
        </w:rPr>
      </w:pPr>
      <w:r>
        <w:rPr>
          <w:b/>
          <w:lang w:val="en-GB"/>
        </w:rPr>
        <w:t>Civic Participation: Did not change</w:t>
      </w:r>
    </w:p>
    <w:p w14:paraId="2A6AF9F8" w14:textId="6C17158C" w:rsidR="00D6486B" w:rsidRPr="006023C3" w:rsidRDefault="00D6486B" w:rsidP="006023C3">
      <w:pPr>
        <w:pStyle w:val="Normalrglronly"/>
        <w:rPr>
          <w:b/>
          <w:lang w:val="en-US"/>
        </w:rPr>
      </w:pPr>
      <w:r>
        <w:rPr>
          <w:b/>
          <w:lang w:val="en-GB"/>
        </w:rPr>
        <w:t>Public Accountability: Did not change</w:t>
      </w:r>
    </w:p>
    <w:p w14:paraId="48FE81C8" w14:textId="7B27AA3D" w:rsidR="0033158A" w:rsidRPr="00381EA9" w:rsidRDefault="00CC5A5D" w:rsidP="00426663">
      <w:pPr>
        <w:spacing w:after="120"/>
        <w:rPr>
          <w:rFonts w:ascii="Gill Sans" w:hAnsi="Gill Sans" w:cs="Gill Sans"/>
          <w:sz w:val="22"/>
          <w:szCs w:val="22"/>
          <w:lang w:val="uk-UA"/>
        </w:rPr>
      </w:pPr>
      <w:r w:rsidRPr="00381EA9">
        <w:rPr>
          <w:rFonts w:ascii="Gill Sans" w:hAnsi="Gill Sans" w:cs="Gill Sans"/>
          <w:sz w:val="22"/>
          <w:szCs w:val="22"/>
          <w:lang w:val="en-GB"/>
        </w:rPr>
        <w:t xml:space="preserve">E-readiness is an important policy instrument </w:t>
      </w:r>
      <w:r w:rsidR="00B7154A">
        <w:rPr>
          <w:rFonts w:ascii="Gill Sans" w:hAnsi="Gill Sans" w:cs="Gill Sans"/>
          <w:sz w:val="22"/>
          <w:szCs w:val="22"/>
          <w:lang w:val="en-GB"/>
        </w:rPr>
        <w:t>to</w:t>
      </w:r>
      <w:r w:rsidR="00B7154A" w:rsidRPr="00381EA9">
        <w:rPr>
          <w:rFonts w:ascii="Gill Sans" w:hAnsi="Gill Sans" w:cs="Gill Sans"/>
          <w:sz w:val="22"/>
          <w:szCs w:val="22"/>
          <w:lang w:val="en-GB"/>
        </w:rPr>
        <w:t xml:space="preserve"> </w:t>
      </w:r>
      <w:r w:rsidRPr="00381EA9">
        <w:rPr>
          <w:rFonts w:ascii="Gill Sans" w:hAnsi="Gill Sans" w:cs="Gill Sans"/>
          <w:sz w:val="22"/>
          <w:szCs w:val="22"/>
          <w:lang w:val="en-GB"/>
        </w:rPr>
        <w:t xml:space="preserve">promote good governance and economic and social transformation. It is a continuous work </w:t>
      </w:r>
      <w:r w:rsidR="00B7154A">
        <w:rPr>
          <w:rFonts w:ascii="Gill Sans" w:hAnsi="Gill Sans" w:cs="Gill Sans"/>
          <w:sz w:val="22"/>
          <w:szCs w:val="22"/>
          <w:lang w:val="en-GB"/>
        </w:rPr>
        <w:t>that</w:t>
      </w:r>
      <w:r w:rsidR="00B7154A" w:rsidRPr="00381EA9">
        <w:rPr>
          <w:rFonts w:ascii="Gill Sans" w:hAnsi="Gill Sans" w:cs="Gill Sans"/>
          <w:sz w:val="22"/>
          <w:szCs w:val="22"/>
          <w:lang w:val="en-GB"/>
        </w:rPr>
        <w:t xml:space="preserve"> </w:t>
      </w:r>
      <w:r w:rsidRPr="00381EA9">
        <w:rPr>
          <w:rFonts w:ascii="Gill Sans" w:hAnsi="Gill Sans" w:cs="Gill Sans"/>
          <w:sz w:val="22"/>
          <w:szCs w:val="22"/>
          <w:lang w:val="en-GB"/>
        </w:rPr>
        <w:t xml:space="preserve">governments should pursue. However, the relevance of this commitment to OGP values is unclear. It may </w:t>
      </w:r>
      <w:r w:rsidR="0044786C">
        <w:rPr>
          <w:rFonts w:ascii="Gill Sans" w:hAnsi="Gill Sans" w:cs="Gill Sans"/>
          <w:sz w:val="22"/>
          <w:szCs w:val="22"/>
          <w:lang w:val="en-GB"/>
        </w:rPr>
        <w:t>yield</w:t>
      </w:r>
      <w:r w:rsidRPr="00381EA9">
        <w:rPr>
          <w:rFonts w:ascii="Gill Sans" w:hAnsi="Gill Sans" w:cs="Gill Sans"/>
          <w:sz w:val="22"/>
          <w:szCs w:val="22"/>
          <w:lang w:val="en-GB"/>
        </w:rPr>
        <w:t xml:space="preserve"> measures </w:t>
      </w:r>
      <w:r w:rsidR="0044786C">
        <w:rPr>
          <w:rFonts w:ascii="Gill Sans" w:hAnsi="Gill Sans" w:cs="Gill Sans"/>
          <w:sz w:val="22"/>
          <w:szCs w:val="22"/>
          <w:lang w:val="en-GB"/>
        </w:rPr>
        <w:t>to</w:t>
      </w:r>
      <w:r w:rsidRPr="00381EA9">
        <w:rPr>
          <w:rFonts w:ascii="Gill Sans" w:hAnsi="Gill Sans" w:cs="Gill Sans"/>
          <w:sz w:val="22"/>
          <w:szCs w:val="22"/>
          <w:lang w:val="en-GB"/>
        </w:rPr>
        <w:t xml:space="preserve"> promote access to information, civic participation, </w:t>
      </w:r>
      <w:r w:rsidR="0044786C">
        <w:rPr>
          <w:rFonts w:ascii="Gill Sans" w:hAnsi="Gill Sans" w:cs="Gill Sans"/>
          <w:sz w:val="22"/>
          <w:szCs w:val="22"/>
          <w:lang w:val="en-GB"/>
        </w:rPr>
        <w:t>and</w:t>
      </w:r>
      <w:r w:rsidR="0044786C" w:rsidRPr="00381EA9">
        <w:rPr>
          <w:rFonts w:ascii="Gill Sans" w:hAnsi="Gill Sans" w:cs="Gill Sans"/>
          <w:sz w:val="22"/>
          <w:szCs w:val="22"/>
          <w:lang w:val="en-GB"/>
        </w:rPr>
        <w:t xml:space="preserve"> </w:t>
      </w:r>
      <w:r w:rsidRPr="00381EA9">
        <w:rPr>
          <w:rFonts w:ascii="Gill Sans" w:hAnsi="Gill Sans" w:cs="Gill Sans"/>
          <w:sz w:val="22"/>
          <w:szCs w:val="22"/>
          <w:lang w:val="en-GB"/>
        </w:rPr>
        <w:t>public accountability, but</w:t>
      </w:r>
      <w:r w:rsidR="0044786C">
        <w:rPr>
          <w:rFonts w:ascii="Gill Sans" w:hAnsi="Gill Sans" w:cs="Gill Sans"/>
          <w:sz w:val="22"/>
          <w:szCs w:val="22"/>
          <w:lang w:val="en-GB"/>
        </w:rPr>
        <w:t>, technically,</w:t>
      </w:r>
      <w:r w:rsidRPr="00381EA9">
        <w:rPr>
          <w:rFonts w:ascii="Gill Sans" w:hAnsi="Gill Sans" w:cs="Gill Sans"/>
          <w:sz w:val="22"/>
          <w:szCs w:val="22"/>
          <w:lang w:val="en-GB"/>
        </w:rPr>
        <w:t xml:space="preserve"> this is not covered by the commitment</w:t>
      </w:r>
      <w:r w:rsidR="00B7154A">
        <w:rPr>
          <w:rFonts w:ascii="Gill Sans" w:hAnsi="Gill Sans" w:cs="Gill Sans"/>
          <w:sz w:val="22"/>
          <w:szCs w:val="22"/>
          <w:lang w:val="en-GB"/>
        </w:rPr>
        <w:t>,</w:t>
      </w:r>
      <w:r w:rsidRPr="00381EA9">
        <w:rPr>
          <w:rFonts w:ascii="Gill Sans" w:hAnsi="Gill Sans" w:cs="Gill Sans"/>
          <w:sz w:val="22"/>
          <w:szCs w:val="22"/>
          <w:lang w:val="en-GB"/>
        </w:rPr>
        <w:t xml:space="preserve"> which is limited to an evaluation of the status quo. </w:t>
      </w:r>
      <w:r w:rsidRPr="00381EA9">
        <w:rPr>
          <w:rFonts w:ascii="Gill Sans" w:hAnsi="Gill Sans" w:cs="Gill Sans"/>
          <w:noProof/>
          <w:sz w:val="22"/>
          <w:szCs w:val="22"/>
          <w:lang w:val="en-GB"/>
        </w:rPr>
        <w:t xml:space="preserve">It was not expected to </w:t>
      </w:r>
      <w:r w:rsidR="0044786C">
        <w:rPr>
          <w:rFonts w:ascii="Gill Sans" w:hAnsi="Gill Sans" w:cs="Gill Sans"/>
          <w:noProof/>
          <w:sz w:val="22"/>
          <w:szCs w:val="22"/>
          <w:lang w:val="en-GB"/>
        </w:rPr>
        <w:t>produce</w:t>
      </w:r>
      <w:r w:rsidRPr="00381EA9">
        <w:rPr>
          <w:rFonts w:ascii="Gill Sans" w:hAnsi="Gill Sans" w:cs="Gill Sans"/>
          <w:noProof/>
          <w:sz w:val="22"/>
          <w:szCs w:val="22"/>
          <w:lang w:val="en-GB"/>
        </w:rPr>
        <w:t xml:space="preserve"> any impact</w:t>
      </w:r>
      <w:r w:rsidR="00B7154A">
        <w:rPr>
          <w:rFonts w:ascii="Gill Sans" w:hAnsi="Gill Sans" w:cs="Gill Sans"/>
          <w:noProof/>
          <w:sz w:val="22"/>
          <w:szCs w:val="22"/>
          <w:lang w:val="en-GB"/>
        </w:rPr>
        <w:t>,</w:t>
      </w:r>
      <w:r w:rsidRPr="00381EA9">
        <w:rPr>
          <w:rFonts w:ascii="Gill Sans" w:hAnsi="Gill Sans" w:cs="Gill Sans"/>
          <w:noProof/>
          <w:sz w:val="22"/>
          <w:szCs w:val="22"/>
          <w:lang w:val="en-GB"/>
        </w:rPr>
        <w:t xml:space="preserve"> as it mainly preserved the status quo. The government prepared the interactive tool to use during the assessment, but did not conduct the assessment itself.</w:t>
      </w:r>
    </w:p>
    <w:p w14:paraId="66C5ACF2" w14:textId="77777777" w:rsidR="0033158A" w:rsidRPr="00381EA9" w:rsidRDefault="0033158A" w:rsidP="006319F4">
      <w:pPr>
        <w:pStyle w:val="Heading3"/>
      </w:pPr>
      <w:r w:rsidRPr="00381EA9">
        <w:t>Carried forward?</w:t>
      </w:r>
    </w:p>
    <w:p w14:paraId="4888B135" w14:textId="3BBAE95C" w:rsidR="0033158A" w:rsidRDefault="0033158A" w:rsidP="00B7154A">
      <w:pPr>
        <w:spacing w:after="120"/>
        <w:rPr>
          <w:rFonts w:ascii="Gill Sans" w:hAnsi="Gill Sans" w:cs="Gill Sans"/>
          <w:noProof/>
          <w:sz w:val="22"/>
          <w:szCs w:val="22"/>
          <w:lang w:val="en-GB"/>
        </w:rPr>
      </w:pPr>
      <w:r w:rsidRPr="00381EA9">
        <w:rPr>
          <w:rFonts w:ascii="Gill Sans" w:hAnsi="Gill Sans" w:cs="Gill Sans"/>
          <w:noProof/>
          <w:sz w:val="22"/>
          <w:szCs w:val="22"/>
          <w:lang w:val="en-GB"/>
        </w:rPr>
        <w:t xml:space="preserve">The commitment was not carried </w:t>
      </w:r>
      <w:r w:rsidR="00B7154A">
        <w:rPr>
          <w:rFonts w:ascii="Gill Sans" w:hAnsi="Gill Sans" w:cs="Gill Sans"/>
          <w:noProof/>
          <w:sz w:val="22"/>
          <w:szCs w:val="22"/>
          <w:lang w:val="en-GB"/>
        </w:rPr>
        <w:t>forward</w:t>
      </w:r>
      <w:r w:rsidR="00B7154A" w:rsidRPr="00381EA9">
        <w:rPr>
          <w:rFonts w:ascii="Gill Sans" w:hAnsi="Gill Sans" w:cs="Gill Sans"/>
          <w:noProof/>
          <w:sz w:val="22"/>
          <w:szCs w:val="22"/>
          <w:lang w:val="en-GB"/>
        </w:rPr>
        <w:t xml:space="preserve"> </w:t>
      </w:r>
      <w:r w:rsidRPr="00381EA9">
        <w:rPr>
          <w:rFonts w:ascii="Gill Sans" w:hAnsi="Gill Sans" w:cs="Gill Sans"/>
          <w:noProof/>
          <w:sz w:val="22"/>
          <w:szCs w:val="22"/>
          <w:lang w:val="en-GB"/>
        </w:rPr>
        <w:t>to the new action plan</w:t>
      </w:r>
      <w:r>
        <w:rPr>
          <w:rFonts w:ascii="Gill Sans" w:hAnsi="Gill Sans" w:cs="Gill Sans"/>
          <w:noProof/>
          <w:sz w:val="22"/>
          <w:szCs w:val="22"/>
          <w:lang w:val="en-GB"/>
        </w:rPr>
        <w:t>.</w:t>
      </w:r>
    </w:p>
    <w:p w14:paraId="75D63D12" w14:textId="77777777" w:rsidR="00C75B2B" w:rsidRDefault="00C75B2B" w:rsidP="00EB22DF">
      <w:pPr>
        <w:tabs>
          <w:tab w:val="left" w:pos="3037"/>
        </w:tabs>
        <w:rPr>
          <w:lang w:val="en-GB"/>
        </w:rPr>
        <w:sectPr w:rsidR="00C75B2B" w:rsidSect="00F561B7">
          <w:endnotePr>
            <w:numFmt w:val="decimal"/>
            <w:numRestart w:val="eachSect"/>
          </w:endnotePr>
          <w:pgSz w:w="12240" w:h="15840"/>
          <w:pgMar w:top="1440" w:right="1800" w:bottom="1440" w:left="1800" w:header="720" w:footer="720" w:gutter="0"/>
          <w:cols w:space="720"/>
          <w:docGrid w:linePitch="360"/>
        </w:sectPr>
      </w:pPr>
    </w:p>
    <w:p w14:paraId="5958CDCA" w14:textId="1EE93122" w:rsidR="00C75B2B" w:rsidRPr="00C75B2B" w:rsidRDefault="006E6C92" w:rsidP="00C75B2B">
      <w:pPr>
        <w:pStyle w:val="Heading2"/>
        <w:spacing w:before="0" w:after="120"/>
        <w:rPr>
          <w:rFonts w:eastAsiaTheme="minorEastAsia"/>
          <w:bCs w:val="0"/>
          <w:color w:val="222222"/>
          <w:sz w:val="22"/>
          <w:szCs w:val="22"/>
          <w:lang w:val="en-GB"/>
        </w:rPr>
      </w:pPr>
      <w:bookmarkStart w:id="9" w:name="_Toc437543880"/>
      <w:r w:rsidRPr="006E6C92">
        <w:rPr>
          <w:rFonts w:ascii="MS Mincho" w:eastAsia="MS Mincho" w:hAnsi="MS Mincho" w:cs="MS Mincho"/>
          <w:bCs w:val="0"/>
          <w:color w:val="222222"/>
          <w:sz w:val="22"/>
          <w:szCs w:val="22"/>
          <w:lang w:val="en-GB"/>
        </w:rPr>
        <w:lastRenderedPageBreak/>
        <w:t>✪</w:t>
      </w:r>
      <w:r w:rsidR="00C75B2B" w:rsidRPr="00C75B2B">
        <w:rPr>
          <w:rFonts w:eastAsiaTheme="minorEastAsia"/>
          <w:bCs w:val="0"/>
          <w:color w:val="222222"/>
          <w:sz w:val="22"/>
          <w:szCs w:val="22"/>
          <w:lang w:val="en-GB"/>
        </w:rPr>
        <w:t>6. Open data draft law</w:t>
      </w:r>
      <w:bookmarkEnd w:id="9"/>
    </w:p>
    <w:p w14:paraId="2779BAE5" w14:textId="06E3EB32" w:rsidR="00C75B2B" w:rsidRPr="00280389" w:rsidRDefault="005B3A16" w:rsidP="00C75B2B">
      <w:pPr>
        <w:spacing w:after="120"/>
        <w:rPr>
          <w:rFonts w:ascii="Gill Sans" w:hAnsi="Gill Sans" w:cs="Gill Sans"/>
          <w:i/>
          <w:noProof/>
          <w:sz w:val="22"/>
          <w:szCs w:val="22"/>
          <w:lang w:val="uk-UA"/>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C75B2B" w:rsidRPr="00C75B2B">
        <w:rPr>
          <w:rFonts w:ascii="Gill Sans" w:hAnsi="Gill Sans" w:cs="Gill Sans"/>
          <w:i/>
          <w:noProof/>
          <w:sz w:val="22"/>
          <w:szCs w:val="22"/>
          <w:lang w:val="en-GB"/>
        </w:rPr>
        <w:t>6. Developing and submitting to the Cabinet of Ministers of Ukraine in due course a draft law on amending some legislative acts of Ukraine on access to information in the form of open data and reuse of information</w:t>
      </w:r>
      <w:r w:rsidR="00B7154A">
        <w:rPr>
          <w:rFonts w:ascii="Gill Sans" w:hAnsi="Gill Sans" w:cs="Gill Sans"/>
          <w:i/>
          <w:noProof/>
          <w:sz w:val="22"/>
          <w:szCs w:val="22"/>
          <w:lang w:val="en-GB"/>
        </w:rPr>
        <w:t>.</w:t>
      </w:r>
    </w:p>
    <w:p w14:paraId="17F59A5C" w14:textId="77777777" w:rsidR="00FD644B" w:rsidRPr="00C75B2B" w:rsidRDefault="00FD644B" w:rsidP="00FD644B">
      <w:pPr>
        <w:pStyle w:val="Heading2"/>
        <w:spacing w:before="0" w:after="120"/>
        <w:rPr>
          <w:rFonts w:eastAsiaTheme="minorEastAsia"/>
          <w:bCs w:val="0"/>
          <w:color w:val="222222"/>
          <w:sz w:val="22"/>
          <w:szCs w:val="22"/>
          <w:lang w:val="en-GB"/>
        </w:rPr>
      </w:pPr>
      <w:bookmarkStart w:id="10" w:name="_Toc437543881"/>
      <w:r>
        <w:rPr>
          <w:rFonts w:eastAsiaTheme="minorEastAsia"/>
          <w:bCs w:val="0"/>
          <w:color w:val="222222"/>
          <w:sz w:val="22"/>
          <w:szCs w:val="22"/>
          <w:lang w:val="en-GB"/>
        </w:rPr>
        <w:t>Commitment</w:t>
      </w:r>
      <w:r w:rsidRPr="00C75B2B">
        <w:rPr>
          <w:rFonts w:eastAsiaTheme="minorEastAsia"/>
          <w:bCs w:val="0"/>
          <w:color w:val="222222"/>
          <w:sz w:val="22"/>
          <w:szCs w:val="22"/>
          <w:lang w:val="en-GB"/>
        </w:rPr>
        <w:t xml:space="preserve"> 20. Open data regulations</w:t>
      </w:r>
      <w:bookmarkEnd w:id="10"/>
    </w:p>
    <w:p w14:paraId="0403A4FC" w14:textId="70C29DF9" w:rsidR="00C75B2B" w:rsidRPr="00C75B2B" w:rsidRDefault="005B3A16" w:rsidP="00C75B2B">
      <w:pPr>
        <w:spacing w:after="120"/>
        <w:rPr>
          <w:rFonts w:ascii="Gill Sans" w:hAnsi="Gill Sans" w:cs="Gill Sans"/>
          <w:i/>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C75B2B" w:rsidRPr="00C75B2B">
        <w:rPr>
          <w:rFonts w:ascii="Gill Sans" w:hAnsi="Gill Sans" w:cs="Gill Sans"/>
          <w:i/>
          <w:noProof/>
          <w:sz w:val="22"/>
          <w:szCs w:val="22"/>
          <w:lang w:val="en-GB"/>
        </w:rPr>
        <w:t>20. Preparing and submitting to the Cabinet of Ministers of Ukraine in due course proposals on the development of a procedure for disclosure of open governmental data on the Internet</w:t>
      </w:r>
      <w:r w:rsidR="00B7154A">
        <w:rPr>
          <w:rFonts w:ascii="Gill Sans" w:hAnsi="Gill Sans" w:cs="Gill Sans"/>
          <w:i/>
          <w:noProof/>
          <w:sz w:val="22"/>
          <w:szCs w:val="22"/>
          <w:lang w:val="en-GB"/>
        </w:rPr>
        <w:t>.</w:t>
      </w:r>
    </w:p>
    <w:p w14:paraId="1ADCF718" w14:textId="230C8065" w:rsidR="00C75B2B" w:rsidRPr="00C75B2B" w:rsidRDefault="00C75B2B" w:rsidP="00B7154A">
      <w:pPr>
        <w:spacing w:after="120"/>
        <w:rPr>
          <w:rFonts w:ascii="Gill Sans" w:hAnsi="Gill Sans" w:cs="Gill Sans"/>
          <w:noProof/>
          <w:sz w:val="22"/>
          <w:szCs w:val="22"/>
          <w:lang w:val="en-GB"/>
        </w:rPr>
      </w:pPr>
      <w:r w:rsidRPr="00C75B2B">
        <w:rPr>
          <w:rFonts w:ascii="Gill Sans" w:hAnsi="Gill Sans" w:cs="Gill Sans"/>
          <w:b/>
          <w:noProof/>
          <w:sz w:val="22"/>
          <w:szCs w:val="22"/>
          <w:lang w:val="en-GB"/>
        </w:rPr>
        <w:t>Editorial Note:</w:t>
      </w:r>
      <w:r w:rsidRPr="00C75B2B">
        <w:rPr>
          <w:rFonts w:ascii="Gill Sans" w:hAnsi="Gill Sans" w:cs="Gill Sans"/>
          <w:noProof/>
          <w:sz w:val="22"/>
          <w:szCs w:val="22"/>
          <w:lang w:val="en-GB"/>
        </w:rPr>
        <w:t xml:space="preserve"> These two commitments are evaluated together </w:t>
      </w:r>
      <w:r w:rsidR="00B7154A">
        <w:rPr>
          <w:rFonts w:ascii="Gill Sans" w:hAnsi="Gill Sans" w:cs="Gill Sans"/>
          <w:noProof/>
          <w:sz w:val="22"/>
          <w:szCs w:val="22"/>
          <w:lang w:val="en-GB"/>
        </w:rPr>
        <w:t xml:space="preserve">since </w:t>
      </w:r>
      <w:r w:rsidRPr="00C75B2B">
        <w:rPr>
          <w:rFonts w:ascii="Gill Sans" w:hAnsi="Gill Sans" w:cs="Gill Sans"/>
          <w:noProof/>
          <w:sz w:val="22"/>
          <w:szCs w:val="22"/>
          <w:lang w:val="en-GB"/>
        </w:rPr>
        <w:t xml:space="preserve">they </w:t>
      </w:r>
      <w:r w:rsidR="00B7154A">
        <w:rPr>
          <w:rFonts w:ascii="Gill Sans" w:hAnsi="Gill Sans" w:cs="Gill Sans"/>
          <w:noProof/>
          <w:sz w:val="22"/>
          <w:szCs w:val="22"/>
          <w:lang w:val="en-GB"/>
        </w:rPr>
        <w:t>relate to</w:t>
      </w:r>
      <w:r w:rsidR="00B7154A" w:rsidRPr="00C75B2B">
        <w:rPr>
          <w:rFonts w:ascii="Gill Sans" w:hAnsi="Gill Sans" w:cs="Gill Sans"/>
          <w:noProof/>
          <w:sz w:val="22"/>
          <w:szCs w:val="22"/>
          <w:lang w:val="en-GB"/>
        </w:rPr>
        <w:t xml:space="preserve"> </w:t>
      </w:r>
      <w:r w:rsidRPr="00C75B2B">
        <w:rPr>
          <w:rFonts w:ascii="Gill Sans" w:hAnsi="Gill Sans" w:cs="Gill Sans"/>
          <w:noProof/>
          <w:sz w:val="22"/>
          <w:szCs w:val="22"/>
          <w:lang w:val="en-GB"/>
        </w:rPr>
        <w:t>the same subject.</w:t>
      </w:r>
    </w:p>
    <w:p w14:paraId="2A001941" w14:textId="509CDF31" w:rsidR="00C75B2B" w:rsidRPr="00C75B2B" w:rsidRDefault="00C75B2B" w:rsidP="00C75B2B">
      <w:pPr>
        <w:spacing w:after="120"/>
        <w:rPr>
          <w:rFonts w:ascii="Gill Sans" w:hAnsi="Gill Sans" w:cs="Gill Sans"/>
          <w:noProof/>
          <w:sz w:val="22"/>
          <w:szCs w:val="22"/>
          <w:lang w:val="en-GB"/>
        </w:rPr>
      </w:pPr>
      <w:r w:rsidRPr="00C75B2B">
        <w:rPr>
          <w:rFonts w:ascii="Gill Sans" w:hAnsi="Gill Sans" w:cs="Gill Sans"/>
          <w:sz w:val="22"/>
          <w:szCs w:val="22"/>
          <w:lang w:val="en-GB"/>
        </w:rPr>
        <w:t>Lead institution</w:t>
      </w:r>
      <w:r w:rsidR="00B7154A">
        <w:rPr>
          <w:rFonts w:ascii="Gill Sans" w:hAnsi="Gill Sans" w:cs="Gill Sans"/>
          <w:sz w:val="22"/>
          <w:szCs w:val="22"/>
          <w:lang w:val="en-GB"/>
        </w:rPr>
        <w:t>(s)</w:t>
      </w:r>
      <w:r w:rsidRPr="00C75B2B">
        <w:rPr>
          <w:rFonts w:ascii="Gill Sans" w:hAnsi="Gill Sans" w:cs="Gill Sans"/>
          <w:sz w:val="22"/>
          <w:szCs w:val="22"/>
          <w:lang w:val="en-GB"/>
        </w:rPr>
        <w:t xml:space="preserve">: </w:t>
      </w:r>
      <w:r w:rsidRPr="00C75B2B">
        <w:rPr>
          <w:rFonts w:ascii="Gill Sans" w:hAnsi="Gill Sans" w:cs="Gill Sans"/>
          <w:noProof/>
          <w:sz w:val="22"/>
          <w:szCs w:val="22"/>
          <w:lang w:val="en-GB"/>
        </w:rPr>
        <w:t>State Committee on TV and Radio Broadcasting (</w:t>
      </w:r>
      <w:r w:rsidR="00D6486B">
        <w:rPr>
          <w:rFonts w:ascii="Gill Sans" w:hAnsi="Gill Sans" w:cs="Gill Sans"/>
          <w:noProof/>
          <w:sz w:val="22"/>
          <w:szCs w:val="22"/>
          <w:lang w:val="en-GB"/>
        </w:rPr>
        <w:t>C</w:t>
      </w:r>
      <w:r w:rsidRPr="00C75B2B">
        <w:rPr>
          <w:rFonts w:ascii="Gill Sans" w:hAnsi="Gill Sans" w:cs="Gill Sans"/>
          <w:noProof/>
          <w:sz w:val="22"/>
          <w:szCs w:val="22"/>
          <w:lang w:val="en-GB"/>
        </w:rPr>
        <w:t>ommitment 6); State Agency on E-Governance (</w:t>
      </w:r>
      <w:r w:rsidR="00D6486B">
        <w:rPr>
          <w:rFonts w:ascii="Gill Sans" w:hAnsi="Gill Sans" w:cs="Gill Sans"/>
          <w:noProof/>
          <w:sz w:val="22"/>
          <w:szCs w:val="22"/>
          <w:lang w:val="en-GB"/>
        </w:rPr>
        <w:t>C</w:t>
      </w:r>
      <w:r w:rsidRPr="00C75B2B">
        <w:rPr>
          <w:rFonts w:ascii="Gill Sans" w:hAnsi="Gill Sans" w:cs="Gill Sans"/>
          <w:noProof/>
          <w:sz w:val="22"/>
          <w:szCs w:val="22"/>
          <w:lang w:val="en-GB"/>
        </w:rPr>
        <w:t>ommitment 20)</w:t>
      </w:r>
    </w:p>
    <w:p w14:paraId="60D59BAB" w14:textId="2D2B34B7" w:rsidR="00C75B2B" w:rsidRPr="00C75B2B" w:rsidRDefault="00C75B2B" w:rsidP="00C75B2B">
      <w:pPr>
        <w:spacing w:after="120"/>
        <w:rPr>
          <w:rFonts w:ascii="Gill Sans" w:hAnsi="Gill Sans" w:cs="Gill Sans"/>
          <w:noProof/>
          <w:sz w:val="22"/>
          <w:szCs w:val="22"/>
          <w:lang w:val="en-GB"/>
        </w:rPr>
      </w:pPr>
      <w:r w:rsidRPr="00C75B2B">
        <w:rPr>
          <w:rFonts w:ascii="Gill Sans" w:hAnsi="Gill Sans" w:cs="Gill Sans"/>
          <w:sz w:val="22"/>
          <w:szCs w:val="22"/>
          <w:lang w:val="en-GB"/>
        </w:rPr>
        <w:t>Supporting institution</w:t>
      </w:r>
      <w:r w:rsidR="00B7154A">
        <w:rPr>
          <w:rFonts w:ascii="Gill Sans" w:hAnsi="Gill Sans" w:cs="Gill Sans"/>
          <w:sz w:val="22"/>
          <w:szCs w:val="22"/>
          <w:lang w:val="en-GB"/>
        </w:rPr>
        <w:t>(</w:t>
      </w:r>
      <w:r w:rsidRPr="00C75B2B">
        <w:rPr>
          <w:rFonts w:ascii="Gill Sans" w:hAnsi="Gill Sans" w:cs="Gill Sans"/>
          <w:sz w:val="22"/>
          <w:szCs w:val="22"/>
          <w:lang w:val="en-GB"/>
        </w:rPr>
        <w:t>s</w:t>
      </w:r>
      <w:r w:rsidR="00B7154A">
        <w:rPr>
          <w:rFonts w:ascii="Gill Sans" w:hAnsi="Gill Sans" w:cs="Gill Sans"/>
          <w:sz w:val="22"/>
          <w:szCs w:val="22"/>
          <w:lang w:val="en-GB"/>
        </w:rPr>
        <w:t>)</w:t>
      </w:r>
      <w:r w:rsidRPr="00C75B2B">
        <w:rPr>
          <w:rFonts w:ascii="Gill Sans" w:hAnsi="Gill Sans" w:cs="Gill Sans"/>
          <w:sz w:val="22"/>
          <w:szCs w:val="22"/>
          <w:lang w:val="en-GB"/>
        </w:rPr>
        <w:t>:</w:t>
      </w:r>
      <w:r w:rsidRPr="00C75B2B">
        <w:rPr>
          <w:rFonts w:ascii="Gill Sans" w:hAnsi="Gill Sans" w:cs="Gill Sans"/>
          <w:noProof/>
          <w:sz w:val="22"/>
          <w:szCs w:val="22"/>
          <w:lang w:val="en-GB"/>
        </w:rPr>
        <w:t xml:space="preserve"> Ministry of Justice, Ministry of Regional Development, State Statistics Committee, Administration of the State Service for Special Communications and Information Protection, State Agency on E-Governance, the United Nations Development Programme (UNDP), International Renaissance Foundation, other unspecified NGOs and international organisations (commitment 6); Ministry of Regional Development, State Committee on TV and Radio Broadcasting, State Archive Service, National Centre for E-Governance of the State Company  Derzhinformresurs, UNDP, International Renaissance Foundation, other unspecified NGOs and international organisations (</w:t>
      </w:r>
      <w:r w:rsidR="00D6486B">
        <w:rPr>
          <w:rFonts w:ascii="Gill Sans" w:hAnsi="Gill Sans" w:cs="Gill Sans"/>
          <w:noProof/>
          <w:sz w:val="22"/>
          <w:szCs w:val="22"/>
          <w:lang w:val="en-GB"/>
        </w:rPr>
        <w:t>C</w:t>
      </w:r>
      <w:r w:rsidRPr="00C75B2B">
        <w:rPr>
          <w:rFonts w:ascii="Gill Sans" w:hAnsi="Gill Sans" w:cs="Gill Sans"/>
          <w:noProof/>
          <w:sz w:val="22"/>
          <w:szCs w:val="22"/>
          <w:lang w:val="en-GB"/>
        </w:rPr>
        <w:t>ommitment 20)</w:t>
      </w:r>
    </w:p>
    <w:p w14:paraId="7DC1CCC7" w14:textId="6D92291E" w:rsidR="00C75B2B" w:rsidRPr="00C75B2B" w:rsidRDefault="00C75B2B" w:rsidP="00D6486B">
      <w:pPr>
        <w:rPr>
          <w:rFonts w:ascii="Gill Sans" w:hAnsi="Gill Sans" w:cs="Gill Sans"/>
          <w:noProof/>
          <w:sz w:val="22"/>
          <w:szCs w:val="22"/>
          <w:lang w:val="en-GB"/>
        </w:rPr>
      </w:pPr>
      <w:r w:rsidRPr="00C75B2B">
        <w:rPr>
          <w:rFonts w:ascii="Gill Sans" w:hAnsi="Gill Sans" w:cs="Gill Sans"/>
          <w:noProof/>
          <w:sz w:val="22"/>
          <w:szCs w:val="22"/>
          <w:lang w:val="en-GB"/>
        </w:rPr>
        <w:t xml:space="preserve">Start </w:t>
      </w:r>
      <w:r w:rsidR="00B7154A">
        <w:rPr>
          <w:rFonts w:ascii="Gill Sans" w:hAnsi="Gill Sans" w:cs="Gill Sans"/>
          <w:noProof/>
          <w:sz w:val="22"/>
          <w:szCs w:val="22"/>
          <w:lang w:val="en-GB"/>
        </w:rPr>
        <w:t>D</w:t>
      </w:r>
      <w:r w:rsidRPr="00C75B2B">
        <w:rPr>
          <w:rFonts w:ascii="Gill Sans" w:hAnsi="Gill Sans" w:cs="Gill Sans"/>
          <w:noProof/>
          <w:sz w:val="22"/>
          <w:szCs w:val="22"/>
          <w:lang w:val="en-GB"/>
        </w:rPr>
        <w:t xml:space="preserve">ate: Not specified </w:t>
      </w:r>
      <w:r w:rsidRPr="00C75B2B">
        <w:rPr>
          <w:rFonts w:ascii="Gill Sans" w:hAnsi="Gill Sans" w:cs="Gill Sans"/>
          <w:noProof/>
          <w:sz w:val="22"/>
          <w:szCs w:val="22"/>
          <w:lang w:val="en-GB"/>
        </w:rPr>
        <w:tab/>
      </w:r>
      <w:r w:rsidRPr="00C75B2B">
        <w:rPr>
          <w:rFonts w:ascii="Gill Sans" w:hAnsi="Gill Sans" w:cs="Gill Sans"/>
          <w:noProof/>
          <w:sz w:val="22"/>
          <w:szCs w:val="22"/>
          <w:lang w:val="en-GB"/>
        </w:rPr>
        <w:tab/>
      </w:r>
      <w:r w:rsidR="00D6486B">
        <w:rPr>
          <w:rFonts w:ascii="Gill Sans" w:hAnsi="Gill Sans" w:cs="Gill Sans"/>
          <w:noProof/>
          <w:sz w:val="22"/>
          <w:szCs w:val="22"/>
          <w:lang w:val="en-GB"/>
        </w:rPr>
        <w:tab/>
      </w:r>
      <w:r w:rsidRPr="00C75B2B">
        <w:rPr>
          <w:rFonts w:ascii="Gill Sans" w:hAnsi="Gill Sans" w:cs="Gill Sans"/>
          <w:noProof/>
          <w:sz w:val="22"/>
          <w:szCs w:val="22"/>
          <w:lang w:val="en-GB"/>
        </w:rPr>
        <w:t xml:space="preserve">End </w:t>
      </w:r>
      <w:r w:rsidR="00B7154A">
        <w:rPr>
          <w:rFonts w:ascii="Gill Sans" w:hAnsi="Gill Sans" w:cs="Gill Sans"/>
          <w:noProof/>
          <w:sz w:val="22"/>
          <w:szCs w:val="22"/>
          <w:lang w:val="en-GB"/>
        </w:rPr>
        <w:t>D</w:t>
      </w:r>
      <w:r w:rsidRPr="00C75B2B">
        <w:rPr>
          <w:rFonts w:ascii="Gill Sans" w:hAnsi="Gill Sans" w:cs="Gill Sans"/>
          <w:noProof/>
          <w:sz w:val="22"/>
          <w:szCs w:val="22"/>
          <w:lang w:val="en-GB"/>
        </w:rPr>
        <w:t>ate: 31 December 2015 (</w:t>
      </w:r>
      <w:r w:rsidR="00D6486B">
        <w:rPr>
          <w:rFonts w:ascii="Gill Sans" w:hAnsi="Gill Sans" w:cs="Gill Sans"/>
          <w:noProof/>
          <w:sz w:val="22"/>
          <w:szCs w:val="22"/>
          <w:lang w:val="en-GB"/>
        </w:rPr>
        <w:t>C</w:t>
      </w:r>
      <w:r w:rsidRPr="00C75B2B">
        <w:rPr>
          <w:rFonts w:ascii="Gill Sans" w:hAnsi="Gill Sans" w:cs="Gill Sans"/>
          <w:noProof/>
          <w:sz w:val="22"/>
          <w:szCs w:val="22"/>
          <w:lang w:val="en-GB"/>
        </w:rPr>
        <w:t xml:space="preserve">ommitment 6); </w:t>
      </w:r>
      <w:r w:rsidR="00D6486B">
        <w:rPr>
          <w:rFonts w:ascii="Gill Sans" w:hAnsi="Gill Sans" w:cs="Gill Sans"/>
          <w:noProof/>
          <w:sz w:val="22"/>
          <w:szCs w:val="22"/>
          <w:lang w:val="en-GB"/>
        </w:rPr>
        <w:tab/>
      </w:r>
      <w:r w:rsidR="00D6486B">
        <w:rPr>
          <w:rFonts w:ascii="Gill Sans" w:hAnsi="Gill Sans" w:cs="Gill Sans"/>
          <w:noProof/>
          <w:sz w:val="22"/>
          <w:szCs w:val="22"/>
          <w:lang w:val="en-GB"/>
        </w:rPr>
        <w:tab/>
      </w:r>
      <w:r w:rsidR="00D6486B">
        <w:rPr>
          <w:rFonts w:ascii="Gill Sans" w:hAnsi="Gill Sans" w:cs="Gill Sans"/>
          <w:noProof/>
          <w:sz w:val="22"/>
          <w:szCs w:val="22"/>
          <w:lang w:val="en-GB"/>
        </w:rPr>
        <w:tab/>
      </w:r>
      <w:r w:rsidR="00D6486B">
        <w:rPr>
          <w:rFonts w:ascii="Gill Sans" w:hAnsi="Gill Sans" w:cs="Gill Sans"/>
          <w:noProof/>
          <w:sz w:val="22"/>
          <w:szCs w:val="22"/>
          <w:lang w:val="en-GB"/>
        </w:rPr>
        <w:tab/>
      </w:r>
      <w:r w:rsidR="00D6486B">
        <w:rPr>
          <w:rFonts w:ascii="Gill Sans" w:hAnsi="Gill Sans" w:cs="Gill Sans"/>
          <w:noProof/>
          <w:sz w:val="22"/>
          <w:szCs w:val="22"/>
          <w:lang w:val="en-GB"/>
        </w:rPr>
        <w:tab/>
      </w:r>
      <w:r w:rsidR="00D6486B">
        <w:rPr>
          <w:rFonts w:ascii="Gill Sans" w:hAnsi="Gill Sans" w:cs="Gill Sans"/>
          <w:noProof/>
          <w:sz w:val="22"/>
          <w:szCs w:val="22"/>
          <w:lang w:val="en-GB"/>
        </w:rPr>
        <w:tab/>
      </w:r>
      <w:r w:rsidR="00D6486B">
        <w:rPr>
          <w:rFonts w:ascii="Gill Sans" w:hAnsi="Gill Sans" w:cs="Gill Sans"/>
          <w:noProof/>
          <w:sz w:val="22"/>
          <w:szCs w:val="22"/>
          <w:lang w:val="en-GB"/>
        </w:rPr>
        <w:tab/>
      </w:r>
      <w:r w:rsidR="00D6486B">
        <w:rPr>
          <w:rFonts w:ascii="Gill Sans" w:hAnsi="Gill Sans" w:cs="Gill Sans"/>
          <w:noProof/>
          <w:sz w:val="22"/>
          <w:szCs w:val="22"/>
          <w:lang w:val="en-GB"/>
        </w:rPr>
        <w:tab/>
      </w:r>
      <w:r w:rsidRPr="00C75B2B">
        <w:rPr>
          <w:rFonts w:ascii="Gill Sans" w:hAnsi="Gill Sans" w:cs="Gill Sans"/>
          <w:noProof/>
          <w:sz w:val="22"/>
          <w:szCs w:val="22"/>
          <w:lang w:val="en-GB"/>
        </w:rPr>
        <w:t>31 May 2015 (</w:t>
      </w:r>
      <w:r w:rsidR="00D6486B">
        <w:rPr>
          <w:rFonts w:ascii="Gill Sans" w:hAnsi="Gill Sans" w:cs="Gill Sans"/>
          <w:noProof/>
          <w:sz w:val="22"/>
          <w:szCs w:val="22"/>
          <w:lang w:val="en-GB"/>
        </w:rPr>
        <w:t>C</w:t>
      </w:r>
      <w:r w:rsidRPr="00C75B2B">
        <w:rPr>
          <w:rFonts w:ascii="Gill Sans" w:hAnsi="Gill Sans" w:cs="Gill Sans"/>
          <w:noProof/>
          <w:sz w:val="22"/>
          <w:szCs w:val="22"/>
          <w:lang w:val="en-GB"/>
        </w:rPr>
        <w:t>ommitment 20)</w:t>
      </w:r>
    </w:p>
    <w:p w14:paraId="7060D9C5" w14:textId="77777777" w:rsidR="00C75B2B" w:rsidRDefault="00C75B2B" w:rsidP="006319F4">
      <w:pPr>
        <w:pStyle w:val="Heading3"/>
      </w:pPr>
    </w:p>
    <w:tbl>
      <w:tblPr>
        <w:tblW w:w="1020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472"/>
        <w:gridCol w:w="408"/>
        <w:gridCol w:w="350"/>
        <w:gridCol w:w="343"/>
        <w:gridCol w:w="364"/>
        <w:gridCol w:w="8"/>
        <w:gridCol w:w="336"/>
        <w:gridCol w:w="384"/>
        <w:gridCol w:w="11"/>
        <w:gridCol w:w="15"/>
        <w:gridCol w:w="372"/>
        <w:gridCol w:w="373"/>
        <w:gridCol w:w="416"/>
        <w:gridCol w:w="340"/>
        <w:gridCol w:w="416"/>
        <w:gridCol w:w="340"/>
        <w:gridCol w:w="467"/>
        <w:gridCol w:w="514"/>
        <w:gridCol w:w="514"/>
        <w:gridCol w:w="404"/>
        <w:gridCol w:w="340"/>
        <w:gridCol w:w="384"/>
        <w:gridCol w:w="340"/>
        <w:gridCol w:w="340"/>
        <w:gridCol w:w="515"/>
      </w:tblGrid>
      <w:tr w:rsidR="00C75B2B" w:rsidRPr="009651AC" w14:paraId="001A7355" w14:textId="77777777" w:rsidTr="00B223BA">
        <w:trPr>
          <w:trHeight w:val="405"/>
        </w:trPr>
        <w:tc>
          <w:tcPr>
            <w:tcW w:w="1442" w:type="dxa"/>
            <w:vMerge w:val="restart"/>
            <w:tcBorders>
              <w:top w:val="single" w:sz="18" w:space="0" w:color="FFFFFF"/>
              <w:left w:val="single" w:sz="4" w:space="0" w:color="FFFFFF"/>
              <w:right w:val="single" w:sz="18" w:space="0" w:color="FFFFFF"/>
            </w:tcBorders>
            <w:shd w:val="clear" w:color="auto" w:fill="000000"/>
          </w:tcPr>
          <w:p w14:paraId="4E8F40D8" w14:textId="77777777" w:rsidR="00C75B2B" w:rsidRPr="009651AC" w:rsidRDefault="00C75B2B" w:rsidP="007A1164">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tc>
        <w:tc>
          <w:tcPr>
            <w:tcW w:w="1573" w:type="dxa"/>
            <w:gridSpan w:val="4"/>
            <w:vMerge w:val="restart"/>
            <w:tcBorders>
              <w:top w:val="single" w:sz="18" w:space="0" w:color="FFFFFF"/>
              <w:left w:val="single" w:sz="18" w:space="0" w:color="FFFFFF"/>
              <w:right w:val="single" w:sz="18" w:space="0" w:color="FFFFFF"/>
            </w:tcBorders>
            <w:shd w:val="clear" w:color="auto" w:fill="D6E3BC"/>
          </w:tcPr>
          <w:p w14:paraId="68B7760F"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Specificity</w:t>
            </w:r>
          </w:p>
        </w:tc>
        <w:tc>
          <w:tcPr>
            <w:tcW w:w="1863" w:type="dxa"/>
            <w:gridSpan w:val="8"/>
            <w:vMerge w:val="restart"/>
            <w:tcBorders>
              <w:top w:val="single" w:sz="18" w:space="0" w:color="FFFFFF"/>
              <w:left w:val="single" w:sz="18" w:space="0" w:color="FFFFFF"/>
              <w:right w:val="single" w:sz="18" w:space="0" w:color="FFFFFF"/>
            </w:tcBorders>
            <w:shd w:val="clear" w:color="auto" w:fill="FBD4B4"/>
          </w:tcPr>
          <w:p w14:paraId="61390440" w14:textId="2A34606A"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 xml:space="preserve">OGP </w:t>
            </w:r>
            <w:r w:rsidR="00B7154A">
              <w:rPr>
                <w:rFonts w:ascii="Gill Sans" w:hAnsi="Gill Sans" w:cs="Gill Sans"/>
                <w:sz w:val="22"/>
                <w:szCs w:val="22"/>
                <w:lang w:val="en-GB"/>
              </w:rPr>
              <w:t>V</w:t>
            </w:r>
            <w:r w:rsidRPr="009651AC">
              <w:rPr>
                <w:rFonts w:ascii="Gill Sans" w:hAnsi="Gill Sans" w:cs="Gill Sans"/>
                <w:sz w:val="22"/>
                <w:szCs w:val="22"/>
                <w:lang w:val="en-GB"/>
              </w:rPr>
              <w:t xml:space="preserve">alue </w:t>
            </w:r>
            <w:r w:rsidR="00B7154A">
              <w:rPr>
                <w:rFonts w:ascii="Gill Sans" w:hAnsi="Gill Sans" w:cs="Gill Sans"/>
                <w:sz w:val="22"/>
                <w:szCs w:val="22"/>
                <w:lang w:val="en-GB"/>
              </w:rPr>
              <w:t>R</w:t>
            </w:r>
            <w:r w:rsidRPr="009651AC">
              <w:rPr>
                <w:rFonts w:ascii="Gill Sans" w:hAnsi="Gill Sans" w:cs="Gill Sans"/>
                <w:sz w:val="22"/>
                <w:szCs w:val="22"/>
                <w:lang w:val="en-GB"/>
              </w:rPr>
              <w:t>elevance</w:t>
            </w:r>
            <w:r w:rsidR="00B7154A">
              <w:rPr>
                <w:rFonts w:ascii="Gill Sans" w:hAnsi="Gill Sans" w:cs="Gill Sans"/>
                <w:sz w:val="22"/>
                <w:szCs w:val="22"/>
                <w:lang w:val="en-GB"/>
              </w:rPr>
              <w:t xml:space="preserve"> (as written)</w:t>
            </w:r>
          </w:p>
        </w:tc>
        <w:tc>
          <w:tcPr>
            <w:tcW w:w="1512" w:type="dxa"/>
            <w:gridSpan w:val="4"/>
            <w:vMerge w:val="restart"/>
            <w:tcBorders>
              <w:top w:val="single" w:sz="18" w:space="0" w:color="FFFFFF"/>
              <w:left w:val="single" w:sz="18" w:space="0" w:color="FFFFFF"/>
              <w:right w:val="single" w:sz="18" w:space="0" w:color="FFFFFF"/>
            </w:tcBorders>
            <w:shd w:val="clear" w:color="auto" w:fill="CCC0D9"/>
          </w:tcPr>
          <w:p w14:paraId="6364ED2E"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981" w:type="dxa"/>
            <w:gridSpan w:val="2"/>
            <w:vMerge w:val="restart"/>
            <w:tcBorders>
              <w:top w:val="single" w:sz="18" w:space="0" w:color="FFFFFF"/>
              <w:left w:val="single" w:sz="18" w:space="0" w:color="FFFFFF"/>
              <w:right w:val="single" w:sz="2" w:space="0" w:color="FFFFFF"/>
            </w:tcBorders>
            <w:shd w:val="clear" w:color="auto" w:fill="B8CCE4"/>
          </w:tcPr>
          <w:p w14:paraId="31EBE710" w14:textId="51805537" w:rsidR="00C75B2B" w:rsidRPr="009651AC" w:rsidRDefault="00C75B2B" w:rsidP="007A1164">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sidR="00B7154A">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18"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420C1320"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Midterm</w:t>
            </w:r>
          </w:p>
        </w:tc>
        <w:tc>
          <w:tcPr>
            <w:tcW w:w="1919" w:type="dxa"/>
            <w:gridSpan w:val="5"/>
            <w:vMerge w:val="restart"/>
            <w:tcBorders>
              <w:top w:val="single" w:sz="18" w:space="0" w:color="FFFFFF"/>
              <w:left w:val="single" w:sz="18" w:space="0" w:color="FFFFFF"/>
              <w:right w:val="single" w:sz="18" w:space="0" w:color="FFFFFF"/>
            </w:tcBorders>
            <w:shd w:val="clear" w:color="auto" w:fill="D99594"/>
          </w:tcPr>
          <w:p w14:paraId="644682F2" w14:textId="23E2717E"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 xml:space="preserve">Did it </w:t>
            </w:r>
            <w:r w:rsidR="00B7154A">
              <w:rPr>
                <w:rFonts w:ascii="Gill Sans" w:hAnsi="Gill Sans" w:cs="Gill Sans"/>
                <w:sz w:val="22"/>
                <w:szCs w:val="22"/>
                <w:lang w:val="en-GB"/>
              </w:rPr>
              <w:t>O</w:t>
            </w:r>
            <w:r w:rsidRPr="009651AC">
              <w:rPr>
                <w:rFonts w:ascii="Gill Sans" w:hAnsi="Gill Sans" w:cs="Gill Sans"/>
                <w:sz w:val="22"/>
                <w:szCs w:val="22"/>
                <w:lang w:val="en-GB"/>
              </w:rPr>
              <w:t xml:space="preserve">pen </w:t>
            </w:r>
            <w:r w:rsidR="00B7154A">
              <w:rPr>
                <w:rFonts w:ascii="Gill Sans" w:hAnsi="Gill Sans" w:cs="Gill Sans"/>
                <w:sz w:val="22"/>
                <w:szCs w:val="22"/>
                <w:lang w:val="en-GB"/>
              </w:rPr>
              <w:t>G</w:t>
            </w:r>
            <w:r w:rsidRPr="009651AC">
              <w:rPr>
                <w:rFonts w:ascii="Gill Sans" w:hAnsi="Gill Sans" w:cs="Gill Sans"/>
                <w:sz w:val="22"/>
                <w:szCs w:val="22"/>
                <w:lang w:val="en-GB"/>
              </w:rPr>
              <w:t>overnment?</w:t>
            </w:r>
          </w:p>
        </w:tc>
      </w:tr>
      <w:tr w:rsidR="00C75B2B" w:rsidRPr="009651AC" w14:paraId="5B8AF58E" w14:textId="77777777" w:rsidTr="00B223BA">
        <w:trPr>
          <w:trHeight w:val="373"/>
        </w:trPr>
        <w:tc>
          <w:tcPr>
            <w:tcW w:w="1442" w:type="dxa"/>
            <w:vMerge/>
            <w:tcBorders>
              <w:left w:val="single" w:sz="4" w:space="0" w:color="FFFFFF"/>
              <w:right w:val="single" w:sz="18" w:space="0" w:color="FFFFFF"/>
            </w:tcBorders>
            <w:shd w:val="clear" w:color="auto" w:fill="000000"/>
          </w:tcPr>
          <w:p w14:paraId="11C72932" w14:textId="77777777" w:rsidR="00C75B2B" w:rsidRPr="009651AC" w:rsidRDefault="00C75B2B" w:rsidP="007A1164">
            <w:pPr>
              <w:rPr>
                <w:rFonts w:ascii="Gill Sans" w:hAnsi="Gill Sans" w:cs="Gill Sans"/>
                <w:color w:val="FFFFFF" w:themeColor="background1"/>
                <w:sz w:val="22"/>
                <w:szCs w:val="22"/>
                <w:lang w:val="en-GB"/>
              </w:rPr>
            </w:pPr>
          </w:p>
        </w:tc>
        <w:tc>
          <w:tcPr>
            <w:tcW w:w="1573" w:type="dxa"/>
            <w:gridSpan w:val="4"/>
            <w:vMerge/>
            <w:tcBorders>
              <w:left w:val="single" w:sz="18" w:space="0" w:color="FFFFFF"/>
              <w:bottom w:val="single" w:sz="18" w:space="0" w:color="FFFFFF"/>
              <w:right w:val="single" w:sz="18" w:space="0" w:color="FFFFFF"/>
            </w:tcBorders>
            <w:shd w:val="clear" w:color="auto" w:fill="D6E3BC"/>
          </w:tcPr>
          <w:p w14:paraId="2084282D" w14:textId="77777777" w:rsidR="00C75B2B" w:rsidRPr="009651AC" w:rsidRDefault="00C75B2B" w:rsidP="007A1164">
            <w:pPr>
              <w:rPr>
                <w:rFonts w:ascii="Gill Sans" w:hAnsi="Gill Sans" w:cs="Gill Sans"/>
                <w:sz w:val="22"/>
                <w:szCs w:val="22"/>
                <w:lang w:val="en-GB"/>
              </w:rPr>
            </w:pPr>
          </w:p>
        </w:tc>
        <w:tc>
          <w:tcPr>
            <w:tcW w:w="1863" w:type="dxa"/>
            <w:gridSpan w:val="8"/>
            <w:vMerge/>
            <w:tcBorders>
              <w:left w:val="single" w:sz="18" w:space="0" w:color="FFFFFF"/>
              <w:bottom w:val="single" w:sz="18" w:space="0" w:color="FFFFFF"/>
              <w:right w:val="single" w:sz="18" w:space="0" w:color="FFFFFF"/>
            </w:tcBorders>
            <w:shd w:val="clear" w:color="auto" w:fill="FBD4B4"/>
          </w:tcPr>
          <w:p w14:paraId="0906135C" w14:textId="77777777" w:rsidR="00C75B2B" w:rsidRPr="009651AC" w:rsidRDefault="00C75B2B" w:rsidP="007A1164">
            <w:pPr>
              <w:rPr>
                <w:rFonts w:ascii="Gill Sans" w:hAnsi="Gill Sans" w:cs="Gill Sans"/>
                <w:sz w:val="22"/>
                <w:szCs w:val="22"/>
                <w:lang w:val="en-GB"/>
              </w:rPr>
            </w:pPr>
          </w:p>
        </w:tc>
        <w:tc>
          <w:tcPr>
            <w:tcW w:w="1512" w:type="dxa"/>
            <w:gridSpan w:val="4"/>
            <w:vMerge/>
            <w:tcBorders>
              <w:left w:val="single" w:sz="18" w:space="0" w:color="FFFFFF"/>
              <w:bottom w:val="single" w:sz="18" w:space="0" w:color="FFFFFF"/>
              <w:right w:val="single" w:sz="18" w:space="0" w:color="FFFFFF"/>
            </w:tcBorders>
            <w:shd w:val="clear" w:color="auto" w:fill="CCC0D9"/>
          </w:tcPr>
          <w:p w14:paraId="49216146" w14:textId="77777777" w:rsidR="00C75B2B" w:rsidRPr="009651AC" w:rsidRDefault="00C75B2B" w:rsidP="007A1164">
            <w:pPr>
              <w:rPr>
                <w:rFonts w:ascii="Gill Sans" w:hAnsi="Gill Sans" w:cs="Gill Sans"/>
                <w:sz w:val="22"/>
                <w:szCs w:val="22"/>
                <w:lang w:val="en-GB"/>
              </w:rPr>
            </w:pPr>
          </w:p>
        </w:tc>
        <w:tc>
          <w:tcPr>
            <w:tcW w:w="981" w:type="dxa"/>
            <w:gridSpan w:val="2"/>
            <w:vMerge/>
            <w:tcBorders>
              <w:left w:val="single" w:sz="18" w:space="0" w:color="FFFFFF"/>
              <w:bottom w:val="single" w:sz="18" w:space="0" w:color="FFFFFF"/>
              <w:right w:val="single" w:sz="2" w:space="0" w:color="FFFFFF"/>
            </w:tcBorders>
            <w:shd w:val="clear" w:color="auto" w:fill="B8CCE4"/>
          </w:tcPr>
          <w:p w14:paraId="209DA4C1" w14:textId="77777777" w:rsidR="00C75B2B" w:rsidRPr="009651AC" w:rsidRDefault="00C75B2B" w:rsidP="007A1164">
            <w:pPr>
              <w:rPr>
                <w:rFonts w:ascii="Gill Sans" w:hAnsi="Gill Sans" w:cs="Gill Sans"/>
                <w:sz w:val="22"/>
                <w:szCs w:val="22"/>
                <w:lang w:val="en-GB"/>
              </w:rPr>
            </w:pPr>
          </w:p>
        </w:tc>
        <w:tc>
          <w:tcPr>
            <w:tcW w:w="918"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AC65049" w14:textId="4128B4AF"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 xml:space="preserve">End of </w:t>
            </w:r>
            <w:r w:rsidR="00B7154A">
              <w:rPr>
                <w:rFonts w:ascii="Gill Sans" w:hAnsi="Gill Sans" w:cs="Gill Sans"/>
                <w:sz w:val="22"/>
                <w:szCs w:val="22"/>
                <w:lang w:val="en-GB"/>
              </w:rPr>
              <w:t>T</w:t>
            </w:r>
            <w:r w:rsidRPr="009651AC">
              <w:rPr>
                <w:rFonts w:ascii="Gill Sans" w:hAnsi="Gill Sans" w:cs="Gill Sans"/>
                <w:sz w:val="22"/>
                <w:szCs w:val="22"/>
                <w:lang w:val="en-GB"/>
              </w:rPr>
              <w:t>erm</w:t>
            </w:r>
          </w:p>
        </w:tc>
        <w:tc>
          <w:tcPr>
            <w:tcW w:w="1919" w:type="dxa"/>
            <w:gridSpan w:val="5"/>
            <w:vMerge/>
            <w:tcBorders>
              <w:left w:val="single" w:sz="18" w:space="0" w:color="FFFFFF"/>
              <w:bottom w:val="single" w:sz="18" w:space="0" w:color="FFFFFF"/>
              <w:right w:val="single" w:sz="18" w:space="0" w:color="FFFFFF"/>
            </w:tcBorders>
            <w:shd w:val="clear" w:color="auto" w:fill="D99594"/>
          </w:tcPr>
          <w:p w14:paraId="0502E800" w14:textId="77777777" w:rsidR="00C75B2B" w:rsidRPr="009651AC" w:rsidRDefault="00C75B2B" w:rsidP="007A1164">
            <w:pPr>
              <w:rPr>
                <w:rFonts w:ascii="Gill Sans" w:hAnsi="Gill Sans" w:cs="Gill Sans"/>
                <w:sz w:val="22"/>
                <w:szCs w:val="22"/>
                <w:lang w:val="en-GB"/>
              </w:rPr>
            </w:pPr>
          </w:p>
        </w:tc>
      </w:tr>
      <w:tr w:rsidR="00A61FBC" w:rsidRPr="009651AC" w14:paraId="1B492879" w14:textId="77777777" w:rsidTr="00B223BA">
        <w:trPr>
          <w:cantSplit/>
          <w:trHeight w:val="2336"/>
        </w:trPr>
        <w:tc>
          <w:tcPr>
            <w:tcW w:w="1442" w:type="dxa"/>
            <w:vMerge/>
            <w:tcBorders>
              <w:left w:val="single" w:sz="4" w:space="0" w:color="FFFFFF"/>
              <w:bottom w:val="single" w:sz="18" w:space="0" w:color="FFFFFF"/>
              <w:right w:val="single" w:sz="18" w:space="0" w:color="FFFFFF"/>
            </w:tcBorders>
            <w:shd w:val="clear" w:color="auto" w:fill="000000"/>
          </w:tcPr>
          <w:p w14:paraId="7CFB3335" w14:textId="77777777" w:rsidR="00C75B2B" w:rsidRPr="009651AC" w:rsidRDefault="00C75B2B" w:rsidP="007A1164">
            <w:pPr>
              <w:rPr>
                <w:rFonts w:ascii="Gill Sans" w:hAnsi="Gill Sans" w:cs="Gill Sans"/>
                <w:color w:val="FFFFFF" w:themeColor="background1"/>
                <w:sz w:val="22"/>
                <w:szCs w:val="22"/>
                <w:lang w:val="en-GB"/>
              </w:rPr>
            </w:pPr>
          </w:p>
        </w:tc>
        <w:tc>
          <w:tcPr>
            <w:tcW w:w="472"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4BE8644D"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None</w:t>
            </w:r>
          </w:p>
        </w:tc>
        <w:tc>
          <w:tcPr>
            <w:tcW w:w="408"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2D5CB51E"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Low</w:t>
            </w:r>
          </w:p>
        </w:tc>
        <w:tc>
          <w:tcPr>
            <w:tcW w:w="350"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589CFCE4"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Medium</w:t>
            </w:r>
          </w:p>
        </w:tc>
        <w:tc>
          <w:tcPr>
            <w:tcW w:w="343"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199E8B20"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High</w:t>
            </w:r>
          </w:p>
        </w:tc>
        <w:tc>
          <w:tcPr>
            <w:tcW w:w="364"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724C0B5C"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44" w:type="dxa"/>
            <w:gridSpan w:val="2"/>
            <w:tcBorders>
              <w:top w:val="single" w:sz="18" w:space="0" w:color="FFFFFF"/>
              <w:left w:val="single" w:sz="2" w:space="0" w:color="FFFFFF"/>
              <w:bottom w:val="single" w:sz="18" w:space="0" w:color="FFFFFF"/>
              <w:right w:val="single" w:sz="2" w:space="0" w:color="FFFFFF"/>
            </w:tcBorders>
            <w:shd w:val="clear" w:color="auto" w:fill="FBD4B4"/>
            <w:textDirection w:val="btLr"/>
          </w:tcPr>
          <w:p w14:paraId="6A5CC639"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84"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042D7804"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771" w:type="dxa"/>
            <w:gridSpan w:val="4"/>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5F61D5DE"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416"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47568A21"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None</w:t>
            </w:r>
          </w:p>
        </w:tc>
        <w:tc>
          <w:tcPr>
            <w:tcW w:w="340"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5DFDDDB7"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Minor</w:t>
            </w:r>
          </w:p>
        </w:tc>
        <w:tc>
          <w:tcPr>
            <w:tcW w:w="416"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6F2FAB7D"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Moderate</w:t>
            </w:r>
          </w:p>
        </w:tc>
        <w:tc>
          <w:tcPr>
            <w:tcW w:w="340"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12D2DDD6"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467"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3E95254C" w14:textId="51A8631B"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 xml:space="preserve">Not </w:t>
            </w:r>
            <w:r w:rsidR="00B7154A">
              <w:rPr>
                <w:rFonts w:ascii="Gill Sans" w:hAnsi="Gill Sans" w:cs="Gill Sans"/>
                <w:sz w:val="22"/>
                <w:szCs w:val="22"/>
                <w:lang w:val="en-GB"/>
              </w:rPr>
              <w:t>S</w:t>
            </w:r>
            <w:r w:rsidRPr="009651AC">
              <w:rPr>
                <w:rFonts w:ascii="Gill Sans" w:hAnsi="Gill Sans" w:cs="Gill Sans"/>
                <w:sz w:val="22"/>
                <w:szCs w:val="22"/>
                <w:lang w:val="en-GB"/>
              </w:rPr>
              <w:t>tarted</w:t>
            </w:r>
          </w:p>
        </w:tc>
        <w:tc>
          <w:tcPr>
            <w:tcW w:w="514"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7AC4A42E"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Limited</w:t>
            </w:r>
          </w:p>
        </w:tc>
        <w:tc>
          <w:tcPr>
            <w:tcW w:w="514"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64DB752A"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Substantial</w:t>
            </w:r>
          </w:p>
        </w:tc>
        <w:tc>
          <w:tcPr>
            <w:tcW w:w="404"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522AC138"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Completed</w:t>
            </w:r>
          </w:p>
        </w:tc>
        <w:tc>
          <w:tcPr>
            <w:tcW w:w="34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4D436FF0" w14:textId="621302AA"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Worsen</w:t>
            </w:r>
            <w:r w:rsidR="006868D8">
              <w:rPr>
                <w:rFonts w:ascii="Gill Sans" w:hAnsi="Gill Sans" w:cs="Gill Sans"/>
                <w:sz w:val="22"/>
                <w:szCs w:val="22"/>
                <w:lang w:val="en-GB"/>
              </w:rPr>
              <w:t>ed</w:t>
            </w:r>
          </w:p>
        </w:tc>
        <w:tc>
          <w:tcPr>
            <w:tcW w:w="38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F2A27ED" w14:textId="40CF78BB"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 xml:space="preserve">Did </w:t>
            </w:r>
            <w:r w:rsidR="00B7154A">
              <w:rPr>
                <w:rFonts w:ascii="Gill Sans" w:hAnsi="Gill Sans" w:cs="Gill Sans"/>
                <w:sz w:val="22"/>
                <w:szCs w:val="22"/>
                <w:lang w:val="en-GB"/>
              </w:rPr>
              <w:t>N</w:t>
            </w:r>
            <w:r w:rsidRPr="009651AC">
              <w:rPr>
                <w:rFonts w:ascii="Gill Sans" w:hAnsi="Gill Sans" w:cs="Gill Sans"/>
                <w:sz w:val="22"/>
                <w:szCs w:val="22"/>
                <w:lang w:val="en-GB"/>
              </w:rPr>
              <w:t xml:space="preserve">ot </w:t>
            </w:r>
            <w:r w:rsidR="00B7154A">
              <w:rPr>
                <w:rFonts w:ascii="Gill Sans" w:hAnsi="Gill Sans" w:cs="Gill Sans"/>
                <w:sz w:val="22"/>
                <w:szCs w:val="22"/>
                <w:lang w:val="en-GB"/>
              </w:rPr>
              <w:t>C</w:t>
            </w:r>
            <w:r w:rsidRPr="009651AC">
              <w:rPr>
                <w:rFonts w:ascii="Gill Sans" w:hAnsi="Gill Sans" w:cs="Gill Sans"/>
                <w:sz w:val="22"/>
                <w:szCs w:val="22"/>
                <w:lang w:val="en-GB"/>
              </w:rPr>
              <w:t>hange</w:t>
            </w:r>
          </w:p>
        </w:tc>
        <w:tc>
          <w:tcPr>
            <w:tcW w:w="34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F4A6B7C"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Marginal</w:t>
            </w:r>
          </w:p>
        </w:tc>
        <w:tc>
          <w:tcPr>
            <w:tcW w:w="34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50A83AF"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515"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5F6AB25B" w14:textId="77777777" w:rsidR="00C75B2B" w:rsidRPr="009651AC" w:rsidRDefault="00C75B2B" w:rsidP="007A1164">
            <w:pPr>
              <w:rPr>
                <w:rFonts w:ascii="Gill Sans" w:hAnsi="Gill Sans" w:cs="Gill Sans"/>
                <w:sz w:val="22"/>
                <w:szCs w:val="22"/>
                <w:lang w:val="en-GB"/>
              </w:rPr>
            </w:pPr>
            <w:r w:rsidRPr="009651AC">
              <w:rPr>
                <w:rFonts w:ascii="Gill Sans" w:hAnsi="Gill Sans" w:cs="Gill Sans"/>
                <w:sz w:val="22"/>
                <w:szCs w:val="22"/>
                <w:lang w:val="en-GB"/>
              </w:rPr>
              <w:t>Outstanding</w:t>
            </w:r>
          </w:p>
        </w:tc>
      </w:tr>
      <w:tr w:rsidR="00A61FBC" w:rsidRPr="009651AC" w14:paraId="2BC4C072" w14:textId="77777777" w:rsidTr="00B223BA">
        <w:trPr>
          <w:trHeight w:val="340"/>
        </w:trPr>
        <w:tc>
          <w:tcPr>
            <w:tcW w:w="1442" w:type="dxa"/>
            <w:vMerge w:val="restart"/>
            <w:tcBorders>
              <w:top w:val="single" w:sz="18" w:space="0" w:color="FFFFFF"/>
              <w:left w:val="single" w:sz="4" w:space="0" w:color="FFFFFF"/>
            </w:tcBorders>
            <w:shd w:val="clear" w:color="auto" w:fill="000000"/>
          </w:tcPr>
          <w:p w14:paraId="60A27482" w14:textId="1668F681" w:rsidR="0044773A" w:rsidRPr="00B7154A" w:rsidRDefault="006E6C92" w:rsidP="0044773A">
            <w:pPr>
              <w:rPr>
                <w:rFonts w:ascii="Gill Sans" w:hAnsi="Gill Sans" w:cs="Gill Sans"/>
                <w:color w:val="FFFFFF" w:themeColor="background1"/>
                <w:sz w:val="22"/>
                <w:szCs w:val="22"/>
                <w:lang w:val="en-GB"/>
              </w:rPr>
            </w:pPr>
            <w:r w:rsidRPr="006E6C92">
              <w:rPr>
                <w:rFonts w:ascii="MS Mincho" w:eastAsia="MS Mincho" w:hAnsi="MS Mincho" w:cs="MS Mincho"/>
                <w:color w:val="FFFFFF" w:themeColor="background1"/>
                <w:sz w:val="22"/>
                <w:szCs w:val="22"/>
                <w:lang w:val="en-GB"/>
              </w:rPr>
              <w:t>✪</w:t>
            </w:r>
            <w:r w:rsidR="0044773A" w:rsidRPr="00163080">
              <w:rPr>
                <w:rFonts w:ascii="Gill Sans" w:hAnsi="Gill Sans" w:cs="Gill Sans"/>
                <w:color w:val="FFFFFF" w:themeColor="background1"/>
                <w:sz w:val="22"/>
                <w:szCs w:val="22"/>
                <w:lang w:val="en-GB"/>
              </w:rPr>
              <w:t xml:space="preserve">6: Draft law on open data </w:t>
            </w:r>
          </w:p>
        </w:tc>
        <w:tc>
          <w:tcPr>
            <w:tcW w:w="472" w:type="dxa"/>
            <w:vMerge w:val="restart"/>
            <w:tcBorders>
              <w:top w:val="single" w:sz="18" w:space="0" w:color="FFFFFF"/>
              <w:right w:val="single" w:sz="2" w:space="0" w:color="FFFFFF"/>
            </w:tcBorders>
            <w:shd w:val="clear" w:color="auto" w:fill="D6E3BC"/>
          </w:tcPr>
          <w:p w14:paraId="535C952A" w14:textId="77777777" w:rsidR="0044773A" w:rsidRPr="009651AC" w:rsidRDefault="0044773A" w:rsidP="0044773A">
            <w:pPr>
              <w:jc w:val="center"/>
              <w:rPr>
                <w:rFonts w:ascii="Gill Sans" w:hAnsi="Gill Sans" w:cs="Gill Sans"/>
                <w:sz w:val="22"/>
                <w:szCs w:val="22"/>
                <w:lang w:val="en-GB"/>
              </w:rPr>
            </w:pPr>
          </w:p>
        </w:tc>
        <w:tc>
          <w:tcPr>
            <w:tcW w:w="408" w:type="dxa"/>
            <w:vMerge w:val="restart"/>
            <w:tcBorders>
              <w:top w:val="single" w:sz="18" w:space="0" w:color="FFFFFF"/>
              <w:left w:val="single" w:sz="2" w:space="0" w:color="FFFFFF"/>
              <w:right w:val="single" w:sz="2" w:space="0" w:color="FFFFFF"/>
            </w:tcBorders>
            <w:shd w:val="clear" w:color="auto" w:fill="D6E3BC"/>
          </w:tcPr>
          <w:p w14:paraId="21D3425A" w14:textId="77777777" w:rsidR="0044773A" w:rsidRPr="009651AC" w:rsidRDefault="0044773A" w:rsidP="0044773A">
            <w:pPr>
              <w:jc w:val="center"/>
              <w:rPr>
                <w:rFonts w:ascii="Gill Sans" w:hAnsi="Gill Sans" w:cs="Gill Sans"/>
                <w:sz w:val="22"/>
                <w:szCs w:val="22"/>
                <w:lang w:val="en-GB"/>
              </w:rPr>
            </w:pPr>
          </w:p>
        </w:tc>
        <w:tc>
          <w:tcPr>
            <w:tcW w:w="350" w:type="dxa"/>
            <w:vMerge w:val="restart"/>
            <w:tcBorders>
              <w:top w:val="single" w:sz="18" w:space="0" w:color="FFFFFF"/>
              <w:left w:val="single" w:sz="2" w:space="0" w:color="FFFFFF"/>
              <w:right w:val="single" w:sz="2" w:space="0" w:color="FFFFFF"/>
            </w:tcBorders>
            <w:shd w:val="clear" w:color="auto" w:fill="D6E3BC"/>
          </w:tcPr>
          <w:p w14:paraId="40A54538" w14:textId="77777777" w:rsidR="0044773A" w:rsidRPr="009651AC" w:rsidRDefault="0044773A" w:rsidP="0044773A">
            <w:pPr>
              <w:jc w:val="center"/>
              <w:rPr>
                <w:rFonts w:ascii="Gill Sans" w:hAnsi="Gill Sans" w:cs="Gill Sans"/>
                <w:sz w:val="22"/>
                <w:szCs w:val="22"/>
                <w:lang w:val="en-GB"/>
              </w:rPr>
            </w:pPr>
          </w:p>
        </w:tc>
        <w:tc>
          <w:tcPr>
            <w:tcW w:w="343" w:type="dxa"/>
            <w:vMerge w:val="restart"/>
            <w:tcBorders>
              <w:top w:val="single" w:sz="18" w:space="0" w:color="FFFFFF"/>
              <w:left w:val="single" w:sz="2" w:space="0" w:color="FFFFFF"/>
              <w:right w:val="single" w:sz="18" w:space="0" w:color="FFFFFF"/>
            </w:tcBorders>
            <w:shd w:val="clear" w:color="auto" w:fill="D6E3BC"/>
          </w:tcPr>
          <w:p w14:paraId="1F5D5CF9" w14:textId="77777777" w:rsidR="0044773A" w:rsidRPr="00466E44" w:rsidRDefault="0044773A" w:rsidP="0044773A">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72" w:type="dxa"/>
            <w:gridSpan w:val="2"/>
            <w:vMerge w:val="restart"/>
            <w:tcBorders>
              <w:top w:val="single" w:sz="18" w:space="0" w:color="FFFFFF"/>
              <w:left w:val="single" w:sz="2" w:space="0" w:color="FFFFFF"/>
              <w:bottom w:val="single" w:sz="8" w:space="0" w:color="FFFFFF" w:themeColor="background1"/>
              <w:right w:val="single" w:sz="4" w:space="0" w:color="FFFFFF" w:themeColor="background1"/>
            </w:tcBorders>
            <w:shd w:val="clear" w:color="auto" w:fill="FBD4B4"/>
          </w:tcPr>
          <w:p w14:paraId="6914A327" w14:textId="73679A5C" w:rsidR="0044773A" w:rsidRPr="00466E44" w:rsidRDefault="0044773A" w:rsidP="0044773A">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36" w:type="dxa"/>
            <w:vMerge w:val="restart"/>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FBD4B4"/>
          </w:tcPr>
          <w:p w14:paraId="57C4063A" w14:textId="77777777" w:rsidR="0044773A" w:rsidRPr="00466E44" w:rsidRDefault="0044773A" w:rsidP="0044773A">
            <w:pPr>
              <w:rPr>
                <w:rFonts w:ascii="Zapf Dingbats" w:eastAsia="MS Mincho" w:hAnsi="Zapf Dingbats" w:cs="MS Mincho"/>
                <w:noProof/>
                <w:sz w:val="22"/>
                <w:szCs w:val="22"/>
                <w:lang w:val="en-GB"/>
              </w:rPr>
            </w:pPr>
          </w:p>
        </w:tc>
        <w:tc>
          <w:tcPr>
            <w:tcW w:w="410" w:type="dxa"/>
            <w:gridSpan w:val="3"/>
            <w:vMerge w:val="restart"/>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FBD4B4"/>
          </w:tcPr>
          <w:p w14:paraId="162FD0F7" w14:textId="77777777" w:rsidR="0044773A" w:rsidRPr="00466E44" w:rsidRDefault="0044773A" w:rsidP="0044773A">
            <w:pPr>
              <w:rPr>
                <w:rFonts w:ascii="Zapf Dingbats" w:eastAsia="MS Mincho" w:hAnsi="Zapf Dingbats" w:cs="MS Mincho"/>
                <w:noProof/>
                <w:sz w:val="22"/>
                <w:szCs w:val="22"/>
                <w:lang w:val="en-GB"/>
              </w:rPr>
            </w:pPr>
          </w:p>
        </w:tc>
        <w:tc>
          <w:tcPr>
            <w:tcW w:w="372" w:type="dxa"/>
            <w:vMerge w:val="restart"/>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FBD4B4"/>
          </w:tcPr>
          <w:p w14:paraId="43704ACE" w14:textId="77777777" w:rsidR="0044773A" w:rsidRPr="00466E44" w:rsidRDefault="0044773A" w:rsidP="0044773A">
            <w:pPr>
              <w:rPr>
                <w:rFonts w:ascii="Zapf Dingbats" w:eastAsia="MS Mincho" w:hAnsi="Zapf Dingbats" w:cs="MS Mincho"/>
                <w:noProof/>
                <w:sz w:val="22"/>
                <w:szCs w:val="22"/>
                <w:lang w:val="en-GB"/>
              </w:rPr>
            </w:pPr>
          </w:p>
        </w:tc>
        <w:tc>
          <w:tcPr>
            <w:tcW w:w="373" w:type="dxa"/>
            <w:vMerge w:val="restart"/>
            <w:tcBorders>
              <w:top w:val="single" w:sz="18" w:space="0" w:color="FFFFFF"/>
              <w:left w:val="single" w:sz="4" w:space="0" w:color="FFFFFF" w:themeColor="background1"/>
              <w:bottom w:val="single" w:sz="8" w:space="0" w:color="FFFFFF" w:themeColor="background1"/>
              <w:right w:val="single" w:sz="18" w:space="0" w:color="FFFFFF"/>
            </w:tcBorders>
            <w:shd w:val="clear" w:color="auto" w:fill="FBD4B4"/>
          </w:tcPr>
          <w:p w14:paraId="5BC477F3" w14:textId="6C49E03F" w:rsidR="0044773A" w:rsidRPr="00466E44" w:rsidRDefault="0044773A" w:rsidP="0044773A">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16" w:type="dxa"/>
            <w:vMerge w:val="restart"/>
            <w:tcBorders>
              <w:top w:val="single" w:sz="18" w:space="0" w:color="FFFFFF"/>
              <w:left w:val="single" w:sz="18" w:space="0" w:color="FFFFFF"/>
              <w:right w:val="single" w:sz="2" w:space="0" w:color="FFFFFF"/>
            </w:tcBorders>
            <w:shd w:val="clear" w:color="auto" w:fill="CCC0D9"/>
          </w:tcPr>
          <w:p w14:paraId="1B3A87A9" w14:textId="77777777" w:rsidR="0044773A" w:rsidRPr="00466E44" w:rsidRDefault="0044773A" w:rsidP="0044773A">
            <w:pPr>
              <w:rPr>
                <w:rFonts w:ascii="Zapf Dingbats" w:eastAsia="MS Mincho" w:hAnsi="Zapf Dingbats" w:cs="MS Mincho"/>
                <w:noProof/>
                <w:sz w:val="22"/>
                <w:szCs w:val="22"/>
                <w:lang w:val="en-GB"/>
              </w:rPr>
            </w:pPr>
          </w:p>
        </w:tc>
        <w:tc>
          <w:tcPr>
            <w:tcW w:w="340" w:type="dxa"/>
            <w:vMerge w:val="restart"/>
            <w:tcBorders>
              <w:top w:val="single" w:sz="18" w:space="0" w:color="FFFFFF"/>
              <w:left w:val="single" w:sz="2" w:space="0" w:color="FFFFFF"/>
              <w:right w:val="single" w:sz="2" w:space="0" w:color="FFFFFF"/>
            </w:tcBorders>
            <w:shd w:val="clear" w:color="auto" w:fill="CCC0D9"/>
          </w:tcPr>
          <w:p w14:paraId="2F7324D4" w14:textId="50E4AE35" w:rsidR="0044773A" w:rsidRPr="00466E44" w:rsidRDefault="0044773A" w:rsidP="0044773A">
            <w:pPr>
              <w:rPr>
                <w:rFonts w:ascii="Zapf Dingbats" w:eastAsia="MS Mincho" w:hAnsi="Zapf Dingbats" w:cs="MS Mincho"/>
                <w:noProof/>
                <w:sz w:val="22"/>
                <w:szCs w:val="22"/>
                <w:lang w:val="en-GB"/>
              </w:rPr>
            </w:pPr>
          </w:p>
        </w:tc>
        <w:tc>
          <w:tcPr>
            <w:tcW w:w="416" w:type="dxa"/>
            <w:vMerge w:val="restart"/>
            <w:tcBorders>
              <w:top w:val="single" w:sz="18" w:space="0" w:color="FFFFFF"/>
              <w:left w:val="single" w:sz="2" w:space="0" w:color="FFFFFF"/>
              <w:right w:val="single" w:sz="2" w:space="0" w:color="FFFFFF"/>
            </w:tcBorders>
            <w:shd w:val="clear" w:color="auto" w:fill="CCC0D9"/>
          </w:tcPr>
          <w:p w14:paraId="6F58A8F6" w14:textId="77777777" w:rsidR="0044773A" w:rsidRPr="00466E44" w:rsidRDefault="0044773A" w:rsidP="0044773A">
            <w:pPr>
              <w:rPr>
                <w:rFonts w:ascii="Zapf Dingbats" w:eastAsia="MS Mincho" w:hAnsi="Zapf Dingbats" w:cs="MS Mincho"/>
                <w:noProof/>
                <w:sz w:val="22"/>
                <w:szCs w:val="22"/>
                <w:lang w:val="en-GB"/>
              </w:rPr>
            </w:pPr>
          </w:p>
        </w:tc>
        <w:tc>
          <w:tcPr>
            <w:tcW w:w="340" w:type="dxa"/>
            <w:vMerge w:val="restart"/>
            <w:tcBorders>
              <w:top w:val="single" w:sz="18" w:space="0" w:color="FFFFFF"/>
              <w:left w:val="single" w:sz="2" w:space="0" w:color="FFFFFF"/>
              <w:right w:val="single" w:sz="18" w:space="0" w:color="FFFFFF"/>
            </w:tcBorders>
            <w:shd w:val="clear" w:color="auto" w:fill="CCC0D9"/>
          </w:tcPr>
          <w:p w14:paraId="3756DE4D" w14:textId="5E648239" w:rsidR="0044773A" w:rsidRPr="00466E44" w:rsidRDefault="0044773A" w:rsidP="0044773A">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67"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A9B1068" w14:textId="77777777" w:rsidR="0044773A" w:rsidRPr="00466E44" w:rsidRDefault="0044773A" w:rsidP="0044773A">
            <w:pPr>
              <w:rPr>
                <w:rFonts w:ascii="Zapf Dingbats" w:eastAsia="MS Mincho" w:hAnsi="Zapf Dingbats" w:cs="MS Mincho"/>
                <w:noProof/>
                <w:sz w:val="22"/>
                <w:szCs w:val="22"/>
                <w:lang w:val="en-GB"/>
              </w:rPr>
            </w:pPr>
          </w:p>
        </w:tc>
        <w:tc>
          <w:tcPr>
            <w:tcW w:w="514"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9D136DA" w14:textId="4799A6DB" w:rsidR="0044773A" w:rsidRPr="00466E44" w:rsidRDefault="0044773A" w:rsidP="0044773A">
            <w:pPr>
              <w:rPr>
                <w:rFonts w:ascii="Zapf Dingbats" w:eastAsia="MS Mincho" w:hAnsi="Zapf Dingbats" w:cs="MS Mincho"/>
                <w:noProof/>
                <w:sz w:val="22"/>
                <w:szCs w:val="22"/>
                <w:lang w:val="en-GB"/>
              </w:rPr>
            </w:pPr>
          </w:p>
        </w:tc>
        <w:tc>
          <w:tcPr>
            <w:tcW w:w="514"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A323790" w14:textId="77777777" w:rsidR="0044773A" w:rsidRPr="00466E44" w:rsidRDefault="0044773A" w:rsidP="0044773A">
            <w:pPr>
              <w:rPr>
                <w:rFonts w:ascii="Zapf Dingbats" w:eastAsia="MS Mincho" w:hAnsi="Zapf Dingbats" w:cs="MS Mincho"/>
                <w:noProof/>
                <w:sz w:val="22"/>
                <w:szCs w:val="22"/>
                <w:lang w:val="en-GB"/>
              </w:rPr>
            </w:pPr>
          </w:p>
        </w:tc>
        <w:tc>
          <w:tcPr>
            <w:tcW w:w="404"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738A7E81" w14:textId="75332EDC" w:rsidR="0044773A" w:rsidRPr="00466E44" w:rsidRDefault="0044773A" w:rsidP="0044773A">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40" w:type="dxa"/>
            <w:vMerge w:val="restart"/>
            <w:tcBorders>
              <w:top w:val="single" w:sz="18" w:space="0" w:color="FFFFFF"/>
              <w:left w:val="single" w:sz="18" w:space="0" w:color="FFFFFF"/>
              <w:right w:val="single" w:sz="2" w:space="0" w:color="FFFFFF"/>
            </w:tcBorders>
            <w:shd w:val="clear" w:color="auto" w:fill="D99594"/>
          </w:tcPr>
          <w:p w14:paraId="232409FC" w14:textId="77777777" w:rsidR="0044773A" w:rsidRPr="009651AC" w:rsidRDefault="0044773A" w:rsidP="0044773A">
            <w:pPr>
              <w:jc w:val="center"/>
              <w:rPr>
                <w:rFonts w:ascii="Gill Sans" w:hAnsi="Gill Sans" w:cs="Gill Sans"/>
                <w:sz w:val="22"/>
                <w:szCs w:val="22"/>
                <w:lang w:val="en-GB"/>
              </w:rPr>
            </w:pPr>
          </w:p>
        </w:tc>
        <w:tc>
          <w:tcPr>
            <w:tcW w:w="384" w:type="dxa"/>
            <w:vMerge w:val="restart"/>
            <w:tcBorders>
              <w:top w:val="single" w:sz="18" w:space="0" w:color="FFFFFF"/>
              <w:left w:val="single" w:sz="2" w:space="0" w:color="FFFFFF"/>
              <w:right w:val="single" w:sz="2" w:space="0" w:color="FFFFFF"/>
            </w:tcBorders>
            <w:shd w:val="clear" w:color="auto" w:fill="D99594"/>
          </w:tcPr>
          <w:p w14:paraId="389FCA69" w14:textId="6D39127C" w:rsidR="0044773A" w:rsidRPr="009651AC" w:rsidRDefault="0044773A" w:rsidP="0044773A">
            <w:pPr>
              <w:jc w:val="center"/>
              <w:rPr>
                <w:rFonts w:ascii="Gill Sans" w:hAnsi="Gill Sans" w:cs="Gill Sans"/>
                <w:sz w:val="22"/>
                <w:szCs w:val="22"/>
                <w:lang w:val="en-GB"/>
              </w:rPr>
            </w:pPr>
          </w:p>
        </w:tc>
        <w:tc>
          <w:tcPr>
            <w:tcW w:w="340" w:type="dxa"/>
            <w:vMerge w:val="restart"/>
            <w:tcBorders>
              <w:top w:val="single" w:sz="18" w:space="0" w:color="FFFFFF"/>
              <w:left w:val="single" w:sz="2" w:space="0" w:color="FFFFFF"/>
              <w:right w:val="single" w:sz="2" w:space="0" w:color="FFFFFF"/>
            </w:tcBorders>
            <w:shd w:val="clear" w:color="auto" w:fill="D99594"/>
          </w:tcPr>
          <w:p w14:paraId="6524EB05" w14:textId="77777777" w:rsidR="0044773A" w:rsidRPr="009651AC" w:rsidRDefault="0044773A" w:rsidP="0044773A">
            <w:pPr>
              <w:jc w:val="center"/>
              <w:rPr>
                <w:rFonts w:ascii="Gill Sans" w:hAnsi="Gill Sans" w:cs="Gill Sans"/>
                <w:sz w:val="22"/>
                <w:szCs w:val="22"/>
                <w:lang w:val="en-GB"/>
              </w:rPr>
            </w:pPr>
          </w:p>
        </w:tc>
        <w:tc>
          <w:tcPr>
            <w:tcW w:w="340" w:type="dxa"/>
            <w:vMerge w:val="restart"/>
            <w:tcBorders>
              <w:top w:val="single" w:sz="18" w:space="0" w:color="FFFFFF"/>
              <w:left w:val="single" w:sz="2" w:space="0" w:color="FFFFFF"/>
              <w:right w:val="single" w:sz="2" w:space="0" w:color="FFFFFF"/>
            </w:tcBorders>
            <w:shd w:val="clear" w:color="auto" w:fill="D99594"/>
          </w:tcPr>
          <w:p w14:paraId="54590697" w14:textId="77777777" w:rsidR="0044773A" w:rsidRPr="009651AC" w:rsidRDefault="0044773A" w:rsidP="0044773A">
            <w:pPr>
              <w:jc w:val="center"/>
              <w:rPr>
                <w:rFonts w:ascii="Gill Sans" w:hAnsi="Gill Sans" w:cs="Gill Sans"/>
                <w:noProof/>
                <w:sz w:val="22"/>
                <w:szCs w:val="22"/>
                <w:lang w:val="en-GB"/>
              </w:rPr>
            </w:pPr>
          </w:p>
        </w:tc>
        <w:tc>
          <w:tcPr>
            <w:tcW w:w="515" w:type="dxa"/>
            <w:vMerge w:val="restart"/>
            <w:tcBorders>
              <w:top w:val="single" w:sz="18" w:space="0" w:color="FFFFFF"/>
              <w:left w:val="single" w:sz="2" w:space="0" w:color="FFFFFF"/>
              <w:right w:val="single" w:sz="18" w:space="0" w:color="FFFFFF"/>
            </w:tcBorders>
            <w:shd w:val="clear" w:color="auto" w:fill="D99594"/>
          </w:tcPr>
          <w:p w14:paraId="765EBEA5" w14:textId="7750D15F" w:rsidR="0044773A" w:rsidRPr="00466E44" w:rsidRDefault="0044773A" w:rsidP="0044773A">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r>
      <w:tr w:rsidR="00A61FBC" w:rsidRPr="009651AC" w14:paraId="187E9CD3" w14:textId="77777777" w:rsidTr="00B223BA">
        <w:trPr>
          <w:trHeight w:val="340"/>
        </w:trPr>
        <w:tc>
          <w:tcPr>
            <w:tcW w:w="1442" w:type="dxa"/>
            <w:vMerge/>
            <w:tcBorders>
              <w:left w:val="single" w:sz="4" w:space="0" w:color="FFFFFF"/>
            </w:tcBorders>
            <w:shd w:val="clear" w:color="auto" w:fill="000000"/>
          </w:tcPr>
          <w:p w14:paraId="36179CAC" w14:textId="77777777" w:rsidR="0084266A" w:rsidRPr="00B7154A" w:rsidRDefault="0084266A" w:rsidP="007A1164">
            <w:pPr>
              <w:rPr>
                <w:rFonts w:ascii="Gill Sans" w:hAnsi="Gill Sans" w:cs="Gill Sans"/>
                <w:color w:val="FFFFFF" w:themeColor="background1"/>
                <w:sz w:val="22"/>
                <w:szCs w:val="22"/>
                <w:lang w:val="en-GB"/>
              </w:rPr>
            </w:pPr>
          </w:p>
        </w:tc>
        <w:tc>
          <w:tcPr>
            <w:tcW w:w="472" w:type="dxa"/>
            <w:vMerge/>
            <w:tcBorders>
              <w:right w:val="single" w:sz="2" w:space="0" w:color="FFFFFF"/>
            </w:tcBorders>
            <w:shd w:val="clear" w:color="auto" w:fill="D6E3BC"/>
          </w:tcPr>
          <w:p w14:paraId="42E2425C" w14:textId="77777777" w:rsidR="0084266A" w:rsidRPr="009651AC" w:rsidRDefault="0084266A" w:rsidP="00FD644B">
            <w:pPr>
              <w:jc w:val="center"/>
              <w:rPr>
                <w:rFonts w:ascii="Gill Sans" w:hAnsi="Gill Sans" w:cs="Gill Sans"/>
                <w:sz w:val="22"/>
                <w:szCs w:val="22"/>
                <w:lang w:val="en-GB"/>
              </w:rPr>
            </w:pPr>
          </w:p>
        </w:tc>
        <w:tc>
          <w:tcPr>
            <w:tcW w:w="408" w:type="dxa"/>
            <w:vMerge/>
            <w:tcBorders>
              <w:left w:val="single" w:sz="2" w:space="0" w:color="FFFFFF"/>
              <w:right w:val="single" w:sz="2" w:space="0" w:color="FFFFFF"/>
            </w:tcBorders>
            <w:shd w:val="clear" w:color="auto" w:fill="D6E3BC"/>
          </w:tcPr>
          <w:p w14:paraId="7D188F05" w14:textId="77777777" w:rsidR="0084266A" w:rsidRPr="009651AC" w:rsidRDefault="0084266A" w:rsidP="00FD644B">
            <w:pPr>
              <w:jc w:val="center"/>
              <w:rPr>
                <w:rFonts w:ascii="Gill Sans" w:hAnsi="Gill Sans" w:cs="Gill Sans"/>
                <w:sz w:val="22"/>
                <w:szCs w:val="22"/>
                <w:lang w:val="en-GB"/>
              </w:rPr>
            </w:pPr>
          </w:p>
        </w:tc>
        <w:tc>
          <w:tcPr>
            <w:tcW w:w="350" w:type="dxa"/>
            <w:vMerge/>
            <w:tcBorders>
              <w:left w:val="single" w:sz="2" w:space="0" w:color="FFFFFF"/>
              <w:right w:val="single" w:sz="2" w:space="0" w:color="FFFFFF"/>
            </w:tcBorders>
            <w:shd w:val="clear" w:color="auto" w:fill="D6E3BC"/>
          </w:tcPr>
          <w:p w14:paraId="3233BD96" w14:textId="77777777" w:rsidR="0084266A" w:rsidRPr="009651AC" w:rsidRDefault="0084266A" w:rsidP="00FD644B">
            <w:pPr>
              <w:jc w:val="center"/>
              <w:rPr>
                <w:rFonts w:ascii="Gill Sans" w:hAnsi="Gill Sans" w:cs="Gill Sans"/>
                <w:sz w:val="22"/>
                <w:szCs w:val="22"/>
                <w:lang w:val="en-GB"/>
              </w:rPr>
            </w:pPr>
          </w:p>
        </w:tc>
        <w:tc>
          <w:tcPr>
            <w:tcW w:w="343" w:type="dxa"/>
            <w:vMerge/>
            <w:tcBorders>
              <w:left w:val="single" w:sz="2" w:space="0" w:color="FFFFFF"/>
              <w:right w:val="single" w:sz="18" w:space="0" w:color="FFFFFF"/>
            </w:tcBorders>
            <w:shd w:val="clear" w:color="auto" w:fill="D6E3BC"/>
          </w:tcPr>
          <w:p w14:paraId="05FCE642" w14:textId="77777777" w:rsidR="0084266A" w:rsidRPr="00466E44" w:rsidRDefault="0084266A" w:rsidP="00466E44">
            <w:pPr>
              <w:rPr>
                <w:rFonts w:ascii="Zapf Dingbats" w:eastAsia="MS Mincho" w:hAnsi="Zapf Dingbats" w:cs="MS Mincho"/>
                <w:noProof/>
                <w:sz w:val="22"/>
                <w:szCs w:val="22"/>
                <w:lang w:val="en-GB"/>
              </w:rPr>
            </w:pPr>
          </w:p>
        </w:tc>
        <w:tc>
          <w:tcPr>
            <w:tcW w:w="372" w:type="dxa"/>
            <w:gridSpan w:val="2"/>
            <w:vMerge/>
            <w:tcBorders>
              <w:top w:val="single" w:sz="4" w:space="0" w:color="FFFFFF" w:themeColor="background1"/>
              <w:left w:val="single" w:sz="2" w:space="0" w:color="FFFFFF"/>
              <w:bottom w:val="single" w:sz="8" w:space="0" w:color="FFFFFF" w:themeColor="background1"/>
              <w:right w:val="single" w:sz="4" w:space="0" w:color="FFFFFF" w:themeColor="background1"/>
            </w:tcBorders>
            <w:shd w:val="clear" w:color="auto" w:fill="FBD4B4"/>
          </w:tcPr>
          <w:p w14:paraId="28A4CBA0" w14:textId="77777777" w:rsidR="0084266A" w:rsidRPr="00466E44" w:rsidRDefault="0084266A" w:rsidP="00466E44">
            <w:pPr>
              <w:rPr>
                <w:rFonts w:ascii="Zapf Dingbats" w:eastAsia="MS Mincho" w:hAnsi="Zapf Dingbats" w:cs="MS Mincho"/>
                <w:noProof/>
                <w:sz w:val="22"/>
                <w:szCs w:val="22"/>
                <w:lang w:val="en-GB"/>
              </w:rPr>
            </w:pPr>
          </w:p>
        </w:tc>
        <w:tc>
          <w:tcPr>
            <w:tcW w:w="336"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BD4B4"/>
          </w:tcPr>
          <w:p w14:paraId="55248A6C" w14:textId="77777777" w:rsidR="0084266A" w:rsidRPr="00466E44" w:rsidRDefault="0084266A" w:rsidP="00466E44">
            <w:pPr>
              <w:rPr>
                <w:rFonts w:ascii="Zapf Dingbats" w:eastAsia="MS Mincho" w:hAnsi="Zapf Dingbats" w:cs="MS Mincho"/>
                <w:noProof/>
                <w:sz w:val="22"/>
                <w:szCs w:val="22"/>
                <w:lang w:val="en-GB"/>
              </w:rPr>
            </w:pPr>
          </w:p>
        </w:tc>
        <w:tc>
          <w:tcPr>
            <w:tcW w:w="410" w:type="dxa"/>
            <w:gridSpan w:val="3"/>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BD4B4"/>
          </w:tcPr>
          <w:p w14:paraId="75DF2E24" w14:textId="77777777" w:rsidR="0084266A" w:rsidRPr="00466E44" w:rsidRDefault="0084266A" w:rsidP="00466E44">
            <w:pPr>
              <w:rPr>
                <w:rFonts w:ascii="Zapf Dingbats" w:eastAsia="MS Mincho" w:hAnsi="Zapf Dingbats" w:cs="MS Mincho"/>
                <w:noProof/>
                <w:sz w:val="22"/>
                <w:szCs w:val="22"/>
                <w:lang w:val="en-GB"/>
              </w:rPr>
            </w:pPr>
          </w:p>
        </w:tc>
        <w:tc>
          <w:tcPr>
            <w:tcW w:w="372"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BD4B4"/>
          </w:tcPr>
          <w:p w14:paraId="0DFA2446" w14:textId="77777777" w:rsidR="0084266A" w:rsidRPr="00466E44" w:rsidRDefault="0084266A" w:rsidP="00466E44">
            <w:pPr>
              <w:rPr>
                <w:rFonts w:ascii="Zapf Dingbats" w:eastAsia="MS Mincho" w:hAnsi="Zapf Dingbats" w:cs="MS Mincho"/>
                <w:noProof/>
                <w:sz w:val="22"/>
                <w:szCs w:val="22"/>
                <w:lang w:val="en-GB"/>
              </w:rPr>
            </w:pPr>
          </w:p>
        </w:tc>
        <w:tc>
          <w:tcPr>
            <w:tcW w:w="373" w:type="dxa"/>
            <w:vMerge/>
            <w:tcBorders>
              <w:top w:val="single" w:sz="4" w:space="0" w:color="FFFFFF" w:themeColor="background1"/>
              <w:left w:val="single" w:sz="4" w:space="0" w:color="FFFFFF" w:themeColor="background1"/>
              <w:bottom w:val="single" w:sz="8" w:space="0" w:color="FFFFFF" w:themeColor="background1"/>
              <w:right w:val="single" w:sz="18" w:space="0" w:color="FFFFFF"/>
            </w:tcBorders>
            <w:shd w:val="clear" w:color="auto" w:fill="FBD4B4"/>
          </w:tcPr>
          <w:p w14:paraId="521A1F62" w14:textId="2AFC35B3" w:rsidR="0084266A" w:rsidRPr="00466E44" w:rsidRDefault="0084266A" w:rsidP="00466E44">
            <w:pPr>
              <w:rPr>
                <w:rFonts w:ascii="Zapf Dingbats" w:eastAsia="MS Mincho" w:hAnsi="Zapf Dingbats" w:cs="MS Mincho"/>
                <w:noProof/>
                <w:sz w:val="22"/>
                <w:szCs w:val="22"/>
                <w:lang w:val="en-GB"/>
              </w:rPr>
            </w:pPr>
          </w:p>
        </w:tc>
        <w:tc>
          <w:tcPr>
            <w:tcW w:w="416" w:type="dxa"/>
            <w:vMerge/>
            <w:tcBorders>
              <w:left w:val="single" w:sz="18" w:space="0" w:color="FFFFFF"/>
              <w:right w:val="single" w:sz="2" w:space="0" w:color="FFFFFF"/>
            </w:tcBorders>
            <w:shd w:val="clear" w:color="auto" w:fill="CCC0D9"/>
          </w:tcPr>
          <w:p w14:paraId="4F32CF4A" w14:textId="77777777" w:rsidR="0084266A" w:rsidRPr="00466E44" w:rsidRDefault="0084266A" w:rsidP="00466E44">
            <w:pPr>
              <w:rPr>
                <w:rFonts w:ascii="Zapf Dingbats" w:eastAsia="MS Mincho" w:hAnsi="Zapf Dingbats" w:cs="MS Mincho"/>
                <w:noProof/>
                <w:sz w:val="22"/>
                <w:szCs w:val="22"/>
                <w:lang w:val="en-GB"/>
              </w:rPr>
            </w:pPr>
          </w:p>
        </w:tc>
        <w:tc>
          <w:tcPr>
            <w:tcW w:w="340" w:type="dxa"/>
            <w:vMerge/>
            <w:tcBorders>
              <w:left w:val="single" w:sz="2" w:space="0" w:color="FFFFFF"/>
              <w:right w:val="single" w:sz="2" w:space="0" w:color="FFFFFF"/>
            </w:tcBorders>
            <w:shd w:val="clear" w:color="auto" w:fill="CCC0D9"/>
          </w:tcPr>
          <w:p w14:paraId="6B4717CE" w14:textId="77777777" w:rsidR="0084266A" w:rsidRPr="00466E44" w:rsidRDefault="0084266A" w:rsidP="00466E44">
            <w:pPr>
              <w:rPr>
                <w:rFonts w:ascii="Zapf Dingbats" w:eastAsia="MS Mincho" w:hAnsi="Zapf Dingbats" w:cs="MS Mincho"/>
                <w:noProof/>
                <w:sz w:val="22"/>
                <w:szCs w:val="22"/>
                <w:lang w:val="en-GB"/>
              </w:rPr>
            </w:pPr>
          </w:p>
        </w:tc>
        <w:tc>
          <w:tcPr>
            <w:tcW w:w="416" w:type="dxa"/>
            <w:vMerge/>
            <w:tcBorders>
              <w:left w:val="single" w:sz="2" w:space="0" w:color="FFFFFF"/>
              <w:right w:val="single" w:sz="2" w:space="0" w:color="FFFFFF"/>
            </w:tcBorders>
            <w:shd w:val="clear" w:color="auto" w:fill="CCC0D9"/>
          </w:tcPr>
          <w:p w14:paraId="21693672" w14:textId="77777777" w:rsidR="0084266A" w:rsidRPr="00466E44" w:rsidRDefault="0084266A" w:rsidP="00466E44">
            <w:pPr>
              <w:rPr>
                <w:rFonts w:ascii="Zapf Dingbats" w:eastAsia="MS Mincho" w:hAnsi="Zapf Dingbats" w:cs="MS Mincho"/>
                <w:noProof/>
                <w:sz w:val="22"/>
                <w:szCs w:val="22"/>
                <w:lang w:val="en-GB"/>
              </w:rPr>
            </w:pPr>
          </w:p>
        </w:tc>
        <w:tc>
          <w:tcPr>
            <w:tcW w:w="340" w:type="dxa"/>
            <w:vMerge/>
            <w:tcBorders>
              <w:left w:val="single" w:sz="2" w:space="0" w:color="FFFFFF"/>
              <w:right w:val="single" w:sz="18" w:space="0" w:color="FFFFFF"/>
            </w:tcBorders>
            <w:shd w:val="clear" w:color="auto" w:fill="CCC0D9"/>
          </w:tcPr>
          <w:p w14:paraId="5C5A6996" w14:textId="77777777" w:rsidR="0084266A" w:rsidRPr="00466E44" w:rsidRDefault="0084266A" w:rsidP="00466E44">
            <w:pPr>
              <w:rPr>
                <w:rFonts w:ascii="Zapf Dingbats" w:eastAsia="MS Mincho" w:hAnsi="Zapf Dingbats" w:cs="MS Mincho"/>
                <w:noProof/>
                <w:sz w:val="22"/>
                <w:szCs w:val="22"/>
                <w:lang w:val="en-GB"/>
              </w:rPr>
            </w:pPr>
          </w:p>
        </w:tc>
        <w:tc>
          <w:tcPr>
            <w:tcW w:w="467"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139185D9" w14:textId="77777777" w:rsidR="0084266A" w:rsidRPr="00466E44" w:rsidRDefault="0084266A" w:rsidP="00466E44">
            <w:pPr>
              <w:rPr>
                <w:rFonts w:ascii="Zapf Dingbats" w:eastAsia="MS Mincho" w:hAnsi="Zapf Dingbats" w:cs="MS Mincho"/>
                <w:noProof/>
                <w:sz w:val="22"/>
                <w:szCs w:val="22"/>
                <w:lang w:val="en-GB"/>
              </w:rPr>
            </w:pPr>
          </w:p>
        </w:tc>
        <w:tc>
          <w:tcPr>
            <w:tcW w:w="514"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50C88DF4" w14:textId="6CA2FFFD" w:rsidR="0084266A" w:rsidRPr="00466E44" w:rsidRDefault="0084266A" w:rsidP="00466E44">
            <w:pPr>
              <w:rPr>
                <w:rFonts w:ascii="Zapf Dingbats" w:eastAsia="MS Mincho" w:hAnsi="Zapf Dingbats" w:cs="MS Mincho"/>
                <w:noProof/>
                <w:sz w:val="22"/>
                <w:szCs w:val="22"/>
                <w:lang w:val="en-GB"/>
              </w:rPr>
            </w:pPr>
          </w:p>
        </w:tc>
        <w:tc>
          <w:tcPr>
            <w:tcW w:w="514"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38FAA55B" w14:textId="77777777" w:rsidR="0084266A" w:rsidRPr="00466E44" w:rsidRDefault="0084266A" w:rsidP="00466E44">
            <w:pPr>
              <w:rPr>
                <w:rFonts w:ascii="Zapf Dingbats" w:eastAsia="MS Mincho" w:hAnsi="Zapf Dingbats" w:cs="MS Mincho"/>
                <w:noProof/>
                <w:sz w:val="22"/>
                <w:szCs w:val="22"/>
                <w:lang w:val="en-GB"/>
              </w:rPr>
            </w:pPr>
          </w:p>
        </w:tc>
        <w:tc>
          <w:tcPr>
            <w:tcW w:w="404" w:type="dxa"/>
            <w:tcBorders>
              <w:top w:val="single" w:sz="8" w:space="0" w:color="FFFFFF" w:themeColor="background1"/>
              <w:left w:val="single" w:sz="4" w:space="0" w:color="FFFFFF" w:themeColor="background1"/>
              <w:bottom w:val="single" w:sz="18" w:space="0" w:color="FFFFFF"/>
              <w:right w:val="single" w:sz="18" w:space="0" w:color="FFFFFF"/>
            </w:tcBorders>
            <w:shd w:val="clear" w:color="auto" w:fill="B8CCE4"/>
          </w:tcPr>
          <w:p w14:paraId="02A65420" w14:textId="6C1FCF51" w:rsidR="0084266A" w:rsidRPr="00466E44" w:rsidRDefault="00FD644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40" w:type="dxa"/>
            <w:vMerge/>
            <w:tcBorders>
              <w:left w:val="single" w:sz="18" w:space="0" w:color="FFFFFF"/>
              <w:right w:val="single" w:sz="2" w:space="0" w:color="FFFFFF"/>
            </w:tcBorders>
            <w:shd w:val="clear" w:color="auto" w:fill="D99594"/>
          </w:tcPr>
          <w:p w14:paraId="41F60EB7" w14:textId="77777777" w:rsidR="0084266A" w:rsidRPr="009651AC" w:rsidRDefault="0084266A" w:rsidP="00FD644B">
            <w:pPr>
              <w:jc w:val="center"/>
              <w:rPr>
                <w:rFonts w:ascii="Gill Sans" w:hAnsi="Gill Sans" w:cs="Gill Sans"/>
                <w:sz w:val="22"/>
                <w:szCs w:val="22"/>
                <w:lang w:val="en-GB"/>
              </w:rPr>
            </w:pPr>
          </w:p>
        </w:tc>
        <w:tc>
          <w:tcPr>
            <w:tcW w:w="384" w:type="dxa"/>
            <w:vMerge/>
            <w:tcBorders>
              <w:left w:val="single" w:sz="2" w:space="0" w:color="FFFFFF"/>
              <w:right w:val="single" w:sz="2" w:space="0" w:color="FFFFFF"/>
            </w:tcBorders>
            <w:shd w:val="clear" w:color="auto" w:fill="D99594"/>
          </w:tcPr>
          <w:p w14:paraId="179F5A14" w14:textId="77777777" w:rsidR="0084266A" w:rsidRPr="009651AC" w:rsidRDefault="0084266A" w:rsidP="00FD644B">
            <w:pPr>
              <w:jc w:val="center"/>
              <w:rPr>
                <w:rFonts w:ascii="Gill Sans" w:hAnsi="Gill Sans" w:cs="Gill Sans"/>
                <w:sz w:val="22"/>
                <w:szCs w:val="22"/>
                <w:lang w:val="en-GB"/>
              </w:rPr>
            </w:pPr>
          </w:p>
        </w:tc>
        <w:tc>
          <w:tcPr>
            <w:tcW w:w="340" w:type="dxa"/>
            <w:vMerge/>
            <w:tcBorders>
              <w:left w:val="single" w:sz="2" w:space="0" w:color="FFFFFF"/>
              <w:right w:val="single" w:sz="2" w:space="0" w:color="FFFFFF"/>
            </w:tcBorders>
            <w:shd w:val="clear" w:color="auto" w:fill="D99594"/>
          </w:tcPr>
          <w:p w14:paraId="574F6258" w14:textId="77777777" w:rsidR="0084266A" w:rsidRPr="009651AC" w:rsidRDefault="0084266A" w:rsidP="00FD644B">
            <w:pPr>
              <w:jc w:val="center"/>
              <w:rPr>
                <w:rFonts w:ascii="Gill Sans" w:hAnsi="Gill Sans" w:cs="Gill Sans"/>
                <w:sz w:val="22"/>
                <w:szCs w:val="22"/>
                <w:lang w:val="en-GB"/>
              </w:rPr>
            </w:pPr>
          </w:p>
        </w:tc>
        <w:tc>
          <w:tcPr>
            <w:tcW w:w="340" w:type="dxa"/>
            <w:vMerge/>
            <w:tcBorders>
              <w:left w:val="single" w:sz="2" w:space="0" w:color="FFFFFF"/>
              <w:right w:val="single" w:sz="2" w:space="0" w:color="FFFFFF"/>
            </w:tcBorders>
            <w:shd w:val="clear" w:color="auto" w:fill="D99594"/>
          </w:tcPr>
          <w:p w14:paraId="1B7CA2D6" w14:textId="77777777" w:rsidR="0084266A" w:rsidRPr="009651AC" w:rsidRDefault="0084266A" w:rsidP="00FD644B">
            <w:pPr>
              <w:jc w:val="center"/>
              <w:rPr>
                <w:rFonts w:ascii="Gill Sans" w:hAnsi="Gill Sans" w:cs="Gill Sans"/>
                <w:noProof/>
                <w:sz w:val="22"/>
                <w:szCs w:val="22"/>
                <w:lang w:val="en-GB"/>
              </w:rPr>
            </w:pPr>
          </w:p>
        </w:tc>
        <w:tc>
          <w:tcPr>
            <w:tcW w:w="515" w:type="dxa"/>
            <w:vMerge/>
            <w:tcBorders>
              <w:left w:val="single" w:sz="2" w:space="0" w:color="FFFFFF"/>
              <w:right w:val="single" w:sz="18" w:space="0" w:color="FFFFFF"/>
            </w:tcBorders>
            <w:shd w:val="clear" w:color="auto" w:fill="D99594"/>
          </w:tcPr>
          <w:p w14:paraId="177FAF8E" w14:textId="77777777" w:rsidR="0084266A" w:rsidRPr="00466E44" w:rsidRDefault="0084266A" w:rsidP="00466E44">
            <w:pPr>
              <w:rPr>
                <w:rFonts w:ascii="Zapf Dingbats" w:eastAsia="MS Mincho" w:hAnsi="Zapf Dingbats" w:cs="MS Mincho"/>
                <w:noProof/>
                <w:sz w:val="22"/>
                <w:szCs w:val="22"/>
                <w:lang w:val="en-GB"/>
              </w:rPr>
            </w:pPr>
          </w:p>
        </w:tc>
      </w:tr>
      <w:tr w:rsidR="00A61FBC" w:rsidRPr="009651AC" w14:paraId="700BF4D4" w14:textId="77777777" w:rsidTr="00B223BA">
        <w:trPr>
          <w:trHeight w:val="600"/>
        </w:trPr>
        <w:tc>
          <w:tcPr>
            <w:tcW w:w="1442" w:type="dxa"/>
            <w:vMerge w:val="restart"/>
            <w:tcBorders>
              <w:top w:val="single" w:sz="18" w:space="0" w:color="FFFFFF"/>
              <w:left w:val="single" w:sz="4" w:space="0" w:color="FFFFFF"/>
            </w:tcBorders>
            <w:shd w:val="clear" w:color="auto" w:fill="000000"/>
          </w:tcPr>
          <w:p w14:paraId="4C531402" w14:textId="3ADE53E7" w:rsidR="0084266A" w:rsidRPr="00B7154A" w:rsidRDefault="0044773A" w:rsidP="007A1164">
            <w:pPr>
              <w:rPr>
                <w:rFonts w:ascii="Gill Sans" w:hAnsi="Gill Sans" w:cs="Gill Sans"/>
                <w:color w:val="FFFFFF" w:themeColor="background1"/>
                <w:sz w:val="22"/>
                <w:szCs w:val="22"/>
                <w:lang w:val="en-GB"/>
              </w:rPr>
            </w:pPr>
            <w:r w:rsidRPr="00163080">
              <w:rPr>
                <w:rFonts w:ascii="Gill Sans" w:hAnsi="Gill Sans" w:cs="Gill Sans"/>
                <w:color w:val="FFFFFF" w:themeColor="background1"/>
                <w:sz w:val="22"/>
                <w:szCs w:val="22"/>
                <w:lang w:val="en-GB"/>
              </w:rPr>
              <w:t xml:space="preserve">20. Government regulations on open data </w:t>
            </w:r>
          </w:p>
        </w:tc>
        <w:tc>
          <w:tcPr>
            <w:tcW w:w="472" w:type="dxa"/>
            <w:vMerge w:val="restart"/>
            <w:tcBorders>
              <w:top w:val="single" w:sz="18" w:space="0" w:color="FFFFFF"/>
              <w:right w:val="single" w:sz="2" w:space="0" w:color="FFFFFF"/>
            </w:tcBorders>
            <w:shd w:val="clear" w:color="auto" w:fill="D6E3BC"/>
          </w:tcPr>
          <w:p w14:paraId="2A3363E6" w14:textId="77777777" w:rsidR="0084266A" w:rsidRPr="009651AC" w:rsidRDefault="0084266A" w:rsidP="00FD644B">
            <w:pPr>
              <w:jc w:val="center"/>
              <w:rPr>
                <w:rFonts w:ascii="Gill Sans" w:hAnsi="Gill Sans" w:cs="Gill Sans"/>
                <w:sz w:val="22"/>
                <w:szCs w:val="22"/>
                <w:lang w:val="en-GB"/>
              </w:rPr>
            </w:pPr>
          </w:p>
        </w:tc>
        <w:tc>
          <w:tcPr>
            <w:tcW w:w="408" w:type="dxa"/>
            <w:vMerge w:val="restart"/>
            <w:tcBorders>
              <w:top w:val="single" w:sz="18" w:space="0" w:color="FFFFFF"/>
              <w:left w:val="single" w:sz="2" w:space="0" w:color="FFFFFF"/>
              <w:right w:val="single" w:sz="2" w:space="0" w:color="FFFFFF"/>
            </w:tcBorders>
            <w:shd w:val="clear" w:color="auto" w:fill="D6E3BC"/>
          </w:tcPr>
          <w:p w14:paraId="108C39DC" w14:textId="65F7EDB8" w:rsidR="0084266A" w:rsidRPr="00466E44" w:rsidRDefault="00B673BE"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50" w:type="dxa"/>
            <w:vMerge w:val="restart"/>
            <w:tcBorders>
              <w:top w:val="single" w:sz="18" w:space="0" w:color="FFFFFF"/>
              <w:left w:val="single" w:sz="2" w:space="0" w:color="FFFFFF"/>
              <w:right w:val="single" w:sz="2" w:space="0" w:color="FFFFFF"/>
            </w:tcBorders>
            <w:shd w:val="clear" w:color="auto" w:fill="D6E3BC"/>
          </w:tcPr>
          <w:p w14:paraId="6E947573" w14:textId="77777777" w:rsidR="0084266A" w:rsidRPr="00466E44" w:rsidRDefault="0084266A" w:rsidP="00466E44">
            <w:pPr>
              <w:rPr>
                <w:rFonts w:ascii="Zapf Dingbats" w:eastAsia="MS Mincho" w:hAnsi="Zapf Dingbats" w:cs="MS Mincho"/>
                <w:noProof/>
                <w:sz w:val="22"/>
                <w:szCs w:val="22"/>
                <w:lang w:val="en-GB"/>
              </w:rPr>
            </w:pPr>
          </w:p>
        </w:tc>
        <w:tc>
          <w:tcPr>
            <w:tcW w:w="343" w:type="dxa"/>
            <w:vMerge w:val="restart"/>
            <w:tcBorders>
              <w:top w:val="single" w:sz="18" w:space="0" w:color="FFFFFF"/>
              <w:left w:val="single" w:sz="2" w:space="0" w:color="FFFFFF"/>
              <w:right w:val="single" w:sz="18" w:space="0" w:color="FFFFFF"/>
            </w:tcBorders>
            <w:shd w:val="clear" w:color="auto" w:fill="D6E3BC"/>
          </w:tcPr>
          <w:p w14:paraId="506AB663" w14:textId="70F79ABB" w:rsidR="0084266A" w:rsidRPr="00466E44" w:rsidRDefault="0084266A" w:rsidP="00466E44">
            <w:pPr>
              <w:rPr>
                <w:rFonts w:ascii="Zapf Dingbats" w:eastAsia="MS Mincho" w:hAnsi="Zapf Dingbats" w:cs="MS Mincho"/>
                <w:noProof/>
                <w:sz w:val="22"/>
                <w:szCs w:val="22"/>
                <w:lang w:val="en-GB"/>
              </w:rPr>
            </w:pPr>
          </w:p>
        </w:tc>
        <w:tc>
          <w:tcPr>
            <w:tcW w:w="372" w:type="dxa"/>
            <w:gridSpan w:val="2"/>
            <w:vMerge w:val="restart"/>
            <w:tcBorders>
              <w:top w:val="single" w:sz="8" w:space="0" w:color="FFFFFF" w:themeColor="background1"/>
              <w:left w:val="single" w:sz="2" w:space="0" w:color="FFFFFF"/>
              <w:bottom w:val="single" w:sz="18" w:space="0" w:color="FFFFFF"/>
              <w:right w:val="single" w:sz="4" w:space="0" w:color="FFFFFF" w:themeColor="background1"/>
            </w:tcBorders>
            <w:shd w:val="clear" w:color="auto" w:fill="FBD4B4"/>
          </w:tcPr>
          <w:p w14:paraId="26AC9816" w14:textId="6899B88D" w:rsidR="0084266A" w:rsidRPr="00466E44" w:rsidRDefault="00B673BE"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36" w:type="dxa"/>
            <w:vMerge w:val="restart"/>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FBD4B4"/>
          </w:tcPr>
          <w:p w14:paraId="46535B5C" w14:textId="77777777" w:rsidR="0084266A" w:rsidRPr="00466E44" w:rsidRDefault="0084266A" w:rsidP="00466E44">
            <w:pPr>
              <w:rPr>
                <w:rFonts w:ascii="Zapf Dingbats" w:eastAsia="MS Mincho" w:hAnsi="Zapf Dingbats" w:cs="MS Mincho"/>
                <w:noProof/>
                <w:sz w:val="22"/>
                <w:szCs w:val="22"/>
                <w:lang w:val="en-GB"/>
              </w:rPr>
            </w:pPr>
          </w:p>
        </w:tc>
        <w:tc>
          <w:tcPr>
            <w:tcW w:w="395" w:type="dxa"/>
            <w:gridSpan w:val="2"/>
            <w:vMerge w:val="restart"/>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FBD4B4"/>
          </w:tcPr>
          <w:p w14:paraId="06E4AA53" w14:textId="77777777" w:rsidR="0084266A" w:rsidRPr="00466E44" w:rsidRDefault="0084266A" w:rsidP="00466E44">
            <w:pPr>
              <w:rPr>
                <w:rFonts w:ascii="Zapf Dingbats" w:eastAsia="MS Mincho" w:hAnsi="Zapf Dingbats" w:cs="MS Mincho"/>
                <w:noProof/>
                <w:sz w:val="22"/>
                <w:szCs w:val="22"/>
                <w:lang w:val="en-GB"/>
              </w:rPr>
            </w:pPr>
          </w:p>
        </w:tc>
        <w:tc>
          <w:tcPr>
            <w:tcW w:w="387" w:type="dxa"/>
            <w:gridSpan w:val="2"/>
            <w:vMerge w:val="restart"/>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FBD4B4"/>
          </w:tcPr>
          <w:p w14:paraId="0D66D3B9" w14:textId="77777777" w:rsidR="0084266A" w:rsidRPr="00466E44" w:rsidRDefault="0084266A" w:rsidP="00466E44">
            <w:pPr>
              <w:rPr>
                <w:rFonts w:ascii="Zapf Dingbats" w:eastAsia="MS Mincho" w:hAnsi="Zapf Dingbats" w:cs="MS Mincho"/>
                <w:noProof/>
                <w:sz w:val="22"/>
                <w:szCs w:val="22"/>
                <w:lang w:val="en-GB"/>
              </w:rPr>
            </w:pPr>
          </w:p>
        </w:tc>
        <w:tc>
          <w:tcPr>
            <w:tcW w:w="373" w:type="dxa"/>
            <w:vMerge w:val="restart"/>
            <w:tcBorders>
              <w:top w:val="single" w:sz="8" w:space="0" w:color="FFFFFF" w:themeColor="background1"/>
              <w:left w:val="single" w:sz="4" w:space="0" w:color="FFFFFF" w:themeColor="background1"/>
              <w:bottom w:val="single" w:sz="18" w:space="0" w:color="FFFFFF"/>
              <w:right w:val="single" w:sz="18" w:space="0" w:color="FFFFFF"/>
            </w:tcBorders>
            <w:shd w:val="clear" w:color="auto" w:fill="FBD4B4"/>
          </w:tcPr>
          <w:p w14:paraId="28E3C650" w14:textId="692CC7B9" w:rsidR="0084266A" w:rsidRPr="00466E44" w:rsidRDefault="00B673BE"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16" w:type="dxa"/>
            <w:vMerge w:val="restart"/>
            <w:tcBorders>
              <w:top w:val="single" w:sz="18" w:space="0" w:color="FFFFFF"/>
              <w:left w:val="single" w:sz="18" w:space="0" w:color="FFFFFF"/>
              <w:right w:val="single" w:sz="2" w:space="0" w:color="FFFFFF"/>
            </w:tcBorders>
            <w:shd w:val="clear" w:color="auto" w:fill="CCC0D9"/>
          </w:tcPr>
          <w:p w14:paraId="453BB671" w14:textId="77777777" w:rsidR="0084266A" w:rsidRPr="00466E44" w:rsidRDefault="0084266A" w:rsidP="00466E44">
            <w:pPr>
              <w:rPr>
                <w:rFonts w:ascii="Zapf Dingbats" w:eastAsia="MS Mincho" w:hAnsi="Zapf Dingbats" w:cs="MS Mincho"/>
                <w:noProof/>
                <w:sz w:val="22"/>
                <w:szCs w:val="22"/>
                <w:lang w:val="en-GB"/>
              </w:rPr>
            </w:pPr>
          </w:p>
        </w:tc>
        <w:tc>
          <w:tcPr>
            <w:tcW w:w="340" w:type="dxa"/>
            <w:vMerge w:val="restart"/>
            <w:tcBorders>
              <w:top w:val="single" w:sz="18" w:space="0" w:color="FFFFFF"/>
              <w:left w:val="single" w:sz="2" w:space="0" w:color="FFFFFF"/>
              <w:right w:val="single" w:sz="2" w:space="0" w:color="FFFFFF"/>
            </w:tcBorders>
            <w:shd w:val="clear" w:color="auto" w:fill="CCC0D9"/>
          </w:tcPr>
          <w:p w14:paraId="1ED2DC8D" w14:textId="77777777" w:rsidR="0084266A" w:rsidRPr="00466E44" w:rsidRDefault="0084266A" w:rsidP="00466E44">
            <w:pPr>
              <w:rPr>
                <w:rFonts w:ascii="Zapf Dingbats" w:eastAsia="MS Mincho" w:hAnsi="Zapf Dingbats" w:cs="MS Mincho"/>
                <w:noProof/>
                <w:sz w:val="22"/>
                <w:szCs w:val="22"/>
                <w:lang w:val="en-GB"/>
              </w:rPr>
            </w:pPr>
          </w:p>
        </w:tc>
        <w:tc>
          <w:tcPr>
            <w:tcW w:w="416" w:type="dxa"/>
            <w:vMerge w:val="restart"/>
            <w:tcBorders>
              <w:top w:val="single" w:sz="18" w:space="0" w:color="FFFFFF"/>
              <w:left w:val="single" w:sz="2" w:space="0" w:color="FFFFFF"/>
              <w:right w:val="single" w:sz="2" w:space="0" w:color="FFFFFF"/>
            </w:tcBorders>
            <w:shd w:val="clear" w:color="auto" w:fill="CCC0D9"/>
          </w:tcPr>
          <w:p w14:paraId="1A63DC59" w14:textId="6FFBF780" w:rsidR="0084266A" w:rsidRPr="00466E44" w:rsidRDefault="00D0117B"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40" w:type="dxa"/>
            <w:vMerge w:val="restart"/>
            <w:tcBorders>
              <w:top w:val="single" w:sz="18" w:space="0" w:color="FFFFFF"/>
              <w:left w:val="single" w:sz="2" w:space="0" w:color="FFFFFF"/>
              <w:right w:val="single" w:sz="18" w:space="0" w:color="FFFFFF"/>
            </w:tcBorders>
            <w:shd w:val="clear" w:color="auto" w:fill="CCC0D9"/>
          </w:tcPr>
          <w:p w14:paraId="040914FB" w14:textId="3052D7F2" w:rsidR="0084266A" w:rsidRPr="00466E44" w:rsidRDefault="0084266A" w:rsidP="00466E44">
            <w:pPr>
              <w:rPr>
                <w:rFonts w:ascii="Zapf Dingbats" w:eastAsia="MS Mincho" w:hAnsi="Zapf Dingbats" w:cs="MS Mincho"/>
                <w:noProof/>
                <w:sz w:val="22"/>
                <w:szCs w:val="22"/>
                <w:lang w:val="en-GB"/>
              </w:rPr>
            </w:pPr>
          </w:p>
        </w:tc>
        <w:tc>
          <w:tcPr>
            <w:tcW w:w="467"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6B76A212" w14:textId="77777777" w:rsidR="0084266A" w:rsidRPr="00466E44" w:rsidRDefault="0084266A" w:rsidP="00466E44">
            <w:pPr>
              <w:rPr>
                <w:rFonts w:ascii="Zapf Dingbats" w:eastAsia="MS Mincho" w:hAnsi="Zapf Dingbats" w:cs="MS Mincho"/>
                <w:noProof/>
                <w:sz w:val="22"/>
                <w:szCs w:val="22"/>
                <w:lang w:val="en-GB"/>
              </w:rPr>
            </w:pPr>
          </w:p>
        </w:tc>
        <w:tc>
          <w:tcPr>
            <w:tcW w:w="514"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13471EB" w14:textId="77777777" w:rsidR="0084266A" w:rsidRPr="00466E44" w:rsidRDefault="0084266A" w:rsidP="00466E44">
            <w:pPr>
              <w:rPr>
                <w:rFonts w:ascii="Zapf Dingbats" w:eastAsia="MS Mincho" w:hAnsi="Zapf Dingbats" w:cs="MS Mincho"/>
                <w:noProof/>
                <w:sz w:val="22"/>
                <w:szCs w:val="22"/>
                <w:lang w:val="en-GB"/>
              </w:rPr>
            </w:pPr>
          </w:p>
        </w:tc>
        <w:tc>
          <w:tcPr>
            <w:tcW w:w="514"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4031512" w14:textId="77777777" w:rsidR="0084266A" w:rsidRPr="00466E44" w:rsidRDefault="0084266A"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04"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554C1F11" w14:textId="77777777" w:rsidR="0084266A" w:rsidRPr="00466E44" w:rsidRDefault="0084266A" w:rsidP="00466E44">
            <w:pPr>
              <w:rPr>
                <w:rFonts w:ascii="Zapf Dingbats" w:eastAsia="MS Mincho" w:hAnsi="Zapf Dingbats" w:cs="MS Mincho"/>
                <w:noProof/>
                <w:sz w:val="22"/>
                <w:szCs w:val="22"/>
                <w:lang w:val="en-GB"/>
              </w:rPr>
            </w:pPr>
          </w:p>
        </w:tc>
        <w:tc>
          <w:tcPr>
            <w:tcW w:w="340" w:type="dxa"/>
            <w:vMerge w:val="restart"/>
            <w:tcBorders>
              <w:top w:val="single" w:sz="18" w:space="0" w:color="FFFFFF"/>
              <w:left w:val="single" w:sz="18" w:space="0" w:color="FFFFFF"/>
              <w:right w:val="single" w:sz="2" w:space="0" w:color="FFFFFF"/>
            </w:tcBorders>
            <w:shd w:val="clear" w:color="auto" w:fill="D99594"/>
          </w:tcPr>
          <w:p w14:paraId="6450AC9C" w14:textId="77777777" w:rsidR="0084266A" w:rsidRPr="009651AC" w:rsidRDefault="0084266A" w:rsidP="00FD644B">
            <w:pPr>
              <w:jc w:val="center"/>
              <w:rPr>
                <w:rFonts w:ascii="Gill Sans" w:hAnsi="Gill Sans" w:cs="Gill Sans"/>
                <w:sz w:val="22"/>
                <w:szCs w:val="22"/>
                <w:lang w:val="en-GB"/>
              </w:rPr>
            </w:pPr>
          </w:p>
        </w:tc>
        <w:tc>
          <w:tcPr>
            <w:tcW w:w="384" w:type="dxa"/>
            <w:vMerge w:val="restart"/>
            <w:tcBorders>
              <w:top w:val="single" w:sz="18" w:space="0" w:color="FFFFFF"/>
              <w:left w:val="single" w:sz="2" w:space="0" w:color="FFFFFF"/>
              <w:right w:val="single" w:sz="2" w:space="0" w:color="FFFFFF"/>
            </w:tcBorders>
            <w:shd w:val="clear" w:color="auto" w:fill="D99594"/>
          </w:tcPr>
          <w:p w14:paraId="05FAC9EC" w14:textId="24083ED7" w:rsidR="0084266A" w:rsidRPr="009651AC" w:rsidRDefault="0084266A" w:rsidP="00FD644B">
            <w:pPr>
              <w:jc w:val="center"/>
              <w:rPr>
                <w:rFonts w:ascii="Gill Sans" w:hAnsi="Gill Sans" w:cs="Gill Sans"/>
                <w:sz w:val="22"/>
                <w:szCs w:val="22"/>
                <w:lang w:val="en-GB"/>
              </w:rPr>
            </w:pPr>
          </w:p>
        </w:tc>
        <w:tc>
          <w:tcPr>
            <w:tcW w:w="340" w:type="dxa"/>
            <w:vMerge w:val="restart"/>
            <w:tcBorders>
              <w:top w:val="single" w:sz="18" w:space="0" w:color="FFFFFF"/>
              <w:left w:val="single" w:sz="2" w:space="0" w:color="FFFFFF"/>
              <w:right w:val="single" w:sz="2" w:space="0" w:color="FFFFFF"/>
            </w:tcBorders>
            <w:shd w:val="clear" w:color="auto" w:fill="D99594"/>
          </w:tcPr>
          <w:p w14:paraId="01210FC5" w14:textId="41871C2D" w:rsidR="0084266A" w:rsidRPr="009651AC" w:rsidRDefault="0084266A" w:rsidP="00FD644B">
            <w:pPr>
              <w:jc w:val="center"/>
              <w:rPr>
                <w:rFonts w:ascii="Gill Sans" w:hAnsi="Gill Sans" w:cs="Gill Sans"/>
                <w:sz w:val="22"/>
                <w:szCs w:val="22"/>
                <w:lang w:val="en-GB"/>
              </w:rPr>
            </w:pPr>
          </w:p>
        </w:tc>
        <w:tc>
          <w:tcPr>
            <w:tcW w:w="340" w:type="dxa"/>
            <w:vMerge w:val="restart"/>
            <w:tcBorders>
              <w:top w:val="single" w:sz="18" w:space="0" w:color="FFFFFF"/>
              <w:left w:val="single" w:sz="2" w:space="0" w:color="FFFFFF"/>
              <w:right w:val="single" w:sz="2" w:space="0" w:color="FFFFFF"/>
            </w:tcBorders>
            <w:shd w:val="clear" w:color="auto" w:fill="D99594"/>
          </w:tcPr>
          <w:p w14:paraId="6C66B269" w14:textId="77777777" w:rsidR="0084266A" w:rsidRPr="009651AC" w:rsidRDefault="0084266A" w:rsidP="00FD644B">
            <w:pPr>
              <w:jc w:val="center"/>
              <w:rPr>
                <w:rFonts w:ascii="Gill Sans" w:hAnsi="Gill Sans" w:cs="Gill Sans"/>
                <w:sz w:val="22"/>
                <w:szCs w:val="22"/>
                <w:lang w:val="en-GB"/>
              </w:rPr>
            </w:pPr>
          </w:p>
        </w:tc>
        <w:tc>
          <w:tcPr>
            <w:tcW w:w="515" w:type="dxa"/>
            <w:vMerge w:val="restart"/>
            <w:tcBorders>
              <w:top w:val="single" w:sz="18" w:space="0" w:color="FFFFFF"/>
              <w:left w:val="single" w:sz="2" w:space="0" w:color="FFFFFF"/>
              <w:right w:val="single" w:sz="18" w:space="0" w:color="FFFFFF"/>
            </w:tcBorders>
            <w:shd w:val="clear" w:color="auto" w:fill="D99594"/>
          </w:tcPr>
          <w:p w14:paraId="3AD748AD" w14:textId="6B5F830A" w:rsidR="0084266A" w:rsidRPr="00466E44" w:rsidRDefault="00E32E4A" w:rsidP="00466E4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r>
      <w:tr w:rsidR="00A61FBC" w:rsidRPr="009651AC" w14:paraId="6411995A" w14:textId="77777777" w:rsidTr="00B223BA">
        <w:trPr>
          <w:trHeight w:val="332"/>
        </w:trPr>
        <w:tc>
          <w:tcPr>
            <w:tcW w:w="1442" w:type="dxa"/>
            <w:vMerge/>
            <w:tcBorders>
              <w:left w:val="nil"/>
              <w:bottom w:val="single" w:sz="18" w:space="0" w:color="FFFFFF"/>
            </w:tcBorders>
            <w:shd w:val="clear" w:color="auto" w:fill="000000"/>
          </w:tcPr>
          <w:p w14:paraId="15BC5D02" w14:textId="77777777" w:rsidR="0084266A" w:rsidRPr="009651AC" w:rsidRDefault="0084266A" w:rsidP="007A1164">
            <w:pPr>
              <w:rPr>
                <w:rFonts w:ascii="Gill Sans" w:hAnsi="Gill Sans" w:cs="Gill Sans"/>
                <w:sz w:val="22"/>
                <w:szCs w:val="22"/>
                <w:lang w:val="en-GB"/>
              </w:rPr>
            </w:pPr>
          </w:p>
        </w:tc>
        <w:tc>
          <w:tcPr>
            <w:tcW w:w="472" w:type="dxa"/>
            <w:vMerge/>
            <w:tcBorders>
              <w:bottom w:val="single" w:sz="18" w:space="0" w:color="FFFFFF"/>
              <w:right w:val="single" w:sz="2" w:space="0" w:color="FFFFFF"/>
            </w:tcBorders>
            <w:shd w:val="clear" w:color="auto" w:fill="D6E3BC"/>
          </w:tcPr>
          <w:p w14:paraId="7648D018" w14:textId="77777777" w:rsidR="0084266A" w:rsidRPr="009651AC" w:rsidRDefault="0084266A" w:rsidP="007A1164">
            <w:pPr>
              <w:rPr>
                <w:rFonts w:ascii="Gill Sans" w:hAnsi="Gill Sans" w:cs="Gill Sans"/>
                <w:sz w:val="22"/>
                <w:szCs w:val="22"/>
                <w:lang w:val="en-GB"/>
              </w:rPr>
            </w:pPr>
          </w:p>
        </w:tc>
        <w:tc>
          <w:tcPr>
            <w:tcW w:w="408" w:type="dxa"/>
            <w:vMerge/>
            <w:tcBorders>
              <w:left w:val="single" w:sz="2" w:space="0" w:color="FFFFFF"/>
              <w:bottom w:val="single" w:sz="18" w:space="0" w:color="FFFFFF"/>
              <w:right w:val="single" w:sz="2" w:space="0" w:color="FFFFFF"/>
            </w:tcBorders>
            <w:shd w:val="clear" w:color="auto" w:fill="D6E3BC"/>
          </w:tcPr>
          <w:p w14:paraId="626415AA" w14:textId="77777777" w:rsidR="0084266A" w:rsidRPr="009651AC" w:rsidRDefault="0084266A" w:rsidP="007A1164">
            <w:pPr>
              <w:rPr>
                <w:rFonts w:ascii="Gill Sans" w:hAnsi="Gill Sans" w:cs="Gill Sans"/>
                <w:sz w:val="22"/>
                <w:szCs w:val="22"/>
                <w:lang w:val="en-GB"/>
              </w:rPr>
            </w:pPr>
          </w:p>
        </w:tc>
        <w:tc>
          <w:tcPr>
            <w:tcW w:w="350" w:type="dxa"/>
            <w:vMerge/>
            <w:tcBorders>
              <w:left w:val="single" w:sz="2" w:space="0" w:color="FFFFFF"/>
              <w:bottom w:val="single" w:sz="18" w:space="0" w:color="FFFFFF"/>
              <w:right w:val="single" w:sz="2" w:space="0" w:color="FFFFFF"/>
            </w:tcBorders>
            <w:shd w:val="clear" w:color="auto" w:fill="D6E3BC"/>
          </w:tcPr>
          <w:p w14:paraId="349FF8CB" w14:textId="77777777" w:rsidR="0084266A" w:rsidRPr="009651AC" w:rsidRDefault="0084266A" w:rsidP="007A1164">
            <w:pPr>
              <w:rPr>
                <w:rFonts w:ascii="Gill Sans" w:hAnsi="Gill Sans" w:cs="Gill Sans"/>
                <w:sz w:val="22"/>
                <w:szCs w:val="22"/>
                <w:lang w:val="en-GB"/>
              </w:rPr>
            </w:pPr>
          </w:p>
        </w:tc>
        <w:tc>
          <w:tcPr>
            <w:tcW w:w="343" w:type="dxa"/>
            <w:vMerge/>
            <w:tcBorders>
              <w:left w:val="single" w:sz="2" w:space="0" w:color="FFFFFF"/>
              <w:bottom w:val="single" w:sz="18" w:space="0" w:color="FFFFFF"/>
              <w:right w:val="single" w:sz="18" w:space="0" w:color="FFFFFF"/>
            </w:tcBorders>
            <w:shd w:val="clear" w:color="auto" w:fill="D6E3BC"/>
          </w:tcPr>
          <w:p w14:paraId="78185C02" w14:textId="77777777" w:rsidR="0084266A" w:rsidRPr="00466E44" w:rsidRDefault="0084266A" w:rsidP="007A1164">
            <w:pPr>
              <w:rPr>
                <w:rFonts w:ascii="Zapf Dingbats" w:eastAsia="MS Mincho" w:hAnsi="Zapf Dingbats" w:cs="MS Mincho"/>
                <w:noProof/>
                <w:sz w:val="22"/>
                <w:szCs w:val="22"/>
                <w:lang w:val="en-GB"/>
              </w:rPr>
            </w:pPr>
          </w:p>
        </w:tc>
        <w:tc>
          <w:tcPr>
            <w:tcW w:w="372" w:type="dxa"/>
            <w:gridSpan w:val="2"/>
            <w:vMerge/>
            <w:tcBorders>
              <w:top w:val="single" w:sz="4" w:space="0" w:color="auto"/>
              <w:left w:val="single" w:sz="2" w:space="0" w:color="FFFFFF"/>
              <w:bottom w:val="single" w:sz="18" w:space="0" w:color="FFFFFF"/>
              <w:right w:val="single" w:sz="4" w:space="0" w:color="FFFFFF" w:themeColor="background1"/>
            </w:tcBorders>
            <w:shd w:val="clear" w:color="auto" w:fill="FBD4B4"/>
          </w:tcPr>
          <w:p w14:paraId="328FCC10" w14:textId="77777777" w:rsidR="0084266A" w:rsidRPr="00466E44" w:rsidRDefault="0084266A" w:rsidP="007A1164">
            <w:pPr>
              <w:rPr>
                <w:rFonts w:ascii="Zapf Dingbats" w:eastAsia="MS Mincho" w:hAnsi="Zapf Dingbats" w:cs="MS Mincho"/>
                <w:noProof/>
                <w:sz w:val="22"/>
                <w:szCs w:val="22"/>
                <w:lang w:val="en-GB"/>
              </w:rPr>
            </w:pPr>
          </w:p>
        </w:tc>
        <w:tc>
          <w:tcPr>
            <w:tcW w:w="336" w:type="dxa"/>
            <w:vMerge/>
            <w:tcBorders>
              <w:top w:val="single" w:sz="4" w:space="0" w:color="auto"/>
              <w:left w:val="single" w:sz="4" w:space="0" w:color="FFFFFF" w:themeColor="background1"/>
              <w:bottom w:val="single" w:sz="18" w:space="0" w:color="FFFFFF"/>
              <w:right w:val="single" w:sz="4" w:space="0" w:color="FFFFFF" w:themeColor="background1"/>
            </w:tcBorders>
            <w:shd w:val="clear" w:color="auto" w:fill="FBD4B4"/>
          </w:tcPr>
          <w:p w14:paraId="51945B0D" w14:textId="77777777" w:rsidR="0084266A" w:rsidRPr="00466E44" w:rsidRDefault="0084266A" w:rsidP="007A1164">
            <w:pPr>
              <w:rPr>
                <w:rFonts w:ascii="Zapf Dingbats" w:eastAsia="MS Mincho" w:hAnsi="Zapf Dingbats" w:cs="MS Mincho"/>
                <w:noProof/>
                <w:sz w:val="22"/>
                <w:szCs w:val="22"/>
                <w:lang w:val="en-GB"/>
              </w:rPr>
            </w:pPr>
          </w:p>
        </w:tc>
        <w:tc>
          <w:tcPr>
            <w:tcW w:w="395" w:type="dxa"/>
            <w:gridSpan w:val="2"/>
            <w:vMerge/>
            <w:tcBorders>
              <w:top w:val="single" w:sz="4" w:space="0" w:color="auto"/>
              <w:left w:val="single" w:sz="4" w:space="0" w:color="FFFFFF" w:themeColor="background1"/>
              <w:bottom w:val="single" w:sz="18" w:space="0" w:color="FFFFFF"/>
              <w:right w:val="single" w:sz="4" w:space="0" w:color="FFFFFF" w:themeColor="background1"/>
            </w:tcBorders>
            <w:shd w:val="clear" w:color="auto" w:fill="FBD4B4"/>
          </w:tcPr>
          <w:p w14:paraId="4375E860" w14:textId="77777777" w:rsidR="0084266A" w:rsidRPr="00466E44" w:rsidRDefault="0084266A" w:rsidP="007A1164">
            <w:pPr>
              <w:rPr>
                <w:rFonts w:ascii="Zapf Dingbats" w:eastAsia="MS Mincho" w:hAnsi="Zapf Dingbats" w:cs="MS Mincho"/>
                <w:noProof/>
                <w:sz w:val="22"/>
                <w:szCs w:val="22"/>
                <w:lang w:val="en-GB"/>
              </w:rPr>
            </w:pPr>
          </w:p>
        </w:tc>
        <w:tc>
          <w:tcPr>
            <w:tcW w:w="387" w:type="dxa"/>
            <w:gridSpan w:val="2"/>
            <w:vMerge/>
            <w:tcBorders>
              <w:top w:val="single" w:sz="4" w:space="0" w:color="auto"/>
              <w:left w:val="single" w:sz="4" w:space="0" w:color="FFFFFF" w:themeColor="background1"/>
              <w:bottom w:val="single" w:sz="18" w:space="0" w:color="FFFFFF"/>
              <w:right w:val="single" w:sz="4" w:space="0" w:color="FFFFFF" w:themeColor="background1"/>
            </w:tcBorders>
            <w:shd w:val="clear" w:color="auto" w:fill="FBD4B4"/>
          </w:tcPr>
          <w:p w14:paraId="1D607EDF" w14:textId="77777777" w:rsidR="0084266A" w:rsidRPr="00466E44" w:rsidRDefault="0084266A" w:rsidP="007A1164">
            <w:pPr>
              <w:rPr>
                <w:rFonts w:ascii="Zapf Dingbats" w:eastAsia="MS Mincho" w:hAnsi="Zapf Dingbats" w:cs="MS Mincho"/>
                <w:noProof/>
                <w:sz w:val="22"/>
                <w:szCs w:val="22"/>
                <w:lang w:val="en-GB"/>
              </w:rPr>
            </w:pPr>
          </w:p>
        </w:tc>
        <w:tc>
          <w:tcPr>
            <w:tcW w:w="373" w:type="dxa"/>
            <w:vMerge/>
            <w:tcBorders>
              <w:top w:val="single" w:sz="4" w:space="0" w:color="auto"/>
              <w:left w:val="single" w:sz="4" w:space="0" w:color="FFFFFF" w:themeColor="background1"/>
              <w:bottom w:val="single" w:sz="18" w:space="0" w:color="FFFFFF"/>
              <w:right w:val="single" w:sz="18" w:space="0" w:color="FFFFFF"/>
            </w:tcBorders>
            <w:shd w:val="clear" w:color="auto" w:fill="FBD4B4"/>
          </w:tcPr>
          <w:p w14:paraId="598EB7E1" w14:textId="4A1213D6" w:rsidR="0084266A" w:rsidRPr="00466E44" w:rsidRDefault="0084266A" w:rsidP="007A1164">
            <w:pPr>
              <w:rPr>
                <w:rFonts w:ascii="Zapf Dingbats" w:eastAsia="MS Mincho" w:hAnsi="Zapf Dingbats" w:cs="MS Mincho"/>
                <w:noProof/>
                <w:sz w:val="22"/>
                <w:szCs w:val="22"/>
                <w:lang w:val="en-GB"/>
              </w:rPr>
            </w:pPr>
          </w:p>
        </w:tc>
        <w:tc>
          <w:tcPr>
            <w:tcW w:w="416" w:type="dxa"/>
            <w:vMerge/>
            <w:tcBorders>
              <w:left w:val="single" w:sz="18" w:space="0" w:color="FFFFFF"/>
              <w:bottom w:val="single" w:sz="18" w:space="0" w:color="FFFFFF"/>
              <w:right w:val="single" w:sz="2" w:space="0" w:color="FFFFFF"/>
            </w:tcBorders>
            <w:shd w:val="clear" w:color="auto" w:fill="CCC0D9"/>
          </w:tcPr>
          <w:p w14:paraId="53311604" w14:textId="77777777" w:rsidR="0084266A" w:rsidRPr="00466E44" w:rsidRDefault="0084266A" w:rsidP="007A1164">
            <w:pPr>
              <w:rPr>
                <w:rFonts w:ascii="Zapf Dingbats" w:eastAsia="MS Mincho" w:hAnsi="Zapf Dingbats" w:cs="MS Mincho"/>
                <w:noProof/>
                <w:sz w:val="22"/>
                <w:szCs w:val="22"/>
                <w:lang w:val="en-GB"/>
              </w:rPr>
            </w:pPr>
          </w:p>
        </w:tc>
        <w:tc>
          <w:tcPr>
            <w:tcW w:w="340" w:type="dxa"/>
            <w:vMerge/>
            <w:tcBorders>
              <w:left w:val="single" w:sz="2" w:space="0" w:color="FFFFFF"/>
              <w:bottom w:val="single" w:sz="18" w:space="0" w:color="FFFFFF"/>
              <w:right w:val="single" w:sz="2" w:space="0" w:color="FFFFFF"/>
            </w:tcBorders>
            <w:shd w:val="clear" w:color="auto" w:fill="CCC0D9"/>
          </w:tcPr>
          <w:p w14:paraId="1D268B25" w14:textId="77777777" w:rsidR="0084266A" w:rsidRPr="00466E44" w:rsidRDefault="0084266A" w:rsidP="007A1164">
            <w:pPr>
              <w:rPr>
                <w:rFonts w:ascii="Zapf Dingbats" w:eastAsia="MS Mincho" w:hAnsi="Zapf Dingbats" w:cs="MS Mincho"/>
                <w:noProof/>
                <w:sz w:val="22"/>
                <w:szCs w:val="22"/>
                <w:lang w:val="en-GB"/>
              </w:rPr>
            </w:pPr>
          </w:p>
        </w:tc>
        <w:tc>
          <w:tcPr>
            <w:tcW w:w="416" w:type="dxa"/>
            <w:vMerge/>
            <w:tcBorders>
              <w:left w:val="single" w:sz="2" w:space="0" w:color="FFFFFF"/>
              <w:bottom w:val="single" w:sz="18" w:space="0" w:color="FFFFFF"/>
              <w:right w:val="single" w:sz="2" w:space="0" w:color="FFFFFF"/>
            </w:tcBorders>
            <w:shd w:val="clear" w:color="auto" w:fill="CCC0D9"/>
          </w:tcPr>
          <w:p w14:paraId="6AB4CF4C" w14:textId="77777777" w:rsidR="0084266A" w:rsidRPr="00466E44" w:rsidRDefault="0084266A" w:rsidP="007A1164">
            <w:pPr>
              <w:rPr>
                <w:rFonts w:ascii="Zapf Dingbats" w:eastAsia="MS Mincho" w:hAnsi="Zapf Dingbats" w:cs="MS Mincho"/>
                <w:noProof/>
                <w:sz w:val="22"/>
                <w:szCs w:val="22"/>
                <w:lang w:val="en-GB"/>
              </w:rPr>
            </w:pPr>
          </w:p>
        </w:tc>
        <w:tc>
          <w:tcPr>
            <w:tcW w:w="340" w:type="dxa"/>
            <w:vMerge/>
            <w:tcBorders>
              <w:left w:val="single" w:sz="2" w:space="0" w:color="FFFFFF"/>
              <w:bottom w:val="single" w:sz="18" w:space="0" w:color="FFFFFF"/>
              <w:right w:val="single" w:sz="18" w:space="0" w:color="FFFFFF"/>
            </w:tcBorders>
            <w:shd w:val="clear" w:color="auto" w:fill="CCC0D9"/>
          </w:tcPr>
          <w:p w14:paraId="3581940A" w14:textId="77777777" w:rsidR="0084266A" w:rsidRPr="00466E44" w:rsidRDefault="0084266A" w:rsidP="007A1164">
            <w:pPr>
              <w:rPr>
                <w:rFonts w:ascii="Zapf Dingbats" w:eastAsia="MS Mincho" w:hAnsi="Zapf Dingbats" w:cs="MS Mincho"/>
                <w:noProof/>
                <w:sz w:val="22"/>
                <w:szCs w:val="22"/>
                <w:lang w:val="en-GB"/>
              </w:rPr>
            </w:pPr>
          </w:p>
        </w:tc>
        <w:tc>
          <w:tcPr>
            <w:tcW w:w="467"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47192005" w14:textId="77777777" w:rsidR="0084266A" w:rsidRPr="00466E44" w:rsidRDefault="0084266A" w:rsidP="007A1164">
            <w:pPr>
              <w:rPr>
                <w:rFonts w:ascii="Zapf Dingbats" w:eastAsia="MS Mincho" w:hAnsi="Zapf Dingbats" w:cs="MS Mincho"/>
                <w:noProof/>
                <w:sz w:val="22"/>
                <w:szCs w:val="22"/>
                <w:lang w:val="en-GB"/>
              </w:rPr>
            </w:pPr>
          </w:p>
        </w:tc>
        <w:tc>
          <w:tcPr>
            <w:tcW w:w="514" w:type="dxa"/>
            <w:tcBorders>
              <w:top w:val="single" w:sz="8" w:space="0" w:color="FFFFFF" w:themeColor="background1"/>
              <w:left w:val="single" w:sz="4" w:space="0" w:color="FFFFFF" w:themeColor="background1"/>
              <w:bottom w:val="single" w:sz="18" w:space="0" w:color="FFFFFF"/>
              <w:right w:val="single" w:sz="2" w:space="0" w:color="FFFFFF"/>
            </w:tcBorders>
            <w:shd w:val="clear" w:color="auto" w:fill="B8CCE4"/>
          </w:tcPr>
          <w:p w14:paraId="29EE383C" w14:textId="77777777" w:rsidR="0084266A" w:rsidRPr="00466E44" w:rsidRDefault="0084266A" w:rsidP="007A1164">
            <w:pPr>
              <w:rPr>
                <w:rFonts w:ascii="Zapf Dingbats" w:eastAsia="MS Mincho" w:hAnsi="Zapf Dingbats" w:cs="MS Mincho"/>
                <w:noProof/>
                <w:sz w:val="22"/>
                <w:szCs w:val="22"/>
                <w:lang w:val="en-GB"/>
              </w:rPr>
            </w:pPr>
          </w:p>
        </w:tc>
        <w:tc>
          <w:tcPr>
            <w:tcW w:w="514" w:type="dxa"/>
            <w:tcBorders>
              <w:top w:val="single" w:sz="8" w:space="0" w:color="FFFFFF" w:themeColor="background1"/>
              <w:left w:val="single" w:sz="2" w:space="0" w:color="FFFFFF"/>
              <w:bottom w:val="single" w:sz="18" w:space="0" w:color="FFFFFF"/>
              <w:right w:val="single" w:sz="2" w:space="0" w:color="FFFFFF"/>
            </w:tcBorders>
            <w:shd w:val="clear" w:color="auto" w:fill="B8CCE4"/>
          </w:tcPr>
          <w:p w14:paraId="32F01629" w14:textId="44438459" w:rsidR="0084266A" w:rsidRPr="00466E44" w:rsidRDefault="0084266A" w:rsidP="007A1164">
            <w:pPr>
              <w:rPr>
                <w:rFonts w:ascii="Zapf Dingbats" w:eastAsia="MS Mincho" w:hAnsi="Zapf Dingbats" w:cs="MS Mincho"/>
                <w:noProof/>
                <w:sz w:val="22"/>
                <w:szCs w:val="22"/>
                <w:lang w:val="en-GB"/>
              </w:rPr>
            </w:pPr>
          </w:p>
        </w:tc>
        <w:tc>
          <w:tcPr>
            <w:tcW w:w="404" w:type="dxa"/>
            <w:tcBorders>
              <w:top w:val="single" w:sz="8" w:space="0" w:color="FFFFFF" w:themeColor="background1"/>
              <w:left w:val="single" w:sz="2" w:space="0" w:color="FFFFFF"/>
              <w:bottom w:val="single" w:sz="18" w:space="0" w:color="FFFFFF"/>
              <w:right w:val="single" w:sz="18" w:space="0" w:color="FFFFFF"/>
            </w:tcBorders>
            <w:shd w:val="clear" w:color="auto" w:fill="B8CCE4"/>
          </w:tcPr>
          <w:p w14:paraId="3F8EFDDC" w14:textId="1B614E04" w:rsidR="0084266A" w:rsidRPr="00466E44" w:rsidRDefault="00FD644B" w:rsidP="007A1164">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40" w:type="dxa"/>
            <w:vMerge/>
            <w:tcBorders>
              <w:left w:val="single" w:sz="18" w:space="0" w:color="FFFFFF"/>
              <w:bottom w:val="single" w:sz="18" w:space="0" w:color="FFFFFF"/>
              <w:right w:val="single" w:sz="2" w:space="0" w:color="FFFFFF"/>
            </w:tcBorders>
            <w:shd w:val="clear" w:color="auto" w:fill="D99594"/>
          </w:tcPr>
          <w:p w14:paraId="6BADA807" w14:textId="77777777" w:rsidR="0084266A" w:rsidRPr="009651AC" w:rsidRDefault="0084266A" w:rsidP="007A1164">
            <w:pPr>
              <w:rPr>
                <w:rFonts w:ascii="Gill Sans" w:hAnsi="Gill Sans" w:cs="Gill Sans"/>
                <w:sz w:val="22"/>
                <w:szCs w:val="22"/>
                <w:lang w:val="en-GB"/>
              </w:rPr>
            </w:pPr>
          </w:p>
        </w:tc>
        <w:tc>
          <w:tcPr>
            <w:tcW w:w="384" w:type="dxa"/>
            <w:vMerge/>
            <w:tcBorders>
              <w:left w:val="single" w:sz="2" w:space="0" w:color="FFFFFF"/>
              <w:bottom w:val="single" w:sz="18" w:space="0" w:color="FFFFFF"/>
              <w:right w:val="single" w:sz="2" w:space="0" w:color="FFFFFF"/>
            </w:tcBorders>
            <w:shd w:val="clear" w:color="auto" w:fill="D99594"/>
          </w:tcPr>
          <w:p w14:paraId="0013FCD9" w14:textId="77777777" w:rsidR="0084266A" w:rsidRPr="009651AC" w:rsidRDefault="0084266A" w:rsidP="007A1164">
            <w:pPr>
              <w:rPr>
                <w:rFonts w:ascii="Gill Sans" w:hAnsi="Gill Sans" w:cs="Gill Sans"/>
                <w:sz w:val="22"/>
                <w:szCs w:val="22"/>
                <w:lang w:val="en-GB"/>
              </w:rPr>
            </w:pPr>
          </w:p>
        </w:tc>
        <w:tc>
          <w:tcPr>
            <w:tcW w:w="340" w:type="dxa"/>
            <w:vMerge/>
            <w:tcBorders>
              <w:left w:val="single" w:sz="2" w:space="0" w:color="FFFFFF"/>
              <w:bottom w:val="single" w:sz="18" w:space="0" w:color="FFFFFF"/>
              <w:right w:val="single" w:sz="2" w:space="0" w:color="FFFFFF"/>
            </w:tcBorders>
            <w:shd w:val="clear" w:color="auto" w:fill="D99594"/>
          </w:tcPr>
          <w:p w14:paraId="19D7BE51" w14:textId="77777777" w:rsidR="0084266A" w:rsidRPr="009651AC" w:rsidRDefault="0084266A" w:rsidP="007A1164">
            <w:pPr>
              <w:rPr>
                <w:rFonts w:ascii="Gill Sans" w:hAnsi="Gill Sans" w:cs="Gill Sans"/>
                <w:sz w:val="22"/>
                <w:szCs w:val="22"/>
                <w:lang w:val="en-GB"/>
              </w:rPr>
            </w:pPr>
          </w:p>
        </w:tc>
        <w:tc>
          <w:tcPr>
            <w:tcW w:w="340" w:type="dxa"/>
            <w:vMerge/>
            <w:tcBorders>
              <w:left w:val="single" w:sz="2" w:space="0" w:color="FFFFFF"/>
              <w:bottom w:val="single" w:sz="18" w:space="0" w:color="FFFFFF"/>
              <w:right w:val="single" w:sz="2" w:space="0" w:color="FFFFFF"/>
            </w:tcBorders>
            <w:shd w:val="clear" w:color="auto" w:fill="D99594"/>
          </w:tcPr>
          <w:p w14:paraId="04ACE6B9" w14:textId="77777777" w:rsidR="0084266A" w:rsidRPr="009651AC" w:rsidRDefault="0084266A" w:rsidP="007A1164">
            <w:pPr>
              <w:rPr>
                <w:rFonts w:ascii="Gill Sans" w:hAnsi="Gill Sans" w:cs="Gill Sans"/>
                <w:sz w:val="22"/>
                <w:szCs w:val="22"/>
                <w:lang w:val="en-GB"/>
              </w:rPr>
            </w:pPr>
          </w:p>
        </w:tc>
        <w:tc>
          <w:tcPr>
            <w:tcW w:w="515" w:type="dxa"/>
            <w:vMerge/>
            <w:tcBorders>
              <w:left w:val="single" w:sz="2" w:space="0" w:color="FFFFFF"/>
              <w:bottom w:val="single" w:sz="18" w:space="0" w:color="FFFFFF"/>
              <w:right w:val="single" w:sz="18" w:space="0" w:color="FFFFFF"/>
            </w:tcBorders>
            <w:shd w:val="clear" w:color="auto" w:fill="D99594"/>
          </w:tcPr>
          <w:p w14:paraId="781BF84D" w14:textId="77777777" w:rsidR="0084266A" w:rsidRPr="009651AC" w:rsidRDefault="0084266A" w:rsidP="007A1164">
            <w:pPr>
              <w:rPr>
                <w:rFonts w:ascii="Gill Sans" w:hAnsi="Gill Sans" w:cs="Gill Sans"/>
                <w:sz w:val="22"/>
                <w:szCs w:val="22"/>
                <w:lang w:val="en-GB"/>
              </w:rPr>
            </w:pPr>
          </w:p>
        </w:tc>
      </w:tr>
    </w:tbl>
    <w:p w14:paraId="0C76BF37" w14:textId="77777777" w:rsidR="006023C3" w:rsidRDefault="006023C3" w:rsidP="00163080">
      <w:pPr>
        <w:pStyle w:val="Heading3"/>
        <w:rPr>
          <w:szCs w:val="22"/>
        </w:rPr>
      </w:pPr>
    </w:p>
    <w:p w14:paraId="141CEE5B" w14:textId="1DCF867F" w:rsidR="00C75B2B" w:rsidRPr="00D0117B" w:rsidRDefault="00C75B2B" w:rsidP="00163080">
      <w:pPr>
        <w:pStyle w:val="Heading3"/>
      </w:pPr>
      <w:r w:rsidRPr="00D0117B">
        <w:t xml:space="preserve">Commitment </w:t>
      </w:r>
      <w:r w:rsidR="008D253D">
        <w:t>a</w:t>
      </w:r>
      <w:r w:rsidRPr="00D0117B">
        <w:t>im</w:t>
      </w:r>
    </w:p>
    <w:p w14:paraId="0499018B" w14:textId="71AAAAB9" w:rsidR="00C75B2B" w:rsidRPr="00272BF0" w:rsidRDefault="009C09B8">
      <w:pPr>
        <w:spacing w:after="120"/>
        <w:rPr>
          <w:rFonts w:ascii="Gill Sans" w:hAnsi="Gill Sans" w:cs="Gill Sans"/>
          <w:b/>
          <w:noProof/>
          <w:sz w:val="22"/>
          <w:szCs w:val="22"/>
          <w:lang w:val="en-GB"/>
        </w:rPr>
      </w:pPr>
      <w:r>
        <w:rPr>
          <w:rFonts w:ascii="Gill Sans" w:hAnsi="Gill Sans" w:cs="Gill Sans"/>
          <w:noProof/>
          <w:sz w:val="22"/>
          <w:szCs w:val="22"/>
          <w:lang w:val="en-GB"/>
        </w:rPr>
        <w:t xml:space="preserve">Prior to </w:t>
      </w:r>
      <w:r w:rsidR="00C41369">
        <w:rPr>
          <w:rFonts w:ascii="Gill Sans" w:hAnsi="Gill Sans" w:cs="Gill Sans"/>
          <w:noProof/>
          <w:sz w:val="22"/>
          <w:szCs w:val="22"/>
          <w:lang w:val="en-GB"/>
        </w:rPr>
        <w:t xml:space="preserve">the commitment, Ukrainian legislation lacked provisions </w:t>
      </w:r>
      <w:r w:rsidR="008D253D">
        <w:rPr>
          <w:rFonts w:ascii="Gill Sans" w:hAnsi="Gill Sans" w:cs="Gill Sans"/>
          <w:noProof/>
          <w:sz w:val="22"/>
          <w:szCs w:val="22"/>
          <w:lang w:val="en-GB"/>
        </w:rPr>
        <w:t xml:space="preserve">for </w:t>
      </w:r>
      <w:r w:rsidR="00C41369">
        <w:rPr>
          <w:rFonts w:ascii="Gill Sans" w:hAnsi="Gill Sans" w:cs="Gill Sans"/>
          <w:noProof/>
          <w:sz w:val="22"/>
          <w:szCs w:val="22"/>
          <w:lang w:val="en-GB"/>
        </w:rPr>
        <w:t xml:space="preserve">machine-readable data </w:t>
      </w:r>
      <w:r>
        <w:rPr>
          <w:rFonts w:ascii="Gill Sans" w:hAnsi="Gill Sans" w:cs="Gill Sans"/>
          <w:noProof/>
          <w:sz w:val="22"/>
          <w:szCs w:val="22"/>
          <w:lang w:val="en-GB"/>
        </w:rPr>
        <w:t>as well as their</w:t>
      </w:r>
      <w:r w:rsidR="00C41369">
        <w:rPr>
          <w:rFonts w:ascii="Gill Sans" w:hAnsi="Gill Sans" w:cs="Gill Sans"/>
          <w:noProof/>
          <w:sz w:val="22"/>
          <w:szCs w:val="22"/>
          <w:lang w:val="en-GB"/>
        </w:rPr>
        <w:t xml:space="preserve"> proactive publication by authorities and re-use by private actors. </w:t>
      </w:r>
      <w:r w:rsidR="00084120">
        <w:rPr>
          <w:rFonts w:ascii="Gill Sans" w:hAnsi="Gill Sans" w:cs="Gill Sans"/>
          <w:noProof/>
          <w:sz w:val="22"/>
          <w:szCs w:val="22"/>
          <w:lang w:val="en-GB"/>
        </w:rPr>
        <w:t>Both commitments aim</w:t>
      </w:r>
      <w:r>
        <w:rPr>
          <w:rFonts w:ascii="Gill Sans" w:hAnsi="Gill Sans" w:cs="Gill Sans"/>
          <w:noProof/>
          <w:sz w:val="22"/>
          <w:szCs w:val="22"/>
          <w:lang w:val="en-GB"/>
        </w:rPr>
        <w:t>ed</w:t>
      </w:r>
      <w:r w:rsidR="00D0117B" w:rsidRPr="00D0117B">
        <w:rPr>
          <w:rFonts w:ascii="Gill Sans" w:hAnsi="Gill Sans" w:cs="Gill Sans"/>
          <w:noProof/>
          <w:sz w:val="22"/>
          <w:szCs w:val="22"/>
          <w:lang w:val="en-GB"/>
        </w:rPr>
        <w:t xml:space="preserve"> to develop a legal framework for public access to information held by public authorities in an open data form and in machine-readable formats. </w:t>
      </w:r>
      <w:r w:rsidR="00C41369" w:rsidRPr="00272BF0">
        <w:rPr>
          <w:rFonts w:ascii="Gill Sans" w:hAnsi="Gill Sans" w:cs="Gill Sans"/>
          <w:sz w:val="22"/>
          <w:szCs w:val="22"/>
          <w:lang w:val="en-GB"/>
        </w:rPr>
        <w:t xml:space="preserve">This </w:t>
      </w:r>
      <w:r w:rsidR="00C41369">
        <w:rPr>
          <w:rFonts w:ascii="Gill Sans" w:hAnsi="Gill Sans" w:cs="Gill Sans"/>
          <w:sz w:val="22"/>
          <w:szCs w:val="22"/>
          <w:lang w:val="en-GB"/>
        </w:rPr>
        <w:t xml:space="preserve">was </w:t>
      </w:r>
      <w:r w:rsidR="00C41369" w:rsidRPr="00272BF0">
        <w:rPr>
          <w:rFonts w:ascii="Gill Sans" w:hAnsi="Gill Sans" w:cs="Gill Sans"/>
          <w:sz w:val="22"/>
          <w:szCs w:val="22"/>
          <w:lang w:val="en-GB"/>
        </w:rPr>
        <w:t>supposed to boost investment and create a new data-driven sector of the economy.</w:t>
      </w:r>
    </w:p>
    <w:p w14:paraId="7CDCE4AB" w14:textId="3B645E90" w:rsidR="00C75B2B" w:rsidRPr="00272BF0" w:rsidRDefault="00C75B2B" w:rsidP="00163080">
      <w:pPr>
        <w:pStyle w:val="Heading3"/>
      </w:pPr>
      <w:r w:rsidRPr="00272BF0">
        <w:t>Status</w:t>
      </w:r>
    </w:p>
    <w:p w14:paraId="6DFD81F6" w14:textId="148C8EC2" w:rsidR="00C75B2B" w:rsidRPr="00272BF0" w:rsidRDefault="00C75B2B" w:rsidP="00272BF0">
      <w:pPr>
        <w:pStyle w:val="Normalrglronly"/>
        <w:rPr>
          <w:b/>
          <w:lang w:val="en-GB"/>
        </w:rPr>
      </w:pPr>
      <w:r w:rsidRPr="00272BF0">
        <w:rPr>
          <w:b/>
          <w:lang w:val="en-GB"/>
        </w:rPr>
        <w:t xml:space="preserve">Midterm: </w:t>
      </w:r>
      <w:r w:rsidR="00BA12E0" w:rsidRPr="00272BF0">
        <w:rPr>
          <w:b/>
          <w:lang w:val="en-GB"/>
        </w:rPr>
        <w:t>Completed</w:t>
      </w:r>
    </w:p>
    <w:p w14:paraId="2674E371" w14:textId="6B08F436" w:rsidR="00C75B2B" w:rsidRPr="00272BF0" w:rsidRDefault="00BA12E0" w:rsidP="005345F1">
      <w:pPr>
        <w:spacing w:after="120"/>
        <w:rPr>
          <w:rFonts w:ascii="Gill Sans" w:hAnsi="Gill Sans" w:cs="Gill Sans"/>
          <w:noProof/>
          <w:sz w:val="22"/>
          <w:szCs w:val="22"/>
          <w:lang w:val="en-GB"/>
        </w:rPr>
      </w:pPr>
      <w:r w:rsidRPr="00272BF0">
        <w:rPr>
          <w:rFonts w:ascii="Gill Sans" w:hAnsi="Gill Sans" w:cs="Gill Sans"/>
          <w:noProof/>
          <w:sz w:val="22"/>
          <w:szCs w:val="22"/>
          <w:lang w:val="en-GB"/>
        </w:rPr>
        <w:t>The commitment to develop a draft of the Law on Access to Public Information in Open Data Form was fully completed. The draft law was developed with the support of th</w:t>
      </w:r>
      <w:r w:rsidR="0008128B">
        <w:rPr>
          <w:rFonts w:ascii="Gill Sans" w:hAnsi="Gill Sans" w:cs="Gill Sans"/>
          <w:noProof/>
          <w:sz w:val="22"/>
          <w:szCs w:val="22"/>
          <w:lang w:val="en-GB"/>
        </w:rPr>
        <w:t xml:space="preserve">e UNDP </w:t>
      </w:r>
      <w:r w:rsidR="00024103">
        <w:rPr>
          <w:rFonts w:ascii="Gill Sans" w:hAnsi="Gill Sans" w:cs="Gill Sans"/>
          <w:noProof/>
          <w:sz w:val="22"/>
          <w:szCs w:val="22"/>
          <w:lang w:val="en-GB"/>
        </w:rPr>
        <w:t>at</w:t>
      </w:r>
      <w:r w:rsidR="0008128B">
        <w:rPr>
          <w:rFonts w:ascii="Gill Sans" w:hAnsi="Gill Sans" w:cs="Gill Sans"/>
          <w:noProof/>
          <w:sz w:val="22"/>
          <w:szCs w:val="22"/>
          <w:lang w:val="en-GB"/>
        </w:rPr>
        <w:t xml:space="preserve"> the end of 2014. The </w:t>
      </w:r>
      <w:r w:rsidR="00024103">
        <w:rPr>
          <w:rFonts w:ascii="Gill Sans" w:hAnsi="Gill Sans" w:cs="Gill Sans"/>
          <w:noProof/>
          <w:sz w:val="22"/>
          <w:szCs w:val="22"/>
          <w:lang w:val="en-GB"/>
        </w:rPr>
        <w:t>p</w:t>
      </w:r>
      <w:r w:rsidRPr="00272BF0">
        <w:rPr>
          <w:rFonts w:ascii="Gill Sans" w:hAnsi="Gill Sans" w:cs="Gill Sans"/>
          <w:noProof/>
          <w:sz w:val="22"/>
          <w:szCs w:val="22"/>
          <w:lang w:val="en-GB"/>
        </w:rPr>
        <w:t>resident submitted the draft law</w:t>
      </w:r>
      <w:r w:rsidRPr="00272BF0">
        <w:rPr>
          <w:rStyle w:val="EndnoteReference"/>
          <w:rFonts w:ascii="Gill Sans" w:hAnsi="Gill Sans" w:cs="Gill Sans"/>
          <w:noProof/>
          <w:sz w:val="22"/>
          <w:szCs w:val="22"/>
          <w:lang w:val="en-GB"/>
        </w:rPr>
        <w:endnoteReference w:id="97"/>
      </w:r>
      <w:r w:rsidRPr="00272BF0">
        <w:rPr>
          <w:rFonts w:ascii="Gill Sans" w:hAnsi="Gill Sans" w:cs="Gill Sans"/>
          <w:noProof/>
          <w:sz w:val="22"/>
          <w:szCs w:val="22"/>
          <w:lang w:val="en-GB"/>
        </w:rPr>
        <w:t xml:space="preserve"> to </w:t>
      </w:r>
      <w:r w:rsidR="00024103">
        <w:rPr>
          <w:rFonts w:ascii="Gill Sans" w:hAnsi="Gill Sans" w:cs="Gill Sans"/>
          <w:noProof/>
          <w:sz w:val="22"/>
          <w:szCs w:val="22"/>
          <w:lang w:val="en-GB"/>
        </w:rPr>
        <w:t>P</w:t>
      </w:r>
      <w:r w:rsidRPr="00272BF0">
        <w:rPr>
          <w:rFonts w:ascii="Gill Sans" w:hAnsi="Gill Sans" w:cs="Gill Sans"/>
          <w:noProof/>
          <w:sz w:val="22"/>
          <w:szCs w:val="22"/>
          <w:lang w:val="en-GB"/>
        </w:rPr>
        <w:t>arliament</w:t>
      </w:r>
      <w:r w:rsidR="00024103">
        <w:rPr>
          <w:rFonts w:ascii="Gill Sans" w:hAnsi="Gill Sans" w:cs="Gill Sans"/>
          <w:noProof/>
          <w:sz w:val="22"/>
          <w:szCs w:val="22"/>
          <w:lang w:val="en-GB"/>
        </w:rPr>
        <w:t>, which</w:t>
      </w:r>
      <w:r w:rsidRPr="00272BF0">
        <w:rPr>
          <w:rFonts w:ascii="Gill Sans" w:hAnsi="Gill Sans" w:cs="Gill Sans"/>
          <w:noProof/>
          <w:sz w:val="22"/>
          <w:szCs w:val="22"/>
          <w:lang w:val="en-GB"/>
        </w:rPr>
        <w:t xml:space="preserve"> passed the law in April 2015. Initially, the government planned to develop its own regulations on open data</w:t>
      </w:r>
      <w:r w:rsidR="00024103">
        <w:rPr>
          <w:rFonts w:ascii="Gill Sans" w:hAnsi="Gill Sans" w:cs="Gill Sans"/>
          <w:noProof/>
          <w:sz w:val="22"/>
          <w:szCs w:val="22"/>
          <w:lang w:val="en-GB"/>
        </w:rPr>
        <w:t>. Ho</w:t>
      </w:r>
      <w:r w:rsidRPr="00272BF0">
        <w:rPr>
          <w:rFonts w:ascii="Gill Sans" w:hAnsi="Gill Sans" w:cs="Gill Sans"/>
          <w:noProof/>
          <w:sz w:val="22"/>
          <w:szCs w:val="22"/>
          <w:lang w:val="en-GB"/>
        </w:rPr>
        <w:t xml:space="preserve">wever, since the law was passed swiftly, </w:t>
      </w:r>
      <w:r w:rsidR="00024103">
        <w:rPr>
          <w:rFonts w:ascii="Gill Sans" w:hAnsi="Gill Sans" w:cs="Gill Sans"/>
          <w:noProof/>
          <w:sz w:val="22"/>
          <w:szCs w:val="22"/>
          <w:lang w:val="en-GB"/>
        </w:rPr>
        <w:t>it</w:t>
      </w:r>
      <w:r w:rsidRPr="00272BF0">
        <w:rPr>
          <w:rFonts w:ascii="Gill Sans" w:hAnsi="Gill Sans" w:cs="Gill Sans"/>
          <w:noProof/>
          <w:sz w:val="22"/>
          <w:szCs w:val="22"/>
          <w:lang w:val="en-GB"/>
        </w:rPr>
        <w:t xml:space="preserve"> develop</w:t>
      </w:r>
      <w:r w:rsidR="00024103">
        <w:rPr>
          <w:rFonts w:ascii="Gill Sans" w:hAnsi="Gill Sans" w:cs="Gill Sans"/>
          <w:noProof/>
          <w:sz w:val="22"/>
          <w:szCs w:val="22"/>
          <w:lang w:val="en-GB"/>
        </w:rPr>
        <w:t>ed,</w:t>
      </w:r>
      <w:r w:rsidRPr="00272BF0">
        <w:rPr>
          <w:rFonts w:ascii="Gill Sans" w:hAnsi="Gill Sans" w:cs="Gill Sans"/>
          <w:noProof/>
          <w:sz w:val="22"/>
          <w:szCs w:val="22"/>
          <w:lang w:val="en-GB"/>
        </w:rPr>
        <w:t xml:space="preserve"> instead</w:t>
      </w:r>
      <w:r w:rsidR="00024103">
        <w:rPr>
          <w:rFonts w:ascii="Gill Sans" w:hAnsi="Gill Sans" w:cs="Gill Sans"/>
          <w:noProof/>
          <w:sz w:val="22"/>
          <w:szCs w:val="22"/>
          <w:lang w:val="en-GB"/>
        </w:rPr>
        <w:t>,</w:t>
      </w:r>
      <w:r w:rsidRPr="00272BF0">
        <w:rPr>
          <w:rFonts w:ascii="Gill Sans" w:hAnsi="Gill Sans" w:cs="Gill Sans"/>
          <w:noProof/>
          <w:sz w:val="22"/>
          <w:szCs w:val="22"/>
          <w:lang w:val="en-GB"/>
        </w:rPr>
        <w:t xml:space="preserve"> relevant regulations to implement the new provisions. </w:t>
      </w:r>
      <w:r w:rsidR="008D253D">
        <w:rPr>
          <w:rFonts w:ascii="Gill Sans" w:hAnsi="Gill Sans" w:cs="Gill Sans"/>
          <w:noProof/>
          <w:sz w:val="22"/>
          <w:szCs w:val="22"/>
          <w:lang w:val="en-GB"/>
        </w:rPr>
        <w:t>G</w:t>
      </w:r>
      <w:r w:rsidRPr="00272BF0">
        <w:rPr>
          <w:rFonts w:ascii="Gill Sans" w:hAnsi="Gill Sans" w:cs="Gill Sans"/>
          <w:noProof/>
          <w:sz w:val="22"/>
          <w:szCs w:val="22"/>
          <w:lang w:val="en-GB"/>
        </w:rPr>
        <w:t xml:space="preserve">overnment regulations </w:t>
      </w:r>
      <w:r w:rsidR="00C41369">
        <w:rPr>
          <w:rFonts w:ascii="Gill Sans" w:hAnsi="Gill Sans" w:cs="Gill Sans"/>
          <w:noProof/>
          <w:sz w:val="22"/>
          <w:szCs w:val="22"/>
          <w:lang w:val="en-GB"/>
        </w:rPr>
        <w:t xml:space="preserve">(adopted in October 2015) </w:t>
      </w:r>
      <w:r w:rsidRPr="00272BF0">
        <w:rPr>
          <w:rFonts w:ascii="Gill Sans" w:hAnsi="Gill Sans" w:cs="Gill Sans"/>
          <w:noProof/>
          <w:sz w:val="22"/>
          <w:szCs w:val="22"/>
          <w:lang w:val="en-GB"/>
        </w:rPr>
        <w:t>defined the minimum list of datasets (more than 300) to be disclosed by various public agencies (not only those subordinated to the government, but also the parliament, judiciary, and national bank) on their websites and the government</w:t>
      </w:r>
      <w:r w:rsidR="00024103">
        <w:rPr>
          <w:rFonts w:ascii="Gill Sans" w:hAnsi="Gill Sans" w:cs="Gill Sans"/>
          <w:noProof/>
          <w:sz w:val="22"/>
          <w:szCs w:val="22"/>
          <w:lang w:val="en-GB"/>
        </w:rPr>
        <w:t>’s</w:t>
      </w:r>
      <w:r w:rsidRPr="00272BF0">
        <w:rPr>
          <w:rFonts w:ascii="Gill Sans" w:hAnsi="Gill Sans" w:cs="Gill Sans"/>
          <w:noProof/>
          <w:sz w:val="22"/>
          <w:szCs w:val="22"/>
          <w:lang w:val="en-GB"/>
        </w:rPr>
        <w:t xml:space="preserve"> open data web portal. The</w:t>
      </w:r>
      <w:r w:rsidR="00024103">
        <w:rPr>
          <w:rFonts w:ascii="Gill Sans" w:hAnsi="Gill Sans" w:cs="Gill Sans"/>
          <w:noProof/>
          <w:sz w:val="22"/>
          <w:szCs w:val="22"/>
          <w:lang w:val="en-GB"/>
        </w:rPr>
        <w:t>y</w:t>
      </w:r>
      <w:r w:rsidRPr="00272BF0">
        <w:rPr>
          <w:rFonts w:ascii="Gill Sans" w:hAnsi="Gill Sans" w:cs="Gill Sans"/>
          <w:noProof/>
          <w:sz w:val="22"/>
          <w:szCs w:val="22"/>
          <w:lang w:val="en-GB"/>
        </w:rPr>
        <w:t xml:space="preserve"> also determine</w:t>
      </w:r>
      <w:r w:rsidR="00E83929" w:rsidRPr="00272BF0">
        <w:rPr>
          <w:rFonts w:ascii="Gill Sans" w:hAnsi="Gill Sans" w:cs="Gill Sans"/>
          <w:noProof/>
          <w:sz w:val="22"/>
          <w:szCs w:val="22"/>
          <w:lang w:val="en-GB"/>
        </w:rPr>
        <w:t>d</w:t>
      </w:r>
      <w:r w:rsidRPr="00272BF0">
        <w:rPr>
          <w:rFonts w:ascii="Gill Sans" w:hAnsi="Gill Sans" w:cs="Gill Sans"/>
          <w:noProof/>
          <w:sz w:val="22"/>
          <w:szCs w:val="22"/>
          <w:lang w:val="en-GB"/>
        </w:rPr>
        <w:t xml:space="preserve"> </w:t>
      </w:r>
      <w:r w:rsidR="00024103">
        <w:rPr>
          <w:rFonts w:ascii="Gill Sans" w:hAnsi="Gill Sans" w:cs="Gill Sans"/>
          <w:noProof/>
          <w:sz w:val="22"/>
          <w:szCs w:val="22"/>
          <w:lang w:val="en-GB"/>
        </w:rPr>
        <w:t xml:space="preserve">the </w:t>
      </w:r>
      <w:r w:rsidRPr="00272BF0">
        <w:rPr>
          <w:rFonts w:ascii="Gill Sans" w:hAnsi="Gill Sans" w:cs="Gill Sans"/>
          <w:noProof/>
          <w:sz w:val="22"/>
          <w:szCs w:val="22"/>
          <w:lang w:val="en-GB"/>
        </w:rPr>
        <w:t>procedure for publi</w:t>
      </w:r>
      <w:r w:rsidR="00024103">
        <w:rPr>
          <w:rFonts w:ascii="Gill Sans" w:hAnsi="Gill Sans" w:cs="Gill Sans"/>
          <w:noProof/>
          <w:sz w:val="22"/>
          <w:szCs w:val="22"/>
          <w:lang w:val="en-GB"/>
        </w:rPr>
        <w:t xml:space="preserve">shing </w:t>
      </w:r>
      <w:r w:rsidRPr="00272BF0">
        <w:rPr>
          <w:rFonts w:ascii="Gill Sans" w:hAnsi="Gill Sans" w:cs="Gill Sans"/>
          <w:noProof/>
          <w:sz w:val="22"/>
          <w:szCs w:val="22"/>
          <w:lang w:val="en-GB"/>
        </w:rPr>
        <w:t>open data and the requirements for data formats</w:t>
      </w:r>
      <w:r w:rsidR="00C75B2B" w:rsidRPr="00272BF0">
        <w:rPr>
          <w:rFonts w:ascii="Gill Sans" w:hAnsi="Gill Sans" w:cs="Gill Sans"/>
          <w:sz w:val="22"/>
          <w:szCs w:val="22"/>
          <w:lang w:val="en-GB"/>
        </w:rPr>
        <w:t>.</w:t>
      </w:r>
      <w:r w:rsidR="00C75B2B" w:rsidRPr="00272BF0">
        <w:rPr>
          <w:rStyle w:val="EndnoteReference"/>
          <w:rFonts w:ascii="Gill Sans" w:hAnsi="Gill Sans" w:cs="Gill Sans"/>
          <w:noProof/>
          <w:sz w:val="22"/>
          <w:szCs w:val="22"/>
          <w:lang w:val="en-GB"/>
        </w:rPr>
        <w:endnoteReference w:id="98"/>
      </w:r>
    </w:p>
    <w:p w14:paraId="6D46200B" w14:textId="02A88361" w:rsidR="00C75B2B" w:rsidRPr="00272BF0" w:rsidRDefault="00C75B2B" w:rsidP="00272BF0">
      <w:pPr>
        <w:pStyle w:val="Normalrglronly"/>
        <w:rPr>
          <w:b/>
          <w:lang w:val="en-GB"/>
        </w:rPr>
      </w:pPr>
      <w:r w:rsidRPr="00272BF0">
        <w:rPr>
          <w:b/>
          <w:lang w:val="en-GB"/>
        </w:rPr>
        <w:t xml:space="preserve">End of term: </w:t>
      </w:r>
      <w:r w:rsidR="00F84C6F" w:rsidRPr="00272BF0">
        <w:rPr>
          <w:b/>
          <w:lang w:val="en-GB"/>
        </w:rPr>
        <w:t>Completed</w:t>
      </w:r>
    </w:p>
    <w:p w14:paraId="36483677" w14:textId="6E86AD8E" w:rsidR="00C75B2B" w:rsidRPr="00272BF0" w:rsidRDefault="00F20486" w:rsidP="00A05DC7">
      <w:pPr>
        <w:pStyle w:val="Normalrglronly"/>
        <w:rPr>
          <w:noProof/>
          <w:color w:val="auto"/>
          <w:lang w:val="en-GB"/>
        </w:rPr>
      </w:pPr>
      <w:r w:rsidRPr="00272BF0">
        <w:rPr>
          <w:noProof/>
          <w:color w:val="auto"/>
          <w:lang w:val="en-GB"/>
        </w:rPr>
        <w:t xml:space="preserve">In October 2015, the </w:t>
      </w:r>
      <w:r w:rsidR="005345F1">
        <w:rPr>
          <w:noProof/>
          <w:color w:val="auto"/>
          <w:lang w:val="en-GB"/>
        </w:rPr>
        <w:t>g</w:t>
      </w:r>
      <w:r w:rsidRPr="00272BF0">
        <w:rPr>
          <w:noProof/>
          <w:color w:val="auto"/>
          <w:lang w:val="en-GB"/>
        </w:rPr>
        <w:t>overnment adopted regulations on open datasets and procedure</w:t>
      </w:r>
      <w:r w:rsidR="005345F1">
        <w:rPr>
          <w:noProof/>
          <w:color w:val="auto"/>
          <w:lang w:val="en-GB"/>
        </w:rPr>
        <w:t>s</w:t>
      </w:r>
      <w:r w:rsidRPr="00272BF0">
        <w:rPr>
          <w:noProof/>
          <w:color w:val="auto"/>
          <w:lang w:val="en-GB"/>
        </w:rPr>
        <w:t xml:space="preserve"> for their publication. </w:t>
      </w:r>
      <w:r w:rsidR="00DB3278" w:rsidRPr="00272BF0">
        <w:rPr>
          <w:noProof/>
          <w:color w:val="auto"/>
          <w:lang w:val="en-GB"/>
        </w:rPr>
        <w:t xml:space="preserve">In September 2016, the </w:t>
      </w:r>
      <w:r w:rsidR="005345F1">
        <w:rPr>
          <w:noProof/>
          <w:color w:val="auto"/>
          <w:lang w:val="en-GB"/>
        </w:rPr>
        <w:t>g</w:t>
      </w:r>
      <w:r w:rsidR="00DB3278" w:rsidRPr="00272BF0">
        <w:rPr>
          <w:noProof/>
          <w:color w:val="auto"/>
          <w:lang w:val="en-GB"/>
        </w:rPr>
        <w:t>overnment agreed to adhere to the International Open Data Charter</w:t>
      </w:r>
      <w:r w:rsidR="005345F1">
        <w:rPr>
          <w:noProof/>
          <w:color w:val="auto"/>
          <w:lang w:val="en-GB"/>
        </w:rPr>
        <w:t>,</w:t>
      </w:r>
      <w:r w:rsidR="00DB3278" w:rsidRPr="00272BF0">
        <w:rPr>
          <w:rStyle w:val="EndnoteReference"/>
          <w:noProof/>
          <w:color w:val="auto"/>
          <w:lang w:val="en-GB"/>
        </w:rPr>
        <w:endnoteReference w:id="99"/>
      </w:r>
      <w:r w:rsidR="00DB3278" w:rsidRPr="00272BF0">
        <w:rPr>
          <w:noProof/>
          <w:color w:val="auto"/>
          <w:lang w:val="en-GB"/>
        </w:rPr>
        <w:t xml:space="preserve"> and instructed the E-Governance Agency to develop an action plan to implement the Charter. In November 2016, the </w:t>
      </w:r>
      <w:r w:rsidR="005345F1">
        <w:rPr>
          <w:noProof/>
          <w:color w:val="auto"/>
          <w:lang w:val="en-GB"/>
        </w:rPr>
        <w:t>g</w:t>
      </w:r>
      <w:r w:rsidR="00DB3278" w:rsidRPr="00272BF0">
        <w:rPr>
          <w:noProof/>
          <w:color w:val="auto"/>
          <w:lang w:val="en-GB"/>
        </w:rPr>
        <w:t xml:space="preserve">overnment </w:t>
      </w:r>
      <w:r w:rsidR="00A05DC7">
        <w:rPr>
          <w:noProof/>
          <w:color w:val="auto"/>
          <w:lang w:val="en-GB"/>
        </w:rPr>
        <w:t>assumed</w:t>
      </w:r>
      <w:r w:rsidR="00A05DC7" w:rsidRPr="00272BF0">
        <w:rPr>
          <w:noProof/>
          <w:color w:val="auto"/>
          <w:lang w:val="en-GB"/>
        </w:rPr>
        <w:t xml:space="preserve"> </w:t>
      </w:r>
      <w:r w:rsidR="00DB3278" w:rsidRPr="00272BF0">
        <w:rPr>
          <w:noProof/>
          <w:color w:val="auto"/>
          <w:lang w:val="en-GB"/>
        </w:rPr>
        <w:t>regulations on the Unified State Open Data</w:t>
      </w:r>
      <w:r w:rsidR="00971EF6">
        <w:rPr>
          <w:noProof/>
          <w:color w:val="auto"/>
          <w:lang w:val="en-GB"/>
        </w:rPr>
        <w:t xml:space="preserve"> </w:t>
      </w:r>
      <w:r w:rsidR="00971EF6" w:rsidRPr="00272BF0">
        <w:rPr>
          <w:noProof/>
          <w:color w:val="auto"/>
          <w:lang w:val="en-GB"/>
        </w:rPr>
        <w:t>Web</w:t>
      </w:r>
      <w:r w:rsidR="008D253D">
        <w:rPr>
          <w:noProof/>
          <w:color w:val="auto"/>
          <w:lang w:val="en-GB"/>
        </w:rPr>
        <w:t xml:space="preserve"> </w:t>
      </w:r>
      <w:r w:rsidR="00971EF6" w:rsidRPr="00272BF0">
        <w:rPr>
          <w:noProof/>
          <w:color w:val="auto"/>
          <w:lang w:val="en-GB"/>
        </w:rPr>
        <w:t>Portal</w:t>
      </w:r>
      <w:r w:rsidR="005345F1">
        <w:rPr>
          <w:noProof/>
          <w:color w:val="auto"/>
          <w:lang w:val="en-GB"/>
        </w:rPr>
        <w:t>,</w:t>
      </w:r>
      <w:r w:rsidR="00DB3278" w:rsidRPr="00272BF0">
        <w:rPr>
          <w:rStyle w:val="EndnoteReference"/>
          <w:noProof/>
          <w:color w:val="auto"/>
          <w:lang w:val="en-GB"/>
        </w:rPr>
        <w:endnoteReference w:id="100"/>
      </w:r>
      <w:r w:rsidR="00D34FCA" w:rsidRPr="00272BF0">
        <w:rPr>
          <w:noProof/>
          <w:color w:val="auto"/>
          <w:lang w:val="en-GB"/>
        </w:rPr>
        <w:t xml:space="preserve"> </w:t>
      </w:r>
      <w:r w:rsidR="005345F1">
        <w:rPr>
          <w:noProof/>
          <w:color w:val="auto"/>
          <w:lang w:val="en-GB"/>
        </w:rPr>
        <w:t>and</w:t>
      </w:r>
      <w:r w:rsidR="00A31CEC">
        <w:rPr>
          <w:noProof/>
          <w:color w:val="auto"/>
          <w:lang w:val="en-GB"/>
        </w:rPr>
        <w:t xml:space="preserve"> the Ministry of R</w:t>
      </w:r>
      <w:r w:rsidR="0055450A" w:rsidRPr="00272BF0">
        <w:rPr>
          <w:noProof/>
          <w:color w:val="auto"/>
          <w:lang w:val="en-GB"/>
        </w:rPr>
        <w:t>egional Development adopt</w:t>
      </w:r>
      <w:r w:rsidR="00A05DC7">
        <w:rPr>
          <w:noProof/>
          <w:color w:val="auto"/>
          <w:lang w:val="en-GB"/>
        </w:rPr>
        <w:t>ed</w:t>
      </w:r>
      <w:r w:rsidR="0055450A" w:rsidRPr="00272BF0">
        <w:rPr>
          <w:noProof/>
          <w:color w:val="auto"/>
          <w:lang w:val="en-GB"/>
        </w:rPr>
        <w:t xml:space="preserve"> a Roadmap for Open Data Development in </w:t>
      </w:r>
      <w:r w:rsidR="005345F1">
        <w:rPr>
          <w:noProof/>
          <w:color w:val="auto"/>
          <w:lang w:val="en-GB"/>
        </w:rPr>
        <w:t xml:space="preserve">February </w:t>
      </w:r>
      <w:r w:rsidR="0055450A" w:rsidRPr="00272BF0">
        <w:rPr>
          <w:noProof/>
          <w:color w:val="auto"/>
          <w:lang w:val="en-GB"/>
        </w:rPr>
        <w:t>2016.</w:t>
      </w:r>
      <w:r w:rsidR="0055450A" w:rsidRPr="00272BF0">
        <w:rPr>
          <w:rStyle w:val="EndnoteReference"/>
          <w:noProof/>
          <w:color w:val="auto"/>
          <w:lang w:val="en-GB"/>
        </w:rPr>
        <w:endnoteReference w:id="101"/>
      </w:r>
      <w:r w:rsidR="00272BF0" w:rsidRPr="00272BF0">
        <w:rPr>
          <w:noProof/>
          <w:color w:val="auto"/>
          <w:lang w:val="en-GB"/>
        </w:rPr>
        <w:t xml:space="preserve"> </w:t>
      </w:r>
      <w:r w:rsidR="00D34FCA" w:rsidRPr="00272BF0">
        <w:rPr>
          <w:noProof/>
          <w:color w:val="auto"/>
          <w:lang w:val="en-GB"/>
        </w:rPr>
        <w:t xml:space="preserve">As of December 2016, the </w:t>
      </w:r>
      <w:r w:rsidR="005345F1">
        <w:rPr>
          <w:noProof/>
          <w:color w:val="auto"/>
          <w:lang w:val="en-GB"/>
        </w:rPr>
        <w:t>g</w:t>
      </w:r>
      <w:r w:rsidR="00D34FCA" w:rsidRPr="00272BF0">
        <w:rPr>
          <w:noProof/>
          <w:color w:val="auto"/>
          <w:lang w:val="en-GB"/>
        </w:rPr>
        <w:t>overnment open data web</w:t>
      </w:r>
      <w:r w:rsidR="008D253D">
        <w:rPr>
          <w:noProof/>
          <w:color w:val="auto"/>
          <w:lang w:val="en-GB"/>
        </w:rPr>
        <w:t xml:space="preserve"> </w:t>
      </w:r>
      <w:r w:rsidR="00D34FCA" w:rsidRPr="00272BF0">
        <w:rPr>
          <w:noProof/>
          <w:color w:val="auto"/>
          <w:lang w:val="en-GB"/>
        </w:rPr>
        <w:t>portal (</w:t>
      </w:r>
      <w:hyperlink r:id="rId19" w:history="1">
        <w:r w:rsidR="00D34FCA" w:rsidRPr="00272BF0">
          <w:rPr>
            <w:rStyle w:val="Hyperlink"/>
            <w:noProof/>
            <w:lang w:val="en-GB"/>
          </w:rPr>
          <w:t>http://data.gov.ua)</w:t>
        </w:r>
      </w:hyperlink>
      <w:r w:rsidR="00A31CEC">
        <w:rPr>
          <w:noProof/>
          <w:color w:val="auto"/>
          <w:lang w:val="en-GB"/>
        </w:rPr>
        <w:t xml:space="preserve"> contained more th</w:t>
      </w:r>
      <w:r w:rsidR="00D34FCA" w:rsidRPr="00272BF0">
        <w:rPr>
          <w:noProof/>
          <w:color w:val="auto"/>
          <w:lang w:val="en-GB"/>
        </w:rPr>
        <w:t>an 9</w:t>
      </w:r>
      <w:r w:rsidR="00A31CEC">
        <w:rPr>
          <w:noProof/>
          <w:color w:val="auto"/>
          <w:lang w:val="en-GB"/>
        </w:rPr>
        <w:t>,</w:t>
      </w:r>
      <w:r w:rsidR="00D34FCA" w:rsidRPr="00272BF0">
        <w:rPr>
          <w:noProof/>
          <w:color w:val="auto"/>
          <w:lang w:val="en-GB"/>
        </w:rPr>
        <w:t>700 datasets</w:t>
      </w:r>
      <w:r w:rsidR="00A05DC7">
        <w:rPr>
          <w:noProof/>
          <w:color w:val="auto"/>
          <w:lang w:val="en-GB"/>
        </w:rPr>
        <w:t xml:space="preserve">, </w:t>
      </w:r>
      <w:r w:rsidR="008D253D">
        <w:rPr>
          <w:noProof/>
          <w:color w:val="auto"/>
          <w:lang w:val="en-GB"/>
        </w:rPr>
        <w:t xml:space="preserve">all of </w:t>
      </w:r>
      <w:r w:rsidR="00A05DC7">
        <w:rPr>
          <w:noProof/>
          <w:color w:val="auto"/>
          <w:lang w:val="en-GB"/>
        </w:rPr>
        <w:t>which were</w:t>
      </w:r>
      <w:r w:rsidR="00D34FCA" w:rsidRPr="00272BF0">
        <w:rPr>
          <w:noProof/>
          <w:color w:val="auto"/>
          <w:lang w:val="en-GB"/>
        </w:rPr>
        <w:t xml:space="preserve"> uploaded by </w:t>
      </w:r>
      <w:r w:rsidR="00A05DC7">
        <w:rPr>
          <w:noProof/>
          <w:color w:val="auto"/>
          <w:lang w:val="en-GB"/>
        </w:rPr>
        <w:t>some</w:t>
      </w:r>
      <w:r w:rsidR="00A05DC7" w:rsidRPr="00272BF0">
        <w:rPr>
          <w:noProof/>
          <w:color w:val="auto"/>
          <w:lang w:val="en-GB"/>
        </w:rPr>
        <w:t xml:space="preserve"> </w:t>
      </w:r>
      <w:r w:rsidR="00D34FCA" w:rsidRPr="00272BF0">
        <w:rPr>
          <w:noProof/>
          <w:color w:val="auto"/>
          <w:lang w:val="en-GB"/>
        </w:rPr>
        <w:t>1,000 public authorities that hold information.</w:t>
      </w:r>
    </w:p>
    <w:p w14:paraId="70501DE0" w14:textId="77777777" w:rsidR="00C75B2B" w:rsidRDefault="00C75B2B" w:rsidP="006319F4">
      <w:pPr>
        <w:pStyle w:val="Heading3"/>
      </w:pPr>
      <w:r w:rsidRPr="006319F4">
        <w:t>Did it open government?</w:t>
      </w:r>
    </w:p>
    <w:p w14:paraId="18086261" w14:textId="28542330" w:rsidR="00C2650B" w:rsidRPr="00C2650B" w:rsidRDefault="00C2650B" w:rsidP="00163080">
      <w:pPr>
        <w:spacing w:after="120"/>
      </w:pPr>
      <w:r w:rsidRPr="00163080">
        <w:rPr>
          <w:rFonts w:ascii="Gill Sans" w:hAnsi="Gill Sans" w:cs="Gill Sans"/>
          <w:b/>
          <w:bCs/>
          <w:color w:val="000000" w:themeColor="text1"/>
          <w:sz w:val="22"/>
          <w:szCs w:val="22"/>
        </w:rPr>
        <w:t>Access t</w:t>
      </w:r>
      <w:r>
        <w:rPr>
          <w:rFonts w:ascii="Gill Sans" w:hAnsi="Gill Sans" w:cs="Gill Sans"/>
          <w:b/>
          <w:bCs/>
          <w:color w:val="000000" w:themeColor="text1"/>
          <w:sz w:val="22"/>
          <w:szCs w:val="22"/>
        </w:rPr>
        <w:t xml:space="preserve">o Information: Outstanding </w:t>
      </w:r>
    </w:p>
    <w:p w14:paraId="2BE253AF" w14:textId="3E9A4063" w:rsidR="00272BF0" w:rsidRPr="00272BF0" w:rsidRDefault="00272BF0" w:rsidP="00DE6058">
      <w:pPr>
        <w:spacing w:after="120"/>
        <w:rPr>
          <w:rFonts w:ascii="Gill Sans" w:hAnsi="Gill Sans" w:cs="Gill Sans"/>
          <w:sz w:val="22"/>
          <w:szCs w:val="22"/>
          <w:lang w:val="en-GB"/>
        </w:rPr>
      </w:pPr>
      <w:r w:rsidRPr="00272BF0">
        <w:rPr>
          <w:rFonts w:ascii="Gill Sans" w:hAnsi="Gill Sans" w:cs="Gill Sans"/>
          <w:sz w:val="22"/>
          <w:szCs w:val="22"/>
          <w:lang w:val="en-GB"/>
        </w:rPr>
        <w:t>The commitments aimed to introduce in Ukrainian law</w:t>
      </w:r>
      <w:r w:rsidR="00DE6058">
        <w:rPr>
          <w:rFonts w:ascii="Gill Sans" w:hAnsi="Gill Sans" w:cs="Gill Sans"/>
          <w:sz w:val="22"/>
          <w:szCs w:val="22"/>
          <w:lang w:val="en-GB"/>
        </w:rPr>
        <w:t>,</w:t>
      </w:r>
      <w:r w:rsidRPr="00272BF0">
        <w:rPr>
          <w:rFonts w:ascii="Gill Sans" w:hAnsi="Gill Sans" w:cs="Gill Sans"/>
          <w:sz w:val="22"/>
          <w:szCs w:val="22"/>
          <w:lang w:val="en-GB"/>
        </w:rPr>
        <w:t xml:space="preserve"> </w:t>
      </w:r>
      <w:r w:rsidR="00C41369">
        <w:rPr>
          <w:rFonts w:ascii="Gill Sans" w:hAnsi="Gill Sans" w:cs="Gill Sans"/>
          <w:sz w:val="22"/>
          <w:szCs w:val="22"/>
          <w:lang w:val="en-GB"/>
        </w:rPr>
        <w:t>for the first time</w:t>
      </w:r>
      <w:r w:rsidR="00DE6058">
        <w:rPr>
          <w:rFonts w:ascii="Gill Sans" w:hAnsi="Gill Sans" w:cs="Gill Sans"/>
          <w:sz w:val="22"/>
          <w:szCs w:val="22"/>
          <w:lang w:val="en-GB"/>
        </w:rPr>
        <w:t>,</w:t>
      </w:r>
      <w:r w:rsidR="00C41369">
        <w:rPr>
          <w:rFonts w:ascii="Gill Sans" w:hAnsi="Gill Sans" w:cs="Gill Sans"/>
          <w:sz w:val="22"/>
          <w:szCs w:val="22"/>
          <w:lang w:val="en-GB"/>
        </w:rPr>
        <w:t xml:space="preserve"> </w:t>
      </w:r>
      <w:r w:rsidRPr="00272BF0">
        <w:rPr>
          <w:rFonts w:ascii="Gill Sans" w:hAnsi="Gill Sans" w:cs="Gill Sans"/>
          <w:sz w:val="22"/>
          <w:szCs w:val="22"/>
          <w:lang w:val="en-GB"/>
        </w:rPr>
        <w:t>regulation</w:t>
      </w:r>
      <w:r w:rsidR="00280389">
        <w:rPr>
          <w:rFonts w:ascii="Gill Sans" w:hAnsi="Gill Sans" w:cs="Gill Sans"/>
          <w:sz w:val="22"/>
          <w:szCs w:val="22"/>
          <w:lang w:val="en-GB"/>
        </w:rPr>
        <w:t>s</w:t>
      </w:r>
      <w:r w:rsidRPr="00272BF0">
        <w:rPr>
          <w:rFonts w:ascii="Gill Sans" w:hAnsi="Gill Sans" w:cs="Gill Sans"/>
          <w:sz w:val="22"/>
          <w:szCs w:val="22"/>
          <w:lang w:val="en-GB"/>
        </w:rPr>
        <w:t xml:space="preserve"> </w:t>
      </w:r>
      <w:r w:rsidR="00280389">
        <w:rPr>
          <w:rFonts w:ascii="Gill Sans" w:hAnsi="Gill Sans" w:cs="Gill Sans"/>
          <w:sz w:val="22"/>
          <w:szCs w:val="22"/>
          <w:lang w:val="en-GB"/>
        </w:rPr>
        <w:t xml:space="preserve">on </w:t>
      </w:r>
      <w:r w:rsidRPr="00272BF0">
        <w:rPr>
          <w:rFonts w:ascii="Gill Sans" w:hAnsi="Gill Sans" w:cs="Gill Sans"/>
          <w:sz w:val="22"/>
          <w:szCs w:val="22"/>
          <w:lang w:val="en-GB"/>
        </w:rPr>
        <w:t xml:space="preserve">the reuse of public sector information in open data formats. The law on open data </w:t>
      </w:r>
      <w:r w:rsidR="00DE6058">
        <w:rPr>
          <w:rFonts w:ascii="Gill Sans" w:hAnsi="Gill Sans" w:cs="Gill Sans"/>
          <w:sz w:val="22"/>
          <w:szCs w:val="22"/>
          <w:lang w:val="en-GB"/>
        </w:rPr>
        <w:t>was potentially</w:t>
      </w:r>
      <w:r w:rsidRPr="00272BF0">
        <w:rPr>
          <w:rFonts w:ascii="Gill Sans" w:hAnsi="Gill Sans" w:cs="Gill Sans"/>
          <w:sz w:val="22"/>
          <w:szCs w:val="22"/>
          <w:lang w:val="en-GB"/>
        </w:rPr>
        <w:t xml:space="preserve"> transformative</w:t>
      </w:r>
      <w:r w:rsidR="00DE6058">
        <w:rPr>
          <w:rFonts w:ascii="Gill Sans" w:hAnsi="Gill Sans" w:cs="Gill Sans"/>
          <w:sz w:val="22"/>
          <w:szCs w:val="22"/>
          <w:lang w:val="en-GB"/>
        </w:rPr>
        <w:t xml:space="preserve"> insofar</w:t>
      </w:r>
      <w:r w:rsidRPr="00272BF0">
        <w:rPr>
          <w:rFonts w:ascii="Gill Sans" w:hAnsi="Gill Sans" w:cs="Gill Sans"/>
          <w:sz w:val="22"/>
          <w:szCs w:val="22"/>
          <w:lang w:val="en-GB"/>
        </w:rPr>
        <w:t xml:space="preserve"> as it established the basic legal framework for public access to open datasets</w:t>
      </w:r>
      <w:r w:rsidR="008D253D">
        <w:rPr>
          <w:rFonts w:ascii="Gill Sans" w:hAnsi="Gill Sans" w:cs="Gill Sans"/>
          <w:sz w:val="22"/>
          <w:szCs w:val="22"/>
          <w:lang w:val="en-GB"/>
        </w:rPr>
        <w:t xml:space="preserve"> (i.e., </w:t>
      </w:r>
      <w:r w:rsidRPr="00272BF0">
        <w:rPr>
          <w:rFonts w:ascii="Gill Sans" w:hAnsi="Gill Sans" w:cs="Gill Sans"/>
          <w:sz w:val="22"/>
          <w:szCs w:val="22"/>
          <w:lang w:val="en-GB"/>
        </w:rPr>
        <w:t>information in machine-readable formats</w:t>
      </w:r>
      <w:r w:rsidR="008D253D">
        <w:rPr>
          <w:rFonts w:ascii="Gill Sans" w:hAnsi="Gill Sans" w:cs="Gill Sans"/>
          <w:sz w:val="22"/>
          <w:szCs w:val="22"/>
          <w:lang w:val="en-GB"/>
        </w:rPr>
        <w:t xml:space="preserve">), </w:t>
      </w:r>
      <w:r w:rsidRPr="00272BF0">
        <w:rPr>
          <w:rFonts w:ascii="Gill Sans" w:hAnsi="Gill Sans" w:cs="Gill Sans"/>
          <w:sz w:val="22"/>
          <w:szCs w:val="22"/>
          <w:lang w:val="en-GB"/>
        </w:rPr>
        <w:t xml:space="preserve">and allowed for their free reuse. Regulations providing procedures of open data disclosure also represented a major step in implementing the new law. </w:t>
      </w:r>
    </w:p>
    <w:p w14:paraId="298F7EA3" w14:textId="531931D3" w:rsidR="0098437B" w:rsidRDefault="00272BF0" w:rsidP="00CC5FBD">
      <w:pPr>
        <w:spacing w:after="120"/>
        <w:rPr>
          <w:rFonts w:ascii="Gill Sans" w:hAnsi="Gill Sans" w:cs="Gill Sans"/>
          <w:sz w:val="22"/>
          <w:szCs w:val="22"/>
          <w:lang w:val="en-GB"/>
        </w:rPr>
      </w:pPr>
      <w:r w:rsidRPr="00272BF0">
        <w:rPr>
          <w:rFonts w:ascii="Gill Sans" w:hAnsi="Gill Sans" w:cs="Gill Sans"/>
          <w:sz w:val="22"/>
          <w:szCs w:val="22"/>
          <w:lang w:val="en-GB"/>
        </w:rPr>
        <w:t xml:space="preserve">The law provided for both passive and active access to open data information. Any person can submit a request to obtain certain datasets available from a public agency. </w:t>
      </w:r>
      <w:r w:rsidR="00561217">
        <w:rPr>
          <w:rFonts w:ascii="Gill Sans" w:hAnsi="Gill Sans" w:cs="Gill Sans"/>
          <w:sz w:val="22"/>
          <w:szCs w:val="22"/>
          <w:lang w:val="en-GB"/>
        </w:rPr>
        <w:t>A</w:t>
      </w:r>
      <w:r w:rsidRPr="00272BF0">
        <w:rPr>
          <w:rFonts w:ascii="Gill Sans" w:hAnsi="Gill Sans" w:cs="Gill Sans"/>
          <w:sz w:val="22"/>
          <w:szCs w:val="22"/>
          <w:lang w:val="en-GB"/>
        </w:rPr>
        <w:t>gencies also</w:t>
      </w:r>
      <w:r w:rsidR="00561217">
        <w:rPr>
          <w:rFonts w:ascii="Gill Sans" w:hAnsi="Gill Sans" w:cs="Gill Sans"/>
          <w:sz w:val="22"/>
          <w:szCs w:val="22"/>
          <w:lang w:val="en-GB"/>
        </w:rPr>
        <w:t xml:space="preserve"> </w:t>
      </w:r>
      <w:r w:rsidR="00561217" w:rsidRPr="00272BF0">
        <w:rPr>
          <w:rFonts w:ascii="Gill Sans" w:hAnsi="Gill Sans" w:cs="Gill Sans"/>
          <w:sz w:val="22"/>
          <w:szCs w:val="22"/>
          <w:lang w:val="en-GB"/>
        </w:rPr>
        <w:t>proactively</w:t>
      </w:r>
      <w:r w:rsidRPr="00272BF0">
        <w:rPr>
          <w:rFonts w:ascii="Gill Sans" w:hAnsi="Gill Sans" w:cs="Gill Sans"/>
          <w:sz w:val="22"/>
          <w:szCs w:val="22"/>
          <w:lang w:val="en-GB"/>
        </w:rPr>
        <w:t xml:space="preserve"> </w:t>
      </w:r>
      <w:r w:rsidR="008D253D">
        <w:rPr>
          <w:rFonts w:ascii="Gill Sans" w:hAnsi="Gill Sans" w:cs="Gill Sans"/>
          <w:sz w:val="22"/>
          <w:szCs w:val="22"/>
          <w:lang w:val="en-GB"/>
        </w:rPr>
        <w:t>began</w:t>
      </w:r>
      <w:r w:rsidR="00EC5B1F">
        <w:rPr>
          <w:rFonts w:ascii="Gill Sans" w:hAnsi="Gill Sans" w:cs="Gill Sans"/>
          <w:sz w:val="22"/>
          <w:szCs w:val="22"/>
          <w:lang w:val="en-GB"/>
        </w:rPr>
        <w:t xml:space="preserve"> </w:t>
      </w:r>
      <w:r w:rsidRPr="00272BF0">
        <w:rPr>
          <w:rFonts w:ascii="Gill Sans" w:hAnsi="Gill Sans" w:cs="Gill Sans"/>
          <w:sz w:val="22"/>
          <w:szCs w:val="22"/>
          <w:lang w:val="en-GB"/>
        </w:rPr>
        <w:t>publish</w:t>
      </w:r>
      <w:r w:rsidR="008D253D">
        <w:rPr>
          <w:rFonts w:ascii="Gill Sans" w:hAnsi="Gill Sans" w:cs="Gill Sans"/>
          <w:sz w:val="22"/>
          <w:szCs w:val="22"/>
          <w:lang w:val="en-GB"/>
        </w:rPr>
        <w:t>ing</w:t>
      </w:r>
      <w:r w:rsidRPr="00272BF0">
        <w:rPr>
          <w:rFonts w:ascii="Gill Sans" w:hAnsi="Gill Sans" w:cs="Gill Sans"/>
          <w:sz w:val="22"/>
          <w:szCs w:val="22"/>
          <w:lang w:val="en-GB"/>
        </w:rPr>
        <w:t xml:space="preserve"> information in open data format on their websites</w:t>
      </w:r>
      <w:r w:rsidR="00561217">
        <w:rPr>
          <w:rFonts w:ascii="Gill Sans" w:hAnsi="Gill Sans" w:cs="Gill Sans"/>
          <w:sz w:val="22"/>
          <w:szCs w:val="22"/>
          <w:lang w:val="en-GB"/>
        </w:rPr>
        <w:t>, which</w:t>
      </w:r>
      <w:r w:rsidRPr="00272BF0">
        <w:rPr>
          <w:rFonts w:ascii="Gill Sans" w:hAnsi="Gill Sans" w:cs="Gill Sans"/>
          <w:sz w:val="22"/>
          <w:szCs w:val="22"/>
          <w:lang w:val="en-GB"/>
        </w:rPr>
        <w:t xml:space="preserve"> simultaneously submit</w:t>
      </w:r>
      <w:r w:rsidR="00561217">
        <w:rPr>
          <w:rFonts w:ascii="Gill Sans" w:hAnsi="Gill Sans" w:cs="Gill Sans"/>
          <w:sz w:val="22"/>
          <w:szCs w:val="22"/>
          <w:lang w:val="en-GB"/>
        </w:rPr>
        <w:t>ted it</w:t>
      </w:r>
      <w:r w:rsidRPr="00272BF0">
        <w:rPr>
          <w:rFonts w:ascii="Gill Sans" w:hAnsi="Gill Sans" w:cs="Gill Sans"/>
          <w:sz w:val="22"/>
          <w:szCs w:val="22"/>
          <w:lang w:val="en-GB"/>
        </w:rPr>
        <w:t xml:space="preserve"> to </w:t>
      </w:r>
      <w:r w:rsidR="00561217">
        <w:rPr>
          <w:rFonts w:ascii="Gill Sans" w:hAnsi="Gill Sans" w:cs="Gill Sans"/>
          <w:sz w:val="22"/>
          <w:szCs w:val="22"/>
          <w:lang w:val="en-GB"/>
        </w:rPr>
        <w:t>a</w:t>
      </w:r>
      <w:r w:rsidRPr="00272BF0">
        <w:rPr>
          <w:rFonts w:ascii="Gill Sans" w:hAnsi="Gill Sans" w:cs="Gill Sans"/>
          <w:sz w:val="22"/>
          <w:szCs w:val="22"/>
          <w:lang w:val="en-GB"/>
        </w:rPr>
        <w:t xml:space="preserve"> central depository</w:t>
      </w:r>
      <w:r w:rsidR="00DE6058">
        <w:rPr>
          <w:rFonts w:ascii="Gill Sans" w:hAnsi="Gill Sans" w:cs="Gill Sans"/>
          <w:sz w:val="22"/>
          <w:szCs w:val="22"/>
          <w:lang w:val="en-GB"/>
        </w:rPr>
        <w:t xml:space="preserve"> (i.e., </w:t>
      </w:r>
      <w:r w:rsidRPr="00272BF0">
        <w:rPr>
          <w:rFonts w:ascii="Gill Sans" w:hAnsi="Gill Sans" w:cs="Gill Sans"/>
          <w:sz w:val="22"/>
          <w:szCs w:val="22"/>
          <w:lang w:val="en-GB"/>
        </w:rPr>
        <w:t>the government-operated web portal of open data</w:t>
      </w:r>
      <w:r w:rsidR="00DE6058">
        <w:rPr>
          <w:rFonts w:ascii="Gill Sans" w:hAnsi="Gill Sans" w:cs="Gill Sans"/>
          <w:sz w:val="22"/>
          <w:szCs w:val="22"/>
          <w:lang w:val="en-GB"/>
        </w:rPr>
        <w:t xml:space="preserve">, </w:t>
      </w:r>
      <w:r w:rsidR="00C41369" w:rsidRPr="00C41369">
        <w:rPr>
          <w:rFonts w:ascii="Gill Sans" w:hAnsi="Gill Sans" w:cs="Gill Sans"/>
          <w:sz w:val="22"/>
          <w:szCs w:val="22"/>
          <w:lang w:val="en-GB"/>
        </w:rPr>
        <w:t>http://data.gov.ua/</w:t>
      </w:r>
      <w:r w:rsidR="00C41369">
        <w:rPr>
          <w:rFonts w:ascii="Gill Sans" w:hAnsi="Gill Sans" w:cs="Gill Sans"/>
          <w:sz w:val="22"/>
          <w:szCs w:val="22"/>
          <w:lang w:val="en-GB"/>
        </w:rPr>
        <w:t>)</w:t>
      </w:r>
      <w:r w:rsidRPr="00272BF0">
        <w:rPr>
          <w:rFonts w:ascii="Gill Sans" w:hAnsi="Gill Sans" w:cs="Gill Sans"/>
          <w:sz w:val="22"/>
          <w:szCs w:val="22"/>
          <w:lang w:val="en-GB"/>
        </w:rPr>
        <w:t xml:space="preserve">. </w:t>
      </w:r>
      <w:r w:rsidR="008F7DA7" w:rsidRPr="00272BF0">
        <w:rPr>
          <w:rFonts w:ascii="Gill Sans" w:hAnsi="Gill Sans" w:cs="Gill Sans"/>
          <w:sz w:val="22"/>
          <w:szCs w:val="22"/>
          <w:lang w:val="en-GB"/>
        </w:rPr>
        <w:t>The law introduced important principles for open data reuse</w:t>
      </w:r>
      <w:r w:rsidR="00DE6058">
        <w:rPr>
          <w:rFonts w:ascii="Gill Sans" w:hAnsi="Gill Sans" w:cs="Gill Sans"/>
          <w:sz w:val="22"/>
          <w:szCs w:val="22"/>
          <w:lang w:val="en-GB"/>
        </w:rPr>
        <w:t>. That is, it</w:t>
      </w:r>
      <w:r w:rsidR="008F7DA7" w:rsidRPr="00272BF0">
        <w:rPr>
          <w:rFonts w:ascii="Gill Sans" w:hAnsi="Gill Sans" w:cs="Gill Sans"/>
          <w:sz w:val="22"/>
          <w:szCs w:val="22"/>
          <w:lang w:val="en-GB"/>
        </w:rPr>
        <w:t xml:space="preserve"> allow</w:t>
      </w:r>
      <w:r w:rsidR="00DE6058">
        <w:rPr>
          <w:rFonts w:ascii="Gill Sans" w:hAnsi="Gill Sans" w:cs="Gill Sans"/>
          <w:sz w:val="22"/>
          <w:szCs w:val="22"/>
          <w:lang w:val="en-GB"/>
        </w:rPr>
        <w:t>ed</w:t>
      </w:r>
      <w:r w:rsidR="008F7DA7" w:rsidRPr="00272BF0">
        <w:rPr>
          <w:rFonts w:ascii="Gill Sans" w:hAnsi="Gill Sans" w:cs="Gill Sans"/>
          <w:sz w:val="22"/>
          <w:szCs w:val="22"/>
          <w:lang w:val="en-GB"/>
        </w:rPr>
        <w:t xml:space="preserve"> further use of open datasets free of charge and for any purpose, provided the source of information is </w:t>
      </w:r>
      <w:r w:rsidR="00DE6058">
        <w:rPr>
          <w:rFonts w:ascii="Gill Sans" w:hAnsi="Gill Sans" w:cs="Gill Sans"/>
          <w:sz w:val="22"/>
          <w:szCs w:val="22"/>
          <w:lang w:val="en-GB"/>
        </w:rPr>
        <w:t>cited</w:t>
      </w:r>
      <w:r w:rsidR="008F7DA7" w:rsidRPr="00272BF0">
        <w:rPr>
          <w:rFonts w:ascii="Gill Sans" w:hAnsi="Gill Sans" w:cs="Gill Sans"/>
          <w:sz w:val="22"/>
          <w:szCs w:val="22"/>
          <w:lang w:val="en-GB"/>
        </w:rPr>
        <w:t xml:space="preserve">. Unlike </w:t>
      </w:r>
      <w:r w:rsidR="00561217">
        <w:rPr>
          <w:rFonts w:ascii="Gill Sans" w:hAnsi="Gill Sans" w:cs="Gill Sans"/>
          <w:sz w:val="22"/>
          <w:szCs w:val="22"/>
          <w:lang w:val="en-GB"/>
        </w:rPr>
        <w:t xml:space="preserve">in </w:t>
      </w:r>
      <w:r w:rsidR="008F7DA7" w:rsidRPr="00272BF0">
        <w:rPr>
          <w:rFonts w:ascii="Gill Sans" w:hAnsi="Gill Sans" w:cs="Gill Sans"/>
          <w:sz w:val="22"/>
          <w:szCs w:val="22"/>
          <w:lang w:val="en-GB"/>
        </w:rPr>
        <w:t>many other</w:t>
      </w:r>
      <w:r w:rsidR="00A31CEC">
        <w:rPr>
          <w:rFonts w:ascii="Gill Sans" w:hAnsi="Gill Sans" w:cs="Gill Sans"/>
          <w:sz w:val="22"/>
          <w:szCs w:val="22"/>
          <w:lang w:val="en-GB"/>
        </w:rPr>
        <w:t xml:space="preserve"> countries, Ukrainian law allow</w:t>
      </w:r>
      <w:r w:rsidR="00561217">
        <w:rPr>
          <w:rFonts w:ascii="Gill Sans" w:hAnsi="Gill Sans" w:cs="Gill Sans"/>
          <w:sz w:val="22"/>
          <w:szCs w:val="22"/>
          <w:lang w:val="en-GB"/>
        </w:rPr>
        <w:t>s</w:t>
      </w:r>
      <w:r w:rsidR="008F7DA7" w:rsidRPr="00272BF0">
        <w:rPr>
          <w:rFonts w:ascii="Gill Sans" w:hAnsi="Gill Sans" w:cs="Gill Sans"/>
          <w:sz w:val="22"/>
          <w:szCs w:val="22"/>
          <w:lang w:val="en-GB"/>
        </w:rPr>
        <w:t xml:space="preserve"> free, non-paid commercial use of government-held open data information. </w:t>
      </w:r>
    </w:p>
    <w:p w14:paraId="10F3CC56" w14:textId="1CCEAB2E" w:rsidR="00BA12E0" w:rsidRPr="00280389" w:rsidRDefault="00272BF0" w:rsidP="00C66E24">
      <w:pPr>
        <w:spacing w:after="120"/>
        <w:rPr>
          <w:rFonts w:ascii="Gill Sans" w:hAnsi="Gill Sans" w:cs="Gill Sans"/>
          <w:sz w:val="22"/>
          <w:szCs w:val="22"/>
          <w:lang w:val="uk-UA"/>
        </w:rPr>
      </w:pPr>
      <w:r w:rsidRPr="00272BF0">
        <w:rPr>
          <w:rFonts w:ascii="Gill Sans" w:hAnsi="Gill Sans" w:cs="Gill Sans"/>
          <w:sz w:val="22"/>
          <w:szCs w:val="22"/>
          <w:lang w:val="en-GB"/>
        </w:rPr>
        <w:t xml:space="preserve">The State Agency on E-Governance maintains the </w:t>
      </w:r>
      <w:r w:rsidR="00561217">
        <w:rPr>
          <w:rFonts w:ascii="Gill Sans" w:hAnsi="Gill Sans" w:cs="Gill Sans"/>
          <w:sz w:val="22"/>
          <w:szCs w:val="22"/>
          <w:lang w:val="en-GB"/>
        </w:rPr>
        <w:t xml:space="preserve">central </w:t>
      </w:r>
      <w:r w:rsidRPr="00272BF0">
        <w:rPr>
          <w:rFonts w:ascii="Gill Sans" w:hAnsi="Gill Sans" w:cs="Gill Sans"/>
          <w:sz w:val="22"/>
          <w:szCs w:val="22"/>
          <w:lang w:val="en-GB"/>
        </w:rPr>
        <w:t>open data web portal</w:t>
      </w:r>
      <w:r w:rsidR="00561217">
        <w:rPr>
          <w:rFonts w:ascii="Gill Sans" w:hAnsi="Gill Sans" w:cs="Gill Sans"/>
          <w:sz w:val="22"/>
          <w:szCs w:val="22"/>
          <w:lang w:val="en-GB"/>
        </w:rPr>
        <w:t>.</w:t>
      </w:r>
      <w:r w:rsidR="00280389">
        <w:rPr>
          <w:rStyle w:val="EndnoteReference"/>
          <w:rFonts w:ascii="Gill Sans" w:hAnsi="Gill Sans" w:cs="Gill Sans"/>
          <w:sz w:val="22"/>
          <w:szCs w:val="22"/>
          <w:lang w:val="en-GB"/>
        </w:rPr>
        <w:endnoteReference w:id="102"/>
      </w:r>
      <w:r w:rsidRPr="00272BF0">
        <w:rPr>
          <w:rFonts w:ascii="Gill Sans" w:hAnsi="Gill Sans" w:cs="Gill Sans"/>
          <w:sz w:val="22"/>
          <w:szCs w:val="22"/>
          <w:lang w:val="en-GB"/>
        </w:rPr>
        <w:t xml:space="preserve"> </w:t>
      </w:r>
      <w:r w:rsidR="00561217">
        <w:rPr>
          <w:rFonts w:ascii="Gill Sans" w:hAnsi="Gill Sans" w:cs="Gill Sans"/>
          <w:sz w:val="22"/>
          <w:szCs w:val="22"/>
          <w:lang w:val="en-GB"/>
        </w:rPr>
        <w:t xml:space="preserve">This portal </w:t>
      </w:r>
      <w:r w:rsidR="00A31CEC">
        <w:rPr>
          <w:rFonts w:ascii="Gill Sans" w:hAnsi="Gill Sans" w:cs="Gill Sans"/>
          <w:sz w:val="22"/>
          <w:szCs w:val="22"/>
          <w:lang w:val="en-GB"/>
        </w:rPr>
        <w:t xml:space="preserve">was created </w:t>
      </w:r>
      <w:r w:rsidR="00561217">
        <w:rPr>
          <w:rFonts w:ascii="Gill Sans" w:hAnsi="Gill Sans" w:cs="Gill Sans"/>
          <w:sz w:val="22"/>
          <w:szCs w:val="22"/>
          <w:lang w:val="en-GB"/>
        </w:rPr>
        <w:t>from a</w:t>
      </w:r>
      <w:r w:rsidRPr="00272BF0">
        <w:rPr>
          <w:rFonts w:ascii="Gill Sans" w:hAnsi="Gill Sans" w:cs="Gill Sans"/>
          <w:sz w:val="22"/>
          <w:szCs w:val="22"/>
          <w:lang w:val="en-GB"/>
        </w:rPr>
        <w:t xml:space="preserve"> website developed by civil society actors.</w:t>
      </w:r>
      <w:r w:rsidR="0098437B">
        <w:rPr>
          <w:rFonts w:ascii="Gill Sans" w:hAnsi="Gill Sans" w:cs="Gill Sans"/>
          <w:sz w:val="22"/>
          <w:szCs w:val="22"/>
          <w:lang w:val="en-GB"/>
        </w:rPr>
        <w:t xml:space="preserve"> In addition to the central government</w:t>
      </w:r>
      <w:r w:rsidR="00561217">
        <w:rPr>
          <w:rFonts w:ascii="Gill Sans" w:hAnsi="Gill Sans" w:cs="Gill Sans"/>
          <w:sz w:val="22"/>
          <w:szCs w:val="22"/>
          <w:lang w:val="en-GB"/>
        </w:rPr>
        <w:t>’s</w:t>
      </w:r>
      <w:r w:rsidR="0098437B">
        <w:rPr>
          <w:rFonts w:ascii="Gill Sans" w:hAnsi="Gill Sans" w:cs="Gill Sans"/>
          <w:sz w:val="22"/>
          <w:szCs w:val="22"/>
          <w:lang w:val="en-GB"/>
        </w:rPr>
        <w:t xml:space="preserve"> </w:t>
      </w:r>
      <w:r w:rsidR="0098437B">
        <w:rPr>
          <w:rFonts w:ascii="Gill Sans" w:hAnsi="Gill Sans" w:cs="Gill Sans"/>
          <w:sz w:val="22"/>
          <w:szCs w:val="22"/>
          <w:lang w:val="en-GB"/>
        </w:rPr>
        <w:lastRenderedPageBreak/>
        <w:t>deposit</w:t>
      </w:r>
      <w:r w:rsidR="00561217">
        <w:rPr>
          <w:rFonts w:ascii="Gill Sans" w:hAnsi="Gill Sans" w:cs="Gill Sans"/>
          <w:sz w:val="22"/>
          <w:szCs w:val="22"/>
          <w:lang w:val="en-GB"/>
        </w:rPr>
        <w:t>s</w:t>
      </w:r>
      <w:r w:rsidR="0098437B">
        <w:rPr>
          <w:rFonts w:ascii="Gill Sans" w:hAnsi="Gill Sans" w:cs="Gill Sans"/>
          <w:sz w:val="22"/>
          <w:szCs w:val="22"/>
          <w:lang w:val="en-GB"/>
        </w:rPr>
        <w:t xml:space="preserve"> of open datasets</w:t>
      </w:r>
      <w:r w:rsidR="00A31CEC">
        <w:rPr>
          <w:rFonts w:ascii="Gill Sans" w:hAnsi="Gill Sans" w:cs="Gill Sans"/>
          <w:sz w:val="22"/>
          <w:szCs w:val="22"/>
          <w:lang w:val="en-GB"/>
        </w:rPr>
        <w:t>,</w:t>
      </w:r>
      <w:r w:rsidR="0098437B">
        <w:rPr>
          <w:rFonts w:ascii="Gill Sans" w:hAnsi="Gill Sans" w:cs="Gill Sans"/>
          <w:sz w:val="22"/>
          <w:szCs w:val="22"/>
          <w:lang w:val="en-GB"/>
        </w:rPr>
        <w:t xml:space="preserve"> </w:t>
      </w:r>
      <w:r w:rsidR="00D814EC">
        <w:rPr>
          <w:rFonts w:ascii="Gill Sans" w:hAnsi="Gill Sans" w:cs="Gill Sans"/>
          <w:sz w:val="22"/>
          <w:szCs w:val="22"/>
          <w:lang w:val="en-GB"/>
        </w:rPr>
        <w:t>several</w:t>
      </w:r>
      <w:r w:rsidR="0098437B">
        <w:rPr>
          <w:rFonts w:ascii="Gill Sans" w:hAnsi="Gill Sans" w:cs="Gill Sans"/>
          <w:sz w:val="22"/>
          <w:szCs w:val="22"/>
          <w:lang w:val="en-GB"/>
        </w:rPr>
        <w:t xml:space="preserve"> public authorities have started publishing information they hold in machine-readable formats</w:t>
      </w:r>
      <w:r w:rsidR="00DE6058">
        <w:rPr>
          <w:rFonts w:ascii="Gill Sans" w:hAnsi="Gill Sans" w:cs="Gill Sans"/>
          <w:sz w:val="22"/>
          <w:szCs w:val="22"/>
          <w:lang w:val="en-GB"/>
        </w:rPr>
        <w:t>. For example, Parliament posted material on its</w:t>
      </w:r>
      <w:r w:rsidR="0098437B">
        <w:rPr>
          <w:rFonts w:ascii="Gill Sans" w:hAnsi="Gill Sans" w:cs="Gill Sans"/>
          <w:sz w:val="22"/>
          <w:szCs w:val="22"/>
          <w:lang w:val="en-GB"/>
        </w:rPr>
        <w:t xml:space="preserve"> </w:t>
      </w:r>
      <w:proofErr w:type="spellStart"/>
      <w:r w:rsidR="0098437B">
        <w:rPr>
          <w:rFonts w:ascii="Gill Sans" w:hAnsi="Gill Sans" w:cs="Gill Sans"/>
          <w:sz w:val="22"/>
          <w:szCs w:val="22"/>
          <w:lang w:val="uk-UA"/>
        </w:rPr>
        <w:t>open</w:t>
      </w:r>
      <w:proofErr w:type="spellEnd"/>
      <w:r w:rsidR="0098437B">
        <w:rPr>
          <w:rFonts w:ascii="Gill Sans" w:hAnsi="Gill Sans" w:cs="Gill Sans"/>
          <w:sz w:val="22"/>
          <w:szCs w:val="22"/>
          <w:lang w:val="uk-UA"/>
        </w:rPr>
        <w:t xml:space="preserve"> </w:t>
      </w:r>
      <w:proofErr w:type="spellStart"/>
      <w:r w:rsidR="0098437B">
        <w:rPr>
          <w:rFonts w:ascii="Gill Sans" w:hAnsi="Gill Sans" w:cs="Gill Sans"/>
          <w:sz w:val="22"/>
          <w:szCs w:val="22"/>
          <w:lang w:val="uk-UA"/>
        </w:rPr>
        <w:t>da</w:t>
      </w:r>
      <w:r w:rsidR="00A31CEC">
        <w:rPr>
          <w:rFonts w:ascii="Gill Sans" w:hAnsi="Gill Sans" w:cs="Gill Sans"/>
          <w:sz w:val="22"/>
          <w:szCs w:val="22"/>
          <w:lang w:val="uk-UA"/>
        </w:rPr>
        <w:t>ta</w:t>
      </w:r>
      <w:proofErr w:type="spellEnd"/>
      <w:r w:rsidR="00A31CEC">
        <w:rPr>
          <w:rFonts w:ascii="Gill Sans" w:hAnsi="Gill Sans" w:cs="Gill Sans"/>
          <w:sz w:val="22"/>
          <w:szCs w:val="22"/>
          <w:lang w:val="uk-UA"/>
        </w:rPr>
        <w:t xml:space="preserve"> </w:t>
      </w:r>
      <w:proofErr w:type="spellStart"/>
      <w:r w:rsidR="00A31CEC">
        <w:rPr>
          <w:rFonts w:ascii="Gill Sans" w:hAnsi="Gill Sans" w:cs="Gill Sans"/>
          <w:sz w:val="22"/>
          <w:szCs w:val="22"/>
          <w:lang w:val="uk-UA"/>
        </w:rPr>
        <w:t>web</w:t>
      </w:r>
      <w:proofErr w:type="spellEnd"/>
      <w:r w:rsidR="00561217">
        <w:rPr>
          <w:rFonts w:ascii="Gill Sans" w:hAnsi="Gill Sans" w:cs="Gill Sans"/>
          <w:sz w:val="22"/>
          <w:szCs w:val="22"/>
          <w:lang w:val="uk-UA"/>
        </w:rPr>
        <w:t xml:space="preserve"> </w:t>
      </w:r>
      <w:proofErr w:type="spellStart"/>
      <w:r w:rsidR="00A31CEC">
        <w:rPr>
          <w:rFonts w:ascii="Gill Sans" w:hAnsi="Gill Sans" w:cs="Gill Sans"/>
          <w:sz w:val="22"/>
          <w:szCs w:val="22"/>
          <w:lang w:val="uk-UA"/>
        </w:rPr>
        <w:t>portal</w:t>
      </w:r>
      <w:proofErr w:type="spellEnd"/>
      <w:r w:rsidR="00DE6058">
        <w:rPr>
          <w:rFonts w:ascii="Gill Sans" w:hAnsi="Gill Sans" w:cs="Gill Sans"/>
          <w:sz w:val="22"/>
          <w:szCs w:val="22"/>
          <w:lang w:val="uk-UA"/>
        </w:rPr>
        <w:t xml:space="preserve">, </w:t>
      </w:r>
      <w:r w:rsidR="00B45448">
        <w:rPr>
          <w:rFonts w:ascii="Gill Sans" w:hAnsi="Gill Sans" w:cs="Gill Sans"/>
          <w:sz w:val="22"/>
          <w:szCs w:val="22"/>
          <w:lang w:val="uk-UA"/>
        </w:rPr>
        <w:t>http://opendata.rada.gov.ua</w:t>
      </w:r>
      <w:r w:rsidR="0098437B">
        <w:rPr>
          <w:rFonts w:ascii="Gill Sans" w:hAnsi="Gill Sans" w:cs="Gill Sans"/>
          <w:sz w:val="22"/>
          <w:szCs w:val="22"/>
          <w:lang w:val="uk-UA"/>
        </w:rPr>
        <w:t xml:space="preserve">; </w:t>
      </w:r>
      <w:proofErr w:type="spellStart"/>
      <w:r w:rsidR="00DE6058">
        <w:rPr>
          <w:rFonts w:ascii="Gill Sans" w:hAnsi="Gill Sans" w:cs="Gill Sans"/>
          <w:sz w:val="22"/>
          <w:szCs w:val="22"/>
          <w:lang w:val="uk-UA"/>
        </w:rPr>
        <w:t>the</w:t>
      </w:r>
      <w:proofErr w:type="spellEnd"/>
      <w:r w:rsidR="00DE6058">
        <w:rPr>
          <w:rFonts w:ascii="Gill Sans" w:hAnsi="Gill Sans" w:cs="Gill Sans"/>
          <w:sz w:val="22"/>
          <w:szCs w:val="22"/>
          <w:lang w:val="uk-UA"/>
        </w:rPr>
        <w:t xml:space="preserve"> </w:t>
      </w:r>
      <w:proofErr w:type="spellStart"/>
      <w:r w:rsidR="009C4AC1">
        <w:rPr>
          <w:rFonts w:ascii="Gill Sans" w:hAnsi="Gill Sans" w:cs="Gill Sans"/>
          <w:sz w:val="22"/>
          <w:szCs w:val="22"/>
          <w:lang w:val="uk-UA"/>
        </w:rPr>
        <w:t>Ministry</w:t>
      </w:r>
      <w:proofErr w:type="spellEnd"/>
      <w:r w:rsidR="009C4AC1">
        <w:rPr>
          <w:rFonts w:ascii="Gill Sans" w:hAnsi="Gill Sans" w:cs="Gill Sans"/>
          <w:sz w:val="22"/>
          <w:szCs w:val="22"/>
          <w:lang w:val="uk-UA"/>
        </w:rPr>
        <w:t xml:space="preserve"> </w:t>
      </w:r>
      <w:proofErr w:type="spellStart"/>
      <w:r w:rsidR="009C4AC1">
        <w:rPr>
          <w:rFonts w:ascii="Gill Sans" w:hAnsi="Gill Sans" w:cs="Gill Sans"/>
          <w:sz w:val="22"/>
          <w:szCs w:val="22"/>
          <w:lang w:val="uk-UA"/>
        </w:rPr>
        <w:t>of</w:t>
      </w:r>
      <w:proofErr w:type="spellEnd"/>
      <w:r w:rsidR="009C4AC1">
        <w:rPr>
          <w:rFonts w:ascii="Gill Sans" w:hAnsi="Gill Sans" w:cs="Gill Sans"/>
          <w:sz w:val="22"/>
          <w:szCs w:val="22"/>
          <w:lang w:val="uk-UA"/>
        </w:rPr>
        <w:t xml:space="preserve"> </w:t>
      </w:r>
      <w:proofErr w:type="spellStart"/>
      <w:r w:rsidR="009C4AC1">
        <w:rPr>
          <w:rFonts w:ascii="Gill Sans" w:hAnsi="Gill Sans" w:cs="Gill Sans"/>
          <w:sz w:val="22"/>
          <w:szCs w:val="22"/>
          <w:lang w:val="uk-UA"/>
        </w:rPr>
        <w:t>Justice</w:t>
      </w:r>
      <w:proofErr w:type="spellEnd"/>
      <w:r w:rsidR="009C4AC1">
        <w:rPr>
          <w:rFonts w:ascii="Gill Sans" w:hAnsi="Gill Sans" w:cs="Gill Sans"/>
          <w:sz w:val="22"/>
          <w:szCs w:val="22"/>
          <w:lang w:val="uk-UA"/>
        </w:rPr>
        <w:t xml:space="preserve"> </w:t>
      </w:r>
      <w:proofErr w:type="spellStart"/>
      <w:r w:rsidR="009C4AC1">
        <w:rPr>
          <w:rFonts w:ascii="Gill Sans" w:hAnsi="Gill Sans" w:cs="Gill Sans"/>
          <w:sz w:val="22"/>
          <w:szCs w:val="22"/>
          <w:lang w:val="uk-UA"/>
        </w:rPr>
        <w:t>published</w:t>
      </w:r>
      <w:proofErr w:type="spellEnd"/>
      <w:r w:rsidR="009C4AC1">
        <w:rPr>
          <w:rFonts w:ascii="Gill Sans" w:hAnsi="Gill Sans" w:cs="Gill Sans"/>
          <w:sz w:val="22"/>
          <w:szCs w:val="22"/>
          <w:lang w:val="uk-UA"/>
        </w:rPr>
        <w:t xml:space="preserve"> a </w:t>
      </w:r>
      <w:proofErr w:type="spellStart"/>
      <w:r w:rsidR="009C4AC1">
        <w:rPr>
          <w:rFonts w:ascii="Gill Sans" w:hAnsi="Gill Sans" w:cs="Gill Sans"/>
          <w:sz w:val="22"/>
          <w:szCs w:val="22"/>
          <w:lang w:val="uk-UA"/>
        </w:rPr>
        <w:t>number</w:t>
      </w:r>
      <w:proofErr w:type="spellEnd"/>
      <w:r w:rsidR="009C4AC1">
        <w:rPr>
          <w:rFonts w:ascii="Gill Sans" w:hAnsi="Gill Sans" w:cs="Gill Sans"/>
          <w:sz w:val="22"/>
          <w:szCs w:val="22"/>
          <w:lang w:val="uk-UA"/>
        </w:rPr>
        <w:t xml:space="preserve"> </w:t>
      </w:r>
      <w:proofErr w:type="spellStart"/>
      <w:r w:rsidR="009C4AC1">
        <w:rPr>
          <w:rFonts w:ascii="Gill Sans" w:hAnsi="Gill Sans" w:cs="Gill Sans"/>
          <w:sz w:val="22"/>
          <w:szCs w:val="22"/>
          <w:lang w:val="uk-UA"/>
        </w:rPr>
        <w:t>of</w:t>
      </w:r>
      <w:proofErr w:type="spellEnd"/>
      <w:r w:rsidR="009C4AC1">
        <w:rPr>
          <w:rFonts w:ascii="Gill Sans" w:hAnsi="Gill Sans" w:cs="Gill Sans"/>
          <w:sz w:val="22"/>
          <w:szCs w:val="22"/>
          <w:lang w:val="uk-UA"/>
        </w:rPr>
        <w:t xml:space="preserve"> </w:t>
      </w:r>
      <w:proofErr w:type="spellStart"/>
      <w:r w:rsidR="009C4AC1">
        <w:rPr>
          <w:rFonts w:ascii="Gill Sans" w:hAnsi="Gill Sans" w:cs="Gill Sans"/>
          <w:sz w:val="22"/>
          <w:szCs w:val="22"/>
          <w:lang w:val="uk-UA"/>
        </w:rPr>
        <w:t>public</w:t>
      </w:r>
      <w:proofErr w:type="spellEnd"/>
      <w:r w:rsidR="009C4AC1">
        <w:rPr>
          <w:rFonts w:ascii="Gill Sans" w:hAnsi="Gill Sans" w:cs="Gill Sans"/>
          <w:sz w:val="22"/>
          <w:szCs w:val="22"/>
          <w:lang w:val="uk-UA"/>
        </w:rPr>
        <w:t xml:space="preserve"> </w:t>
      </w:r>
      <w:proofErr w:type="spellStart"/>
      <w:r w:rsidR="009C4AC1">
        <w:rPr>
          <w:rFonts w:ascii="Gill Sans" w:hAnsi="Gill Sans" w:cs="Gill Sans"/>
          <w:sz w:val="22"/>
          <w:szCs w:val="22"/>
          <w:lang w:val="uk-UA"/>
        </w:rPr>
        <w:t>registers</w:t>
      </w:r>
      <w:proofErr w:type="spellEnd"/>
      <w:r w:rsidR="009C4AC1">
        <w:rPr>
          <w:rFonts w:ascii="Gill Sans" w:hAnsi="Gill Sans" w:cs="Gill Sans"/>
          <w:sz w:val="22"/>
          <w:szCs w:val="22"/>
          <w:lang w:val="uk-UA"/>
        </w:rPr>
        <w:t xml:space="preserve"> </w:t>
      </w:r>
      <w:proofErr w:type="spellStart"/>
      <w:r w:rsidR="009C4AC1">
        <w:rPr>
          <w:rFonts w:ascii="Gill Sans" w:hAnsi="Gill Sans" w:cs="Gill Sans"/>
          <w:sz w:val="22"/>
          <w:szCs w:val="22"/>
          <w:lang w:val="uk-UA"/>
        </w:rPr>
        <w:t>it</w:t>
      </w:r>
      <w:proofErr w:type="spellEnd"/>
      <w:r w:rsidR="009C4AC1">
        <w:rPr>
          <w:rFonts w:ascii="Gill Sans" w:hAnsi="Gill Sans" w:cs="Gill Sans"/>
          <w:sz w:val="22"/>
          <w:szCs w:val="22"/>
          <w:lang w:val="uk-UA"/>
        </w:rPr>
        <w:t xml:space="preserve"> </w:t>
      </w:r>
      <w:proofErr w:type="spellStart"/>
      <w:r w:rsidR="009C4AC1">
        <w:rPr>
          <w:rFonts w:ascii="Gill Sans" w:hAnsi="Gill Sans" w:cs="Gill Sans"/>
          <w:sz w:val="22"/>
          <w:szCs w:val="22"/>
          <w:lang w:val="uk-UA"/>
        </w:rPr>
        <w:t>maintains</w:t>
      </w:r>
      <w:proofErr w:type="spellEnd"/>
      <w:r w:rsidR="00DE6058">
        <w:rPr>
          <w:rFonts w:ascii="Gill Sans" w:hAnsi="Gill Sans" w:cs="Gill Sans"/>
          <w:sz w:val="22"/>
          <w:szCs w:val="22"/>
          <w:lang w:val="uk-UA"/>
        </w:rPr>
        <w:t>;</w:t>
      </w:r>
      <w:r w:rsidR="008F7DA7" w:rsidRPr="00163080">
        <w:rPr>
          <w:rFonts w:ascii="Gill Sans" w:hAnsi="Gill Sans" w:cs="Gill Sans"/>
          <w:sz w:val="22"/>
          <w:szCs w:val="22"/>
          <w:vertAlign w:val="superscript"/>
          <w:lang w:val="en-GB"/>
        </w:rPr>
        <w:endnoteReference w:id="103"/>
      </w:r>
      <w:r w:rsidR="00DE6058">
        <w:rPr>
          <w:rFonts w:ascii="Gill Sans" w:hAnsi="Gill Sans" w:cs="Gill Sans"/>
          <w:sz w:val="22"/>
          <w:szCs w:val="22"/>
          <w:lang w:val="en-GB"/>
        </w:rPr>
        <w:t xml:space="preserve"> </w:t>
      </w:r>
      <w:r w:rsidR="004A0263" w:rsidRPr="008F7DA7">
        <w:rPr>
          <w:rFonts w:ascii="Gill Sans" w:hAnsi="Gill Sans" w:cs="Gill Sans"/>
          <w:sz w:val="22"/>
          <w:szCs w:val="22"/>
          <w:lang w:val="en-GB"/>
        </w:rPr>
        <w:t>Tax Administration</w:t>
      </w:r>
      <w:r w:rsidR="00A31CEC">
        <w:rPr>
          <w:rFonts w:ascii="Gill Sans" w:hAnsi="Gill Sans" w:cs="Gill Sans"/>
          <w:sz w:val="22"/>
          <w:szCs w:val="22"/>
          <w:lang w:val="en-GB"/>
        </w:rPr>
        <w:t xml:space="preserve"> </w:t>
      </w:r>
      <w:r w:rsidR="00DE6058">
        <w:rPr>
          <w:rFonts w:ascii="Gill Sans" w:hAnsi="Gill Sans" w:cs="Gill Sans"/>
          <w:sz w:val="22"/>
          <w:szCs w:val="22"/>
          <w:lang w:val="en-GB"/>
        </w:rPr>
        <w:t xml:space="preserve">publicised </w:t>
      </w:r>
      <w:r w:rsidR="00A31CEC">
        <w:rPr>
          <w:rFonts w:ascii="Gill Sans" w:hAnsi="Gill Sans" w:cs="Gill Sans"/>
          <w:sz w:val="22"/>
          <w:szCs w:val="22"/>
          <w:lang w:val="en-GB"/>
        </w:rPr>
        <w:t>various tax</w:t>
      </w:r>
      <w:r w:rsidR="00DE6058">
        <w:rPr>
          <w:rFonts w:ascii="Gill Sans" w:hAnsi="Gill Sans" w:cs="Gill Sans"/>
          <w:sz w:val="22"/>
          <w:szCs w:val="22"/>
          <w:lang w:val="en-GB"/>
        </w:rPr>
        <w:t>-</w:t>
      </w:r>
      <w:r w:rsidR="00A31CEC">
        <w:rPr>
          <w:rFonts w:ascii="Gill Sans" w:hAnsi="Gill Sans" w:cs="Gill Sans"/>
          <w:sz w:val="22"/>
          <w:szCs w:val="22"/>
          <w:lang w:val="en-GB"/>
        </w:rPr>
        <w:t>related datasets</w:t>
      </w:r>
      <w:r w:rsidR="00DE6058">
        <w:rPr>
          <w:rFonts w:ascii="Gill Sans" w:hAnsi="Gill Sans" w:cs="Gill Sans"/>
          <w:sz w:val="22"/>
          <w:szCs w:val="22"/>
          <w:lang w:val="en-GB"/>
        </w:rPr>
        <w:t>;</w:t>
      </w:r>
      <w:r w:rsidR="008F7DA7" w:rsidRPr="008F7DA7">
        <w:rPr>
          <w:rFonts w:ascii="Gill Sans" w:hAnsi="Gill Sans" w:cs="Gill Sans"/>
          <w:sz w:val="22"/>
          <w:szCs w:val="22"/>
          <w:vertAlign w:val="superscript"/>
          <w:lang w:val="en-GB"/>
        </w:rPr>
        <w:endnoteReference w:id="104"/>
      </w:r>
      <w:r w:rsidR="00DC36D9">
        <w:rPr>
          <w:rFonts w:ascii="Gill Sans" w:hAnsi="Gill Sans" w:cs="Gill Sans"/>
          <w:sz w:val="22"/>
          <w:szCs w:val="22"/>
          <w:lang w:val="en-GB"/>
        </w:rPr>
        <w:t xml:space="preserve"> and the</w:t>
      </w:r>
      <w:r w:rsidR="004A0263" w:rsidRPr="008F7DA7">
        <w:rPr>
          <w:rFonts w:ascii="Gill Sans" w:hAnsi="Gill Sans" w:cs="Gill Sans"/>
          <w:sz w:val="22"/>
          <w:szCs w:val="22"/>
          <w:lang w:val="en-GB"/>
        </w:rPr>
        <w:t xml:space="preserve"> </w:t>
      </w:r>
      <w:r w:rsidR="008F7DA7" w:rsidRPr="008F7DA7">
        <w:rPr>
          <w:rFonts w:ascii="Gill Sans" w:hAnsi="Gill Sans" w:cs="Gill Sans"/>
          <w:sz w:val="22"/>
          <w:szCs w:val="22"/>
          <w:lang w:val="en-GB"/>
        </w:rPr>
        <w:t>register of e-declarations of public officials</w:t>
      </w:r>
      <w:r w:rsidR="008F7DA7">
        <w:rPr>
          <w:rStyle w:val="EndnoteReference"/>
          <w:rFonts w:ascii="Gill Sans" w:hAnsi="Gill Sans" w:cs="Gill Sans"/>
          <w:sz w:val="22"/>
          <w:szCs w:val="22"/>
          <w:lang w:val="en-GB"/>
        </w:rPr>
        <w:endnoteReference w:id="105"/>
      </w:r>
      <w:r w:rsidR="00DC36D9">
        <w:rPr>
          <w:rFonts w:ascii="Gill Sans" w:hAnsi="Gill Sans" w:cs="Gill Sans"/>
          <w:sz w:val="22"/>
          <w:szCs w:val="22"/>
          <w:lang w:val="en-GB"/>
        </w:rPr>
        <w:t xml:space="preserve"> and</w:t>
      </w:r>
      <w:r w:rsidR="00A31CEC">
        <w:rPr>
          <w:rFonts w:ascii="Gill Sans" w:hAnsi="Gill Sans" w:cs="Gill Sans"/>
          <w:sz w:val="22"/>
          <w:szCs w:val="22"/>
          <w:lang w:val="en-GB"/>
        </w:rPr>
        <w:t xml:space="preserve"> public finances and their use</w:t>
      </w:r>
      <w:r w:rsidR="00DC36D9">
        <w:rPr>
          <w:rFonts w:ascii="Gill Sans" w:hAnsi="Gill Sans" w:cs="Gill Sans"/>
          <w:sz w:val="22"/>
          <w:szCs w:val="22"/>
          <w:lang w:val="en-GB"/>
        </w:rPr>
        <w:t xml:space="preserve"> (see </w:t>
      </w:r>
      <w:r w:rsidR="00B45448">
        <w:rPr>
          <w:rFonts w:ascii="Gill Sans" w:hAnsi="Gill Sans" w:cs="Gill Sans"/>
          <w:sz w:val="22"/>
          <w:szCs w:val="22"/>
          <w:lang w:val="en-GB"/>
        </w:rPr>
        <w:t>http://spending.gov.ua;</w:t>
      </w:r>
      <w:r w:rsidR="008F7DA7">
        <w:rPr>
          <w:rFonts w:ascii="Gill Sans" w:hAnsi="Gill Sans" w:cs="Gill Sans"/>
          <w:sz w:val="22"/>
          <w:szCs w:val="22"/>
          <w:lang w:val="en-GB"/>
        </w:rPr>
        <w:t xml:space="preserve"> etc.</w:t>
      </w:r>
      <w:r w:rsidR="0098437B">
        <w:rPr>
          <w:rFonts w:ascii="Gill Sans" w:hAnsi="Gill Sans" w:cs="Gill Sans"/>
          <w:sz w:val="22"/>
          <w:szCs w:val="22"/>
          <w:lang w:val="en-GB"/>
        </w:rPr>
        <w:t>)</w:t>
      </w:r>
      <w:r w:rsidR="00DC36D9">
        <w:rPr>
          <w:rFonts w:ascii="Gill Sans" w:hAnsi="Gill Sans" w:cs="Gill Sans"/>
          <w:sz w:val="22"/>
          <w:szCs w:val="22"/>
          <w:lang w:val="en-GB"/>
        </w:rPr>
        <w:t xml:space="preserve"> are available online</w:t>
      </w:r>
      <w:r w:rsidR="008F7DA7">
        <w:rPr>
          <w:rFonts w:ascii="Gill Sans" w:hAnsi="Gill Sans" w:cs="Gill Sans"/>
          <w:sz w:val="22"/>
          <w:szCs w:val="22"/>
          <w:lang w:val="en-GB"/>
        </w:rPr>
        <w:t>.</w:t>
      </w:r>
      <w:r w:rsidR="00785535">
        <w:rPr>
          <w:rFonts w:ascii="Gill Sans" w:hAnsi="Gill Sans" w:cs="Gill Sans"/>
          <w:sz w:val="22"/>
          <w:szCs w:val="22"/>
          <w:lang w:val="en-GB"/>
        </w:rPr>
        <w:t xml:space="preserve"> Civil society organisations</w:t>
      </w:r>
      <w:r w:rsidR="00DC36D9">
        <w:rPr>
          <w:rFonts w:ascii="Gill Sans" w:hAnsi="Gill Sans" w:cs="Gill Sans"/>
          <w:sz w:val="22"/>
          <w:szCs w:val="22"/>
          <w:lang w:val="en-GB"/>
        </w:rPr>
        <w:t xml:space="preserve"> and</w:t>
      </w:r>
      <w:r w:rsidR="00785535">
        <w:rPr>
          <w:rFonts w:ascii="Gill Sans" w:hAnsi="Gill Sans" w:cs="Gill Sans"/>
          <w:sz w:val="22"/>
          <w:szCs w:val="22"/>
          <w:lang w:val="en-GB"/>
        </w:rPr>
        <w:t xml:space="preserve"> government agencies have organised </w:t>
      </w:r>
      <w:r w:rsidR="00D814EC">
        <w:rPr>
          <w:rFonts w:ascii="Gill Sans" w:hAnsi="Gill Sans" w:cs="Gill Sans"/>
          <w:sz w:val="22"/>
          <w:szCs w:val="22"/>
          <w:lang w:val="en-GB"/>
        </w:rPr>
        <w:t>several</w:t>
      </w:r>
      <w:r w:rsidR="00785535">
        <w:rPr>
          <w:rFonts w:ascii="Gill Sans" w:hAnsi="Gill Sans" w:cs="Gill Sans"/>
          <w:sz w:val="22"/>
          <w:szCs w:val="22"/>
          <w:lang w:val="en-GB"/>
        </w:rPr>
        <w:t xml:space="preserve"> public contests (</w:t>
      </w:r>
      <w:r w:rsidR="00D814EC">
        <w:rPr>
          <w:rFonts w:ascii="Gill Sans" w:hAnsi="Gill Sans" w:cs="Gill Sans"/>
          <w:sz w:val="22"/>
          <w:szCs w:val="22"/>
          <w:lang w:val="en-GB"/>
        </w:rPr>
        <w:t>hackathons</w:t>
      </w:r>
      <w:r w:rsidR="00785535">
        <w:rPr>
          <w:rFonts w:ascii="Gill Sans" w:hAnsi="Gill Sans" w:cs="Gill Sans"/>
          <w:sz w:val="22"/>
          <w:szCs w:val="22"/>
          <w:lang w:val="en-GB"/>
        </w:rPr>
        <w:t xml:space="preserve">, etc.) to develop IT tools using available </w:t>
      </w:r>
      <w:r w:rsidR="00DC36D9">
        <w:rPr>
          <w:rFonts w:ascii="Gill Sans" w:hAnsi="Gill Sans" w:cs="Gill Sans"/>
          <w:sz w:val="22"/>
          <w:szCs w:val="22"/>
          <w:lang w:val="en-GB"/>
        </w:rPr>
        <w:t>g</w:t>
      </w:r>
      <w:r w:rsidR="00A31CEC">
        <w:rPr>
          <w:rFonts w:ascii="Gill Sans" w:hAnsi="Gill Sans" w:cs="Gill Sans"/>
          <w:sz w:val="22"/>
          <w:szCs w:val="22"/>
          <w:lang w:val="en-GB"/>
        </w:rPr>
        <w:t xml:space="preserve">overnment </w:t>
      </w:r>
      <w:r w:rsidR="00785535">
        <w:rPr>
          <w:rFonts w:ascii="Gill Sans" w:hAnsi="Gill Sans" w:cs="Gill Sans"/>
          <w:sz w:val="22"/>
          <w:szCs w:val="22"/>
          <w:lang w:val="en-GB"/>
        </w:rPr>
        <w:t>open data (e.g.</w:t>
      </w:r>
      <w:r w:rsidR="00DC36D9">
        <w:rPr>
          <w:rFonts w:ascii="Gill Sans" w:hAnsi="Gill Sans" w:cs="Gill Sans"/>
          <w:sz w:val="22"/>
          <w:szCs w:val="22"/>
          <w:lang w:val="en-GB"/>
        </w:rPr>
        <w:t>,</w:t>
      </w:r>
      <w:r w:rsidR="00785535">
        <w:rPr>
          <w:rFonts w:ascii="Gill Sans" w:hAnsi="Gill Sans" w:cs="Gill Sans"/>
          <w:sz w:val="22"/>
          <w:szCs w:val="22"/>
          <w:lang w:val="en-GB"/>
        </w:rPr>
        <w:t xml:space="preserve"> </w:t>
      </w:r>
      <w:r w:rsidR="00A31CEC">
        <w:rPr>
          <w:rFonts w:ascii="Gill Sans" w:hAnsi="Gill Sans" w:cs="Gill Sans"/>
          <w:sz w:val="22"/>
          <w:szCs w:val="22"/>
          <w:lang w:val="en-GB"/>
        </w:rPr>
        <w:t>http://egap-challenge.in.ua</w:t>
      </w:r>
      <w:r w:rsidR="00785535">
        <w:rPr>
          <w:rFonts w:ascii="Gill Sans" w:hAnsi="Gill Sans" w:cs="Gill Sans"/>
          <w:sz w:val="22"/>
          <w:szCs w:val="22"/>
          <w:lang w:val="en-GB"/>
        </w:rPr>
        <w:t>).</w:t>
      </w:r>
    </w:p>
    <w:p w14:paraId="71DC7B85" w14:textId="77777777" w:rsidR="00C75B2B" w:rsidRPr="00272BF0" w:rsidRDefault="00C75B2B" w:rsidP="00163080">
      <w:pPr>
        <w:pStyle w:val="Heading3"/>
        <w:spacing w:after="120"/>
      </w:pPr>
      <w:r w:rsidRPr="00272BF0">
        <w:t>Carried forward?</w:t>
      </w:r>
    </w:p>
    <w:p w14:paraId="4B5C88CE" w14:textId="5F05714A" w:rsidR="00C75B2B" w:rsidRPr="00272BF0" w:rsidRDefault="00C75B2B" w:rsidP="00272BF0">
      <w:pPr>
        <w:spacing w:after="120"/>
        <w:rPr>
          <w:rFonts w:ascii="Gill Sans" w:hAnsi="Gill Sans" w:cs="Gill Sans"/>
          <w:noProof/>
          <w:sz w:val="22"/>
          <w:szCs w:val="22"/>
          <w:lang w:val="en-GB"/>
        </w:rPr>
      </w:pPr>
      <w:r w:rsidRPr="00272BF0">
        <w:rPr>
          <w:rFonts w:ascii="Gill Sans" w:hAnsi="Gill Sans" w:cs="Gill Sans"/>
          <w:noProof/>
          <w:sz w:val="22"/>
          <w:szCs w:val="22"/>
          <w:lang w:val="en-GB"/>
        </w:rPr>
        <w:t>The commitment</w:t>
      </w:r>
      <w:r w:rsidR="00BA2A38">
        <w:rPr>
          <w:rFonts w:ascii="Gill Sans" w:hAnsi="Gill Sans" w:cs="Gill Sans"/>
          <w:noProof/>
          <w:sz w:val="22"/>
          <w:szCs w:val="22"/>
          <w:lang w:val="en-GB"/>
        </w:rPr>
        <w:t>s</w:t>
      </w:r>
      <w:r w:rsidRPr="00272BF0">
        <w:rPr>
          <w:rFonts w:ascii="Gill Sans" w:hAnsi="Gill Sans" w:cs="Gill Sans"/>
          <w:noProof/>
          <w:sz w:val="22"/>
          <w:szCs w:val="22"/>
          <w:lang w:val="en-GB"/>
        </w:rPr>
        <w:t xml:space="preserve"> </w:t>
      </w:r>
      <w:r w:rsidR="00BA2A38">
        <w:rPr>
          <w:rFonts w:ascii="Gill Sans" w:hAnsi="Gill Sans" w:cs="Gill Sans"/>
          <w:noProof/>
          <w:sz w:val="22"/>
          <w:szCs w:val="22"/>
          <w:lang w:val="en-GB"/>
        </w:rPr>
        <w:t>were completed</w:t>
      </w:r>
      <w:r w:rsidR="00DE6058">
        <w:rPr>
          <w:rFonts w:ascii="Gill Sans" w:hAnsi="Gill Sans" w:cs="Gill Sans"/>
          <w:noProof/>
          <w:sz w:val="22"/>
          <w:szCs w:val="22"/>
          <w:lang w:val="en-GB"/>
        </w:rPr>
        <w:t>,</w:t>
      </w:r>
      <w:r w:rsidR="00BA2A38">
        <w:rPr>
          <w:rFonts w:ascii="Gill Sans" w:hAnsi="Gill Sans" w:cs="Gill Sans"/>
          <w:noProof/>
          <w:sz w:val="22"/>
          <w:szCs w:val="22"/>
          <w:lang w:val="en-GB"/>
        </w:rPr>
        <w:t xml:space="preserve"> and </w:t>
      </w:r>
      <w:r w:rsidR="00DE6058">
        <w:rPr>
          <w:rFonts w:ascii="Gill Sans" w:hAnsi="Gill Sans" w:cs="Gill Sans"/>
          <w:noProof/>
          <w:sz w:val="22"/>
          <w:szCs w:val="22"/>
          <w:lang w:val="en-GB"/>
        </w:rPr>
        <w:t xml:space="preserve">were </w:t>
      </w:r>
      <w:r w:rsidRPr="00272BF0">
        <w:rPr>
          <w:rFonts w:ascii="Gill Sans" w:hAnsi="Gill Sans" w:cs="Gill Sans"/>
          <w:noProof/>
          <w:sz w:val="22"/>
          <w:szCs w:val="22"/>
          <w:lang w:val="en-GB"/>
        </w:rPr>
        <w:t>not carried over to the ne</w:t>
      </w:r>
      <w:r w:rsidR="000678EC">
        <w:rPr>
          <w:rFonts w:ascii="Gill Sans" w:hAnsi="Gill Sans" w:cs="Gill Sans"/>
          <w:noProof/>
          <w:sz w:val="22"/>
          <w:szCs w:val="22"/>
          <w:lang w:val="en-GB"/>
        </w:rPr>
        <w:t>xt</w:t>
      </w:r>
      <w:r w:rsidRPr="00272BF0">
        <w:rPr>
          <w:rFonts w:ascii="Gill Sans" w:hAnsi="Gill Sans" w:cs="Gill Sans"/>
          <w:noProof/>
          <w:sz w:val="22"/>
          <w:szCs w:val="22"/>
          <w:lang w:val="en-GB"/>
        </w:rPr>
        <w:t xml:space="preserve"> action plan. </w:t>
      </w:r>
    </w:p>
    <w:p w14:paraId="720073A9" w14:textId="77777777" w:rsidR="00025289" w:rsidRDefault="00025289" w:rsidP="00C75B2B">
      <w:pPr>
        <w:spacing w:after="120"/>
        <w:rPr>
          <w:rFonts w:ascii="Gill Sans" w:hAnsi="Gill Sans" w:cs="Gill Sans"/>
          <w:noProof/>
          <w:sz w:val="22"/>
          <w:szCs w:val="22"/>
          <w:lang w:val="en-GB"/>
        </w:rPr>
        <w:sectPr w:rsidR="00025289" w:rsidSect="00F561B7">
          <w:endnotePr>
            <w:numFmt w:val="decimal"/>
            <w:numRestart w:val="eachSect"/>
          </w:endnotePr>
          <w:pgSz w:w="12240" w:h="15840"/>
          <w:pgMar w:top="1440" w:right="1800" w:bottom="1440" w:left="1800" w:header="720" w:footer="720" w:gutter="0"/>
          <w:cols w:space="720"/>
          <w:docGrid w:linePitch="360"/>
        </w:sectPr>
      </w:pPr>
    </w:p>
    <w:p w14:paraId="7EA02B20" w14:textId="3F89B58A" w:rsidR="00A74A04" w:rsidRPr="00A74A04" w:rsidRDefault="00A74A04" w:rsidP="00A74A04">
      <w:pPr>
        <w:pStyle w:val="Heading2"/>
        <w:spacing w:before="0" w:after="120"/>
        <w:rPr>
          <w:rFonts w:eastAsiaTheme="minorEastAsia"/>
          <w:bCs w:val="0"/>
          <w:color w:val="222222"/>
          <w:sz w:val="22"/>
          <w:szCs w:val="22"/>
          <w:lang w:val="en-GB"/>
        </w:rPr>
      </w:pPr>
      <w:bookmarkStart w:id="11" w:name="_Toc437543882"/>
      <w:r w:rsidRPr="00A74A04">
        <w:rPr>
          <w:rFonts w:eastAsiaTheme="minorEastAsia"/>
          <w:bCs w:val="0"/>
          <w:color w:val="222222"/>
          <w:sz w:val="22"/>
          <w:szCs w:val="22"/>
          <w:lang w:val="en-GB"/>
        </w:rPr>
        <w:lastRenderedPageBreak/>
        <w:t>21. E-democracy roadmap</w:t>
      </w:r>
      <w:bookmarkEnd w:id="11"/>
    </w:p>
    <w:p w14:paraId="1E348D6E" w14:textId="7EF34562" w:rsidR="00A74A04" w:rsidRPr="00A74A04" w:rsidRDefault="005B3A16" w:rsidP="00A74A04">
      <w:pPr>
        <w:spacing w:after="120"/>
        <w:rPr>
          <w:rFonts w:ascii="Gill Sans" w:hAnsi="Gill Sans" w:cs="Gill Sans"/>
          <w:i/>
          <w:noProof/>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A31CEC">
        <w:rPr>
          <w:rFonts w:ascii="Gill Sans" w:hAnsi="Gill Sans" w:cs="Gill Sans"/>
          <w:i/>
          <w:noProof/>
          <w:sz w:val="22"/>
          <w:szCs w:val="22"/>
          <w:lang w:val="en-GB"/>
        </w:rPr>
        <w:t>2</w:t>
      </w:r>
      <w:r w:rsidR="00A74A04" w:rsidRPr="00A74A04">
        <w:rPr>
          <w:rFonts w:ascii="Gill Sans" w:hAnsi="Gill Sans" w:cs="Gill Sans"/>
          <w:i/>
          <w:noProof/>
          <w:sz w:val="22"/>
          <w:szCs w:val="22"/>
          <w:lang w:val="en-GB"/>
        </w:rPr>
        <w:t>1. Preparing the Roadmap for Development of Electronic Democracy</w:t>
      </w:r>
      <w:r w:rsidR="00561217">
        <w:rPr>
          <w:rFonts w:ascii="Gill Sans" w:hAnsi="Gill Sans" w:cs="Gill Sans"/>
          <w:i/>
          <w:noProof/>
          <w:sz w:val="22"/>
          <w:szCs w:val="22"/>
          <w:lang w:val="en-GB"/>
        </w:rPr>
        <w:t>.</w:t>
      </w:r>
    </w:p>
    <w:p w14:paraId="612273F9" w14:textId="57840EA7" w:rsidR="00A74A04" w:rsidRPr="00A74A04" w:rsidRDefault="00A74A04" w:rsidP="00A74A04">
      <w:pPr>
        <w:spacing w:after="120"/>
        <w:rPr>
          <w:rFonts w:ascii="Gill Sans" w:hAnsi="Gill Sans" w:cs="Gill Sans"/>
          <w:i/>
          <w:noProof/>
          <w:sz w:val="22"/>
          <w:szCs w:val="22"/>
          <w:lang w:val="en-GB"/>
        </w:rPr>
      </w:pPr>
      <w:r w:rsidRPr="00A74A04">
        <w:rPr>
          <w:rFonts w:ascii="Gill Sans" w:hAnsi="Gill Sans" w:cs="Gill Sans"/>
          <w:i/>
          <w:noProof/>
          <w:sz w:val="22"/>
          <w:szCs w:val="22"/>
          <w:lang w:val="en-GB"/>
        </w:rPr>
        <w:t xml:space="preserve">Expected result: </w:t>
      </w:r>
      <w:r w:rsidRPr="00A74A04">
        <w:rPr>
          <w:rFonts w:ascii="Gill Sans" w:hAnsi="Gill Sans" w:cs="Gill Sans"/>
          <w:i/>
          <w:sz w:val="22"/>
          <w:szCs w:val="22"/>
          <w:lang w:val="en-GB"/>
        </w:rPr>
        <w:t>proposals developed for identifying the ways of realising the potential of e-democracy instruments as means to ensure the possibility of citizens’ impact upon state decision-making and supervision over authorities</w:t>
      </w:r>
      <w:r w:rsidR="00697460">
        <w:rPr>
          <w:rFonts w:ascii="Gill Sans" w:hAnsi="Gill Sans" w:cs="Gill Sans"/>
          <w:i/>
          <w:sz w:val="22"/>
          <w:szCs w:val="22"/>
          <w:lang w:val="en-GB"/>
        </w:rPr>
        <w:t>.</w:t>
      </w:r>
    </w:p>
    <w:p w14:paraId="4477267C" w14:textId="532FE895" w:rsidR="00A31CEC" w:rsidRPr="00A74A04" w:rsidRDefault="00A31CEC" w:rsidP="00A31CEC">
      <w:pPr>
        <w:pStyle w:val="Heading2"/>
        <w:spacing w:before="0" w:after="120"/>
        <w:rPr>
          <w:rFonts w:eastAsiaTheme="minorEastAsia"/>
          <w:bCs w:val="0"/>
          <w:color w:val="222222"/>
          <w:sz w:val="22"/>
          <w:szCs w:val="22"/>
          <w:lang w:val="en-GB"/>
        </w:rPr>
      </w:pPr>
      <w:bookmarkStart w:id="12" w:name="_Toc437543883"/>
      <w:r w:rsidRPr="00A74A04">
        <w:rPr>
          <w:rFonts w:eastAsiaTheme="minorEastAsia"/>
          <w:bCs w:val="0"/>
          <w:color w:val="222222"/>
          <w:sz w:val="22"/>
          <w:szCs w:val="22"/>
          <w:lang w:val="en-GB"/>
        </w:rPr>
        <w:t>23. E-petitions</w:t>
      </w:r>
      <w:bookmarkEnd w:id="12"/>
    </w:p>
    <w:p w14:paraId="01C80E73" w14:textId="0032F59D" w:rsidR="00A74A04" w:rsidRPr="00A74A04" w:rsidRDefault="005B3A16" w:rsidP="00A74A04">
      <w:pPr>
        <w:spacing w:after="120"/>
        <w:rPr>
          <w:rFonts w:ascii="Gill Sans" w:hAnsi="Gill Sans" w:cs="Gill Sans"/>
          <w:i/>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A74A04" w:rsidRPr="00A74A04">
        <w:rPr>
          <w:rFonts w:ascii="Gill Sans" w:hAnsi="Gill Sans" w:cs="Gill Sans"/>
          <w:i/>
          <w:noProof/>
          <w:sz w:val="22"/>
          <w:szCs w:val="22"/>
          <w:lang w:val="en-GB"/>
        </w:rPr>
        <w:t>23. Preparing and submitting to the Cabinet of Ministers of Ukraine in due course a draft resolution on the approval of the Procedure for Processing of Citizens’ Electronic Petitions</w:t>
      </w:r>
      <w:r w:rsidR="00697460">
        <w:rPr>
          <w:rFonts w:ascii="Gill Sans" w:hAnsi="Gill Sans" w:cs="Gill Sans"/>
          <w:i/>
          <w:noProof/>
          <w:sz w:val="22"/>
          <w:szCs w:val="22"/>
          <w:lang w:val="en-GB"/>
        </w:rPr>
        <w:t>.</w:t>
      </w:r>
    </w:p>
    <w:p w14:paraId="72DEEFF8" w14:textId="3E052C73" w:rsidR="00A74A04" w:rsidRPr="00A74A04" w:rsidRDefault="00A74A04" w:rsidP="00A74A04">
      <w:pPr>
        <w:spacing w:after="120"/>
        <w:rPr>
          <w:rFonts w:ascii="Gill Sans" w:hAnsi="Gill Sans" w:cs="Gill Sans"/>
          <w:i/>
          <w:sz w:val="22"/>
          <w:szCs w:val="22"/>
          <w:lang w:val="en-GB"/>
        </w:rPr>
      </w:pPr>
      <w:r w:rsidRPr="00A74A04">
        <w:rPr>
          <w:rFonts w:ascii="Gill Sans" w:hAnsi="Gill Sans" w:cs="Gill Sans"/>
          <w:i/>
          <w:noProof/>
          <w:sz w:val="22"/>
          <w:szCs w:val="22"/>
          <w:lang w:val="en-GB"/>
        </w:rPr>
        <w:t xml:space="preserve">Expected result: </w:t>
      </w:r>
      <w:r w:rsidRPr="00A74A04">
        <w:rPr>
          <w:rFonts w:ascii="Gill Sans" w:hAnsi="Gill Sans" w:cs="Gill Sans"/>
          <w:i/>
          <w:sz w:val="22"/>
          <w:szCs w:val="22"/>
          <w:lang w:val="en-GB"/>
        </w:rPr>
        <w:t>relevant resolution adopted by the Cabinet of Ministers of Ukraine</w:t>
      </w:r>
      <w:r w:rsidR="00697460">
        <w:rPr>
          <w:rFonts w:ascii="Gill Sans" w:hAnsi="Gill Sans" w:cs="Gill Sans"/>
          <w:i/>
          <w:sz w:val="22"/>
          <w:szCs w:val="22"/>
          <w:lang w:val="en-GB"/>
        </w:rPr>
        <w:t>.</w:t>
      </w:r>
    </w:p>
    <w:p w14:paraId="6DA90503" w14:textId="4A3307BC" w:rsidR="00A74A04" w:rsidRPr="00A74A04" w:rsidRDefault="00A74A04" w:rsidP="00CC5FBD">
      <w:pPr>
        <w:spacing w:after="120"/>
        <w:rPr>
          <w:rFonts w:ascii="Gill Sans" w:hAnsi="Gill Sans" w:cs="Gill Sans"/>
          <w:sz w:val="22"/>
          <w:szCs w:val="22"/>
          <w:lang w:val="en-GB"/>
        </w:rPr>
      </w:pPr>
      <w:r w:rsidRPr="00A74A04">
        <w:rPr>
          <w:rFonts w:ascii="Gill Sans" w:hAnsi="Gill Sans" w:cs="Gill Sans"/>
          <w:b/>
          <w:sz w:val="22"/>
          <w:szCs w:val="22"/>
          <w:lang w:val="en-GB"/>
        </w:rPr>
        <w:t>Editorial Note:</w:t>
      </w:r>
      <w:r w:rsidRPr="00A74A04">
        <w:rPr>
          <w:rFonts w:ascii="Gill Sans" w:hAnsi="Gill Sans" w:cs="Gill Sans"/>
          <w:sz w:val="22"/>
          <w:szCs w:val="22"/>
          <w:lang w:val="en-GB"/>
        </w:rPr>
        <w:t xml:space="preserve"> These two commitments were combined </w:t>
      </w:r>
      <w:r w:rsidR="00697460">
        <w:rPr>
          <w:rFonts w:ascii="Gill Sans" w:hAnsi="Gill Sans" w:cs="Gill Sans"/>
          <w:sz w:val="22"/>
          <w:szCs w:val="22"/>
          <w:lang w:val="en-GB"/>
        </w:rPr>
        <w:t>as</w:t>
      </w:r>
      <w:r w:rsidR="00697460" w:rsidRPr="00A74A04">
        <w:rPr>
          <w:rFonts w:ascii="Gill Sans" w:hAnsi="Gill Sans" w:cs="Gill Sans"/>
          <w:sz w:val="22"/>
          <w:szCs w:val="22"/>
          <w:lang w:val="en-GB"/>
        </w:rPr>
        <w:t xml:space="preserve"> </w:t>
      </w:r>
      <w:r w:rsidRPr="00A74A04">
        <w:rPr>
          <w:rFonts w:ascii="Gill Sans" w:hAnsi="Gill Sans" w:cs="Gill Sans"/>
          <w:sz w:val="22"/>
          <w:szCs w:val="22"/>
          <w:lang w:val="en-GB"/>
        </w:rPr>
        <w:t xml:space="preserve">they </w:t>
      </w:r>
      <w:r w:rsidR="00561217">
        <w:rPr>
          <w:rFonts w:ascii="Gill Sans" w:hAnsi="Gill Sans" w:cs="Gill Sans"/>
          <w:sz w:val="22"/>
          <w:szCs w:val="22"/>
          <w:lang w:val="en-GB"/>
        </w:rPr>
        <w:t>involve</w:t>
      </w:r>
      <w:r w:rsidR="00561217" w:rsidRPr="00A74A04">
        <w:rPr>
          <w:rFonts w:ascii="Gill Sans" w:hAnsi="Gill Sans" w:cs="Gill Sans"/>
          <w:sz w:val="22"/>
          <w:szCs w:val="22"/>
          <w:lang w:val="en-GB"/>
        </w:rPr>
        <w:t xml:space="preserve"> </w:t>
      </w:r>
      <w:r w:rsidRPr="00A74A04">
        <w:rPr>
          <w:rFonts w:ascii="Gill Sans" w:hAnsi="Gill Sans" w:cs="Gill Sans"/>
          <w:sz w:val="22"/>
          <w:szCs w:val="22"/>
          <w:lang w:val="en-GB"/>
        </w:rPr>
        <w:t>interrelated activities.</w:t>
      </w:r>
    </w:p>
    <w:p w14:paraId="0832480B" w14:textId="3D698384" w:rsidR="00A74A04" w:rsidRPr="00A74A04" w:rsidRDefault="00A74A04" w:rsidP="00A74A04">
      <w:pPr>
        <w:spacing w:after="120"/>
        <w:rPr>
          <w:rFonts w:ascii="Gill Sans" w:hAnsi="Gill Sans" w:cs="Gill Sans"/>
          <w:sz w:val="22"/>
          <w:szCs w:val="22"/>
          <w:lang w:val="en-GB"/>
        </w:rPr>
      </w:pPr>
      <w:r w:rsidRPr="00A74A04">
        <w:rPr>
          <w:rFonts w:ascii="Gill Sans" w:hAnsi="Gill Sans" w:cs="Gill Sans"/>
          <w:sz w:val="22"/>
          <w:szCs w:val="22"/>
          <w:lang w:val="en-GB"/>
        </w:rPr>
        <w:t>Lead institution</w:t>
      </w:r>
      <w:r w:rsidR="00697460">
        <w:rPr>
          <w:rFonts w:ascii="Gill Sans" w:hAnsi="Gill Sans" w:cs="Gill Sans"/>
          <w:sz w:val="22"/>
          <w:szCs w:val="22"/>
          <w:lang w:val="en-GB"/>
        </w:rPr>
        <w:t>(s)</w:t>
      </w:r>
      <w:r w:rsidRPr="00A74A04">
        <w:rPr>
          <w:rFonts w:ascii="Gill Sans" w:hAnsi="Gill Sans" w:cs="Gill Sans"/>
          <w:sz w:val="22"/>
          <w:szCs w:val="22"/>
          <w:lang w:val="en-GB"/>
        </w:rPr>
        <w:t xml:space="preserve">: State Agency for E-Governance </w:t>
      </w:r>
    </w:p>
    <w:p w14:paraId="0C027C88" w14:textId="6F8C5532" w:rsidR="00A74A04" w:rsidRPr="00A74A04" w:rsidRDefault="00A74A04" w:rsidP="00A74A04">
      <w:pPr>
        <w:spacing w:after="120"/>
        <w:rPr>
          <w:rFonts w:ascii="Gill Sans" w:hAnsi="Gill Sans" w:cs="Gill Sans"/>
          <w:sz w:val="22"/>
          <w:szCs w:val="22"/>
          <w:lang w:val="en-GB"/>
        </w:rPr>
      </w:pPr>
      <w:r w:rsidRPr="00A74A04">
        <w:rPr>
          <w:rFonts w:ascii="Gill Sans" w:hAnsi="Gill Sans" w:cs="Gill Sans"/>
          <w:sz w:val="22"/>
          <w:szCs w:val="22"/>
          <w:lang w:val="en-GB"/>
        </w:rPr>
        <w:t>Supporting institution</w:t>
      </w:r>
      <w:r w:rsidR="00697460">
        <w:rPr>
          <w:rFonts w:ascii="Gill Sans" w:hAnsi="Gill Sans" w:cs="Gill Sans"/>
          <w:sz w:val="22"/>
          <w:szCs w:val="22"/>
          <w:lang w:val="en-GB"/>
        </w:rPr>
        <w:t>(</w:t>
      </w:r>
      <w:r w:rsidRPr="00A74A04">
        <w:rPr>
          <w:rFonts w:ascii="Gill Sans" w:hAnsi="Gill Sans" w:cs="Gill Sans"/>
          <w:sz w:val="22"/>
          <w:szCs w:val="22"/>
          <w:lang w:val="en-GB"/>
        </w:rPr>
        <w:t>s</w:t>
      </w:r>
      <w:r w:rsidR="00697460">
        <w:rPr>
          <w:rFonts w:ascii="Gill Sans" w:hAnsi="Gill Sans" w:cs="Gill Sans"/>
          <w:sz w:val="22"/>
          <w:szCs w:val="22"/>
          <w:lang w:val="en-GB"/>
        </w:rPr>
        <w:t>)</w:t>
      </w:r>
      <w:r w:rsidRPr="00A74A04">
        <w:rPr>
          <w:rFonts w:ascii="Gill Sans" w:hAnsi="Gill Sans" w:cs="Gill Sans"/>
          <w:sz w:val="22"/>
          <w:szCs w:val="22"/>
          <w:lang w:val="en-GB"/>
        </w:rPr>
        <w:t xml:space="preserve">: </w:t>
      </w:r>
      <w:r w:rsidRPr="00A74A04">
        <w:rPr>
          <w:rFonts w:ascii="Gill Sans" w:hAnsi="Gill Sans" w:cs="Gill Sans"/>
          <w:noProof/>
          <w:sz w:val="22"/>
          <w:szCs w:val="22"/>
          <w:lang w:val="en-GB"/>
        </w:rPr>
        <w:t>Ministry of Regional Development, Ministry of Justice, National Centre for E-Governance of the State Company Derzhinformresurs, NGO Transparency International-Ukraine, International Renaissance Foundation, the United Nations Development Programme (UNDP), Association of Local Self-Government Bodies "Cities of E-Governance," NGO "Podil Agency for Regional Development," other non-specified NGOs and international organisations (commitment 21); Ministry of Regional Development, Ministry of Justice, Administration of the State Service for Special Communications and Information Protection, UNDP, other non-specified NGOs and international organisations (</w:t>
      </w:r>
      <w:r w:rsidR="00AE68C1">
        <w:rPr>
          <w:rFonts w:ascii="Gill Sans" w:hAnsi="Gill Sans" w:cs="Gill Sans"/>
          <w:noProof/>
          <w:sz w:val="22"/>
          <w:szCs w:val="22"/>
          <w:lang w:val="en-GB"/>
        </w:rPr>
        <w:t>C</w:t>
      </w:r>
      <w:r w:rsidRPr="00A74A04">
        <w:rPr>
          <w:rFonts w:ascii="Gill Sans" w:hAnsi="Gill Sans" w:cs="Gill Sans"/>
          <w:noProof/>
          <w:sz w:val="22"/>
          <w:szCs w:val="22"/>
          <w:lang w:val="en-GB"/>
        </w:rPr>
        <w:t>ommitment 23)</w:t>
      </w:r>
    </w:p>
    <w:p w14:paraId="5670192A" w14:textId="3563D10C" w:rsidR="00A74A04" w:rsidRPr="00A74A04" w:rsidRDefault="00A74A04" w:rsidP="00A74A04">
      <w:pPr>
        <w:spacing w:after="120"/>
        <w:rPr>
          <w:rFonts w:ascii="Gill Sans" w:hAnsi="Gill Sans" w:cs="Gill Sans"/>
          <w:sz w:val="22"/>
          <w:szCs w:val="22"/>
          <w:lang w:val="en-GB"/>
        </w:rPr>
      </w:pPr>
      <w:r w:rsidRPr="00A74A04">
        <w:rPr>
          <w:rFonts w:ascii="Gill Sans" w:hAnsi="Gill Sans" w:cs="Gill Sans"/>
          <w:sz w:val="22"/>
          <w:szCs w:val="22"/>
          <w:lang w:val="en-GB"/>
        </w:rPr>
        <w:t xml:space="preserve">Start </w:t>
      </w:r>
      <w:r w:rsidR="00697460">
        <w:rPr>
          <w:rFonts w:ascii="Gill Sans" w:hAnsi="Gill Sans" w:cs="Gill Sans"/>
          <w:sz w:val="22"/>
          <w:szCs w:val="22"/>
          <w:lang w:val="en-GB"/>
        </w:rPr>
        <w:t>D</w:t>
      </w:r>
      <w:r w:rsidRPr="00A74A04">
        <w:rPr>
          <w:rFonts w:ascii="Gill Sans" w:hAnsi="Gill Sans" w:cs="Gill Sans"/>
          <w:sz w:val="22"/>
          <w:szCs w:val="22"/>
          <w:lang w:val="en-GB"/>
        </w:rPr>
        <w:t xml:space="preserve">ate: Not specified </w:t>
      </w:r>
      <w:r w:rsidRPr="00A74A04">
        <w:rPr>
          <w:rFonts w:ascii="Gill Sans" w:hAnsi="Gill Sans" w:cs="Gill Sans"/>
          <w:sz w:val="22"/>
          <w:szCs w:val="22"/>
          <w:lang w:val="en-GB"/>
        </w:rPr>
        <w:tab/>
      </w:r>
      <w:r w:rsidRPr="00A74A04">
        <w:rPr>
          <w:rFonts w:ascii="Gill Sans" w:hAnsi="Gill Sans" w:cs="Gill Sans"/>
          <w:sz w:val="22"/>
          <w:szCs w:val="22"/>
          <w:lang w:val="en-GB"/>
        </w:rPr>
        <w:tab/>
      </w:r>
      <w:r w:rsidRPr="00A74A04">
        <w:rPr>
          <w:rFonts w:ascii="Gill Sans" w:hAnsi="Gill Sans" w:cs="Gill Sans"/>
          <w:sz w:val="22"/>
          <w:szCs w:val="22"/>
          <w:lang w:val="en-GB"/>
        </w:rPr>
        <w:tab/>
      </w:r>
      <w:r w:rsidRPr="00A74A04">
        <w:rPr>
          <w:rFonts w:ascii="Gill Sans" w:hAnsi="Gill Sans" w:cs="Gill Sans"/>
          <w:sz w:val="22"/>
          <w:szCs w:val="22"/>
          <w:lang w:val="en-GB"/>
        </w:rPr>
        <w:tab/>
      </w:r>
      <w:r w:rsidRPr="00A74A04">
        <w:rPr>
          <w:rFonts w:ascii="Gill Sans" w:hAnsi="Gill Sans" w:cs="Gill Sans"/>
          <w:sz w:val="22"/>
          <w:szCs w:val="22"/>
          <w:lang w:val="en-GB"/>
        </w:rPr>
        <w:tab/>
        <w:t xml:space="preserve">End </w:t>
      </w:r>
      <w:r w:rsidR="00697460">
        <w:rPr>
          <w:rFonts w:ascii="Gill Sans" w:hAnsi="Gill Sans" w:cs="Gill Sans"/>
          <w:sz w:val="22"/>
          <w:szCs w:val="22"/>
          <w:lang w:val="en-GB"/>
        </w:rPr>
        <w:t>D</w:t>
      </w:r>
      <w:r w:rsidRPr="00A74A04">
        <w:rPr>
          <w:rFonts w:ascii="Gill Sans" w:hAnsi="Gill Sans" w:cs="Gill Sans"/>
          <w:sz w:val="22"/>
          <w:szCs w:val="22"/>
          <w:lang w:val="en-GB"/>
        </w:rPr>
        <w:t>ate: 30 June 2015</w:t>
      </w:r>
    </w:p>
    <w:p w14:paraId="5C590269" w14:textId="77777777" w:rsidR="00677BA9" w:rsidRDefault="00677BA9" w:rsidP="006319F4">
      <w:pPr>
        <w:pStyle w:val="Heading3"/>
      </w:pPr>
    </w:p>
    <w:tbl>
      <w:tblPr>
        <w:tblW w:w="1020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475"/>
        <w:gridCol w:w="418"/>
        <w:gridCol w:w="343"/>
        <w:gridCol w:w="343"/>
        <w:gridCol w:w="365"/>
        <w:gridCol w:w="8"/>
        <w:gridCol w:w="337"/>
        <w:gridCol w:w="396"/>
        <w:gridCol w:w="778"/>
        <w:gridCol w:w="364"/>
        <w:gridCol w:w="341"/>
        <w:gridCol w:w="417"/>
        <w:gridCol w:w="318"/>
        <w:gridCol w:w="491"/>
        <w:gridCol w:w="516"/>
        <w:gridCol w:w="516"/>
        <w:gridCol w:w="405"/>
        <w:gridCol w:w="341"/>
        <w:gridCol w:w="385"/>
        <w:gridCol w:w="341"/>
        <w:gridCol w:w="436"/>
        <w:gridCol w:w="423"/>
      </w:tblGrid>
      <w:tr w:rsidR="00D85EFE" w:rsidRPr="009651AC" w14:paraId="18E2FBA3" w14:textId="77777777" w:rsidTr="00B223BA">
        <w:trPr>
          <w:trHeight w:val="405"/>
        </w:trPr>
        <w:tc>
          <w:tcPr>
            <w:tcW w:w="1451" w:type="dxa"/>
            <w:vMerge w:val="restart"/>
            <w:tcBorders>
              <w:top w:val="single" w:sz="18" w:space="0" w:color="FFFFFF"/>
              <w:left w:val="single" w:sz="4" w:space="0" w:color="FFFFFF"/>
              <w:right w:val="single" w:sz="18" w:space="0" w:color="FFFFFF"/>
            </w:tcBorders>
            <w:shd w:val="clear" w:color="auto" w:fill="000000"/>
          </w:tcPr>
          <w:p w14:paraId="5DBE63B0" w14:textId="77777777" w:rsidR="00677BA9" w:rsidRPr="009651AC" w:rsidRDefault="00677BA9" w:rsidP="0084354E">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tc>
        <w:tc>
          <w:tcPr>
            <w:tcW w:w="1579" w:type="dxa"/>
            <w:gridSpan w:val="4"/>
            <w:vMerge w:val="restart"/>
            <w:tcBorders>
              <w:top w:val="single" w:sz="18" w:space="0" w:color="FFFFFF"/>
              <w:left w:val="single" w:sz="18" w:space="0" w:color="FFFFFF"/>
              <w:right w:val="single" w:sz="18" w:space="0" w:color="FFFFFF"/>
            </w:tcBorders>
            <w:shd w:val="clear" w:color="auto" w:fill="D6E3BC"/>
          </w:tcPr>
          <w:p w14:paraId="6C034634"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Specificity</w:t>
            </w:r>
          </w:p>
        </w:tc>
        <w:tc>
          <w:tcPr>
            <w:tcW w:w="1884" w:type="dxa"/>
            <w:gridSpan w:val="5"/>
            <w:vMerge w:val="restart"/>
            <w:tcBorders>
              <w:top w:val="single" w:sz="18" w:space="0" w:color="FFFFFF"/>
              <w:left w:val="single" w:sz="18" w:space="0" w:color="FFFFFF"/>
              <w:right w:val="single" w:sz="18" w:space="0" w:color="FFFFFF"/>
            </w:tcBorders>
            <w:shd w:val="clear" w:color="auto" w:fill="FBD4B4"/>
          </w:tcPr>
          <w:p w14:paraId="54A92EFA" w14:textId="23C8CA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 xml:space="preserve">OGP </w:t>
            </w:r>
            <w:r w:rsidR="00697460">
              <w:rPr>
                <w:rFonts w:ascii="Gill Sans" w:hAnsi="Gill Sans" w:cs="Gill Sans"/>
                <w:sz w:val="22"/>
                <w:szCs w:val="22"/>
                <w:lang w:val="en-GB"/>
              </w:rPr>
              <w:t>V</w:t>
            </w:r>
            <w:r w:rsidRPr="009651AC">
              <w:rPr>
                <w:rFonts w:ascii="Gill Sans" w:hAnsi="Gill Sans" w:cs="Gill Sans"/>
                <w:sz w:val="22"/>
                <w:szCs w:val="22"/>
                <w:lang w:val="en-GB"/>
              </w:rPr>
              <w:t xml:space="preserve">alue </w:t>
            </w:r>
            <w:r w:rsidR="00697460">
              <w:rPr>
                <w:rFonts w:ascii="Gill Sans" w:hAnsi="Gill Sans" w:cs="Gill Sans"/>
                <w:sz w:val="22"/>
                <w:szCs w:val="22"/>
                <w:lang w:val="en-GB"/>
              </w:rPr>
              <w:t>R</w:t>
            </w:r>
            <w:r w:rsidRPr="009651AC">
              <w:rPr>
                <w:rFonts w:ascii="Gill Sans" w:hAnsi="Gill Sans" w:cs="Gill Sans"/>
                <w:sz w:val="22"/>
                <w:szCs w:val="22"/>
                <w:lang w:val="en-GB"/>
              </w:rPr>
              <w:t>elevance</w:t>
            </w:r>
            <w:r w:rsidR="00697460">
              <w:rPr>
                <w:rFonts w:ascii="Gill Sans" w:hAnsi="Gill Sans" w:cs="Gill Sans"/>
                <w:sz w:val="22"/>
                <w:szCs w:val="22"/>
                <w:lang w:val="en-GB"/>
              </w:rPr>
              <w:t xml:space="preserve"> (as written)</w:t>
            </w:r>
          </w:p>
        </w:tc>
        <w:tc>
          <w:tcPr>
            <w:tcW w:w="1440" w:type="dxa"/>
            <w:gridSpan w:val="4"/>
            <w:vMerge w:val="restart"/>
            <w:tcBorders>
              <w:top w:val="single" w:sz="18" w:space="0" w:color="FFFFFF"/>
              <w:left w:val="single" w:sz="18" w:space="0" w:color="FFFFFF"/>
              <w:right w:val="single" w:sz="18" w:space="0" w:color="FFFFFF"/>
            </w:tcBorders>
            <w:shd w:val="clear" w:color="auto" w:fill="CCC0D9"/>
          </w:tcPr>
          <w:p w14:paraId="797C10D9"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1007" w:type="dxa"/>
            <w:gridSpan w:val="2"/>
            <w:vMerge w:val="restart"/>
            <w:tcBorders>
              <w:top w:val="single" w:sz="18" w:space="0" w:color="FFFFFF"/>
              <w:left w:val="single" w:sz="18" w:space="0" w:color="FFFFFF"/>
              <w:right w:val="single" w:sz="2" w:space="0" w:color="FFFFFF"/>
            </w:tcBorders>
            <w:shd w:val="clear" w:color="auto" w:fill="B8CCE4"/>
          </w:tcPr>
          <w:p w14:paraId="279F417B" w14:textId="7D62575C" w:rsidR="00677BA9" w:rsidRPr="009651AC" w:rsidRDefault="00677BA9" w:rsidP="0084354E">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sidR="00697460">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2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239FCDD9"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Midterm</w:t>
            </w:r>
          </w:p>
        </w:tc>
        <w:tc>
          <w:tcPr>
            <w:tcW w:w="1926" w:type="dxa"/>
            <w:gridSpan w:val="5"/>
            <w:vMerge w:val="restart"/>
            <w:tcBorders>
              <w:top w:val="single" w:sz="18" w:space="0" w:color="FFFFFF"/>
              <w:left w:val="single" w:sz="18" w:space="0" w:color="FFFFFF"/>
              <w:right w:val="single" w:sz="18" w:space="0" w:color="FFFFFF"/>
            </w:tcBorders>
            <w:shd w:val="clear" w:color="auto" w:fill="D99594"/>
          </w:tcPr>
          <w:p w14:paraId="44A8C038" w14:textId="0C964CA2"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 xml:space="preserve">Did it </w:t>
            </w:r>
            <w:r w:rsidR="00697460">
              <w:rPr>
                <w:rFonts w:ascii="Gill Sans" w:hAnsi="Gill Sans" w:cs="Gill Sans"/>
                <w:sz w:val="22"/>
                <w:szCs w:val="22"/>
                <w:lang w:val="en-GB"/>
              </w:rPr>
              <w:t>O</w:t>
            </w:r>
            <w:r w:rsidRPr="009651AC">
              <w:rPr>
                <w:rFonts w:ascii="Gill Sans" w:hAnsi="Gill Sans" w:cs="Gill Sans"/>
                <w:sz w:val="22"/>
                <w:szCs w:val="22"/>
                <w:lang w:val="en-GB"/>
              </w:rPr>
              <w:t xml:space="preserve">pen </w:t>
            </w:r>
            <w:r w:rsidR="00697460">
              <w:rPr>
                <w:rFonts w:ascii="Gill Sans" w:hAnsi="Gill Sans" w:cs="Gill Sans"/>
                <w:sz w:val="22"/>
                <w:szCs w:val="22"/>
                <w:lang w:val="en-GB"/>
              </w:rPr>
              <w:t>G</w:t>
            </w:r>
            <w:r w:rsidRPr="009651AC">
              <w:rPr>
                <w:rFonts w:ascii="Gill Sans" w:hAnsi="Gill Sans" w:cs="Gill Sans"/>
                <w:sz w:val="22"/>
                <w:szCs w:val="22"/>
                <w:lang w:val="en-GB"/>
              </w:rPr>
              <w:t>overnment?</w:t>
            </w:r>
          </w:p>
        </w:tc>
      </w:tr>
      <w:tr w:rsidR="00D85EFE" w:rsidRPr="009651AC" w14:paraId="7191130F" w14:textId="77777777" w:rsidTr="00B223BA">
        <w:trPr>
          <w:trHeight w:val="373"/>
        </w:trPr>
        <w:tc>
          <w:tcPr>
            <w:tcW w:w="1451" w:type="dxa"/>
            <w:vMerge/>
            <w:tcBorders>
              <w:left w:val="single" w:sz="4" w:space="0" w:color="FFFFFF"/>
              <w:right w:val="single" w:sz="18" w:space="0" w:color="FFFFFF"/>
            </w:tcBorders>
            <w:shd w:val="clear" w:color="auto" w:fill="000000"/>
          </w:tcPr>
          <w:p w14:paraId="56DC6724" w14:textId="77777777" w:rsidR="00677BA9" w:rsidRPr="009651AC" w:rsidRDefault="00677BA9" w:rsidP="0084354E">
            <w:pPr>
              <w:rPr>
                <w:rFonts w:ascii="Gill Sans" w:hAnsi="Gill Sans" w:cs="Gill Sans"/>
                <w:color w:val="FFFFFF" w:themeColor="background1"/>
                <w:sz w:val="22"/>
                <w:szCs w:val="22"/>
                <w:lang w:val="en-GB"/>
              </w:rPr>
            </w:pPr>
          </w:p>
        </w:tc>
        <w:tc>
          <w:tcPr>
            <w:tcW w:w="1579" w:type="dxa"/>
            <w:gridSpan w:val="4"/>
            <w:vMerge/>
            <w:tcBorders>
              <w:left w:val="single" w:sz="18" w:space="0" w:color="FFFFFF"/>
              <w:bottom w:val="single" w:sz="18" w:space="0" w:color="FFFFFF"/>
              <w:right w:val="single" w:sz="18" w:space="0" w:color="FFFFFF"/>
            </w:tcBorders>
            <w:shd w:val="clear" w:color="auto" w:fill="D6E3BC"/>
          </w:tcPr>
          <w:p w14:paraId="606DC27E" w14:textId="77777777" w:rsidR="00677BA9" w:rsidRPr="009651AC" w:rsidRDefault="00677BA9" w:rsidP="0084354E">
            <w:pPr>
              <w:rPr>
                <w:rFonts w:ascii="Gill Sans" w:hAnsi="Gill Sans" w:cs="Gill Sans"/>
                <w:sz w:val="22"/>
                <w:szCs w:val="22"/>
                <w:lang w:val="en-GB"/>
              </w:rPr>
            </w:pPr>
          </w:p>
        </w:tc>
        <w:tc>
          <w:tcPr>
            <w:tcW w:w="1884" w:type="dxa"/>
            <w:gridSpan w:val="5"/>
            <w:vMerge/>
            <w:tcBorders>
              <w:left w:val="single" w:sz="18" w:space="0" w:color="FFFFFF"/>
              <w:bottom w:val="single" w:sz="18" w:space="0" w:color="FFFFFF"/>
              <w:right w:val="single" w:sz="18" w:space="0" w:color="FFFFFF"/>
            </w:tcBorders>
            <w:shd w:val="clear" w:color="auto" w:fill="FBD4B4"/>
          </w:tcPr>
          <w:p w14:paraId="6DCB439F" w14:textId="77777777" w:rsidR="00677BA9" w:rsidRPr="009651AC" w:rsidRDefault="00677BA9" w:rsidP="0084354E">
            <w:pPr>
              <w:rPr>
                <w:rFonts w:ascii="Gill Sans" w:hAnsi="Gill Sans" w:cs="Gill Sans"/>
                <w:sz w:val="22"/>
                <w:szCs w:val="22"/>
                <w:lang w:val="en-GB"/>
              </w:rPr>
            </w:pPr>
          </w:p>
        </w:tc>
        <w:tc>
          <w:tcPr>
            <w:tcW w:w="1440" w:type="dxa"/>
            <w:gridSpan w:val="4"/>
            <w:vMerge/>
            <w:tcBorders>
              <w:left w:val="single" w:sz="18" w:space="0" w:color="FFFFFF"/>
              <w:bottom w:val="single" w:sz="18" w:space="0" w:color="FFFFFF"/>
              <w:right w:val="single" w:sz="18" w:space="0" w:color="FFFFFF"/>
            </w:tcBorders>
            <w:shd w:val="clear" w:color="auto" w:fill="CCC0D9"/>
          </w:tcPr>
          <w:p w14:paraId="29EE2186" w14:textId="77777777" w:rsidR="00677BA9" w:rsidRPr="009651AC" w:rsidRDefault="00677BA9" w:rsidP="0084354E">
            <w:pPr>
              <w:rPr>
                <w:rFonts w:ascii="Gill Sans" w:hAnsi="Gill Sans" w:cs="Gill Sans"/>
                <w:sz w:val="22"/>
                <w:szCs w:val="22"/>
                <w:lang w:val="en-GB"/>
              </w:rPr>
            </w:pPr>
          </w:p>
        </w:tc>
        <w:tc>
          <w:tcPr>
            <w:tcW w:w="1007" w:type="dxa"/>
            <w:gridSpan w:val="2"/>
            <w:vMerge/>
            <w:tcBorders>
              <w:left w:val="single" w:sz="18" w:space="0" w:color="FFFFFF"/>
              <w:bottom w:val="single" w:sz="18" w:space="0" w:color="FFFFFF"/>
              <w:right w:val="single" w:sz="2" w:space="0" w:color="FFFFFF"/>
            </w:tcBorders>
            <w:shd w:val="clear" w:color="auto" w:fill="B8CCE4"/>
          </w:tcPr>
          <w:p w14:paraId="2F88E7C6" w14:textId="77777777" w:rsidR="00677BA9" w:rsidRPr="009651AC" w:rsidRDefault="00677BA9" w:rsidP="0084354E">
            <w:pPr>
              <w:rPr>
                <w:rFonts w:ascii="Gill Sans" w:hAnsi="Gill Sans" w:cs="Gill Sans"/>
                <w:sz w:val="22"/>
                <w:szCs w:val="22"/>
                <w:lang w:val="en-GB"/>
              </w:rPr>
            </w:pPr>
          </w:p>
        </w:tc>
        <w:tc>
          <w:tcPr>
            <w:tcW w:w="92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32306575" w14:textId="7D068D2F"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 xml:space="preserve">End of </w:t>
            </w:r>
            <w:r w:rsidR="00697460">
              <w:rPr>
                <w:rFonts w:ascii="Gill Sans" w:hAnsi="Gill Sans" w:cs="Gill Sans"/>
                <w:sz w:val="22"/>
                <w:szCs w:val="22"/>
                <w:lang w:val="en-GB"/>
              </w:rPr>
              <w:t>T</w:t>
            </w:r>
            <w:r w:rsidRPr="009651AC">
              <w:rPr>
                <w:rFonts w:ascii="Gill Sans" w:hAnsi="Gill Sans" w:cs="Gill Sans"/>
                <w:sz w:val="22"/>
                <w:szCs w:val="22"/>
                <w:lang w:val="en-GB"/>
              </w:rPr>
              <w:t>erm</w:t>
            </w:r>
          </w:p>
        </w:tc>
        <w:tc>
          <w:tcPr>
            <w:tcW w:w="1926" w:type="dxa"/>
            <w:gridSpan w:val="5"/>
            <w:vMerge/>
            <w:tcBorders>
              <w:left w:val="single" w:sz="18" w:space="0" w:color="FFFFFF"/>
              <w:bottom w:val="single" w:sz="18" w:space="0" w:color="FFFFFF"/>
              <w:right w:val="single" w:sz="18" w:space="0" w:color="FFFFFF"/>
            </w:tcBorders>
            <w:shd w:val="clear" w:color="auto" w:fill="D99594"/>
          </w:tcPr>
          <w:p w14:paraId="05B0FAC5" w14:textId="77777777" w:rsidR="00677BA9" w:rsidRPr="009651AC" w:rsidRDefault="00677BA9" w:rsidP="0084354E">
            <w:pPr>
              <w:rPr>
                <w:rFonts w:ascii="Gill Sans" w:hAnsi="Gill Sans" w:cs="Gill Sans"/>
                <w:sz w:val="22"/>
                <w:szCs w:val="22"/>
                <w:lang w:val="en-GB"/>
              </w:rPr>
            </w:pPr>
          </w:p>
        </w:tc>
      </w:tr>
      <w:tr w:rsidR="00D85EFE" w:rsidRPr="009651AC" w14:paraId="2C03D906" w14:textId="77777777" w:rsidTr="00B223BA">
        <w:trPr>
          <w:cantSplit/>
          <w:trHeight w:val="2336"/>
        </w:trPr>
        <w:tc>
          <w:tcPr>
            <w:tcW w:w="1451" w:type="dxa"/>
            <w:vMerge/>
            <w:tcBorders>
              <w:left w:val="single" w:sz="4" w:space="0" w:color="FFFFFF"/>
              <w:bottom w:val="single" w:sz="18" w:space="0" w:color="FFFFFF"/>
              <w:right w:val="single" w:sz="18" w:space="0" w:color="FFFFFF"/>
            </w:tcBorders>
            <w:shd w:val="clear" w:color="auto" w:fill="000000"/>
          </w:tcPr>
          <w:p w14:paraId="659508D4" w14:textId="77777777" w:rsidR="00677BA9" w:rsidRPr="009651AC" w:rsidRDefault="00677BA9" w:rsidP="0084354E">
            <w:pPr>
              <w:rPr>
                <w:rFonts w:ascii="Gill Sans" w:hAnsi="Gill Sans" w:cs="Gill Sans"/>
                <w:color w:val="FFFFFF" w:themeColor="background1"/>
                <w:sz w:val="22"/>
                <w:szCs w:val="22"/>
                <w:lang w:val="en-GB"/>
              </w:rPr>
            </w:pPr>
          </w:p>
        </w:tc>
        <w:tc>
          <w:tcPr>
            <w:tcW w:w="475"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218099E3"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None</w:t>
            </w:r>
          </w:p>
        </w:tc>
        <w:tc>
          <w:tcPr>
            <w:tcW w:w="418"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5D9C7061"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Low</w:t>
            </w:r>
          </w:p>
        </w:tc>
        <w:tc>
          <w:tcPr>
            <w:tcW w:w="343"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55902E0D"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Medium</w:t>
            </w:r>
          </w:p>
        </w:tc>
        <w:tc>
          <w:tcPr>
            <w:tcW w:w="343"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17438962"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High</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14FA3438"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45" w:type="dxa"/>
            <w:gridSpan w:val="2"/>
            <w:tcBorders>
              <w:top w:val="single" w:sz="18" w:space="0" w:color="FFFFFF"/>
              <w:left w:val="single" w:sz="2" w:space="0" w:color="FFFFFF"/>
              <w:bottom w:val="single" w:sz="18" w:space="0" w:color="FFFFFF"/>
              <w:right w:val="single" w:sz="2" w:space="0" w:color="FFFFFF"/>
            </w:tcBorders>
            <w:shd w:val="clear" w:color="auto" w:fill="FBD4B4"/>
            <w:textDirection w:val="btLr"/>
          </w:tcPr>
          <w:p w14:paraId="5DB203FC"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96"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114FCADE"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778"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3D2664D7"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64"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04F75CCF"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None</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20B0165E"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Minor</w:t>
            </w:r>
          </w:p>
        </w:tc>
        <w:tc>
          <w:tcPr>
            <w:tcW w:w="417"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1E56CB39"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Moderate</w:t>
            </w:r>
          </w:p>
        </w:tc>
        <w:tc>
          <w:tcPr>
            <w:tcW w:w="318"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02BF1098"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491"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76EC443F" w14:textId="7F6335F6"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 xml:space="preserve">Not </w:t>
            </w:r>
            <w:r w:rsidR="00561217">
              <w:rPr>
                <w:rFonts w:ascii="Gill Sans" w:hAnsi="Gill Sans" w:cs="Gill Sans"/>
                <w:sz w:val="22"/>
                <w:szCs w:val="22"/>
                <w:lang w:val="en-GB"/>
              </w:rPr>
              <w:t>S</w:t>
            </w:r>
            <w:r w:rsidRPr="009651AC">
              <w:rPr>
                <w:rFonts w:ascii="Gill Sans" w:hAnsi="Gill Sans" w:cs="Gill Sans"/>
                <w:sz w:val="22"/>
                <w:szCs w:val="22"/>
                <w:lang w:val="en-GB"/>
              </w:rPr>
              <w:t>tarted</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61032B75"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Limited</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51A7211D"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Substantial</w:t>
            </w:r>
          </w:p>
        </w:tc>
        <w:tc>
          <w:tcPr>
            <w:tcW w:w="405"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13AE27CF"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Completed</w:t>
            </w:r>
          </w:p>
        </w:tc>
        <w:tc>
          <w:tcPr>
            <w:tcW w:w="34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1B39F49C" w14:textId="0C913A4C"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Worsen</w:t>
            </w:r>
            <w:r w:rsidR="006023C3">
              <w:rPr>
                <w:rFonts w:ascii="Gill Sans" w:hAnsi="Gill Sans" w:cs="Gill Sans"/>
                <w:sz w:val="22"/>
                <w:szCs w:val="22"/>
                <w:lang w:val="en-GB"/>
              </w:rPr>
              <w:t>ed</w:t>
            </w:r>
          </w:p>
        </w:tc>
        <w:tc>
          <w:tcPr>
            <w:tcW w:w="385"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969D84B" w14:textId="319D9294"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 xml:space="preserve">Did </w:t>
            </w:r>
            <w:r w:rsidR="00561217">
              <w:rPr>
                <w:rFonts w:ascii="Gill Sans" w:hAnsi="Gill Sans" w:cs="Gill Sans"/>
                <w:sz w:val="22"/>
                <w:szCs w:val="22"/>
                <w:lang w:val="en-GB"/>
              </w:rPr>
              <w:t>N</w:t>
            </w:r>
            <w:r w:rsidRPr="009651AC">
              <w:rPr>
                <w:rFonts w:ascii="Gill Sans" w:hAnsi="Gill Sans" w:cs="Gill Sans"/>
                <w:sz w:val="22"/>
                <w:szCs w:val="22"/>
                <w:lang w:val="en-GB"/>
              </w:rPr>
              <w:t xml:space="preserve">ot </w:t>
            </w:r>
            <w:r w:rsidR="00561217">
              <w:rPr>
                <w:rFonts w:ascii="Gill Sans" w:hAnsi="Gill Sans" w:cs="Gill Sans"/>
                <w:sz w:val="22"/>
                <w:szCs w:val="22"/>
                <w:lang w:val="en-GB"/>
              </w:rPr>
              <w:t>C</w:t>
            </w:r>
            <w:r w:rsidRPr="009651AC">
              <w:rPr>
                <w:rFonts w:ascii="Gill Sans" w:hAnsi="Gill Sans" w:cs="Gill Sans"/>
                <w:sz w:val="22"/>
                <w:szCs w:val="22"/>
                <w:lang w:val="en-GB"/>
              </w:rPr>
              <w:t>hange</w:t>
            </w:r>
          </w:p>
        </w:tc>
        <w:tc>
          <w:tcPr>
            <w:tcW w:w="34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C9B8400"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Marginal</w:t>
            </w:r>
          </w:p>
        </w:tc>
        <w:tc>
          <w:tcPr>
            <w:tcW w:w="43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523A3CE"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23"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034FEB55" w14:textId="77777777" w:rsidR="00677BA9" w:rsidRPr="009651AC" w:rsidRDefault="00677BA9" w:rsidP="0084354E">
            <w:pPr>
              <w:rPr>
                <w:rFonts w:ascii="Gill Sans" w:hAnsi="Gill Sans" w:cs="Gill Sans"/>
                <w:sz w:val="22"/>
                <w:szCs w:val="22"/>
                <w:lang w:val="en-GB"/>
              </w:rPr>
            </w:pPr>
            <w:r w:rsidRPr="009651AC">
              <w:rPr>
                <w:rFonts w:ascii="Gill Sans" w:hAnsi="Gill Sans" w:cs="Gill Sans"/>
                <w:sz w:val="22"/>
                <w:szCs w:val="22"/>
                <w:lang w:val="en-GB"/>
              </w:rPr>
              <w:t>Outstanding</w:t>
            </w:r>
          </w:p>
        </w:tc>
      </w:tr>
      <w:tr w:rsidR="00D85EFE" w:rsidRPr="009651AC" w14:paraId="622F2C21" w14:textId="77777777" w:rsidTr="00B223BA">
        <w:trPr>
          <w:trHeight w:val="340"/>
        </w:trPr>
        <w:tc>
          <w:tcPr>
            <w:tcW w:w="1451" w:type="dxa"/>
            <w:vMerge w:val="restart"/>
            <w:tcBorders>
              <w:top w:val="single" w:sz="18" w:space="0" w:color="FFFFFF"/>
              <w:left w:val="single" w:sz="4" w:space="0" w:color="FFFFFF"/>
            </w:tcBorders>
            <w:shd w:val="clear" w:color="auto" w:fill="000000"/>
          </w:tcPr>
          <w:p w14:paraId="2AA9770D" w14:textId="3FA2C4EF" w:rsidR="0044773A" w:rsidRPr="00163080" w:rsidRDefault="0044773A" w:rsidP="0044773A">
            <w:pPr>
              <w:pStyle w:val="Heading2"/>
              <w:spacing w:before="0" w:after="120"/>
              <w:rPr>
                <w:b w:val="0"/>
                <w:bCs w:val="0"/>
                <w:color w:val="FFFFFF" w:themeColor="background1"/>
                <w:sz w:val="22"/>
                <w:szCs w:val="22"/>
                <w:lang w:val="en-GB"/>
              </w:rPr>
            </w:pPr>
            <w:r w:rsidRPr="00163080">
              <w:rPr>
                <w:b w:val="0"/>
                <w:bCs w:val="0"/>
                <w:color w:val="FFFFFF" w:themeColor="background1"/>
                <w:sz w:val="22"/>
                <w:szCs w:val="22"/>
                <w:lang w:val="en-GB"/>
              </w:rPr>
              <w:t>21. Electronic democracy development roadmap</w:t>
            </w:r>
          </w:p>
        </w:tc>
        <w:tc>
          <w:tcPr>
            <w:tcW w:w="475" w:type="dxa"/>
            <w:vMerge w:val="restart"/>
            <w:tcBorders>
              <w:top w:val="single" w:sz="18" w:space="0" w:color="FFFFFF"/>
              <w:right w:val="single" w:sz="2" w:space="0" w:color="FFFFFF"/>
            </w:tcBorders>
            <w:shd w:val="clear" w:color="auto" w:fill="D6E3BC"/>
          </w:tcPr>
          <w:p w14:paraId="4248FD39" w14:textId="77777777" w:rsidR="0044773A" w:rsidRPr="00466E44" w:rsidRDefault="0044773A" w:rsidP="0044773A">
            <w:pPr>
              <w:rPr>
                <w:rFonts w:ascii="Zapf Dingbats" w:eastAsia="MS Mincho" w:hAnsi="Zapf Dingbats" w:cs="MS Mincho"/>
                <w:noProof/>
                <w:sz w:val="22"/>
                <w:szCs w:val="22"/>
                <w:lang w:val="en-GB"/>
              </w:rPr>
            </w:pPr>
          </w:p>
        </w:tc>
        <w:tc>
          <w:tcPr>
            <w:tcW w:w="418" w:type="dxa"/>
            <w:vMerge w:val="restart"/>
            <w:tcBorders>
              <w:top w:val="single" w:sz="18" w:space="0" w:color="FFFFFF"/>
              <w:left w:val="single" w:sz="2" w:space="0" w:color="FFFFFF"/>
              <w:right w:val="single" w:sz="2" w:space="0" w:color="FFFFFF"/>
            </w:tcBorders>
            <w:shd w:val="clear" w:color="auto" w:fill="D6E3BC"/>
          </w:tcPr>
          <w:p w14:paraId="052742D6" w14:textId="28FFD7D7" w:rsidR="0044773A" w:rsidRPr="00466E44" w:rsidRDefault="0044773A" w:rsidP="0044773A">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43" w:type="dxa"/>
            <w:vMerge w:val="restart"/>
            <w:tcBorders>
              <w:top w:val="single" w:sz="18" w:space="0" w:color="FFFFFF"/>
              <w:left w:val="single" w:sz="2" w:space="0" w:color="FFFFFF"/>
              <w:right w:val="single" w:sz="2" w:space="0" w:color="FFFFFF"/>
            </w:tcBorders>
            <w:shd w:val="clear" w:color="auto" w:fill="D6E3BC"/>
          </w:tcPr>
          <w:p w14:paraId="4E3BB806" w14:textId="77777777" w:rsidR="0044773A" w:rsidRPr="00466E44" w:rsidRDefault="0044773A" w:rsidP="0044773A">
            <w:pPr>
              <w:rPr>
                <w:rFonts w:ascii="Zapf Dingbats" w:eastAsia="MS Mincho" w:hAnsi="Zapf Dingbats" w:cs="MS Mincho"/>
                <w:noProof/>
                <w:sz w:val="22"/>
                <w:szCs w:val="22"/>
                <w:lang w:val="en-GB"/>
              </w:rPr>
            </w:pPr>
          </w:p>
        </w:tc>
        <w:tc>
          <w:tcPr>
            <w:tcW w:w="343" w:type="dxa"/>
            <w:vMerge w:val="restart"/>
            <w:tcBorders>
              <w:top w:val="single" w:sz="18" w:space="0" w:color="FFFFFF"/>
              <w:left w:val="single" w:sz="2" w:space="0" w:color="FFFFFF"/>
              <w:right w:val="single" w:sz="18" w:space="0" w:color="FFFFFF"/>
            </w:tcBorders>
            <w:shd w:val="clear" w:color="auto" w:fill="D6E3BC"/>
          </w:tcPr>
          <w:p w14:paraId="640FA56E" w14:textId="7A08205A" w:rsidR="0044773A" w:rsidRPr="00466E44" w:rsidRDefault="0044773A" w:rsidP="0044773A">
            <w:pPr>
              <w:rPr>
                <w:rFonts w:ascii="Zapf Dingbats" w:eastAsia="MS Mincho" w:hAnsi="Zapf Dingbats" w:cs="MS Mincho"/>
                <w:noProof/>
                <w:sz w:val="22"/>
                <w:szCs w:val="22"/>
                <w:lang w:val="en-GB"/>
              </w:rPr>
            </w:pPr>
          </w:p>
        </w:tc>
        <w:tc>
          <w:tcPr>
            <w:tcW w:w="373" w:type="dxa"/>
            <w:gridSpan w:val="2"/>
            <w:vMerge w:val="restart"/>
            <w:tcBorders>
              <w:top w:val="single" w:sz="18" w:space="0" w:color="FFFFFF"/>
              <w:left w:val="single" w:sz="2" w:space="0" w:color="FFFFFF"/>
              <w:bottom w:val="single" w:sz="8" w:space="0" w:color="FFFFFF" w:themeColor="background1"/>
              <w:right w:val="single" w:sz="4" w:space="0" w:color="FFFFFF" w:themeColor="background1"/>
            </w:tcBorders>
            <w:shd w:val="clear" w:color="auto" w:fill="FBD4B4"/>
          </w:tcPr>
          <w:p w14:paraId="474A5257" w14:textId="77777777" w:rsidR="0044773A" w:rsidRPr="00466E44" w:rsidRDefault="0044773A" w:rsidP="0044773A">
            <w:pPr>
              <w:jc w:val="cente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37" w:type="dxa"/>
            <w:vMerge w:val="restart"/>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FBD4B4"/>
          </w:tcPr>
          <w:p w14:paraId="0945A43B" w14:textId="13C70367" w:rsidR="0044773A" w:rsidRPr="00466E44" w:rsidRDefault="0044773A" w:rsidP="0044773A">
            <w:pPr>
              <w:jc w:val="cente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96" w:type="dxa"/>
            <w:vMerge w:val="restart"/>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FBD4B4"/>
          </w:tcPr>
          <w:p w14:paraId="4FBA2FFE" w14:textId="77777777" w:rsidR="0044773A" w:rsidRPr="00466E44" w:rsidRDefault="0044773A" w:rsidP="0044773A">
            <w:pPr>
              <w:jc w:val="center"/>
              <w:rPr>
                <w:rFonts w:ascii="Zapf Dingbats" w:eastAsia="MS Mincho" w:hAnsi="Zapf Dingbats" w:cs="MS Mincho"/>
                <w:noProof/>
                <w:sz w:val="22"/>
                <w:szCs w:val="22"/>
                <w:lang w:val="en-GB"/>
              </w:rPr>
            </w:pPr>
          </w:p>
        </w:tc>
        <w:tc>
          <w:tcPr>
            <w:tcW w:w="778" w:type="dxa"/>
            <w:vMerge w:val="restart"/>
            <w:tcBorders>
              <w:top w:val="single" w:sz="18" w:space="0" w:color="FFFFFF"/>
              <w:left w:val="single" w:sz="4" w:space="0" w:color="FFFFFF" w:themeColor="background1"/>
              <w:right w:val="single" w:sz="18" w:space="0" w:color="FFFFFF"/>
            </w:tcBorders>
            <w:shd w:val="clear" w:color="auto" w:fill="FBD4B4"/>
          </w:tcPr>
          <w:p w14:paraId="2B5625E3" w14:textId="77777777" w:rsidR="0044773A" w:rsidRPr="00466E44" w:rsidRDefault="0044773A" w:rsidP="0044773A">
            <w:pPr>
              <w:jc w:val="cente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64" w:type="dxa"/>
            <w:vMerge w:val="restart"/>
            <w:tcBorders>
              <w:top w:val="single" w:sz="18" w:space="0" w:color="FFFFFF"/>
              <w:left w:val="single" w:sz="18" w:space="0" w:color="FFFFFF"/>
              <w:right w:val="single" w:sz="2" w:space="0" w:color="FFFFFF"/>
            </w:tcBorders>
            <w:shd w:val="clear" w:color="auto" w:fill="CCC0D9"/>
          </w:tcPr>
          <w:p w14:paraId="22F84C62" w14:textId="77777777" w:rsidR="0044773A" w:rsidRPr="00466E44" w:rsidRDefault="0044773A" w:rsidP="0044773A">
            <w:pPr>
              <w:rPr>
                <w:rFonts w:ascii="Zapf Dingbats" w:eastAsia="MS Mincho" w:hAnsi="Zapf Dingbats" w:cs="MS Mincho"/>
                <w:noProof/>
                <w:sz w:val="22"/>
                <w:szCs w:val="22"/>
                <w:lang w:val="en-GB"/>
              </w:rPr>
            </w:pPr>
          </w:p>
        </w:tc>
        <w:tc>
          <w:tcPr>
            <w:tcW w:w="341" w:type="dxa"/>
            <w:vMerge w:val="restart"/>
            <w:tcBorders>
              <w:top w:val="single" w:sz="18" w:space="0" w:color="FFFFFF"/>
              <w:left w:val="single" w:sz="2" w:space="0" w:color="FFFFFF"/>
              <w:right w:val="single" w:sz="2" w:space="0" w:color="FFFFFF"/>
            </w:tcBorders>
            <w:shd w:val="clear" w:color="auto" w:fill="CCC0D9"/>
          </w:tcPr>
          <w:p w14:paraId="2A971A0E" w14:textId="77777777" w:rsidR="0044773A" w:rsidRPr="00466E44" w:rsidRDefault="0044773A" w:rsidP="0044773A">
            <w:pPr>
              <w:rPr>
                <w:rFonts w:ascii="Zapf Dingbats" w:eastAsia="MS Mincho" w:hAnsi="Zapf Dingbats" w:cs="MS Mincho"/>
                <w:noProof/>
                <w:sz w:val="22"/>
                <w:szCs w:val="22"/>
                <w:lang w:val="en-GB"/>
              </w:rPr>
            </w:pPr>
          </w:p>
        </w:tc>
        <w:tc>
          <w:tcPr>
            <w:tcW w:w="417" w:type="dxa"/>
            <w:vMerge w:val="restart"/>
            <w:tcBorders>
              <w:top w:val="single" w:sz="18" w:space="0" w:color="FFFFFF"/>
              <w:left w:val="single" w:sz="2" w:space="0" w:color="FFFFFF"/>
              <w:right w:val="single" w:sz="2" w:space="0" w:color="FFFFFF"/>
            </w:tcBorders>
            <w:shd w:val="clear" w:color="auto" w:fill="CCC0D9"/>
          </w:tcPr>
          <w:p w14:paraId="01CF4562" w14:textId="5B3597E9" w:rsidR="0044773A" w:rsidRPr="00466E44" w:rsidRDefault="0044773A" w:rsidP="0044773A">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18" w:type="dxa"/>
            <w:vMerge w:val="restart"/>
            <w:tcBorders>
              <w:top w:val="single" w:sz="18" w:space="0" w:color="FFFFFF"/>
              <w:left w:val="single" w:sz="2" w:space="0" w:color="FFFFFF"/>
              <w:right w:val="single" w:sz="18" w:space="0" w:color="FFFFFF"/>
            </w:tcBorders>
            <w:shd w:val="clear" w:color="auto" w:fill="CCC0D9"/>
          </w:tcPr>
          <w:p w14:paraId="07A58038" w14:textId="1E0905F0" w:rsidR="0044773A" w:rsidRPr="00466E44" w:rsidRDefault="0044773A" w:rsidP="0044773A">
            <w:pPr>
              <w:rPr>
                <w:rFonts w:ascii="Zapf Dingbats" w:eastAsia="MS Mincho" w:hAnsi="Zapf Dingbats" w:cs="MS Mincho"/>
                <w:noProof/>
                <w:sz w:val="22"/>
                <w:szCs w:val="22"/>
                <w:lang w:val="en-GB"/>
              </w:rPr>
            </w:pPr>
          </w:p>
        </w:tc>
        <w:tc>
          <w:tcPr>
            <w:tcW w:w="491"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73349FFC" w14:textId="77777777" w:rsidR="0044773A" w:rsidRPr="00466E44" w:rsidRDefault="0044773A" w:rsidP="0044773A">
            <w:pPr>
              <w:rPr>
                <w:rFonts w:ascii="Zapf Dingbats" w:eastAsia="MS Mincho" w:hAnsi="Zapf Dingbats" w:cs="MS Mincho"/>
                <w:noProof/>
                <w:sz w:val="22"/>
                <w:szCs w:val="22"/>
                <w:lang w:val="en-GB"/>
              </w:rPr>
            </w:pP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4EA8DDC" w14:textId="77777777" w:rsidR="0044773A" w:rsidRPr="00466E44" w:rsidRDefault="0044773A" w:rsidP="0044773A">
            <w:pPr>
              <w:rPr>
                <w:rFonts w:ascii="Zapf Dingbats" w:eastAsia="MS Mincho" w:hAnsi="Zapf Dingbats" w:cs="MS Mincho"/>
                <w:noProof/>
                <w:sz w:val="22"/>
                <w:szCs w:val="22"/>
                <w:lang w:val="en-GB"/>
              </w:rPr>
            </w:pP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550FD45" w14:textId="2755925D" w:rsidR="0044773A" w:rsidRPr="00466E44" w:rsidRDefault="0044773A" w:rsidP="0044773A">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05"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3F1143CA" w14:textId="01673615" w:rsidR="0044773A" w:rsidRPr="00466E44" w:rsidRDefault="0044773A" w:rsidP="0044773A">
            <w:pPr>
              <w:rPr>
                <w:rFonts w:ascii="Zapf Dingbats" w:eastAsia="MS Mincho" w:hAnsi="Zapf Dingbats" w:cs="MS Mincho"/>
                <w:noProof/>
                <w:sz w:val="22"/>
                <w:szCs w:val="22"/>
                <w:lang w:val="en-GB"/>
              </w:rPr>
            </w:pPr>
          </w:p>
        </w:tc>
        <w:tc>
          <w:tcPr>
            <w:tcW w:w="341" w:type="dxa"/>
            <w:vMerge w:val="restart"/>
            <w:tcBorders>
              <w:top w:val="single" w:sz="18" w:space="0" w:color="FFFFFF"/>
              <w:left w:val="single" w:sz="18" w:space="0" w:color="FFFFFF"/>
              <w:right w:val="single" w:sz="2" w:space="0" w:color="FFFFFF"/>
            </w:tcBorders>
            <w:shd w:val="clear" w:color="auto" w:fill="D99594"/>
          </w:tcPr>
          <w:p w14:paraId="146282D0" w14:textId="77777777" w:rsidR="0044773A" w:rsidRPr="009651AC" w:rsidRDefault="0044773A" w:rsidP="0044773A">
            <w:pPr>
              <w:rPr>
                <w:rFonts w:ascii="Gill Sans" w:hAnsi="Gill Sans" w:cs="Gill Sans"/>
                <w:sz w:val="22"/>
                <w:szCs w:val="22"/>
                <w:lang w:val="en-GB"/>
              </w:rPr>
            </w:pPr>
          </w:p>
        </w:tc>
        <w:tc>
          <w:tcPr>
            <w:tcW w:w="385" w:type="dxa"/>
            <w:vMerge w:val="restart"/>
            <w:tcBorders>
              <w:top w:val="single" w:sz="18" w:space="0" w:color="FFFFFF"/>
              <w:left w:val="single" w:sz="2" w:space="0" w:color="FFFFFF"/>
              <w:right w:val="single" w:sz="2" w:space="0" w:color="FFFFFF"/>
            </w:tcBorders>
            <w:shd w:val="clear" w:color="auto" w:fill="D99594"/>
          </w:tcPr>
          <w:p w14:paraId="7D14B680" w14:textId="77777777" w:rsidR="0044773A" w:rsidRDefault="0044773A" w:rsidP="0044773A">
            <w:pPr>
              <w:rPr>
                <w:rFonts w:ascii="Zapf Dingbats" w:eastAsia="MS Mincho" w:hAnsi="Zapf Dingbats" w:cs="MS Mincho"/>
                <w:noProof/>
                <w:sz w:val="22"/>
                <w:szCs w:val="22"/>
                <w:lang w:val="en-GB"/>
              </w:rPr>
            </w:pPr>
          </w:p>
          <w:p w14:paraId="224124A7" w14:textId="2D8D7544" w:rsidR="0044773A" w:rsidRPr="009651AC" w:rsidRDefault="0044773A" w:rsidP="0044773A">
            <w:pPr>
              <w:rPr>
                <w:rFonts w:ascii="Gill Sans" w:hAnsi="Gill Sans" w:cs="Gill Sans"/>
                <w:sz w:val="22"/>
                <w:szCs w:val="22"/>
                <w:lang w:val="en-GB"/>
              </w:rPr>
            </w:pPr>
            <w:r w:rsidRPr="00466E44">
              <w:rPr>
                <w:rFonts w:ascii="Zapf Dingbats" w:eastAsia="MS Mincho" w:hAnsi="Zapf Dingbats" w:cs="MS Mincho"/>
                <w:noProof/>
                <w:sz w:val="22"/>
                <w:szCs w:val="22"/>
                <w:lang w:val="en-GB"/>
              </w:rPr>
              <w:t>✔</w:t>
            </w:r>
          </w:p>
        </w:tc>
        <w:tc>
          <w:tcPr>
            <w:tcW w:w="341" w:type="dxa"/>
            <w:vMerge w:val="restart"/>
            <w:tcBorders>
              <w:top w:val="single" w:sz="18" w:space="0" w:color="FFFFFF"/>
              <w:left w:val="single" w:sz="2" w:space="0" w:color="FFFFFF"/>
              <w:right w:val="single" w:sz="2" w:space="0" w:color="FFFFFF"/>
            </w:tcBorders>
            <w:shd w:val="clear" w:color="auto" w:fill="D99594"/>
          </w:tcPr>
          <w:p w14:paraId="3827F243" w14:textId="58D4EF96" w:rsidR="0044773A" w:rsidRPr="009651AC" w:rsidRDefault="0044773A" w:rsidP="0044773A">
            <w:pPr>
              <w:rPr>
                <w:rFonts w:ascii="Gill Sans" w:hAnsi="Gill Sans" w:cs="Gill Sans"/>
                <w:sz w:val="22"/>
                <w:szCs w:val="22"/>
                <w:lang w:val="en-GB"/>
              </w:rPr>
            </w:pPr>
          </w:p>
        </w:tc>
        <w:tc>
          <w:tcPr>
            <w:tcW w:w="436" w:type="dxa"/>
            <w:vMerge w:val="restart"/>
            <w:tcBorders>
              <w:top w:val="single" w:sz="18" w:space="0" w:color="FFFFFF"/>
              <w:left w:val="single" w:sz="2" w:space="0" w:color="FFFFFF"/>
              <w:right w:val="single" w:sz="2" w:space="0" w:color="FFFFFF"/>
            </w:tcBorders>
            <w:shd w:val="clear" w:color="auto" w:fill="D99594"/>
          </w:tcPr>
          <w:p w14:paraId="6F85B4C7" w14:textId="77777777" w:rsidR="0044773A" w:rsidRPr="009651AC" w:rsidRDefault="0044773A" w:rsidP="0044773A">
            <w:pPr>
              <w:rPr>
                <w:rFonts w:ascii="Gill Sans" w:hAnsi="Gill Sans" w:cs="Gill Sans"/>
                <w:noProof/>
                <w:sz w:val="22"/>
                <w:szCs w:val="22"/>
                <w:lang w:val="en-GB"/>
              </w:rPr>
            </w:pPr>
          </w:p>
        </w:tc>
        <w:tc>
          <w:tcPr>
            <w:tcW w:w="423" w:type="dxa"/>
            <w:vMerge w:val="restart"/>
            <w:tcBorders>
              <w:top w:val="single" w:sz="18" w:space="0" w:color="FFFFFF"/>
              <w:left w:val="single" w:sz="2" w:space="0" w:color="FFFFFF"/>
              <w:right w:val="single" w:sz="18" w:space="0" w:color="FFFFFF"/>
            </w:tcBorders>
            <w:shd w:val="clear" w:color="auto" w:fill="D99594"/>
          </w:tcPr>
          <w:p w14:paraId="77751839" w14:textId="6A8C407B" w:rsidR="0044773A" w:rsidRPr="009651AC" w:rsidRDefault="0044773A" w:rsidP="0044773A">
            <w:pPr>
              <w:rPr>
                <w:rFonts w:ascii="Gill Sans" w:hAnsi="Gill Sans" w:cs="Gill Sans"/>
                <w:sz w:val="22"/>
                <w:szCs w:val="22"/>
                <w:lang w:val="en-GB"/>
              </w:rPr>
            </w:pPr>
          </w:p>
        </w:tc>
      </w:tr>
      <w:tr w:rsidR="00D85EFE" w:rsidRPr="009651AC" w14:paraId="5FA49477" w14:textId="77777777" w:rsidTr="00B223BA">
        <w:trPr>
          <w:trHeight w:val="340"/>
        </w:trPr>
        <w:tc>
          <w:tcPr>
            <w:tcW w:w="1451" w:type="dxa"/>
            <w:vMerge/>
            <w:tcBorders>
              <w:left w:val="single" w:sz="4" w:space="0" w:color="FFFFFF"/>
            </w:tcBorders>
            <w:shd w:val="clear" w:color="auto" w:fill="000000"/>
          </w:tcPr>
          <w:p w14:paraId="46BCDDB5" w14:textId="77777777" w:rsidR="00207DBD" w:rsidRPr="009651AC" w:rsidRDefault="00207DBD" w:rsidP="0084354E">
            <w:pPr>
              <w:rPr>
                <w:rFonts w:ascii="Gill Sans" w:hAnsi="Gill Sans" w:cs="Gill Sans"/>
                <w:color w:val="FFFFFF" w:themeColor="background1"/>
                <w:sz w:val="22"/>
                <w:szCs w:val="22"/>
                <w:lang w:val="en-GB"/>
              </w:rPr>
            </w:pPr>
          </w:p>
        </w:tc>
        <w:tc>
          <w:tcPr>
            <w:tcW w:w="475" w:type="dxa"/>
            <w:vMerge/>
            <w:tcBorders>
              <w:right w:val="single" w:sz="2" w:space="0" w:color="FFFFFF"/>
            </w:tcBorders>
            <w:shd w:val="clear" w:color="auto" w:fill="D6E3BC"/>
          </w:tcPr>
          <w:p w14:paraId="56923BEC" w14:textId="77777777" w:rsidR="00207DBD" w:rsidRPr="00466E44" w:rsidRDefault="00207DBD" w:rsidP="0084354E">
            <w:pPr>
              <w:rPr>
                <w:rFonts w:ascii="Zapf Dingbats" w:eastAsia="MS Mincho" w:hAnsi="Zapf Dingbats" w:cs="MS Mincho"/>
                <w:noProof/>
                <w:sz w:val="22"/>
                <w:szCs w:val="22"/>
                <w:lang w:val="en-GB"/>
              </w:rPr>
            </w:pPr>
          </w:p>
        </w:tc>
        <w:tc>
          <w:tcPr>
            <w:tcW w:w="418" w:type="dxa"/>
            <w:vMerge/>
            <w:tcBorders>
              <w:left w:val="single" w:sz="2" w:space="0" w:color="FFFFFF"/>
              <w:right w:val="single" w:sz="2" w:space="0" w:color="FFFFFF"/>
            </w:tcBorders>
            <w:shd w:val="clear" w:color="auto" w:fill="D6E3BC"/>
          </w:tcPr>
          <w:p w14:paraId="4311BE67" w14:textId="77777777" w:rsidR="00207DBD" w:rsidRPr="00466E44" w:rsidRDefault="00207DBD" w:rsidP="0084354E">
            <w:pPr>
              <w:rPr>
                <w:rFonts w:ascii="Zapf Dingbats" w:eastAsia="MS Mincho" w:hAnsi="Zapf Dingbats" w:cs="MS Mincho"/>
                <w:noProof/>
                <w:sz w:val="22"/>
                <w:szCs w:val="22"/>
                <w:lang w:val="en-GB"/>
              </w:rPr>
            </w:pPr>
          </w:p>
        </w:tc>
        <w:tc>
          <w:tcPr>
            <w:tcW w:w="343" w:type="dxa"/>
            <w:vMerge/>
            <w:tcBorders>
              <w:left w:val="single" w:sz="2" w:space="0" w:color="FFFFFF"/>
              <w:right w:val="single" w:sz="2" w:space="0" w:color="FFFFFF"/>
            </w:tcBorders>
            <w:shd w:val="clear" w:color="auto" w:fill="D6E3BC"/>
          </w:tcPr>
          <w:p w14:paraId="1AC23DF3" w14:textId="77777777" w:rsidR="00207DBD" w:rsidRPr="00466E44" w:rsidRDefault="00207DBD" w:rsidP="0084354E">
            <w:pPr>
              <w:rPr>
                <w:rFonts w:ascii="Zapf Dingbats" w:eastAsia="MS Mincho" w:hAnsi="Zapf Dingbats" w:cs="MS Mincho"/>
                <w:noProof/>
                <w:sz w:val="22"/>
                <w:szCs w:val="22"/>
                <w:lang w:val="en-GB"/>
              </w:rPr>
            </w:pPr>
          </w:p>
        </w:tc>
        <w:tc>
          <w:tcPr>
            <w:tcW w:w="343" w:type="dxa"/>
            <w:vMerge/>
            <w:tcBorders>
              <w:left w:val="single" w:sz="2" w:space="0" w:color="FFFFFF"/>
              <w:right w:val="single" w:sz="18" w:space="0" w:color="FFFFFF"/>
            </w:tcBorders>
            <w:shd w:val="clear" w:color="auto" w:fill="D6E3BC"/>
          </w:tcPr>
          <w:p w14:paraId="28CF6686" w14:textId="77777777" w:rsidR="00207DBD" w:rsidRPr="00466E44" w:rsidRDefault="00207DBD" w:rsidP="0084354E">
            <w:pPr>
              <w:rPr>
                <w:rFonts w:ascii="Zapf Dingbats" w:eastAsia="MS Mincho" w:hAnsi="Zapf Dingbats" w:cs="MS Mincho"/>
                <w:noProof/>
                <w:sz w:val="22"/>
                <w:szCs w:val="22"/>
                <w:lang w:val="en-GB"/>
              </w:rPr>
            </w:pPr>
          </w:p>
        </w:tc>
        <w:tc>
          <w:tcPr>
            <w:tcW w:w="373" w:type="dxa"/>
            <w:gridSpan w:val="2"/>
            <w:vMerge/>
            <w:tcBorders>
              <w:top w:val="single" w:sz="4" w:space="0" w:color="FFFFFF" w:themeColor="background1"/>
              <w:left w:val="single" w:sz="2" w:space="0" w:color="FFFFFF"/>
              <w:bottom w:val="single" w:sz="8" w:space="0" w:color="FFFFFF" w:themeColor="background1"/>
              <w:right w:val="single" w:sz="4" w:space="0" w:color="FFFFFF" w:themeColor="background1"/>
            </w:tcBorders>
            <w:shd w:val="clear" w:color="auto" w:fill="FBD4B4"/>
          </w:tcPr>
          <w:p w14:paraId="379CF4F4" w14:textId="77777777" w:rsidR="00207DBD" w:rsidRPr="00466E44" w:rsidRDefault="00207DBD" w:rsidP="0084354E">
            <w:pPr>
              <w:jc w:val="center"/>
              <w:rPr>
                <w:rFonts w:ascii="Zapf Dingbats" w:eastAsia="MS Mincho" w:hAnsi="Zapf Dingbats" w:cs="MS Mincho"/>
                <w:noProof/>
                <w:sz w:val="22"/>
                <w:szCs w:val="22"/>
                <w:lang w:val="en-GB"/>
              </w:rPr>
            </w:pPr>
          </w:p>
        </w:tc>
        <w:tc>
          <w:tcPr>
            <w:tcW w:w="337"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BD4B4"/>
          </w:tcPr>
          <w:p w14:paraId="1B6DF90D" w14:textId="77777777" w:rsidR="00207DBD" w:rsidRPr="00466E44" w:rsidRDefault="00207DBD" w:rsidP="0084354E">
            <w:pPr>
              <w:jc w:val="center"/>
              <w:rPr>
                <w:rFonts w:ascii="Zapf Dingbats" w:eastAsia="MS Mincho" w:hAnsi="Zapf Dingbats" w:cs="MS Mincho"/>
                <w:noProof/>
                <w:sz w:val="22"/>
                <w:szCs w:val="22"/>
                <w:lang w:val="en-GB"/>
              </w:rPr>
            </w:pPr>
          </w:p>
        </w:tc>
        <w:tc>
          <w:tcPr>
            <w:tcW w:w="396"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BD4B4"/>
          </w:tcPr>
          <w:p w14:paraId="64F83B57" w14:textId="77777777" w:rsidR="00207DBD" w:rsidRPr="00466E44" w:rsidRDefault="00207DBD" w:rsidP="0084354E">
            <w:pPr>
              <w:jc w:val="center"/>
              <w:rPr>
                <w:rFonts w:ascii="Zapf Dingbats" w:eastAsia="MS Mincho" w:hAnsi="Zapf Dingbats" w:cs="MS Mincho"/>
                <w:noProof/>
                <w:sz w:val="22"/>
                <w:szCs w:val="22"/>
                <w:lang w:val="en-GB"/>
              </w:rPr>
            </w:pPr>
          </w:p>
        </w:tc>
        <w:tc>
          <w:tcPr>
            <w:tcW w:w="778" w:type="dxa"/>
            <w:vMerge/>
            <w:tcBorders>
              <w:left w:val="single" w:sz="4" w:space="0" w:color="FFFFFF" w:themeColor="background1"/>
              <w:bottom w:val="single" w:sz="8" w:space="0" w:color="FFFFFF" w:themeColor="background1"/>
              <w:right w:val="single" w:sz="18" w:space="0" w:color="FFFFFF"/>
            </w:tcBorders>
            <w:shd w:val="clear" w:color="auto" w:fill="FBD4B4"/>
          </w:tcPr>
          <w:p w14:paraId="5EC30202" w14:textId="77777777" w:rsidR="00207DBD" w:rsidRPr="00466E44" w:rsidRDefault="00207DBD" w:rsidP="0084354E">
            <w:pPr>
              <w:jc w:val="center"/>
              <w:rPr>
                <w:rFonts w:ascii="Zapf Dingbats" w:eastAsia="MS Mincho" w:hAnsi="Zapf Dingbats" w:cs="MS Mincho"/>
                <w:noProof/>
                <w:sz w:val="22"/>
                <w:szCs w:val="22"/>
                <w:lang w:val="en-GB"/>
              </w:rPr>
            </w:pPr>
          </w:p>
        </w:tc>
        <w:tc>
          <w:tcPr>
            <w:tcW w:w="364" w:type="dxa"/>
            <w:vMerge/>
            <w:tcBorders>
              <w:left w:val="single" w:sz="18" w:space="0" w:color="FFFFFF"/>
              <w:right w:val="single" w:sz="2" w:space="0" w:color="FFFFFF"/>
            </w:tcBorders>
            <w:shd w:val="clear" w:color="auto" w:fill="CCC0D9"/>
          </w:tcPr>
          <w:p w14:paraId="7A310294" w14:textId="77777777" w:rsidR="00207DBD" w:rsidRPr="00466E44" w:rsidRDefault="00207DBD" w:rsidP="0084354E">
            <w:pPr>
              <w:rPr>
                <w:rFonts w:ascii="Zapf Dingbats" w:eastAsia="MS Mincho" w:hAnsi="Zapf Dingbats" w:cs="MS Mincho"/>
                <w:noProof/>
                <w:sz w:val="22"/>
                <w:szCs w:val="22"/>
                <w:lang w:val="en-GB"/>
              </w:rPr>
            </w:pPr>
          </w:p>
        </w:tc>
        <w:tc>
          <w:tcPr>
            <w:tcW w:w="341" w:type="dxa"/>
            <w:vMerge/>
            <w:tcBorders>
              <w:left w:val="single" w:sz="2" w:space="0" w:color="FFFFFF"/>
              <w:right w:val="single" w:sz="2" w:space="0" w:color="FFFFFF"/>
            </w:tcBorders>
            <w:shd w:val="clear" w:color="auto" w:fill="CCC0D9"/>
          </w:tcPr>
          <w:p w14:paraId="453CF1A2" w14:textId="77777777" w:rsidR="00207DBD" w:rsidRPr="00466E44" w:rsidRDefault="00207DBD" w:rsidP="0084354E">
            <w:pPr>
              <w:rPr>
                <w:rFonts w:ascii="Zapf Dingbats" w:eastAsia="MS Mincho" w:hAnsi="Zapf Dingbats" w:cs="MS Mincho"/>
                <w:noProof/>
                <w:sz w:val="22"/>
                <w:szCs w:val="22"/>
                <w:lang w:val="en-GB"/>
              </w:rPr>
            </w:pPr>
          </w:p>
        </w:tc>
        <w:tc>
          <w:tcPr>
            <w:tcW w:w="417" w:type="dxa"/>
            <w:vMerge/>
            <w:tcBorders>
              <w:left w:val="single" w:sz="2" w:space="0" w:color="FFFFFF"/>
              <w:right w:val="single" w:sz="2" w:space="0" w:color="FFFFFF"/>
            </w:tcBorders>
            <w:shd w:val="clear" w:color="auto" w:fill="CCC0D9"/>
          </w:tcPr>
          <w:p w14:paraId="4E0EB615" w14:textId="77777777" w:rsidR="00207DBD" w:rsidRPr="00466E44" w:rsidRDefault="00207DBD" w:rsidP="0084354E">
            <w:pPr>
              <w:rPr>
                <w:rFonts w:ascii="Zapf Dingbats" w:eastAsia="MS Mincho" w:hAnsi="Zapf Dingbats" w:cs="MS Mincho"/>
                <w:noProof/>
                <w:sz w:val="22"/>
                <w:szCs w:val="22"/>
                <w:lang w:val="en-GB"/>
              </w:rPr>
            </w:pPr>
          </w:p>
        </w:tc>
        <w:tc>
          <w:tcPr>
            <w:tcW w:w="318" w:type="dxa"/>
            <w:vMerge/>
            <w:tcBorders>
              <w:left w:val="single" w:sz="2" w:space="0" w:color="FFFFFF"/>
              <w:right w:val="single" w:sz="18" w:space="0" w:color="FFFFFF"/>
            </w:tcBorders>
            <w:shd w:val="clear" w:color="auto" w:fill="CCC0D9"/>
          </w:tcPr>
          <w:p w14:paraId="256C227D" w14:textId="77777777" w:rsidR="00207DBD" w:rsidRPr="00466E44" w:rsidRDefault="00207DBD" w:rsidP="0084354E">
            <w:pPr>
              <w:rPr>
                <w:rFonts w:ascii="Zapf Dingbats" w:eastAsia="MS Mincho" w:hAnsi="Zapf Dingbats" w:cs="MS Mincho"/>
                <w:noProof/>
                <w:sz w:val="22"/>
                <w:szCs w:val="22"/>
                <w:lang w:val="en-GB"/>
              </w:rPr>
            </w:pPr>
          </w:p>
        </w:tc>
        <w:tc>
          <w:tcPr>
            <w:tcW w:w="491"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4073ED9A" w14:textId="77777777" w:rsidR="00207DBD" w:rsidRPr="00466E44" w:rsidRDefault="00207DBD" w:rsidP="0084354E">
            <w:pPr>
              <w:rPr>
                <w:rFonts w:ascii="Zapf Dingbats" w:eastAsia="MS Mincho" w:hAnsi="Zapf Dingbats" w:cs="MS Mincho"/>
                <w:noProof/>
                <w:sz w:val="22"/>
                <w:szCs w:val="22"/>
                <w:lang w:val="en-GB"/>
              </w:rPr>
            </w:pPr>
          </w:p>
        </w:tc>
        <w:tc>
          <w:tcPr>
            <w:tcW w:w="516"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3A6EFEC5" w14:textId="77777777" w:rsidR="00207DBD" w:rsidRPr="00466E44" w:rsidRDefault="00207DBD" w:rsidP="0084354E">
            <w:pPr>
              <w:rPr>
                <w:rFonts w:ascii="Zapf Dingbats" w:eastAsia="MS Mincho" w:hAnsi="Zapf Dingbats" w:cs="MS Mincho"/>
                <w:noProof/>
                <w:sz w:val="22"/>
                <w:szCs w:val="22"/>
                <w:lang w:val="en-GB"/>
              </w:rPr>
            </w:pPr>
          </w:p>
        </w:tc>
        <w:tc>
          <w:tcPr>
            <w:tcW w:w="516"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4F308C87" w14:textId="46FDA093" w:rsidR="00207DBD" w:rsidRPr="00466E44" w:rsidRDefault="00FA3B49" w:rsidP="0084354E">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05" w:type="dxa"/>
            <w:tcBorders>
              <w:top w:val="single" w:sz="8" w:space="0" w:color="FFFFFF" w:themeColor="background1"/>
              <w:left w:val="single" w:sz="4" w:space="0" w:color="FFFFFF" w:themeColor="background1"/>
              <w:bottom w:val="single" w:sz="18" w:space="0" w:color="FFFFFF"/>
              <w:right w:val="single" w:sz="18" w:space="0" w:color="FFFFFF"/>
            </w:tcBorders>
            <w:shd w:val="clear" w:color="auto" w:fill="B8CCE4"/>
          </w:tcPr>
          <w:p w14:paraId="148C0364" w14:textId="7BF83BA2" w:rsidR="00207DBD" w:rsidRPr="00466E44" w:rsidRDefault="00207DBD" w:rsidP="0084354E">
            <w:pPr>
              <w:rPr>
                <w:rFonts w:ascii="Zapf Dingbats" w:eastAsia="MS Mincho" w:hAnsi="Zapf Dingbats" w:cs="MS Mincho"/>
                <w:noProof/>
                <w:sz w:val="22"/>
                <w:szCs w:val="22"/>
                <w:lang w:val="en-GB"/>
              </w:rPr>
            </w:pPr>
          </w:p>
        </w:tc>
        <w:tc>
          <w:tcPr>
            <w:tcW w:w="341" w:type="dxa"/>
            <w:vMerge/>
            <w:tcBorders>
              <w:left w:val="single" w:sz="18" w:space="0" w:color="FFFFFF"/>
              <w:right w:val="single" w:sz="2" w:space="0" w:color="FFFFFF"/>
            </w:tcBorders>
            <w:shd w:val="clear" w:color="auto" w:fill="D99594"/>
          </w:tcPr>
          <w:p w14:paraId="5A6ADFD4" w14:textId="77777777" w:rsidR="00207DBD" w:rsidRPr="009651AC" w:rsidRDefault="00207DBD" w:rsidP="0084354E">
            <w:pPr>
              <w:rPr>
                <w:rFonts w:ascii="Gill Sans" w:hAnsi="Gill Sans" w:cs="Gill Sans"/>
                <w:sz w:val="22"/>
                <w:szCs w:val="22"/>
                <w:lang w:val="en-GB"/>
              </w:rPr>
            </w:pPr>
          </w:p>
        </w:tc>
        <w:tc>
          <w:tcPr>
            <w:tcW w:w="385" w:type="dxa"/>
            <w:vMerge/>
            <w:tcBorders>
              <w:left w:val="single" w:sz="2" w:space="0" w:color="FFFFFF"/>
              <w:right w:val="single" w:sz="2" w:space="0" w:color="FFFFFF"/>
            </w:tcBorders>
            <w:shd w:val="clear" w:color="auto" w:fill="D99594"/>
          </w:tcPr>
          <w:p w14:paraId="5119B350" w14:textId="77777777" w:rsidR="00207DBD" w:rsidRPr="009651AC" w:rsidRDefault="00207DBD" w:rsidP="0084354E">
            <w:pPr>
              <w:rPr>
                <w:rFonts w:ascii="Gill Sans" w:hAnsi="Gill Sans" w:cs="Gill Sans"/>
                <w:sz w:val="22"/>
                <w:szCs w:val="22"/>
                <w:lang w:val="en-GB"/>
              </w:rPr>
            </w:pPr>
          </w:p>
        </w:tc>
        <w:tc>
          <w:tcPr>
            <w:tcW w:w="341" w:type="dxa"/>
            <w:vMerge/>
            <w:tcBorders>
              <w:left w:val="single" w:sz="2" w:space="0" w:color="FFFFFF"/>
              <w:right w:val="single" w:sz="2" w:space="0" w:color="FFFFFF"/>
            </w:tcBorders>
            <w:shd w:val="clear" w:color="auto" w:fill="D99594"/>
          </w:tcPr>
          <w:p w14:paraId="6200E219" w14:textId="77777777" w:rsidR="00207DBD" w:rsidRPr="009651AC" w:rsidRDefault="00207DBD" w:rsidP="0084354E">
            <w:pPr>
              <w:rPr>
                <w:rFonts w:ascii="Gill Sans" w:hAnsi="Gill Sans" w:cs="Gill Sans"/>
                <w:sz w:val="22"/>
                <w:szCs w:val="22"/>
                <w:lang w:val="en-GB"/>
              </w:rPr>
            </w:pPr>
          </w:p>
        </w:tc>
        <w:tc>
          <w:tcPr>
            <w:tcW w:w="436" w:type="dxa"/>
            <w:vMerge/>
            <w:tcBorders>
              <w:left w:val="single" w:sz="2" w:space="0" w:color="FFFFFF"/>
              <w:right w:val="single" w:sz="2" w:space="0" w:color="FFFFFF"/>
            </w:tcBorders>
            <w:shd w:val="clear" w:color="auto" w:fill="D99594"/>
          </w:tcPr>
          <w:p w14:paraId="56EEB159" w14:textId="77777777" w:rsidR="00207DBD" w:rsidRPr="009651AC" w:rsidRDefault="00207DBD" w:rsidP="0084354E">
            <w:pPr>
              <w:rPr>
                <w:rFonts w:ascii="Gill Sans" w:hAnsi="Gill Sans" w:cs="Gill Sans"/>
                <w:noProof/>
                <w:sz w:val="22"/>
                <w:szCs w:val="22"/>
                <w:lang w:val="en-GB"/>
              </w:rPr>
            </w:pPr>
          </w:p>
        </w:tc>
        <w:tc>
          <w:tcPr>
            <w:tcW w:w="423" w:type="dxa"/>
            <w:vMerge/>
            <w:tcBorders>
              <w:left w:val="single" w:sz="2" w:space="0" w:color="FFFFFF"/>
              <w:right w:val="single" w:sz="18" w:space="0" w:color="FFFFFF"/>
            </w:tcBorders>
            <w:shd w:val="clear" w:color="auto" w:fill="D99594"/>
          </w:tcPr>
          <w:p w14:paraId="1E167C20" w14:textId="77777777" w:rsidR="00207DBD" w:rsidRPr="009651AC" w:rsidRDefault="00207DBD" w:rsidP="0084354E">
            <w:pPr>
              <w:rPr>
                <w:rFonts w:ascii="Gill Sans" w:hAnsi="Gill Sans" w:cs="Gill Sans"/>
                <w:sz w:val="22"/>
                <w:szCs w:val="22"/>
                <w:lang w:val="en-GB"/>
              </w:rPr>
            </w:pPr>
          </w:p>
        </w:tc>
      </w:tr>
      <w:tr w:rsidR="00D85EFE" w:rsidRPr="009651AC" w14:paraId="2AD3F697" w14:textId="77777777" w:rsidTr="00B223BA">
        <w:trPr>
          <w:trHeight w:val="600"/>
        </w:trPr>
        <w:tc>
          <w:tcPr>
            <w:tcW w:w="1451" w:type="dxa"/>
            <w:vMerge w:val="restart"/>
            <w:tcBorders>
              <w:top w:val="single" w:sz="18" w:space="0" w:color="FFFFFF"/>
              <w:left w:val="single" w:sz="4" w:space="0" w:color="FFFFFF"/>
            </w:tcBorders>
            <w:shd w:val="clear" w:color="auto" w:fill="000000"/>
          </w:tcPr>
          <w:p w14:paraId="5A086A3C" w14:textId="77777777" w:rsidR="00207DBD" w:rsidRPr="00207DBD" w:rsidRDefault="00207DBD" w:rsidP="00207DBD">
            <w:pPr>
              <w:pStyle w:val="Heading2"/>
              <w:spacing w:before="0" w:after="120"/>
              <w:rPr>
                <w:rFonts w:eastAsiaTheme="minorEastAsia"/>
                <w:b w:val="0"/>
                <w:bCs w:val="0"/>
                <w:color w:val="FFFFFF" w:themeColor="background1"/>
                <w:sz w:val="22"/>
                <w:szCs w:val="22"/>
                <w:lang w:val="en-GB"/>
              </w:rPr>
            </w:pPr>
            <w:r w:rsidRPr="00207DBD">
              <w:rPr>
                <w:rFonts w:eastAsiaTheme="minorEastAsia"/>
                <w:b w:val="0"/>
                <w:bCs w:val="0"/>
                <w:color w:val="FFFFFF" w:themeColor="background1"/>
                <w:sz w:val="22"/>
                <w:szCs w:val="22"/>
                <w:lang w:val="en-GB"/>
              </w:rPr>
              <w:lastRenderedPageBreak/>
              <w:t>23. E-petitions</w:t>
            </w:r>
          </w:p>
          <w:p w14:paraId="0B7FAAA0" w14:textId="77777777" w:rsidR="00207DBD" w:rsidRPr="009651AC" w:rsidRDefault="00207DBD" w:rsidP="0084354E">
            <w:pPr>
              <w:rPr>
                <w:rFonts w:ascii="Gill Sans" w:hAnsi="Gill Sans" w:cs="Gill Sans"/>
                <w:color w:val="FFFFFF" w:themeColor="background1"/>
                <w:sz w:val="22"/>
                <w:szCs w:val="22"/>
                <w:lang w:val="en-GB"/>
              </w:rPr>
            </w:pPr>
          </w:p>
        </w:tc>
        <w:tc>
          <w:tcPr>
            <w:tcW w:w="475" w:type="dxa"/>
            <w:vMerge w:val="restart"/>
            <w:tcBorders>
              <w:top w:val="single" w:sz="18" w:space="0" w:color="FFFFFF"/>
              <w:right w:val="single" w:sz="2" w:space="0" w:color="FFFFFF"/>
            </w:tcBorders>
            <w:shd w:val="clear" w:color="auto" w:fill="D6E3BC"/>
          </w:tcPr>
          <w:p w14:paraId="3BC16C74" w14:textId="77777777" w:rsidR="00207DBD" w:rsidRPr="00466E44" w:rsidRDefault="00207DBD" w:rsidP="0084354E">
            <w:pPr>
              <w:rPr>
                <w:rFonts w:ascii="Zapf Dingbats" w:eastAsia="MS Mincho" w:hAnsi="Zapf Dingbats" w:cs="MS Mincho"/>
                <w:noProof/>
                <w:sz w:val="22"/>
                <w:szCs w:val="22"/>
                <w:lang w:val="en-GB"/>
              </w:rPr>
            </w:pPr>
          </w:p>
        </w:tc>
        <w:tc>
          <w:tcPr>
            <w:tcW w:w="418" w:type="dxa"/>
            <w:vMerge w:val="restart"/>
            <w:tcBorders>
              <w:top w:val="single" w:sz="18" w:space="0" w:color="FFFFFF"/>
              <w:left w:val="single" w:sz="2" w:space="0" w:color="FFFFFF"/>
              <w:right w:val="single" w:sz="2" w:space="0" w:color="FFFFFF"/>
            </w:tcBorders>
            <w:shd w:val="clear" w:color="auto" w:fill="D6E3BC"/>
          </w:tcPr>
          <w:p w14:paraId="066A7E0D" w14:textId="42288EEC" w:rsidR="00207DBD" w:rsidRPr="00466E44" w:rsidRDefault="00207DBD" w:rsidP="0084354E">
            <w:pPr>
              <w:rPr>
                <w:rFonts w:ascii="Zapf Dingbats" w:eastAsia="MS Mincho" w:hAnsi="Zapf Dingbats" w:cs="MS Mincho"/>
                <w:noProof/>
                <w:sz w:val="22"/>
                <w:szCs w:val="22"/>
                <w:lang w:val="en-GB"/>
              </w:rPr>
            </w:pPr>
          </w:p>
        </w:tc>
        <w:tc>
          <w:tcPr>
            <w:tcW w:w="343" w:type="dxa"/>
            <w:vMerge w:val="restart"/>
            <w:tcBorders>
              <w:top w:val="single" w:sz="18" w:space="0" w:color="FFFFFF"/>
              <w:left w:val="single" w:sz="2" w:space="0" w:color="FFFFFF"/>
              <w:right w:val="single" w:sz="2" w:space="0" w:color="FFFFFF"/>
            </w:tcBorders>
            <w:shd w:val="clear" w:color="auto" w:fill="D6E3BC"/>
          </w:tcPr>
          <w:p w14:paraId="3E727F61" w14:textId="77777777" w:rsidR="00207DBD" w:rsidRPr="00466E44" w:rsidRDefault="00207DBD" w:rsidP="0084354E">
            <w:pPr>
              <w:rPr>
                <w:rFonts w:ascii="Zapf Dingbats" w:eastAsia="MS Mincho" w:hAnsi="Zapf Dingbats" w:cs="MS Mincho"/>
                <w:noProof/>
                <w:sz w:val="22"/>
                <w:szCs w:val="22"/>
                <w:lang w:val="en-GB"/>
              </w:rPr>
            </w:pPr>
          </w:p>
        </w:tc>
        <w:tc>
          <w:tcPr>
            <w:tcW w:w="343" w:type="dxa"/>
            <w:vMerge w:val="restart"/>
            <w:tcBorders>
              <w:top w:val="single" w:sz="18" w:space="0" w:color="FFFFFF"/>
              <w:left w:val="single" w:sz="2" w:space="0" w:color="FFFFFF"/>
              <w:right w:val="single" w:sz="18" w:space="0" w:color="FFFFFF"/>
            </w:tcBorders>
            <w:shd w:val="clear" w:color="auto" w:fill="D6E3BC"/>
          </w:tcPr>
          <w:p w14:paraId="498D9117" w14:textId="24CE2751" w:rsidR="00207DBD" w:rsidRPr="00466E44" w:rsidRDefault="00207DBD" w:rsidP="0084354E">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73" w:type="dxa"/>
            <w:gridSpan w:val="2"/>
            <w:vMerge w:val="restart"/>
            <w:tcBorders>
              <w:top w:val="single" w:sz="8" w:space="0" w:color="FFFFFF" w:themeColor="background1"/>
              <w:left w:val="single" w:sz="2" w:space="0" w:color="FFFFFF"/>
              <w:bottom w:val="single" w:sz="18" w:space="0" w:color="FFFFFF"/>
              <w:right w:val="single" w:sz="4" w:space="0" w:color="FFFFFF" w:themeColor="background1"/>
            </w:tcBorders>
            <w:shd w:val="clear" w:color="auto" w:fill="FBD4B4"/>
          </w:tcPr>
          <w:p w14:paraId="57040BED" w14:textId="54DA4A01" w:rsidR="00207DBD" w:rsidRPr="00466E44" w:rsidRDefault="00207DBD" w:rsidP="0084354E">
            <w:pPr>
              <w:jc w:val="center"/>
              <w:rPr>
                <w:rFonts w:ascii="Zapf Dingbats" w:eastAsia="MS Mincho" w:hAnsi="Zapf Dingbats" w:cs="MS Mincho"/>
                <w:noProof/>
                <w:sz w:val="22"/>
                <w:szCs w:val="22"/>
                <w:lang w:val="en-GB"/>
              </w:rPr>
            </w:pPr>
          </w:p>
        </w:tc>
        <w:tc>
          <w:tcPr>
            <w:tcW w:w="337" w:type="dxa"/>
            <w:vMerge w:val="restart"/>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FBD4B4"/>
          </w:tcPr>
          <w:p w14:paraId="514A6481" w14:textId="5555DC0F" w:rsidR="00207DBD" w:rsidRPr="00466E44" w:rsidRDefault="00207DBD" w:rsidP="0084354E">
            <w:pPr>
              <w:jc w:val="cente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96" w:type="dxa"/>
            <w:vMerge w:val="restart"/>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FBD4B4"/>
          </w:tcPr>
          <w:p w14:paraId="2DFE87CD" w14:textId="59E8012A" w:rsidR="00207DBD" w:rsidRPr="00466E44" w:rsidRDefault="00207DBD" w:rsidP="0084354E">
            <w:pPr>
              <w:jc w:val="cente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778" w:type="dxa"/>
            <w:vMerge w:val="restart"/>
            <w:tcBorders>
              <w:top w:val="single" w:sz="8" w:space="0" w:color="FFFFFF" w:themeColor="background1"/>
              <w:left w:val="single" w:sz="4" w:space="0" w:color="FFFFFF" w:themeColor="background1"/>
              <w:right w:val="single" w:sz="18" w:space="0" w:color="FFFFFF"/>
            </w:tcBorders>
            <w:shd w:val="clear" w:color="auto" w:fill="FBD4B4"/>
          </w:tcPr>
          <w:p w14:paraId="2C2830C5" w14:textId="77777777" w:rsidR="00207DBD" w:rsidRPr="00466E44" w:rsidRDefault="00207DBD" w:rsidP="0084354E">
            <w:pPr>
              <w:jc w:val="cente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64" w:type="dxa"/>
            <w:vMerge w:val="restart"/>
            <w:tcBorders>
              <w:top w:val="single" w:sz="18" w:space="0" w:color="FFFFFF"/>
              <w:left w:val="single" w:sz="18" w:space="0" w:color="FFFFFF"/>
              <w:right w:val="single" w:sz="2" w:space="0" w:color="FFFFFF"/>
            </w:tcBorders>
            <w:shd w:val="clear" w:color="auto" w:fill="CCC0D9"/>
          </w:tcPr>
          <w:p w14:paraId="1CE3B6E8" w14:textId="77777777" w:rsidR="00207DBD" w:rsidRPr="00466E44" w:rsidRDefault="00207DBD" w:rsidP="0084354E">
            <w:pPr>
              <w:rPr>
                <w:rFonts w:ascii="Zapf Dingbats" w:eastAsia="MS Mincho" w:hAnsi="Zapf Dingbats" w:cs="MS Mincho"/>
                <w:noProof/>
                <w:sz w:val="22"/>
                <w:szCs w:val="22"/>
                <w:lang w:val="en-GB"/>
              </w:rPr>
            </w:pPr>
          </w:p>
        </w:tc>
        <w:tc>
          <w:tcPr>
            <w:tcW w:w="341" w:type="dxa"/>
            <w:vMerge w:val="restart"/>
            <w:tcBorders>
              <w:top w:val="single" w:sz="18" w:space="0" w:color="FFFFFF"/>
              <w:left w:val="single" w:sz="2" w:space="0" w:color="FFFFFF"/>
              <w:right w:val="single" w:sz="2" w:space="0" w:color="FFFFFF"/>
            </w:tcBorders>
            <w:shd w:val="clear" w:color="auto" w:fill="CCC0D9"/>
          </w:tcPr>
          <w:p w14:paraId="66ECA4BE" w14:textId="6AA71821" w:rsidR="00207DBD" w:rsidRPr="00466E44" w:rsidRDefault="00207DBD" w:rsidP="0084354E">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417" w:type="dxa"/>
            <w:vMerge w:val="restart"/>
            <w:tcBorders>
              <w:top w:val="single" w:sz="18" w:space="0" w:color="FFFFFF"/>
              <w:left w:val="single" w:sz="2" w:space="0" w:color="FFFFFF"/>
              <w:right w:val="single" w:sz="2" w:space="0" w:color="FFFFFF"/>
            </w:tcBorders>
            <w:shd w:val="clear" w:color="auto" w:fill="CCC0D9"/>
          </w:tcPr>
          <w:p w14:paraId="1F78EB49" w14:textId="3211A9AD" w:rsidR="00207DBD" w:rsidRPr="00466E44" w:rsidRDefault="00207DBD" w:rsidP="0084354E">
            <w:pPr>
              <w:rPr>
                <w:rFonts w:ascii="Zapf Dingbats" w:eastAsia="MS Mincho" w:hAnsi="Zapf Dingbats" w:cs="MS Mincho"/>
                <w:noProof/>
                <w:sz w:val="22"/>
                <w:szCs w:val="22"/>
                <w:lang w:val="en-GB"/>
              </w:rPr>
            </w:pPr>
          </w:p>
        </w:tc>
        <w:tc>
          <w:tcPr>
            <w:tcW w:w="318" w:type="dxa"/>
            <w:vMerge w:val="restart"/>
            <w:tcBorders>
              <w:top w:val="single" w:sz="18" w:space="0" w:color="FFFFFF"/>
              <w:left w:val="single" w:sz="2" w:space="0" w:color="FFFFFF"/>
              <w:right w:val="single" w:sz="18" w:space="0" w:color="FFFFFF"/>
            </w:tcBorders>
            <w:shd w:val="clear" w:color="auto" w:fill="CCC0D9"/>
          </w:tcPr>
          <w:p w14:paraId="7CE71653" w14:textId="77777777" w:rsidR="00207DBD" w:rsidRPr="00466E44" w:rsidRDefault="00207DBD" w:rsidP="0084354E">
            <w:pPr>
              <w:rPr>
                <w:rFonts w:ascii="Zapf Dingbats" w:eastAsia="MS Mincho" w:hAnsi="Zapf Dingbats" w:cs="MS Mincho"/>
                <w:noProof/>
                <w:sz w:val="22"/>
                <w:szCs w:val="22"/>
                <w:lang w:val="en-GB"/>
              </w:rPr>
            </w:pPr>
          </w:p>
        </w:tc>
        <w:tc>
          <w:tcPr>
            <w:tcW w:w="491"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485060F1" w14:textId="77777777" w:rsidR="00207DBD" w:rsidRPr="00466E44" w:rsidRDefault="00207DBD" w:rsidP="0084354E">
            <w:pPr>
              <w:rPr>
                <w:rFonts w:ascii="Zapf Dingbats" w:eastAsia="MS Mincho" w:hAnsi="Zapf Dingbats" w:cs="MS Mincho"/>
                <w:noProof/>
                <w:sz w:val="22"/>
                <w:szCs w:val="22"/>
                <w:lang w:val="en-GB"/>
              </w:rPr>
            </w:pP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EA3E1E1" w14:textId="6AD4D11D" w:rsidR="00207DBD" w:rsidRPr="00466E44" w:rsidRDefault="00207DBD" w:rsidP="0084354E">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001D56E6" w14:textId="18DCD49A" w:rsidR="00207DBD" w:rsidRPr="00466E44" w:rsidRDefault="00207DBD" w:rsidP="0084354E">
            <w:pPr>
              <w:rPr>
                <w:rFonts w:ascii="Zapf Dingbats" w:eastAsia="MS Mincho" w:hAnsi="Zapf Dingbats" w:cs="MS Mincho"/>
                <w:noProof/>
                <w:sz w:val="22"/>
                <w:szCs w:val="22"/>
                <w:lang w:val="en-GB"/>
              </w:rPr>
            </w:pPr>
          </w:p>
        </w:tc>
        <w:tc>
          <w:tcPr>
            <w:tcW w:w="405"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009B6716" w14:textId="77777777" w:rsidR="00207DBD" w:rsidRPr="00466E44" w:rsidRDefault="00207DBD" w:rsidP="0084354E">
            <w:pPr>
              <w:rPr>
                <w:rFonts w:ascii="Zapf Dingbats" w:eastAsia="MS Mincho" w:hAnsi="Zapf Dingbats" w:cs="MS Mincho"/>
                <w:noProof/>
                <w:sz w:val="22"/>
                <w:szCs w:val="22"/>
                <w:lang w:val="en-GB"/>
              </w:rPr>
            </w:pPr>
          </w:p>
        </w:tc>
        <w:tc>
          <w:tcPr>
            <w:tcW w:w="341" w:type="dxa"/>
            <w:vMerge w:val="restart"/>
            <w:tcBorders>
              <w:top w:val="single" w:sz="18" w:space="0" w:color="FFFFFF"/>
              <w:left w:val="single" w:sz="18" w:space="0" w:color="FFFFFF"/>
              <w:right w:val="single" w:sz="2" w:space="0" w:color="FFFFFF"/>
            </w:tcBorders>
            <w:shd w:val="clear" w:color="auto" w:fill="D99594"/>
          </w:tcPr>
          <w:p w14:paraId="64CE6CF1" w14:textId="77777777" w:rsidR="00207DBD" w:rsidRPr="009651AC" w:rsidRDefault="00207DBD" w:rsidP="0084354E">
            <w:pPr>
              <w:rPr>
                <w:rFonts w:ascii="Gill Sans" w:hAnsi="Gill Sans" w:cs="Gill Sans"/>
                <w:sz w:val="22"/>
                <w:szCs w:val="22"/>
                <w:lang w:val="en-GB"/>
              </w:rPr>
            </w:pPr>
          </w:p>
        </w:tc>
        <w:tc>
          <w:tcPr>
            <w:tcW w:w="385" w:type="dxa"/>
            <w:vMerge w:val="restart"/>
            <w:tcBorders>
              <w:top w:val="single" w:sz="18" w:space="0" w:color="FFFFFF"/>
              <w:left w:val="single" w:sz="2" w:space="0" w:color="FFFFFF"/>
              <w:right w:val="single" w:sz="2" w:space="0" w:color="FFFFFF"/>
            </w:tcBorders>
            <w:shd w:val="clear" w:color="auto" w:fill="D99594"/>
          </w:tcPr>
          <w:p w14:paraId="5E36395F" w14:textId="77777777" w:rsidR="00207DBD" w:rsidRPr="009651AC" w:rsidRDefault="00207DBD" w:rsidP="0084354E">
            <w:pPr>
              <w:rPr>
                <w:rFonts w:ascii="Gill Sans" w:hAnsi="Gill Sans" w:cs="Gill Sans"/>
                <w:sz w:val="22"/>
                <w:szCs w:val="22"/>
                <w:lang w:val="en-GB"/>
              </w:rPr>
            </w:pPr>
          </w:p>
        </w:tc>
        <w:tc>
          <w:tcPr>
            <w:tcW w:w="341" w:type="dxa"/>
            <w:vMerge w:val="restart"/>
            <w:tcBorders>
              <w:top w:val="single" w:sz="18" w:space="0" w:color="FFFFFF"/>
              <w:left w:val="single" w:sz="2" w:space="0" w:color="FFFFFF"/>
              <w:right w:val="single" w:sz="2" w:space="0" w:color="FFFFFF"/>
            </w:tcBorders>
            <w:shd w:val="clear" w:color="auto" w:fill="D99594"/>
          </w:tcPr>
          <w:p w14:paraId="6143CC2C" w14:textId="2192A42C" w:rsidR="00207DBD" w:rsidRPr="00280389" w:rsidRDefault="007919CD" w:rsidP="0084354E">
            <w:pPr>
              <w:rPr>
                <w:rFonts w:ascii="Zapf Dingbats" w:hAnsi="Zapf Dingbats" w:cs="Gill Sans"/>
                <w:sz w:val="22"/>
                <w:szCs w:val="22"/>
                <w:lang w:val="en-GB"/>
              </w:rPr>
            </w:pPr>
            <w:r w:rsidRPr="00280389">
              <w:rPr>
                <w:rFonts w:ascii="Zapf Dingbats" w:eastAsia="MS Mincho" w:hAnsi="Zapf Dingbats" w:cs="MS Mincho"/>
                <w:noProof/>
                <w:sz w:val="22"/>
                <w:szCs w:val="22"/>
                <w:lang w:val="en-GB"/>
              </w:rPr>
              <w:t>✔</w:t>
            </w:r>
          </w:p>
        </w:tc>
        <w:tc>
          <w:tcPr>
            <w:tcW w:w="436" w:type="dxa"/>
            <w:vMerge w:val="restart"/>
            <w:tcBorders>
              <w:top w:val="single" w:sz="18" w:space="0" w:color="FFFFFF"/>
              <w:left w:val="single" w:sz="2" w:space="0" w:color="FFFFFF"/>
              <w:right w:val="single" w:sz="2" w:space="0" w:color="FFFFFF"/>
            </w:tcBorders>
            <w:shd w:val="clear" w:color="auto" w:fill="D99594"/>
          </w:tcPr>
          <w:p w14:paraId="00FCABF3" w14:textId="77777777" w:rsidR="00207DBD" w:rsidRPr="009651AC" w:rsidRDefault="00207DBD" w:rsidP="0084354E">
            <w:pPr>
              <w:rPr>
                <w:rFonts w:ascii="Gill Sans" w:hAnsi="Gill Sans" w:cs="Gill Sans"/>
                <w:sz w:val="22"/>
                <w:szCs w:val="22"/>
                <w:lang w:val="en-GB"/>
              </w:rPr>
            </w:pPr>
          </w:p>
        </w:tc>
        <w:tc>
          <w:tcPr>
            <w:tcW w:w="423" w:type="dxa"/>
            <w:vMerge w:val="restart"/>
            <w:tcBorders>
              <w:top w:val="single" w:sz="18" w:space="0" w:color="FFFFFF"/>
              <w:left w:val="single" w:sz="2" w:space="0" w:color="FFFFFF"/>
              <w:right w:val="single" w:sz="18" w:space="0" w:color="FFFFFF"/>
            </w:tcBorders>
            <w:shd w:val="clear" w:color="auto" w:fill="D99594"/>
          </w:tcPr>
          <w:p w14:paraId="785D3555" w14:textId="77777777" w:rsidR="00207DBD" w:rsidRPr="009651AC" w:rsidRDefault="00207DBD" w:rsidP="0084354E">
            <w:pPr>
              <w:rPr>
                <w:rFonts w:ascii="Gill Sans" w:hAnsi="Gill Sans" w:cs="Gill Sans"/>
                <w:sz w:val="22"/>
                <w:szCs w:val="22"/>
                <w:lang w:val="en-GB"/>
              </w:rPr>
            </w:pPr>
          </w:p>
        </w:tc>
      </w:tr>
      <w:tr w:rsidR="00D85EFE" w:rsidRPr="009651AC" w14:paraId="5457895B" w14:textId="77777777" w:rsidTr="00B223BA">
        <w:trPr>
          <w:trHeight w:val="663"/>
        </w:trPr>
        <w:tc>
          <w:tcPr>
            <w:tcW w:w="1451" w:type="dxa"/>
            <w:vMerge/>
            <w:tcBorders>
              <w:left w:val="nil"/>
              <w:bottom w:val="single" w:sz="18" w:space="0" w:color="FFFFFF"/>
            </w:tcBorders>
            <w:shd w:val="clear" w:color="auto" w:fill="000000"/>
          </w:tcPr>
          <w:p w14:paraId="20A7D5D9" w14:textId="77777777" w:rsidR="00207DBD" w:rsidRPr="009651AC" w:rsidRDefault="00207DBD" w:rsidP="0084354E">
            <w:pPr>
              <w:rPr>
                <w:rFonts w:ascii="Gill Sans" w:hAnsi="Gill Sans" w:cs="Gill Sans"/>
                <w:sz w:val="22"/>
                <w:szCs w:val="22"/>
                <w:lang w:val="en-GB"/>
              </w:rPr>
            </w:pPr>
          </w:p>
        </w:tc>
        <w:tc>
          <w:tcPr>
            <w:tcW w:w="475" w:type="dxa"/>
            <w:vMerge/>
            <w:tcBorders>
              <w:bottom w:val="single" w:sz="18" w:space="0" w:color="FFFFFF"/>
              <w:right w:val="single" w:sz="2" w:space="0" w:color="FFFFFF"/>
            </w:tcBorders>
            <w:shd w:val="clear" w:color="auto" w:fill="D6E3BC"/>
          </w:tcPr>
          <w:p w14:paraId="61C3BB40" w14:textId="77777777" w:rsidR="00207DBD" w:rsidRPr="00466E44" w:rsidRDefault="00207DBD" w:rsidP="0084354E">
            <w:pPr>
              <w:rPr>
                <w:rFonts w:ascii="Zapf Dingbats" w:eastAsia="MS Mincho" w:hAnsi="Zapf Dingbats" w:cs="MS Mincho"/>
                <w:noProof/>
                <w:sz w:val="22"/>
                <w:szCs w:val="22"/>
                <w:lang w:val="en-GB"/>
              </w:rPr>
            </w:pPr>
          </w:p>
        </w:tc>
        <w:tc>
          <w:tcPr>
            <w:tcW w:w="418" w:type="dxa"/>
            <w:vMerge/>
            <w:tcBorders>
              <w:left w:val="single" w:sz="2" w:space="0" w:color="FFFFFF"/>
              <w:bottom w:val="single" w:sz="18" w:space="0" w:color="FFFFFF"/>
              <w:right w:val="single" w:sz="2" w:space="0" w:color="FFFFFF"/>
            </w:tcBorders>
            <w:shd w:val="clear" w:color="auto" w:fill="D6E3BC"/>
          </w:tcPr>
          <w:p w14:paraId="2CF362CA" w14:textId="77777777" w:rsidR="00207DBD" w:rsidRPr="00466E44" w:rsidRDefault="00207DBD" w:rsidP="0084354E">
            <w:pPr>
              <w:rPr>
                <w:rFonts w:ascii="Zapf Dingbats" w:eastAsia="MS Mincho" w:hAnsi="Zapf Dingbats" w:cs="MS Mincho"/>
                <w:noProof/>
                <w:sz w:val="22"/>
                <w:szCs w:val="22"/>
                <w:lang w:val="en-GB"/>
              </w:rPr>
            </w:pPr>
          </w:p>
        </w:tc>
        <w:tc>
          <w:tcPr>
            <w:tcW w:w="343" w:type="dxa"/>
            <w:vMerge/>
            <w:tcBorders>
              <w:left w:val="single" w:sz="2" w:space="0" w:color="FFFFFF"/>
              <w:bottom w:val="single" w:sz="18" w:space="0" w:color="FFFFFF"/>
              <w:right w:val="single" w:sz="2" w:space="0" w:color="FFFFFF"/>
            </w:tcBorders>
            <w:shd w:val="clear" w:color="auto" w:fill="D6E3BC"/>
          </w:tcPr>
          <w:p w14:paraId="10219F60" w14:textId="77777777" w:rsidR="00207DBD" w:rsidRPr="00466E44" w:rsidRDefault="00207DBD" w:rsidP="0084354E">
            <w:pPr>
              <w:rPr>
                <w:rFonts w:ascii="Zapf Dingbats" w:eastAsia="MS Mincho" w:hAnsi="Zapf Dingbats" w:cs="MS Mincho"/>
                <w:noProof/>
                <w:sz w:val="22"/>
                <w:szCs w:val="22"/>
                <w:lang w:val="en-GB"/>
              </w:rPr>
            </w:pPr>
          </w:p>
        </w:tc>
        <w:tc>
          <w:tcPr>
            <w:tcW w:w="343" w:type="dxa"/>
            <w:vMerge/>
            <w:tcBorders>
              <w:left w:val="single" w:sz="2" w:space="0" w:color="FFFFFF"/>
              <w:bottom w:val="single" w:sz="18" w:space="0" w:color="FFFFFF"/>
              <w:right w:val="single" w:sz="18" w:space="0" w:color="FFFFFF"/>
            </w:tcBorders>
            <w:shd w:val="clear" w:color="auto" w:fill="D6E3BC"/>
          </w:tcPr>
          <w:p w14:paraId="74EBDDFE" w14:textId="77777777" w:rsidR="00207DBD" w:rsidRPr="00466E44" w:rsidRDefault="00207DBD" w:rsidP="0084354E">
            <w:pPr>
              <w:rPr>
                <w:rFonts w:ascii="Zapf Dingbats" w:eastAsia="MS Mincho" w:hAnsi="Zapf Dingbats" w:cs="MS Mincho"/>
                <w:noProof/>
                <w:sz w:val="22"/>
                <w:szCs w:val="22"/>
                <w:lang w:val="en-GB"/>
              </w:rPr>
            </w:pPr>
          </w:p>
        </w:tc>
        <w:tc>
          <w:tcPr>
            <w:tcW w:w="373" w:type="dxa"/>
            <w:gridSpan w:val="2"/>
            <w:vMerge/>
            <w:tcBorders>
              <w:top w:val="single" w:sz="4" w:space="0" w:color="auto"/>
              <w:left w:val="single" w:sz="2" w:space="0" w:color="FFFFFF"/>
              <w:bottom w:val="single" w:sz="18" w:space="0" w:color="FFFFFF"/>
              <w:right w:val="single" w:sz="4" w:space="0" w:color="FFFFFF" w:themeColor="background1"/>
            </w:tcBorders>
            <w:shd w:val="clear" w:color="auto" w:fill="FBD4B4"/>
          </w:tcPr>
          <w:p w14:paraId="17B05B5A" w14:textId="77777777" w:rsidR="00207DBD" w:rsidRPr="00466E44" w:rsidRDefault="00207DBD" w:rsidP="0084354E">
            <w:pPr>
              <w:rPr>
                <w:rFonts w:ascii="Zapf Dingbats" w:eastAsia="MS Mincho" w:hAnsi="Zapf Dingbats" w:cs="MS Mincho"/>
                <w:noProof/>
                <w:sz w:val="22"/>
                <w:szCs w:val="22"/>
                <w:lang w:val="en-GB"/>
              </w:rPr>
            </w:pPr>
          </w:p>
        </w:tc>
        <w:tc>
          <w:tcPr>
            <w:tcW w:w="337" w:type="dxa"/>
            <w:vMerge/>
            <w:tcBorders>
              <w:top w:val="single" w:sz="4" w:space="0" w:color="auto"/>
              <w:left w:val="single" w:sz="4" w:space="0" w:color="FFFFFF" w:themeColor="background1"/>
              <w:bottom w:val="single" w:sz="18" w:space="0" w:color="FFFFFF"/>
              <w:right w:val="single" w:sz="4" w:space="0" w:color="FFFFFF" w:themeColor="background1"/>
            </w:tcBorders>
            <w:shd w:val="clear" w:color="auto" w:fill="FBD4B4"/>
          </w:tcPr>
          <w:p w14:paraId="63AD4BC2" w14:textId="77777777" w:rsidR="00207DBD" w:rsidRPr="00466E44" w:rsidRDefault="00207DBD" w:rsidP="0084354E">
            <w:pPr>
              <w:rPr>
                <w:rFonts w:ascii="Zapf Dingbats" w:eastAsia="MS Mincho" w:hAnsi="Zapf Dingbats" w:cs="MS Mincho"/>
                <w:noProof/>
                <w:sz w:val="22"/>
                <w:szCs w:val="22"/>
                <w:lang w:val="en-GB"/>
              </w:rPr>
            </w:pPr>
          </w:p>
        </w:tc>
        <w:tc>
          <w:tcPr>
            <w:tcW w:w="396" w:type="dxa"/>
            <w:vMerge/>
            <w:tcBorders>
              <w:top w:val="single" w:sz="4" w:space="0" w:color="auto"/>
              <w:left w:val="single" w:sz="4" w:space="0" w:color="FFFFFF" w:themeColor="background1"/>
              <w:bottom w:val="single" w:sz="18" w:space="0" w:color="FFFFFF"/>
              <w:right w:val="single" w:sz="4" w:space="0" w:color="FFFFFF" w:themeColor="background1"/>
            </w:tcBorders>
            <w:shd w:val="clear" w:color="auto" w:fill="FBD4B4"/>
          </w:tcPr>
          <w:p w14:paraId="0A4036EF" w14:textId="77777777" w:rsidR="00207DBD" w:rsidRPr="00466E44" w:rsidRDefault="00207DBD" w:rsidP="0084354E">
            <w:pPr>
              <w:rPr>
                <w:rFonts w:ascii="Zapf Dingbats" w:eastAsia="MS Mincho" w:hAnsi="Zapf Dingbats" w:cs="MS Mincho"/>
                <w:noProof/>
                <w:sz w:val="22"/>
                <w:szCs w:val="22"/>
                <w:lang w:val="en-GB"/>
              </w:rPr>
            </w:pPr>
          </w:p>
        </w:tc>
        <w:tc>
          <w:tcPr>
            <w:tcW w:w="778" w:type="dxa"/>
            <w:vMerge/>
            <w:tcBorders>
              <w:left w:val="single" w:sz="4" w:space="0" w:color="FFFFFF" w:themeColor="background1"/>
              <w:bottom w:val="single" w:sz="18" w:space="0" w:color="FFFFFF"/>
              <w:right w:val="single" w:sz="18" w:space="0" w:color="FFFFFF"/>
            </w:tcBorders>
            <w:shd w:val="clear" w:color="auto" w:fill="FBD4B4"/>
          </w:tcPr>
          <w:p w14:paraId="6D427986" w14:textId="77777777" w:rsidR="00207DBD" w:rsidRPr="00466E44" w:rsidRDefault="00207DBD" w:rsidP="0084354E">
            <w:pPr>
              <w:rPr>
                <w:rFonts w:ascii="Zapf Dingbats" w:eastAsia="MS Mincho" w:hAnsi="Zapf Dingbats" w:cs="MS Mincho"/>
                <w:noProof/>
                <w:sz w:val="22"/>
                <w:szCs w:val="22"/>
                <w:lang w:val="en-GB"/>
              </w:rPr>
            </w:pPr>
          </w:p>
        </w:tc>
        <w:tc>
          <w:tcPr>
            <w:tcW w:w="364" w:type="dxa"/>
            <w:vMerge/>
            <w:tcBorders>
              <w:left w:val="single" w:sz="18" w:space="0" w:color="FFFFFF"/>
              <w:bottom w:val="single" w:sz="18" w:space="0" w:color="FFFFFF"/>
              <w:right w:val="single" w:sz="2" w:space="0" w:color="FFFFFF"/>
            </w:tcBorders>
            <w:shd w:val="clear" w:color="auto" w:fill="CCC0D9"/>
          </w:tcPr>
          <w:p w14:paraId="2A3CEB9D" w14:textId="77777777" w:rsidR="00207DBD" w:rsidRPr="00466E44" w:rsidRDefault="00207DBD" w:rsidP="0084354E">
            <w:pPr>
              <w:rPr>
                <w:rFonts w:ascii="Zapf Dingbats" w:eastAsia="MS Mincho" w:hAnsi="Zapf Dingbats" w:cs="MS Mincho"/>
                <w:noProof/>
                <w:sz w:val="22"/>
                <w:szCs w:val="22"/>
                <w:lang w:val="en-GB"/>
              </w:rPr>
            </w:pPr>
          </w:p>
        </w:tc>
        <w:tc>
          <w:tcPr>
            <w:tcW w:w="341" w:type="dxa"/>
            <w:vMerge/>
            <w:tcBorders>
              <w:left w:val="single" w:sz="2" w:space="0" w:color="FFFFFF"/>
              <w:bottom w:val="single" w:sz="18" w:space="0" w:color="FFFFFF"/>
              <w:right w:val="single" w:sz="2" w:space="0" w:color="FFFFFF"/>
            </w:tcBorders>
            <w:shd w:val="clear" w:color="auto" w:fill="CCC0D9"/>
          </w:tcPr>
          <w:p w14:paraId="7E27A918" w14:textId="77777777" w:rsidR="00207DBD" w:rsidRPr="00466E44" w:rsidRDefault="00207DBD" w:rsidP="0084354E">
            <w:pPr>
              <w:rPr>
                <w:rFonts w:ascii="Zapf Dingbats" w:eastAsia="MS Mincho" w:hAnsi="Zapf Dingbats" w:cs="MS Mincho"/>
                <w:noProof/>
                <w:sz w:val="22"/>
                <w:szCs w:val="22"/>
                <w:lang w:val="en-GB"/>
              </w:rPr>
            </w:pPr>
          </w:p>
        </w:tc>
        <w:tc>
          <w:tcPr>
            <w:tcW w:w="417" w:type="dxa"/>
            <w:vMerge/>
            <w:tcBorders>
              <w:left w:val="single" w:sz="2" w:space="0" w:color="FFFFFF"/>
              <w:bottom w:val="single" w:sz="18" w:space="0" w:color="FFFFFF"/>
              <w:right w:val="single" w:sz="2" w:space="0" w:color="FFFFFF"/>
            </w:tcBorders>
            <w:shd w:val="clear" w:color="auto" w:fill="CCC0D9"/>
          </w:tcPr>
          <w:p w14:paraId="528EED5C" w14:textId="77777777" w:rsidR="00207DBD" w:rsidRPr="00466E44" w:rsidRDefault="00207DBD" w:rsidP="0084354E">
            <w:pPr>
              <w:rPr>
                <w:rFonts w:ascii="Zapf Dingbats" w:eastAsia="MS Mincho" w:hAnsi="Zapf Dingbats" w:cs="MS Mincho"/>
                <w:noProof/>
                <w:sz w:val="22"/>
                <w:szCs w:val="22"/>
                <w:lang w:val="en-GB"/>
              </w:rPr>
            </w:pPr>
          </w:p>
        </w:tc>
        <w:tc>
          <w:tcPr>
            <w:tcW w:w="318" w:type="dxa"/>
            <w:vMerge/>
            <w:tcBorders>
              <w:left w:val="single" w:sz="2" w:space="0" w:color="FFFFFF"/>
              <w:bottom w:val="single" w:sz="18" w:space="0" w:color="FFFFFF"/>
              <w:right w:val="single" w:sz="18" w:space="0" w:color="FFFFFF"/>
            </w:tcBorders>
            <w:shd w:val="clear" w:color="auto" w:fill="CCC0D9"/>
          </w:tcPr>
          <w:p w14:paraId="5034D523" w14:textId="77777777" w:rsidR="00207DBD" w:rsidRPr="00466E44" w:rsidRDefault="00207DBD" w:rsidP="0084354E">
            <w:pPr>
              <w:rPr>
                <w:rFonts w:ascii="Zapf Dingbats" w:eastAsia="MS Mincho" w:hAnsi="Zapf Dingbats" w:cs="MS Mincho"/>
                <w:noProof/>
                <w:sz w:val="22"/>
                <w:szCs w:val="22"/>
                <w:lang w:val="en-GB"/>
              </w:rPr>
            </w:pPr>
          </w:p>
        </w:tc>
        <w:tc>
          <w:tcPr>
            <w:tcW w:w="491"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15E17D14" w14:textId="77777777" w:rsidR="00207DBD" w:rsidRPr="00466E44" w:rsidRDefault="00207DBD" w:rsidP="0084354E">
            <w:pPr>
              <w:rPr>
                <w:rFonts w:ascii="Zapf Dingbats" w:eastAsia="MS Mincho" w:hAnsi="Zapf Dingbats" w:cs="MS Mincho"/>
                <w:noProof/>
                <w:sz w:val="22"/>
                <w:szCs w:val="22"/>
                <w:lang w:val="en-GB"/>
              </w:rPr>
            </w:pPr>
          </w:p>
        </w:tc>
        <w:tc>
          <w:tcPr>
            <w:tcW w:w="516" w:type="dxa"/>
            <w:tcBorders>
              <w:top w:val="single" w:sz="8" w:space="0" w:color="FFFFFF" w:themeColor="background1"/>
              <w:left w:val="single" w:sz="4" w:space="0" w:color="FFFFFF" w:themeColor="background1"/>
              <w:bottom w:val="single" w:sz="18" w:space="0" w:color="FFFFFF"/>
              <w:right w:val="single" w:sz="2" w:space="0" w:color="FFFFFF"/>
            </w:tcBorders>
            <w:shd w:val="clear" w:color="auto" w:fill="B8CCE4"/>
          </w:tcPr>
          <w:p w14:paraId="0688282F" w14:textId="77777777" w:rsidR="00207DBD" w:rsidRPr="00466E44" w:rsidRDefault="00207DBD" w:rsidP="0084354E">
            <w:pPr>
              <w:rPr>
                <w:rFonts w:ascii="Zapf Dingbats" w:eastAsia="MS Mincho" w:hAnsi="Zapf Dingbats" w:cs="MS Mincho"/>
                <w:noProof/>
                <w:sz w:val="22"/>
                <w:szCs w:val="22"/>
                <w:lang w:val="en-GB"/>
              </w:rPr>
            </w:pPr>
          </w:p>
        </w:tc>
        <w:tc>
          <w:tcPr>
            <w:tcW w:w="516" w:type="dxa"/>
            <w:tcBorders>
              <w:top w:val="single" w:sz="8" w:space="0" w:color="FFFFFF" w:themeColor="background1"/>
              <w:left w:val="single" w:sz="2" w:space="0" w:color="FFFFFF"/>
              <w:bottom w:val="single" w:sz="18" w:space="0" w:color="FFFFFF"/>
              <w:right w:val="single" w:sz="2" w:space="0" w:color="FFFFFF"/>
            </w:tcBorders>
            <w:shd w:val="clear" w:color="auto" w:fill="B8CCE4"/>
          </w:tcPr>
          <w:p w14:paraId="307A443A" w14:textId="77777777" w:rsidR="00207DBD" w:rsidRPr="00466E44" w:rsidRDefault="00207DBD" w:rsidP="0084354E">
            <w:pPr>
              <w:rPr>
                <w:rFonts w:ascii="Zapf Dingbats" w:eastAsia="MS Mincho" w:hAnsi="Zapf Dingbats" w:cs="MS Mincho"/>
                <w:noProof/>
                <w:sz w:val="22"/>
                <w:szCs w:val="22"/>
                <w:lang w:val="en-GB"/>
              </w:rPr>
            </w:pPr>
          </w:p>
        </w:tc>
        <w:tc>
          <w:tcPr>
            <w:tcW w:w="405" w:type="dxa"/>
            <w:tcBorders>
              <w:top w:val="single" w:sz="8" w:space="0" w:color="FFFFFF" w:themeColor="background1"/>
              <w:left w:val="single" w:sz="2" w:space="0" w:color="FFFFFF"/>
              <w:bottom w:val="single" w:sz="18" w:space="0" w:color="FFFFFF"/>
              <w:right w:val="single" w:sz="18" w:space="0" w:color="FFFFFF"/>
            </w:tcBorders>
            <w:shd w:val="clear" w:color="auto" w:fill="B8CCE4"/>
          </w:tcPr>
          <w:p w14:paraId="5D9844E7" w14:textId="7BF870E4" w:rsidR="00207DBD" w:rsidRPr="00466E44" w:rsidRDefault="00F269F6" w:rsidP="0084354E">
            <w:pPr>
              <w:rPr>
                <w:rFonts w:ascii="Zapf Dingbats" w:eastAsia="MS Mincho" w:hAnsi="Zapf Dingbats" w:cs="MS Mincho"/>
                <w:noProof/>
                <w:sz w:val="22"/>
                <w:szCs w:val="22"/>
                <w:lang w:val="en-GB"/>
              </w:rPr>
            </w:pPr>
            <w:r w:rsidRPr="00466E44">
              <w:rPr>
                <w:rFonts w:ascii="Zapf Dingbats" w:eastAsia="MS Mincho" w:hAnsi="Zapf Dingbats" w:cs="MS Mincho"/>
                <w:noProof/>
                <w:sz w:val="22"/>
                <w:szCs w:val="22"/>
                <w:lang w:val="en-GB"/>
              </w:rPr>
              <w:t>✔</w:t>
            </w:r>
          </w:p>
        </w:tc>
        <w:tc>
          <w:tcPr>
            <w:tcW w:w="341" w:type="dxa"/>
            <w:vMerge/>
            <w:tcBorders>
              <w:left w:val="single" w:sz="18" w:space="0" w:color="FFFFFF"/>
              <w:bottom w:val="single" w:sz="18" w:space="0" w:color="FFFFFF"/>
              <w:right w:val="single" w:sz="2" w:space="0" w:color="FFFFFF"/>
            </w:tcBorders>
            <w:shd w:val="clear" w:color="auto" w:fill="D99594"/>
          </w:tcPr>
          <w:p w14:paraId="359837F9" w14:textId="77777777" w:rsidR="00207DBD" w:rsidRPr="009651AC" w:rsidRDefault="00207DBD" w:rsidP="0084354E">
            <w:pPr>
              <w:rPr>
                <w:rFonts w:ascii="Gill Sans" w:hAnsi="Gill Sans" w:cs="Gill Sans"/>
                <w:sz w:val="22"/>
                <w:szCs w:val="22"/>
                <w:lang w:val="en-GB"/>
              </w:rPr>
            </w:pPr>
          </w:p>
        </w:tc>
        <w:tc>
          <w:tcPr>
            <w:tcW w:w="385" w:type="dxa"/>
            <w:vMerge/>
            <w:tcBorders>
              <w:left w:val="single" w:sz="2" w:space="0" w:color="FFFFFF"/>
              <w:bottom w:val="single" w:sz="18" w:space="0" w:color="FFFFFF"/>
              <w:right w:val="single" w:sz="2" w:space="0" w:color="FFFFFF"/>
            </w:tcBorders>
            <w:shd w:val="clear" w:color="auto" w:fill="D99594"/>
          </w:tcPr>
          <w:p w14:paraId="2BA80E12" w14:textId="77777777" w:rsidR="00207DBD" w:rsidRPr="009651AC" w:rsidRDefault="00207DBD" w:rsidP="0084354E">
            <w:pPr>
              <w:rPr>
                <w:rFonts w:ascii="Gill Sans" w:hAnsi="Gill Sans" w:cs="Gill Sans"/>
                <w:sz w:val="22"/>
                <w:szCs w:val="22"/>
                <w:lang w:val="en-GB"/>
              </w:rPr>
            </w:pPr>
          </w:p>
        </w:tc>
        <w:tc>
          <w:tcPr>
            <w:tcW w:w="341" w:type="dxa"/>
            <w:vMerge/>
            <w:tcBorders>
              <w:left w:val="single" w:sz="2" w:space="0" w:color="FFFFFF"/>
              <w:bottom w:val="single" w:sz="18" w:space="0" w:color="FFFFFF"/>
              <w:right w:val="single" w:sz="2" w:space="0" w:color="FFFFFF"/>
            </w:tcBorders>
            <w:shd w:val="clear" w:color="auto" w:fill="D99594"/>
          </w:tcPr>
          <w:p w14:paraId="69308E5F" w14:textId="77777777" w:rsidR="00207DBD" w:rsidRPr="009651AC" w:rsidRDefault="00207DBD" w:rsidP="0084354E">
            <w:pPr>
              <w:rPr>
                <w:rFonts w:ascii="Gill Sans" w:hAnsi="Gill Sans" w:cs="Gill Sans"/>
                <w:sz w:val="22"/>
                <w:szCs w:val="22"/>
                <w:lang w:val="en-GB"/>
              </w:rPr>
            </w:pPr>
          </w:p>
        </w:tc>
        <w:tc>
          <w:tcPr>
            <w:tcW w:w="436" w:type="dxa"/>
            <w:vMerge/>
            <w:tcBorders>
              <w:left w:val="single" w:sz="2" w:space="0" w:color="FFFFFF"/>
              <w:bottom w:val="single" w:sz="18" w:space="0" w:color="FFFFFF"/>
              <w:right w:val="single" w:sz="2" w:space="0" w:color="FFFFFF"/>
            </w:tcBorders>
            <w:shd w:val="clear" w:color="auto" w:fill="D99594"/>
          </w:tcPr>
          <w:p w14:paraId="06D2B772" w14:textId="77777777" w:rsidR="00207DBD" w:rsidRPr="009651AC" w:rsidRDefault="00207DBD" w:rsidP="0084354E">
            <w:pPr>
              <w:rPr>
                <w:rFonts w:ascii="Gill Sans" w:hAnsi="Gill Sans" w:cs="Gill Sans"/>
                <w:sz w:val="22"/>
                <w:szCs w:val="22"/>
                <w:lang w:val="en-GB"/>
              </w:rPr>
            </w:pPr>
          </w:p>
        </w:tc>
        <w:tc>
          <w:tcPr>
            <w:tcW w:w="423" w:type="dxa"/>
            <w:vMerge/>
            <w:tcBorders>
              <w:left w:val="single" w:sz="2" w:space="0" w:color="FFFFFF"/>
              <w:bottom w:val="single" w:sz="18" w:space="0" w:color="FFFFFF"/>
              <w:right w:val="single" w:sz="18" w:space="0" w:color="FFFFFF"/>
            </w:tcBorders>
            <w:shd w:val="clear" w:color="auto" w:fill="D99594"/>
          </w:tcPr>
          <w:p w14:paraId="5CD4373A" w14:textId="77777777" w:rsidR="00207DBD" w:rsidRPr="009651AC" w:rsidRDefault="00207DBD" w:rsidP="0084354E">
            <w:pPr>
              <w:rPr>
                <w:rFonts w:ascii="Gill Sans" w:hAnsi="Gill Sans" w:cs="Gill Sans"/>
                <w:sz w:val="22"/>
                <w:szCs w:val="22"/>
                <w:lang w:val="en-GB"/>
              </w:rPr>
            </w:pPr>
          </w:p>
        </w:tc>
      </w:tr>
    </w:tbl>
    <w:p w14:paraId="1BA73748" w14:textId="77777777" w:rsidR="00B223BA" w:rsidRDefault="00B223BA" w:rsidP="006319F4">
      <w:pPr>
        <w:pStyle w:val="Heading3"/>
      </w:pPr>
    </w:p>
    <w:p w14:paraId="72E7BCC8" w14:textId="20A8B3CF" w:rsidR="00677BA9" w:rsidRPr="00D85EFE" w:rsidRDefault="00677BA9" w:rsidP="006319F4">
      <w:pPr>
        <w:pStyle w:val="Heading3"/>
      </w:pPr>
      <w:r w:rsidRPr="00D85EFE">
        <w:t xml:space="preserve">Commitment </w:t>
      </w:r>
      <w:r w:rsidR="00561217">
        <w:t>a</w:t>
      </w:r>
      <w:r w:rsidRPr="00D85EFE">
        <w:t>im</w:t>
      </w:r>
    </w:p>
    <w:p w14:paraId="781000C3" w14:textId="4FB1C7DE" w:rsidR="00F269F6" w:rsidRPr="00F269F6" w:rsidRDefault="00211D1B" w:rsidP="00F269F6">
      <w:pPr>
        <w:spacing w:after="120"/>
        <w:rPr>
          <w:rFonts w:ascii="Gill Sans" w:hAnsi="Gill Sans" w:cs="Gill Sans"/>
          <w:b/>
          <w:noProof/>
          <w:sz w:val="22"/>
          <w:szCs w:val="22"/>
          <w:lang w:val="en-GB"/>
        </w:rPr>
      </w:pPr>
      <w:r>
        <w:rPr>
          <w:rFonts w:ascii="Gill Sans" w:hAnsi="Gill Sans" w:cs="Gill Sans"/>
          <w:b/>
          <w:noProof/>
          <w:sz w:val="22"/>
          <w:szCs w:val="22"/>
          <w:lang w:val="en-GB"/>
        </w:rPr>
        <w:t xml:space="preserve">21. </w:t>
      </w:r>
      <w:r w:rsidR="00F269F6" w:rsidRPr="00F269F6">
        <w:rPr>
          <w:rFonts w:ascii="Gill Sans" w:hAnsi="Gill Sans" w:cs="Gill Sans"/>
          <w:b/>
          <w:noProof/>
          <w:sz w:val="22"/>
          <w:szCs w:val="22"/>
          <w:lang w:val="en-GB"/>
        </w:rPr>
        <w:t>Roadmap for Development of Electronic Democracy</w:t>
      </w:r>
    </w:p>
    <w:p w14:paraId="5314C530" w14:textId="3EAA24FA" w:rsidR="00F269F6" w:rsidRPr="00F269F6" w:rsidRDefault="0056253F" w:rsidP="00D85EFE">
      <w:pPr>
        <w:spacing w:after="120"/>
        <w:rPr>
          <w:rFonts w:ascii="Gill Sans" w:hAnsi="Gill Sans" w:cs="Gill Sans"/>
          <w:noProof/>
          <w:sz w:val="22"/>
          <w:szCs w:val="22"/>
          <w:lang w:val="en-GB"/>
        </w:rPr>
      </w:pPr>
      <w:r>
        <w:rPr>
          <w:rFonts w:ascii="Gill Sans" w:hAnsi="Gill Sans" w:cs="Gill Sans"/>
          <w:noProof/>
          <w:sz w:val="22"/>
          <w:szCs w:val="22"/>
          <w:lang w:val="en-GB"/>
        </w:rPr>
        <w:t>The commitment aim</w:t>
      </w:r>
      <w:r w:rsidR="00D85EFE">
        <w:rPr>
          <w:rFonts w:ascii="Gill Sans" w:hAnsi="Gill Sans" w:cs="Gill Sans"/>
          <w:noProof/>
          <w:sz w:val="22"/>
          <w:szCs w:val="22"/>
          <w:lang w:val="en-GB"/>
        </w:rPr>
        <w:t>ed</w:t>
      </w:r>
      <w:r w:rsidR="00F269F6" w:rsidRPr="00F269F6">
        <w:rPr>
          <w:rFonts w:ascii="Gill Sans" w:hAnsi="Gill Sans" w:cs="Gill Sans"/>
          <w:noProof/>
          <w:sz w:val="22"/>
          <w:szCs w:val="22"/>
          <w:lang w:val="en-GB"/>
        </w:rPr>
        <w:t xml:space="preserve"> to develop proposals on ways to realise the potential of e-democracy tools</w:t>
      </w:r>
      <w:r w:rsidR="0050151E">
        <w:rPr>
          <w:rFonts w:ascii="Gill Sans" w:hAnsi="Gill Sans" w:cs="Gill Sans"/>
          <w:noProof/>
          <w:sz w:val="22"/>
          <w:szCs w:val="22"/>
          <w:lang w:val="en-GB"/>
        </w:rPr>
        <w:t>. Such tools would</w:t>
      </w:r>
      <w:r w:rsidR="00F269F6" w:rsidRPr="00F269F6">
        <w:rPr>
          <w:rFonts w:ascii="Gill Sans" w:hAnsi="Gill Sans" w:cs="Gill Sans"/>
          <w:noProof/>
          <w:sz w:val="22"/>
          <w:szCs w:val="22"/>
          <w:lang w:val="en-GB"/>
        </w:rPr>
        <w:t xml:space="preserve"> ensure citizens</w:t>
      </w:r>
      <w:r w:rsidR="00D85EFE">
        <w:rPr>
          <w:rFonts w:ascii="Gill Sans" w:hAnsi="Gill Sans" w:cs="Gill Sans"/>
          <w:noProof/>
          <w:sz w:val="22"/>
          <w:szCs w:val="22"/>
          <w:lang w:val="en-GB"/>
        </w:rPr>
        <w:t>’</w:t>
      </w:r>
      <w:r w:rsidR="00F269F6" w:rsidRPr="00F269F6">
        <w:rPr>
          <w:rFonts w:ascii="Gill Sans" w:hAnsi="Gill Sans" w:cs="Gill Sans"/>
          <w:noProof/>
          <w:sz w:val="22"/>
          <w:szCs w:val="22"/>
          <w:lang w:val="en-GB"/>
        </w:rPr>
        <w:t xml:space="preserve"> ability to influence public authorities</w:t>
      </w:r>
      <w:r w:rsidR="00D85EFE">
        <w:rPr>
          <w:rFonts w:ascii="Gill Sans" w:hAnsi="Gill Sans" w:cs="Gill Sans"/>
          <w:noProof/>
          <w:sz w:val="22"/>
          <w:szCs w:val="22"/>
          <w:lang w:val="en-GB"/>
        </w:rPr>
        <w:t>’</w:t>
      </w:r>
      <w:r w:rsidR="00F269F6" w:rsidRPr="00F269F6">
        <w:rPr>
          <w:rFonts w:ascii="Gill Sans" w:hAnsi="Gill Sans" w:cs="Gill Sans"/>
          <w:noProof/>
          <w:sz w:val="22"/>
          <w:szCs w:val="22"/>
          <w:lang w:val="en-GB"/>
        </w:rPr>
        <w:t xml:space="preserve"> decisions</w:t>
      </w:r>
      <w:r w:rsidR="0050151E">
        <w:rPr>
          <w:rFonts w:ascii="Gill Sans" w:hAnsi="Gill Sans" w:cs="Gill Sans"/>
          <w:noProof/>
          <w:sz w:val="22"/>
          <w:szCs w:val="22"/>
          <w:lang w:val="en-GB"/>
        </w:rPr>
        <w:t>,</w:t>
      </w:r>
      <w:r w:rsidR="00F269F6" w:rsidRPr="00F269F6">
        <w:rPr>
          <w:rFonts w:ascii="Gill Sans" w:hAnsi="Gill Sans" w:cs="Gill Sans"/>
          <w:noProof/>
          <w:sz w:val="22"/>
          <w:szCs w:val="22"/>
          <w:lang w:val="en-GB"/>
        </w:rPr>
        <w:t xml:space="preserve"> and provide public oversight of these authorities. </w:t>
      </w:r>
    </w:p>
    <w:p w14:paraId="1482831F" w14:textId="1D1A0600" w:rsidR="00F269F6" w:rsidRPr="007919CD" w:rsidRDefault="00211D1B" w:rsidP="007919CD">
      <w:pPr>
        <w:spacing w:after="120"/>
        <w:rPr>
          <w:rFonts w:ascii="Gill Sans" w:hAnsi="Gill Sans" w:cs="Gill Sans"/>
          <w:b/>
          <w:noProof/>
          <w:sz w:val="22"/>
          <w:szCs w:val="22"/>
          <w:lang w:val="en-GB"/>
        </w:rPr>
      </w:pPr>
      <w:r w:rsidRPr="007919CD">
        <w:rPr>
          <w:rFonts w:ascii="Gill Sans" w:hAnsi="Gill Sans" w:cs="Gill Sans"/>
          <w:b/>
          <w:noProof/>
          <w:sz w:val="22"/>
          <w:szCs w:val="22"/>
          <w:lang w:val="en-GB"/>
        </w:rPr>
        <w:t xml:space="preserve">23. </w:t>
      </w:r>
      <w:r w:rsidR="00F269F6" w:rsidRPr="007919CD">
        <w:rPr>
          <w:rFonts w:ascii="Gill Sans" w:hAnsi="Gill Sans" w:cs="Gill Sans"/>
          <w:b/>
          <w:noProof/>
          <w:sz w:val="22"/>
          <w:szCs w:val="22"/>
          <w:lang w:val="en-GB"/>
        </w:rPr>
        <w:t>Government regulation of e-petitions</w:t>
      </w:r>
    </w:p>
    <w:p w14:paraId="59FBB23A" w14:textId="6CFF850A" w:rsidR="00F269F6" w:rsidRPr="007919CD" w:rsidRDefault="00F269F6" w:rsidP="00D85EFE">
      <w:pPr>
        <w:spacing w:after="120"/>
        <w:rPr>
          <w:rFonts w:ascii="Gill Sans" w:hAnsi="Gill Sans" w:cs="Gill Sans"/>
          <w:noProof/>
          <w:sz w:val="22"/>
          <w:szCs w:val="22"/>
          <w:lang w:val="en-GB"/>
        </w:rPr>
      </w:pPr>
      <w:r w:rsidRPr="007919CD">
        <w:rPr>
          <w:rFonts w:ascii="Gill Sans" w:hAnsi="Gill Sans" w:cs="Gill Sans"/>
          <w:noProof/>
          <w:sz w:val="22"/>
          <w:szCs w:val="22"/>
          <w:lang w:val="en-GB"/>
        </w:rPr>
        <w:t>Until recently, the Law of Ukraine on Citizens' Petitions (the Law on Petitions) did not include procedures for processing petitions submitted electronic</w:t>
      </w:r>
      <w:r w:rsidR="00D85EFE">
        <w:rPr>
          <w:rFonts w:ascii="Gill Sans" w:hAnsi="Gill Sans" w:cs="Gill Sans"/>
          <w:noProof/>
          <w:sz w:val="22"/>
          <w:szCs w:val="22"/>
          <w:lang w:val="en-GB"/>
        </w:rPr>
        <w:t>ally</w:t>
      </w:r>
      <w:r w:rsidRPr="007919CD">
        <w:rPr>
          <w:rFonts w:ascii="Gill Sans" w:hAnsi="Gill Sans" w:cs="Gill Sans"/>
          <w:noProof/>
          <w:sz w:val="22"/>
          <w:szCs w:val="22"/>
          <w:lang w:val="en-GB"/>
        </w:rPr>
        <w:t xml:space="preserve">. The government planned to fill this gap by regulating </w:t>
      </w:r>
      <w:r w:rsidR="00D85EFE">
        <w:rPr>
          <w:rFonts w:ascii="Gill Sans" w:hAnsi="Gill Sans" w:cs="Gill Sans"/>
          <w:noProof/>
          <w:sz w:val="22"/>
          <w:szCs w:val="22"/>
          <w:lang w:val="en-GB"/>
        </w:rPr>
        <w:t xml:space="preserve">the </w:t>
      </w:r>
      <w:r w:rsidRPr="007919CD">
        <w:rPr>
          <w:rFonts w:ascii="Gill Sans" w:hAnsi="Gill Sans" w:cs="Gill Sans"/>
          <w:noProof/>
          <w:sz w:val="22"/>
          <w:szCs w:val="22"/>
          <w:lang w:val="en-GB"/>
        </w:rPr>
        <w:t>procedure for processing electronic petitions in its by-laws. This was supposed to introduce a new way for citizens</w:t>
      </w:r>
      <w:r w:rsidR="00D85EFE">
        <w:rPr>
          <w:rFonts w:ascii="Gill Sans" w:hAnsi="Gill Sans" w:cs="Gill Sans"/>
          <w:noProof/>
          <w:sz w:val="22"/>
          <w:szCs w:val="22"/>
          <w:lang w:val="en-GB"/>
        </w:rPr>
        <w:t xml:space="preserve"> to</w:t>
      </w:r>
      <w:r w:rsidRPr="007919CD">
        <w:rPr>
          <w:rFonts w:ascii="Gill Sans" w:hAnsi="Gill Sans" w:cs="Gill Sans"/>
          <w:noProof/>
          <w:sz w:val="22"/>
          <w:szCs w:val="22"/>
          <w:lang w:val="en-GB"/>
        </w:rPr>
        <w:t xml:space="preserve"> communicat</w:t>
      </w:r>
      <w:r w:rsidR="00D85EFE">
        <w:rPr>
          <w:rFonts w:ascii="Gill Sans" w:hAnsi="Gill Sans" w:cs="Gill Sans"/>
          <w:noProof/>
          <w:sz w:val="22"/>
          <w:szCs w:val="22"/>
          <w:lang w:val="en-GB"/>
        </w:rPr>
        <w:t>e</w:t>
      </w:r>
      <w:r w:rsidRPr="007919CD">
        <w:rPr>
          <w:rFonts w:ascii="Gill Sans" w:hAnsi="Gill Sans" w:cs="Gill Sans"/>
          <w:noProof/>
          <w:sz w:val="22"/>
          <w:szCs w:val="22"/>
          <w:lang w:val="en-GB"/>
        </w:rPr>
        <w:t xml:space="preserve"> with authorities </w:t>
      </w:r>
      <w:r w:rsidR="00D85EFE">
        <w:rPr>
          <w:rFonts w:ascii="Gill Sans" w:hAnsi="Gill Sans" w:cs="Gill Sans"/>
          <w:noProof/>
          <w:sz w:val="22"/>
          <w:szCs w:val="22"/>
          <w:lang w:val="en-GB"/>
        </w:rPr>
        <w:t>via the electronic</w:t>
      </w:r>
      <w:r w:rsidR="00D85EFE" w:rsidRPr="007919CD">
        <w:rPr>
          <w:rFonts w:ascii="Gill Sans" w:hAnsi="Gill Sans" w:cs="Gill Sans"/>
          <w:noProof/>
          <w:sz w:val="22"/>
          <w:szCs w:val="22"/>
          <w:lang w:val="en-GB"/>
        </w:rPr>
        <w:t xml:space="preserve"> </w:t>
      </w:r>
      <w:r w:rsidRPr="007919CD">
        <w:rPr>
          <w:rFonts w:ascii="Gill Sans" w:hAnsi="Gill Sans" w:cs="Gill Sans"/>
          <w:noProof/>
          <w:sz w:val="22"/>
          <w:szCs w:val="22"/>
          <w:lang w:val="en-GB"/>
        </w:rPr>
        <w:t>submission of petitions (complaints, requests, proposals, etc.)</w:t>
      </w:r>
      <w:r w:rsidR="00D85EFE">
        <w:rPr>
          <w:rFonts w:ascii="Gill Sans" w:hAnsi="Gill Sans" w:cs="Gill Sans"/>
          <w:noProof/>
          <w:sz w:val="22"/>
          <w:szCs w:val="22"/>
          <w:lang w:val="en-GB"/>
        </w:rPr>
        <w:t>.</w:t>
      </w:r>
    </w:p>
    <w:p w14:paraId="6D30140B" w14:textId="219FB4F7" w:rsidR="00677BA9" w:rsidRPr="007919CD" w:rsidRDefault="00677BA9" w:rsidP="006319F4">
      <w:pPr>
        <w:pStyle w:val="Heading3"/>
      </w:pPr>
      <w:r w:rsidRPr="007919CD">
        <w:t>Status</w:t>
      </w:r>
    </w:p>
    <w:p w14:paraId="2E00444E" w14:textId="0A64F5DC" w:rsidR="00F269F6" w:rsidRPr="007919CD" w:rsidRDefault="00211D1B" w:rsidP="007919CD">
      <w:pPr>
        <w:spacing w:after="120"/>
        <w:rPr>
          <w:rFonts w:ascii="Gill Sans" w:hAnsi="Gill Sans" w:cs="Gill Sans"/>
          <w:b/>
          <w:noProof/>
          <w:sz w:val="22"/>
          <w:szCs w:val="22"/>
          <w:lang w:val="en-GB"/>
        </w:rPr>
      </w:pPr>
      <w:r w:rsidRPr="007919CD">
        <w:rPr>
          <w:rFonts w:ascii="Gill Sans" w:hAnsi="Gill Sans" w:cs="Gill Sans"/>
          <w:b/>
          <w:noProof/>
          <w:sz w:val="22"/>
          <w:szCs w:val="22"/>
          <w:lang w:val="en-GB"/>
        </w:rPr>
        <w:t xml:space="preserve">21. </w:t>
      </w:r>
      <w:r w:rsidR="00F269F6" w:rsidRPr="007919CD">
        <w:rPr>
          <w:rFonts w:ascii="Gill Sans" w:hAnsi="Gill Sans" w:cs="Gill Sans"/>
          <w:b/>
          <w:noProof/>
          <w:sz w:val="22"/>
          <w:szCs w:val="22"/>
          <w:lang w:val="en-GB"/>
        </w:rPr>
        <w:t>Roadmap for Development of Electronic Democracy</w:t>
      </w:r>
    </w:p>
    <w:p w14:paraId="687DCF26" w14:textId="06EE239A" w:rsidR="00677BA9" w:rsidRPr="007919CD" w:rsidRDefault="00677BA9" w:rsidP="007919CD">
      <w:pPr>
        <w:pStyle w:val="Normalrglronly"/>
        <w:rPr>
          <w:b/>
          <w:lang w:val="en-GB"/>
        </w:rPr>
      </w:pPr>
      <w:r w:rsidRPr="007919CD">
        <w:rPr>
          <w:b/>
          <w:lang w:val="en-GB"/>
        </w:rPr>
        <w:t xml:space="preserve">Midterm: </w:t>
      </w:r>
      <w:r w:rsidR="00F269F6" w:rsidRPr="007919CD">
        <w:rPr>
          <w:b/>
          <w:lang w:val="en-GB"/>
        </w:rPr>
        <w:t>Substantial</w:t>
      </w:r>
    </w:p>
    <w:p w14:paraId="39385BF2" w14:textId="5827426B" w:rsidR="00F269F6" w:rsidRPr="007919CD" w:rsidRDefault="00F269F6" w:rsidP="00D85EFE">
      <w:pPr>
        <w:spacing w:after="120"/>
        <w:rPr>
          <w:rFonts w:ascii="Gill Sans" w:hAnsi="Gill Sans" w:cs="Gill Sans"/>
          <w:noProof/>
          <w:sz w:val="22"/>
          <w:szCs w:val="22"/>
          <w:lang w:val="en-GB"/>
        </w:rPr>
      </w:pPr>
      <w:r w:rsidRPr="007919CD">
        <w:rPr>
          <w:rFonts w:ascii="Gill Sans" w:hAnsi="Gill Sans" w:cs="Gill Sans"/>
          <w:sz w:val="22"/>
          <w:szCs w:val="22"/>
          <w:lang w:val="en-GB"/>
        </w:rPr>
        <w:t>Th</w:t>
      </w:r>
      <w:r w:rsidR="007919CD" w:rsidRPr="007919CD">
        <w:rPr>
          <w:rFonts w:ascii="Gill Sans" w:hAnsi="Gill Sans" w:cs="Gill Sans"/>
          <w:sz w:val="22"/>
          <w:szCs w:val="22"/>
          <w:lang w:val="en-GB"/>
        </w:rPr>
        <w:t>e title of the commitment referred</w:t>
      </w:r>
      <w:r w:rsidRPr="007919CD">
        <w:rPr>
          <w:rFonts w:ascii="Gill Sans" w:hAnsi="Gill Sans" w:cs="Gill Sans"/>
          <w:sz w:val="22"/>
          <w:szCs w:val="22"/>
          <w:lang w:val="en-GB"/>
        </w:rPr>
        <w:t xml:space="preserve"> to the development of a Roadmap for E-Democracy, </w:t>
      </w:r>
      <w:r w:rsidR="00D85EFE">
        <w:rPr>
          <w:rFonts w:ascii="Gill Sans" w:hAnsi="Gill Sans" w:cs="Gill Sans"/>
          <w:sz w:val="22"/>
          <w:szCs w:val="22"/>
          <w:lang w:val="en-GB"/>
        </w:rPr>
        <w:t>although</w:t>
      </w:r>
      <w:r w:rsidR="00D85EFE" w:rsidRPr="007919CD">
        <w:rPr>
          <w:rFonts w:ascii="Gill Sans" w:hAnsi="Gill Sans" w:cs="Gill Sans"/>
          <w:sz w:val="22"/>
          <w:szCs w:val="22"/>
          <w:lang w:val="en-GB"/>
        </w:rPr>
        <w:t xml:space="preserve"> </w:t>
      </w:r>
      <w:r w:rsidRPr="007919CD">
        <w:rPr>
          <w:rFonts w:ascii="Gill Sans" w:hAnsi="Gill Sans" w:cs="Gill Sans"/>
          <w:sz w:val="22"/>
          <w:szCs w:val="22"/>
          <w:lang w:val="en-GB"/>
        </w:rPr>
        <w:t xml:space="preserve">the expected output </w:t>
      </w:r>
      <w:r w:rsidR="007919CD" w:rsidRPr="007919CD">
        <w:rPr>
          <w:rFonts w:ascii="Gill Sans" w:hAnsi="Gill Sans" w:cs="Gill Sans"/>
          <w:sz w:val="22"/>
          <w:szCs w:val="22"/>
          <w:lang w:val="en-GB"/>
        </w:rPr>
        <w:t>mentioned</w:t>
      </w:r>
      <w:r w:rsidRPr="007919CD">
        <w:rPr>
          <w:rFonts w:ascii="Gill Sans" w:hAnsi="Gill Sans" w:cs="Gill Sans"/>
          <w:sz w:val="22"/>
          <w:szCs w:val="22"/>
          <w:lang w:val="en-GB"/>
        </w:rPr>
        <w:t xml:space="preserve"> </w:t>
      </w:r>
      <w:r w:rsidR="00D85EFE">
        <w:rPr>
          <w:rFonts w:ascii="Gill Sans" w:hAnsi="Gill Sans" w:cs="Gill Sans"/>
          <w:sz w:val="22"/>
          <w:szCs w:val="22"/>
          <w:lang w:val="en-GB"/>
        </w:rPr>
        <w:t xml:space="preserve">only the </w:t>
      </w:r>
      <w:r w:rsidRPr="007919CD">
        <w:rPr>
          <w:rFonts w:ascii="Gill Sans" w:hAnsi="Gill Sans" w:cs="Gill Sans"/>
          <w:sz w:val="22"/>
          <w:szCs w:val="22"/>
          <w:lang w:val="en-GB"/>
        </w:rPr>
        <w:t xml:space="preserve">development of “proposals on how to determine ways of realizing potential of the e-democracy instruments.” </w:t>
      </w:r>
      <w:r w:rsidRPr="007919CD">
        <w:rPr>
          <w:rFonts w:ascii="Gill Sans" w:hAnsi="Gill Sans" w:cs="Gill Sans"/>
          <w:noProof/>
          <w:sz w:val="22"/>
          <w:szCs w:val="22"/>
          <w:lang w:val="en-GB"/>
        </w:rPr>
        <w:t>The government reported on an outline of the proposals submitted to the government by the State Agency on E-Governance in May 2015,</w:t>
      </w:r>
      <w:r w:rsidRPr="007919CD">
        <w:rPr>
          <w:rStyle w:val="EndnoteReference"/>
          <w:rFonts w:ascii="Gill Sans" w:hAnsi="Gill Sans" w:cs="Gill Sans"/>
          <w:noProof/>
          <w:sz w:val="22"/>
          <w:szCs w:val="22"/>
          <w:lang w:val="en-GB"/>
        </w:rPr>
        <w:endnoteReference w:id="106"/>
      </w:r>
      <w:r w:rsidRPr="007919CD">
        <w:rPr>
          <w:rFonts w:ascii="Gill Sans" w:hAnsi="Gill Sans" w:cs="Gill Sans"/>
          <w:noProof/>
          <w:sz w:val="22"/>
          <w:szCs w:val="22"/>
          <w:lang w:val="en-GB"/>
        </w:rPr>
        <w:t xml:space="preserve"> which was required by the commitment’s deliverable.</w:t>
      </w:r>
      <w:r w:rsidRPr="007919CD">
        <w:rPr>
          <w:rStyle w:val="EndnoteReference"/>
          <w:rFonts w:ascii="Gill Sans" w:hAnsi="Gill Sans" w:cs="Gill Sans"/>
          <w:noProof/>
          <w:sz w:val="22"/>
          <w:szCs w:val="22"/>
          <w:lang w:val="en-GB"/>
        </w:rPr>
        <w:endnoteReference w:id="107"/>
      </w:r>
    </w:p>
    <w:p w14:paraId="10608322" w14:textId="752BF12A" w:rsidR="00677BA9" w:rsidRPr="007919CD" w:rsidRDefault="00F269F6" w:rsidP="00D85EFE">
      <w:pPr>
        <w:spacing w:after="120"/>
        <w:rPr>
          <w:rFonts w:ascii="Gill Sans" w:hAnsi="Gill Sans" w:cs="Gill Sans"/>
          <w:noProof/>
          <w:sz w:val="22"/>
          <w:szCs w:val="22"/>
          <w:lang w:val="en-GB"/>
        </w:rPr>
      </w:pPr>
      <w:r w:rsidRPr="007919CD">
        <w:rPr>
          <w:rFonts w:ascii="Gill Sans" w:hAnsi="Gill Sans" w:cs="Gill Sans"/>
          <w:sz w:val="22"/>
          <w:szCs w:val="22"/>
          <w:lang w:val="en-GB"/>
        </w:rPr>
        <w:t>The government failed to hold public consultations on the document that was developed</w:t>
      </w:r>
      <w:r w:rsidR="00D85EFE">
        <w:rPr>
          <w:rFonts w:ascii="Gill Sans" w:hAnsi="Gill Sans" w:cs="Gill Sans"/>
          <w:sz w:val="22"/>
          <w:szCs w:val="22"/>
          <w:lang w:val="en-GB"/>
        </w:rPr>
        <w:t>,</w:t>
      </w:r>
      <w:r w:rsidRPr="007919CD">
        <w:rPr>
          <w:rFonts w:ascii="Gill Sans" w:hAnsi="Gill Sans" w:cs="Gill Sans"/>
          <w:sz w:val="22"/>
          <w:szCs w:val="22"/>
          <w:lang w:val="en-GB"/>
        </w:rPr>
        <w:t xml:space="preserve"> and published it only after it </w:t>
      </w:r>
      <w:r w:rsidR="00D85EFE">
        <w:rPr>
          <w:rFonts w:ascii="Gill Sans" w:hAnsi="Gill Sans" w:cs="Gill Sans"/>
          <w:sz w:val="22"/>
          <w:szCs w:val="22"/>
          <w:lang w:val="en-GB"/>
        </w:rPr>
        <w:t>was</w:t>
      </w:r>
      <w:r w:rsidRPr="007919CD">
        <w:rPr>
          <w:rFonts w:ascii="Gill Sans" w:hAnsi="Gill Sans" w:cs="Gill Sans"/>
          <w:sz w:val="22"/>
          <w:szCs w:val="22"/>
          <w:lang w:val="en-GB"/>
        </w:rPr>
        <w:t xml:space="preserve"> submitted to the government. The result of the document’s submission to the government was not clear. The proposals prepared by the State Agency on E-Governance included a definition of e-democracy, a detailed overview of the Council of Europe Recommendation CM/Rec</w:t>
      </w:r>
      <w:r w:rsidR="00B249F8">
        <w:rPr>
          <w:rFonts w:ascii="Gill Sans" w:hAnsi="Gill Sans" w:cs="Gill Sans"/>
          <w:sz w:val="22"/>
          <w:szCs w:val="22"/>
          <w:lang w:val="en-GB"/>
        </w:rPr>
        <w:t xml:space="preserve"> </w:t>
      </w:r>
      <w:r w:rsidRPr="007919CD">
        <w:rPr>
          <w:rFonts w:ascii="Gill Sans" w:hAnsi="Gill Sans" w:cs="Gill Sans"/>
          <w:sz w:val="22"/>
          <w:szCs w:val="22"/>
          <w:lang w:val="en-GB"/>
        </w:rPr>
        <w:t>(2009)1 on e-democracy, an overview of the main instruments of e-democracy in Ukraine, and a proposal for three alternative scenarios for e-democracy development in Ukraine.</w:t>
      </w:r>
    </w:p>
    <w:p w14:paraId="6F095BC9" w14:textId="77777777" w:rsidR="00B249F8" w:rsidRDefault="00677BA9" w:rsidP="00717D04">
      <w:pPr>
        <w:pStyle w:val="Normalrglronly"/>
        <w:rPr>
          <w:b/>
          <w:lang w:val="en-GB"/>
        </w:rPr>
      </w:pPr>
      <w:r w:rsidRPr="007919CD">
        <w:rPr>
          <w:b/>
          <w:lang w:val="en-GB"/>
        </w:rPr>
        <w:t xml:space="preserve">End of term: </w:t>
      </w:r>
      <w:r w:rsidR="00717D04">
        <w:rPr>
          <w:b/>
          <w:lang w:val="en-GB"/>
        </w:rPr>
        <w:t>Complete</w:t>
      </w:r>
      <w:r w:rsidR="00280389">
        <w:rPr>
          <w:b/>
          <w:lang w:val="en-GB"/>
        </w:rPr>
        <w:t xml:space="preserve"> </w:t>
      </w:r>
    </w:p>
    <w:p w14:paraId="6193612D" w14:textId="3A7A07E0" w:rsidR="00677BA9" w:rsidRPr="007919CD" w:rsidRDefault="00B249F8" w:rsidP="00717D04">
      <w:pPr>
        <w:pStyle w:val="Normalrglronly"/>
        <w:rPr>
          <w:b/>
          <w:lang w:val="en-GB"/>
        </w:rPr>
      </w:pPr>
      <w:r>
        <w:rPr>
          <w:bCs/>
          <w:lang w:val="en-GB"/>
        </w:rPr>
        <w:t xml:space="preserve">No further proposals were developed since the midterm. However, given the low specificity of this commitment as written, it can be considered complete. The State </w:t>
      </w:r>
      <w:r w:rsidRPr="007919CD">
        <w:rPr>
          <w:lang w:val="en-GB"/>
        </w:rPr>
        <w:t>Agency on E-Governance</w:t>
      </w:r>
      <w:r>
        <w:rPr>
          <w:lang w:val="en-GB"/>
        </w:rPr>
        <w:t xml:space="preserve"> reported on proposal outlines, and published the document online, thereby fulfilling the only requirement specified in the commitment text.   </w:t>
      </w:r>
      <w:r>
        <w:rPr>
          <w:bCs/>
          <w:lang w:val="en-GB"/>
        </w:rPr>
        <w:t xml:space="preserve">    </w:t>
      </w:r>
      <w:r w:rsidR="00280389">
        <w:rPr>
          <w:b/>
          <w:lang w:val="en-GB"/>
        </w:rPr>
        <w:t xml:space="preserve">  </w:t>
      </w:r>
      <w:r w:rsidR="00FA3B49">
        <w:rPr>
          <w:b/>
          <w:lang w:val="en-GB"/>
        </w:rPr>
        <w:t xml:space="preserve"> </w:t>
      </w:r>
    </w:p>
    <w:p w14:paraId="489FD328" w14:textId="405729EC" w:rsidR="00297770" w:rsidRPr="007919CD" w:rsidRDefault="00211D1B" w:rsidP="007919CD">
      <w:pPr>
        <w:spacing w:after="120"/>
        <w:rPr>
          <w:rFonts w:ascii="Gill Sans" w:hAnsi="Gill Sans" w:cs="Gill Sans"/>
          <w:b/>
          <w:noProof/>
          <w:sz w:val="22"/>
          <w:szCs w:val="22"/>
          <w:lang w:val="en-GB"/>
        </w:rPr>
      </w:pPr>
      <w:r w:rsidRPr="007919CD">
        <w:rPr>
          <w:rFonts w:ascii="Gill Sans" w:hAnsi="Gill Sans" w:cs="Gill Sans"/>
          <w:b/>
          <w:noProof/>
          <w:sz w:val="22"/>
          <w:szCs w:val="22"/>
          <w:lang w:val="en-GB"/>
        </w:rPr>
        <w:t xml:space="preserve">23. </w:t>
      </w:r>
      <w:r w:rsidR="00297770" w:rsidRPr="007919CD">
        <w:rPr>
          <w:rFonts w:ascii="Gill Sans" w:hAnsi="Gill Sans" w:cs="Gill Sans"/>
          <w:b/>
          <w:noProof/>
          <w:sz w:val="22"/>
          <w:szCs w:val="22"/>
          <w:lang w:val="en-GB"/>
        </w:rPr>
        <w:t>Government regulation of e-petitions</w:t>
      </w:r>
    </w:p>
    <w:p w14:paraId="31243035" w14:textId="1D9CB42A" w:rsidR="00297770" w:rsidRPr="007919CD" w:rsidRDefault="00297770" w:rsidP="007919CD">
      <w:pPr>
        <w:pStyle w:val="Normalrglronly"/>
        <w:rPr>
          <w:b/>
          <w:lang w:val="en-GB"/>
        </w:rPr>
      </w:pPr>
      <w:r w:rsidRPr="007919CD">
        <w:rPr>
          <w:b/>
          <w:lang w:val="en-GB"/>
        </w:rPr>
        <w:t>Midterm: Limited</w:t>
      </w:r>
    </w:p>
    <w:p w14:paraId="61B71B51" w14:textId="09B4342A" w:rsidR="00297770" w:rsidRPr="007919CD" w:rsidRDefault="00211D1B" w:rsidP="00CC5FBD">
      <w:pPr>
        <w:spacing w:after="120"/>
        <w:rPr>
          <w:rFonts w:ascii="Gill Sans" w:hAnsi="Gill Sans" w:cs="Gill Sans"/>
          <w:sz w:val="22"/>
          <w:szCs w:val="22"/>
          <w:lang w:val="en-GB"/>
        </w:rPr>
      </w:pPr>
      <w:r w:rsidRPr="007919CD">
        <w:rPr>
          <w:rFonts w:ascii="Gill Sans" w:hAnsi="Gill Sans" w:cs="Gill Sans"/>
          <w:noProof/>
          <w:sz w:val="22"/>
          <w:szCs w:val="22"/>
          <w:lang w:val="en-GB"/>
        </w:rPr>
        <w:t xml:space="preserve">In July 2015, </w:t>
      </w:r>
      <w:r w:rsidR="00F64900">
        <w:rPr>
          <w:rFonts w:ascii="Gill Sans" w:hAnsi="Gill Sans" w:cs="Gill Sans"/>
          <w:noProof/>
          <w:sz w:val="22"/>
          <w:szCs w:val="22"/>
          <w:lang w:val="en-GB"/>
        </w:rPr>
        <w:t xml:space="preserve">Ukraine’s </w:t>
      </w:r>
      <w:r w:rsidR="004404A8">
        <w:rPr>
          <w:rFonts w:ascii="Gill Sans" w:hAnsi="Gill Sans" w:cs="Gill Sans"/>
          <w:noProof/>
          <w:sz w:val="22"/>
          <w:szCs w:val="22"/>
          <w:lang w:val="en-GB"/>
        </w:rPr>
        <w:t>P</w:t>
      </w:r>
      <w:r w:rsidRPr="007919CD">
        <w:rPr>
          <w:rFonts w:ascii="Gill Sans" w:hAnsi="Gill Sans" w:cs="Gill Sans"/>
          <w:noProof/>
          <w:sz w:val="22"/>
          <w:szCs w:val="22"/>
          <w:lang w:val="en-GB"/>
        </w:rPr>
        <w:t>arliament amend</w:t>
      </w:r>
      <w:r w:rsidR="00F64900">
        <w:rPr>
          <w:rFonts w:ascii="Gill Sans" w:hAnsi="Gill Sans" w:cs="Gill Sans"/>
          <w:noProof/>
          <w:sz w:val="22"/>
          <w:szCs w:val="22"/>
          <w:lang w:val="en-GB"/>
        </w:rPr>
        <w:t>ed</w:t>
      </w:r>
      <w:r w:rsidRPr="007919CD">
        <w:rPr>
          <w:rFonts w:ascii="Gill Sans" w:hAnsi="Gill Sans" w:cs="Gill Sans"/>
          <w:noProof/>
          <w:sz w:val="22"/>
          <w:szCs w:val="22"/>
          <w:lang w:val="en-GB"/>
        </w:rPr>
        <w:t xml:space="preserve"> the Law on Petitions </w:t>
      </w:r>
      <w:r w:rsidR="00F64900">
        <w:rPr>
          <w:rFonts w:ascii="Gill Sans" w:hAnsi="Gill Sans" w:cs="Gill Sans"/>
          <w:noProof/>
          <w:sz w:val="22"/>
          <w:szCs w:val="22"/>
          <w:lang w:val="en-GB"/>
        </w:rPr>
        <w:t xml:space="preserve">to </w:t>
      </w:r>
      <w:r w:rsidRPr="007919CD">
        <w:rPr>
          <w:rFonts w:ascii="Gill Sans" w:hAnsi="Gill Sans" w:cs="Gill Sans"/>
          <w:noProof/>
          <w:sz w:val="22"/>
          <w:szCs w:val="22"/>
          <w:lang w:val="en-GB"/>
        </w:rPr>
        <w:t>allow petitions to be submitted electronic</w:t>
      </w:r>
      <w:r w:rsidR="004404A8">
        <w:rPr>
          <w:rFonts w:ascii="Gill Sans" w:hAnsi="Gill Sans" w:cs="Gill Sans"/>
          <w:noProof/>
          <w:sz w:val="22"/>
          <w:szCs w:val="22"/>
          <w:lang w:val="en-GB"/>
        </w:rPr>
        <w:t xml:space="preserve">ally, </w:t>
      </w:r>
      <w:r w:rsidRPr="007919CD">
        <w:rPr>
          <w:rFonts w:ascii="Gill Sans" w:hAnsi="Gill Sans" w:cs="Gill Sans"/>
          <w:noProof/>
          <w:sz w:val="22"/>
          <w:szCs w:val="22"/>
          <w:lang w:val="en-GB"/>
        </w:rPr>
        <w:t>and introduced a special form of petitions—e-petitions (see the description under OGP commitment 18). The government reported that the State Agency on E-</w:t>
      </w:r>
      <w:r w:rsidRPr="007919CD">
        <w:rPr>
          <w:rFonts w:ascii="Gill Sans" w:hAnsi="Gill Sans" w:cs="Gill Sans"/>
          <w:noProof/>
          <w:sz w:val="22"/>
          <w:szCs w:val="22"/>
          <w:lang w:val="en-GB"/>
        </w:rPr>
        <w:lastRenderedPageBreak/>
        <w:t xml:space="preserve">Governance has set up a working group to develop a procedure for processing e-petitions in line with the commitment. The group has </w:t>
      </w:r>
      <w:r w:rsidR="00CD090D">
        <w:rPr>
          <w:rFonts w:ascii="Gill Sans" w:hAnsi="Gill Sans" w:cs="Gill Sans"/>
          <w:noProof/>
          <w:sz w:val="22"/>
          <w:szCs w:val="22"/>
          <w:lang w:val="en-GB"/>
        </w:rPr>
        <w:t xml:space="preserve">also </w:t>
      </w:r>
      <w:r w:rsidRPr="007919CD">
        <w:rPr>
          <w:rFonts w:ascii="Gill Sans" w:hAnsi="Gill Sans" w:cs="Gill Sans"/>
          <w:noProof/>
          <w:sz w:val="22"/>
          <w:szCs w:val="22"/>
          <w:lang w:val="en-GB"/>
        </w:rPr>
        <w:t>developed draft regulations.</w:t>
      </w:r>
      <w:r w:rsidRPr="007919CD">
        <w:rPr>
          <w:rStyle w:val="EndnoteReference"/>
          <w:rFonts w:ascii="Gill Sans" w:hAnsi="Gill Sans" w:cs="Gill Sans"/>
          <w:noProof/>
          <w:sz w:val="22"/>
          <w:szCs w:val="22"/>
          <w:lang w:val="en-GB"/>
        </w:rPr>
        <w:endnoteReference w:id="108"/>
      </w:r>
    </w:p>
    <w:p w14:paraId="6AF02A22" w14:textId="77777777" w:rsidR="00211D1B" w:rsidRPr="007919CD" w:rsidRDefault="00211D1B" w:rsidP="007919CD">
      <w:pPr>
        <w:pStyle w:val="Normalrglronly"/>
        <w:rPr>
          <w:b/>
          <w:lang w:val="en-GB"/>
        </w:rPr>
      </w:pPr>
      <w:r w:rsidRPr="007919CD">
        <w:rPr>
          <w:b/>
          <w:lang w:val="en-GB"/>
        </w:rPr>
        <w:t>End of term: Completed</w:t>
      </w:r>
    </w:p>
    <w:p w14:paraId="12460B5A" w14:textId="290D3F09" w:rsidR="00297770" w:rsidRPr="007919CD" w:rsidRDefault="00211D1B" w:rsidP="00CC5FBD">
      <w:pPr>
        <w:spacing w:after="120"/>
        <w:rPr>
          <w:rFonts w:ascii="Gill Sans" w:hAnsi="Gill Sans" w:cs="Gill Sans"/>
          <w:sz w:val="22"/>
          <w:szCs w:val="22"/>
          <w:lang w:val="uk-UA"/>
        </w:rPr>
      </w:pPr>
      <w:r w:rsidRPr="007919CD">
        <w:rPr>
          <w:rFonts w:ascii="Gill Sans" w:hAnsi="Gill Sans" w:cs="Gill Sans"/>
          <w:sz w:val="22"/>
          <w:szCs w:val="22"/>
          <w:lang w:val="en-GB"/>
        </w:rPr>
        <w:t>In February 2016</w:t>
      </w:r>
      <w:r w:rsidR="007919CD" w:rsidRPr="007919CD">
        <w:rPr>
          <w:rFonts w:ascii="Gill Sans" w:hAnsi="Gill Sans" w:cs="Gill Sans"/>
          <w:sz w:val="22"/>
          <w:szCs w:val="22"/>
          <w:lang w:val="en-GB"/>
        </w:rPr>
        <w:t>,</w:t>
      </w:r>
      <w:r w:rsidRPr="007919CD">
        <w:rPr>
          <w:rFonts w:ascii="Gill Sans" w:hAnsi="Gill Sans" w:cs="Gill Sans"/>
          <w:sz w:val="22"/>
          <w:szCs w:val="22"/>
          <w:lang w:val="en-GB"/>
        </w:rPr>
        <w:t xml:space="preserve"> the </w:t>
      </w:r>
      <w:r w:rsidR="00CD090D">
        <w:rPr>
          <w:rFonts w:ascii="Gill Sans" w:hAnsi="Gill Sans" w:cs="Gill Sans"/>
          <w:sz w:val="22"/>
          <w:szCs w:val="22"/>
          <w:lang w:val="en-GB"/>
        </w:rPr>
        <w:t>g</w:t>
      </w:r>
      <w:r w:rsidRPr="007919CD">
        <w:rPr>
          <w:rFonts w:ascii="Gill Sans" w:hAnsi="Gill Sans" w:cs="Gill Sans"/>
          <w:sz w:val="22"/>
          <w:szCs w:val="22"/>
          <w:lang w:val="en-GB"/>
        </w:rPr>
        <w:t>overnment adopted</w:t>
      </w:r>
      <w:r w:rsidR="00D6315E">
        <w:rPr>
          <w:rFonts w:ascii="Gill Sans" w:hAnsi="Gill Sans" w:cs="Gill Sans"/>
          <w:sz w:val="22"/>
          <w:szCs w:val="22"/>
          <w:lang w:val="en-GB"/>
        </w:rPr>
        <w:t xml:space="preserve"> a</w:t>
      </w:r>
      <w:r w:rsidRPr="007919CD">
        <w:rPr>
          <w:rFonts w:ascii="Gill Sans" w:hAnsi="Gill Sans" w:cs="Gill Sans"/>
          <w:sz w:val="22"/>
          <w:szCs w:val="22"/>
          <w:lang w:val="en-GB"/>
        </w:rPr>
        <w:t xml:space="preserve"> resolution </w:t>
      </w:r>
      <w:r w:rsidR="005141FC">
        <w:rPr>
          <w:rFonts w:ascii="Gill Sans" w:hAnsi="Gill Sans" w:cs="Gill Sans"/>
          <w:sz w:val="22"/>
          <w:szCs w:val="22"/>
          <w:lang w:val="en-GB"/>
        </w:rPr>
        <w:t>to</w:t>
      </w:r>
      <w:r w:rsidR="005141FC" w:rsidRPr="007919CD">
        <w:rPr>
          <w:rFonts w:ascii="Gill Sans" w:hAnsi="Gill Sans" w:cs="Gill Sans"/>
          <w:sz w:val="22"/>
          <w:szCs w:val="22"/>
          <w:lang w:val="en-GB"/>
        </w:rPr>
        <w:t xml:space="preserve"> </w:t>
      </w:r>
      <w:r w:rsidRPr="007919CD">
        <w:rPr>
          <w:rFonts w:ascii="Gill Sans" w:hAnsi="Gill Sans" w:cs="Gill Sans"/>
          <w:sz w:val="22"/>
          <w:szCs w:val="22"/>
          <w:lang w:val="en-GB"/>
        </w:rPr>
        <w:t xml:space="preserve">amend the government </w:t>
      </w:r>
      <w:r w:rsidR="0056253F">
        <w:rPr>
          <w:rFonts w:ascii="Gill Sans" w:hAnsi="Gill Sans" w:cs="Gill Sans"/>
          <w:sz w:val="22"/>
          <w:szCs w:val="22"/>
          <w:lang w:val="en-GB"/>
        </w:rPr>
        <w:t>bylaws</w:t>
      </w:r>
      <w:r w:rsidRPr="007919CD">
        <w:rPr>
          <w:rFonts w:ascii="Gill Sans" w:hAnsi="Gill Sans" w:cs="Gill Sans"/>
          <w:sz w:val="22"/>
          <w:szCs w:val="22"/>
          <w:lang w:val="en-GB"/>
        </w:rPr>
        <w:t xml:space="preserve"> to regulate processing of electronic petitions</w:t>
      </w:r>
      <w:r w:rsidR="0056253F">
        <w:rPr>
          <w:rFonts w:ascii="Gill Sans" w:hAnsi="Gill Sans" w:cs="Gill Sans"/>
          <w:sz w:val="22"/>
          <w:szCs w:val="22"/>
          <w:lang w:val="en-GB"/>
        </w:rPr>
        <w:t xml:space="preserve"> in line with the new law</w:t>
      </w:r>
      <w:r w:rsidRPr="007919CD">
        <w:rPr>
          <w:rFonts w:ascii="Gill Sans" w:hAnsi="Gill Sans" w:cs="Gill Sans"/>
          <w:sz w:val="22"/>
          <w:szCs w:val="22"/>
          <w:lang w:val="en-GB"/>
        </w:rPr>
        <w:t>.</w:t>
      </w:r>
      <w:r w:rsidR="007919CD" w:rsidRPr="007919CD">
        <w:rPr>
          <w:rStyle w:val="EndnoteReference"/>
          <w:rFonts w:ascii="Gill Sans" w:hAnsi="Gill Sans" w:cs="Gill Sans"/>
          <w:sz w:val="22"/>
          <w:szCs w:val="22"/>
          <w:lang w:val="en-GB"/>
        </w:rPr>
        <w:endnoteReference w:id="109"/>
      </w:r>
    </w:p>
    <w:p w14:paraId="6CAB3F87" w14:textId="77777777" w:rsidR="00CD090D" w:rsidRDefault="00CD090D">
      <w:pPr>
        <w:rPr>
          <w:rFonts w:ascii="Gill Sans" w:eastAsiaTheme="majorEastAsia" w:hAnsi="Gill Sans" w:cs="Gill Sans"/>
          <w:b/>
          <w:bCs/>
          <w:color w:val="1F497D" w:themeColor="text2"/>
          <w:sz w:val="22"/>
          <w:szCs w:val="20"/>
          <w:lang w:val="en-GB"/>
        </w:rPr>
      </w:pPr>
      <w:r>
        <w:br w:type="page"/>
      </w:r>
    </w:p>
    <w:p w14:paraId="28A28FBC" w14:textId="755C3006" w:rsidR="00677BA9" w:rsidRPr="00CD090D" w:rsidRDefault="00677BA9" w:rsidP="006319F4">
      <w:pPr>
        <w:pStyle w:val="Heading3"/>
      </w:pPr>
      <w:r w:rsidRPr="00CD090D">
        <w:lastRenderedPageBreak/>
        <w:t>Did it open government?</w:t>
      </w:r>
    </w:p>
    <w:p w14:paraId="3A894B79" w14:textId="77777777" w:rsidR="007919CD" w:rsidRDefault="007919CD" w:rsidP="00163080">
      <w:pPr>
        <w:rPr>
          <w:rFonts w:ascii="Gill Sans" w:hAnsi="Gill Sans" w:cs="Gill Sans"/>
          <w:b/>
          <w:noProof/>
          <w:sz w:val="22"/>
          <w:szCs w:val="22"/>
          <w:lang w:val="en-GB"/>
        </w:rPr>
      </w:pPr>
      <w:r w:rsidRPr="007919CD">
        <w:rPr>
          <w:rFonts w:ascii="Gill Sans" w:hAnsi="Gill Sans" w:cs="Gill Sans"/>
          <w:b/>
          <w:noProof/>
          <w:sz w:val="22"/>
          <w:szCs w:val="22"/>
          <w:lang w:val="en-GB"/>
        </w:rPr>
        <w:t>21. Roadmap for Development of Electronic Democracy</w:t>
      </w:r>
    </w:p>
    <w:p w14:paraId="04824D3A" w14:textId="15D95921" w:rsidR="00C2650B" w:rsidRPr="007919CD" w:rsidRDefault="00C2650B" w:rsidP="00163080">
      <w:pPr>
        <w:rPr>
          <w:rFonts w:ascii="Gill Sans" w:hAnsi="Gill Sans" w:cs="Gill Sans"/>
          <w:b/>
          <w:noProof/>
          <w:sz w:val="22"/>
          <w:szCs w:val="22"/>
          <w:lang w:val="en-GB"/>
        </w:rPr>
      </w:pPr>
      <w:r>
        <w:rPr>
          <w:rFonts w:ascii="Gill Sans" w:hAnsi="Gill Sans" w:cs="Gill Sans"/>
          <w:b/>
          <w:noProof/>
          <w:sz w:val="22"/>
          <w:szCs w:val="22"/>
          <w:lang w:val="en-GB"/>
        </w:rPr>
        <w:t>Access to Information: Did not change</w:t>
      </w:r>
    </w:p>
    <w:p w14:paraId="53A62622" w14:textId="6D0EB94B" w:rsidR="007919CD" w:rsidRPr="0056253F" w:rsidRDefault="007919CD" w:rsidP="007919CD">
      <w:pPr>
        <w:spacing w:after="120"/>
        <w:rPr>
          <w:rFonts w:ascii="Gill Sans" w:hAnsi="Gill Sans" w:cs="Gill Sans"/>
          <w:b/>
          <w:noProof/>
          <w:sz w:val="22"/>
          <w:szCs w:val="22"/>
          <w:lang w:val="en-GB"/>
        </w:rPr>
      </w:pPr>
      <w:r w:rsidRPr="0056253F">
        <w:rPr>
          <w:rFonts w:ascii="Gill Sans" w:hAnsi="Gill Sans" w:cs="Gill Sans"/>
          <w:b/>
          <w:noProof/>
          <w:sz w:val="22"/>
          <w:szCs w:val="22"/>
          <w:lang w:val="en-GB"/>
        </w:rPr>
        <w:t xml:space="preserve">Civic Participation: </w:t>
      </w:r>
      <w:r w:rsidR="00FA3B49" w:rsidRPr="000C24B2">
        <w:rPr>
          <w:rFonts w:ascii="Gill Sans" w:hAnsi="Gill Sans" w:cs="Gill Sans"/>
          <w:b/>
          <w:noProof/>
          <w:sz w:val="22"/>
          <w:szCs w:val="22"/>
          <w:lang w:val="en-GB"/>
        </w:rPr>
        <w:t>Did not change</w:t>
      </w:r>
    </w:p>
    <w:p w14:paraId="2B317B7F" w14:textId="7224FF57" w:rsidR="00677BA9" w:rsidRPr="007919CD" w:rsidRDefault="007919CD" w:rsidP="007919CD">
      <w:pPr>
        <w:spacing w:after="120"/>
        <w:rPr>
          <w:rFonts w:ascii="Gill Sans" w:hAnsi="Gill Sans" w:cs="Gill Sans"/>
          <w:sz w:val="22"/>
          <w:szCs w:val="22"/>
          <w:lang w:val="en-GB"/>
        </w:rPr>
      </w:pPr>
      <w:r w:rsidRPr="007919CD">
        <w:rPr>
          <w:rFonts w:ascii="Gill Sans" w:hAnsi="Gill Sans" w:cs="Gill Sans"/>
          <w:sz w:val="22"/>
          <w:szCs w:val="22"/>
          <w:lang w:val="en-GB"/>
        </w:rPr>
        <w:t xml:space="preserve">The expected output of the commitment was to develop “proposals on how to determine ways of realizing potential of the e-democracy instruments.” The </w:t>
      </w:r>
      <w:r w:rsidR="005141FC">
        <w:rPr>
          <w:rFonts w:ascii="Gill Sans" w:hAnsi="Gill Sans" w:cs="Gill Sans"/>
          <w:sz w:val="22"/>
          <w:szCs w:val="22"/>
          <w:lang w:val="en-GB"/>
        </w:rPr>
        <w:t>g</w:t>
      </w:r>
      <w:r w:rsidRPr="007919CD">
        <w:rPr>
          <w:rFonts w:ascii="Gill Sans" w:hAnsi="Gill Sans" w:cs="Gill Sans"/>
          <w:sz w:val="22"/>
          <w:szCs w:val="22"/>
          <w:lang w:val="en-GB"/>
        </w:rPr>
        <w:t xml:space="preserve">overnment developed such proposals, but they had </w:t>
      </w:r>
      <w:r w:rsidR="00FA3B49">
        <w:rPr>
          <w:rFonts w:ascii="Gill Sans" w:hAnsi="Gill Sans" w:cs="Gill Sans"/>
          <w:sz w:val="22"/>
          <w:szCs w:val="22"/>
          <w:lang w:val="en-GB"/>
        </w:rPr>
        <w:t xml:space="preserve">no tangible </w:t>
      </w:r>
      <w:r w:rsidRPr="007919CD">
        <w:rPr>
          <w:rFonts w:ascii="Gill Sans" w:hAnsi="Gill Sans" w:cs="Gill Sans"/>
          <w:sz w:val="22"/>
          <w:szCs w:val="22"/>
          <w:lang w:val="en-GB"/>
        </w:rPr>
        <w:t>impact</w:t>
      </w:r>
      <w:r w:rsidR="005141FC">
        <w:rPr>
          <w:rFonts w:ascii="Gill Sans" w:hAnsi="Gill Sans" w:cs="Gill Sans"/>
          <w:sz w:val="22"/>
          <w:szCs w:val="22"/>
          <w:lang w:val="en-GB"/>
        </w:rPr>
        <w:t>,</w:t>
      </w:r>
      <w:r w:rsidRPr="007919CD">
        <w:rPr>
          <w:rFonts w:ascii="Gill Sans" w:hAnsi="Gill Sans" w:cs="Gill Sans"/>
          <w:sz w:val="22"/>
          <w:szCs w:val="22"/>
          <w:lang w:val="en-GB"/>
        </w:rPr>
        <w:t xml:space="preserve"> and could not be considered a </w:t>
      </w:r>
      <w:r w:rsidR="005141FC">
        <w:rPr>
          <w:rFonts w:ascii="Gill Sans" w:hAnsi="Gill Sans" w:cs="Gill Sans"/>
          <w:sz w:val="22"/>
          <w:szCs w:val="22"/>
          <w:lang w:val="en-GB"/>
        </w:rPr>
        <w:t>r</w:t>
      </w:r>
      <w:r w:rsidRPr="007919CD">
        <w:rPr>
          <w:rFonts w:ascii="Gill Sans" w:hAnsi="Gill Sans" w:cs="Gill Sans"/>
          <w:sz w:val="22"/>
          <w:szCs w:val="22"/>
          <w:lang w:val="en-GB"/>
        </w:rPr>
        <w:t xml:space="preserve">oadmap for development of e-democracy (as intended in the title of </w:t>
      </w:r>
      <w:r w:rsidR="005141FC">
        <w:rPr>
          <w:rFonts w:ascii="Gill Sans" w:hAnsi="Gill Sans" w:cs="Gill Sans"/>
          <w:sz w:val="22"/>
          <w:szCs w:val="22"/>
          <w:lang w:val="en-GB"/>
        </w:rPr>
        <w:t xml:space="preserve">the </w:t>
      </w:r>
      <w:r w:rsidRPr="007919CD">
        <w:rPr>
          <w:rFonts w:ascii="Gill Sans" w:hAnsi="Gill Sans" w:cs="Gill Sans"/>
          <w:sz w:val="22"/>
          <w:szCs w:val="22"/>
          <w:lang w:val="en-GB"/>
        </w:rPr>
        <w:t xml:space="preserve">commitment). </w:t>
      </w:r>
    </w:p>
    <w:p w14:paraId="2958D4D9" w14:textId="77777777" w:rsidR="007919CD" w:rsidRDefault="007919CD" w:rsidP="00163080">
      <w:pPr>
        <w:rPr>
          <w:rFonts w:ascii="Gill Sans" w:hAnsi="Gill Sans" w:cs="Gill Sans"/>
          <w:b/>
          <w:noProof/>
          <w:sz w:val="22"/>
          <w:szCs w:val="22"/>
          <w:lang w:val="en-GB"/>
        </w:rPr>
      </w:pPr>
      <w:r w:rsidRPr="007919CD">
        <w:rPr>
          <w:rFonts w:ascii="Gill Sans" w:hAnsi="Gill Sans" w:cs="Gill Sans"/>
          <w:b/>
          <w:noProof/>
          <w:sz w:val="22"/>
          <w:szCs w:val="22"/>
          <w:lang w:val="en-GB"/>
        </w:rPr>
        <w:t>23. Government regulation of e-petitions</w:t>
      </w:r>
    </w:p>
    <w:p w14:paraId="52C4C26B" w14:textId="77777777" w:rsidR="0056253F" w:rsidRPr="0056253F" w:rsidRDefault="0056253F" w:rsidP="00163080">
      <w:pPr>
        <w:rPr>
          <w:rFonts w:ascii="Gill Sans" w:hAnsi="Gill Sans" w:cs="Gill Sans"/>
          <w:b/>
          <w:noProof/>
          <w:sz w:val="22"/>
          <w:szCs w:val="22"/>
          <w:lang w:val="en-GB"/>
        </w:rPr>
      </w:pPr>
      <w:r w:rsidRPr="0056253F">
        <w:rPr>
          <w:rFonts w:ascii="Gill Sans" w:hAnsi="Gill Sans" w:cs="Gill Sans"/>
          <w:b/>
          <w:noProof/>
          <w:sz w:val="22"/>
          <w:szCs w:val="22"/>
          <w:lang w:val="en-GB"/>
        </w:rPr>
        <w:t>Civic Participation: Marginal</w:t>
      </w:r>
    </w:p>
    <w:p w14:paraId="42EB2A5B" w14:textId="631381F6" w:rsidR="0056253F" w:rsidRPr="007919CD" w:rsidRDefault="0056253F" w:rsidP="007919CD">
      <w:pPr>
        <w:spacing w:after="120"/>
        <w:rPr>
          <w:rFonts w:ascii="Gill Sans" w:hAnsi="Gill Sans" w:cs="Gill Sans"/>
          <w:b/>
          <w:noProof/>
          <w:sz w:val="22"/>
          <w:szCs w:val="22"/>
          <w:lang w:val="en-GB"/>
        </w:rPr>
      </w:pPr>
      <w:r>
        <w:rPr>
          <w:rFonts w:ascii="Gill Sans" w:hAnsi="Gill Sans" w:cs="Gill Sans"/>
          <w:b/>
          <w:noProof/>
          <w:sz w:val="22"/>
          <w:szCs w:val="22"/>
          <w:lang w:val="en-GB"/>
        </w:rPr>
        <w:t xml:space="preserve">Public Accountability: </w:t>
      </w:r>
      <w:r w:rsidR="00B21040">
        <w:rPr>
          <w:rFonts w:ascii="Gill Sans" w:hAnsi="Gill Sans" w:cs="Gill Sans"/>
          <w:b/>
          <w:noProof/>
          <w:sz w:val="22"/>
          <w:szCs w:val="22"/>
          <w:lang w:val="en-GB"/>
        </w:rPr>
        <w:t>D</w:t>
      </w:r>
      <w:r w:rsidR="00264604">
        <w:rPr>
          <w:rFonts w:ascii="Gill Sans" w:hAnsi="Gill Sans" w:cs="Gill Sans"/>
          <w:b/>
          <w:noProof/>
          <w:sz w:val="22"/>
          <w:szCs w:val="22"/>
          <w:lang w:val="en-GB"/>
        </w:rPr>
        <w:t>id not change</w:t>
      </w:r>
    </w:p>
    <w:p w14:paraId="1E456B7D" w14:textId="0265C604" w:rsidR="00DD5DA5" w:rsidRPr="00823329" w:rsidRDefault="00DD5DA5" w:rsidP="00CD090D">
      <w:pPr>
        <w:spacing w:after="120"/>
        <w:rPr>
          <w:rFonts w:ascii="Gill Sans" w:hAnsi="Gill Sans" w:cs="Gill Sans"/>
          <w:sz w:val="22"/>
          <w:szCs w:val="22"/>
          <w:highlight w:val="yellow"/>
          <w:lang w:val="en-GB"/>
        </w:rPr>
      </w:pPr>
      <w:r w:rsidRPr="007919CD">
        <w:rPr>
          <w:rFonts w:ascii="Gill Sans" w:hAnsi="Gill Sans" w:cs="Gill Sans"/>
          <w:sz w:val="22"/>
          <w:szCs w:val="22"/>
          <w:lang w:val="en-GB"/>
        </w:rPr>
        <w:t xml:space="preserve">The commitment aimed to </w:t>
      </w:r>
      <w:r>
        <w:rPr>
          <w:rFonts w:ascii="Gill Sans" w:hAnsi="Gill Sans" w:cs="Gill Sans"/>
          <w:sz w:val="22"/>
          <w:szCs w:val="22"/>
          <w:lang w:val="en-GB"/>
        </w:rPr>
        <w:t>improve the implementation of new tools for citizens</w:t>
      </w:r>
      <w:r w:rsidRPr="007919CD">
        <w:rPr>
          <w:rFonts w:ascii="Gill Sans" w:hAnsi="Gill Sans" w:cs="Gill Sans"/>
          <w:sz w:val="22"/>
          <w:szCs w:val="22"/>
          <w:lang w:val="en-GB"/>
        </w:rPr>
        <w:t xml:space="preserve"> to address public authorities with requests, complaints, or proposals</w:t>
      </w:r>
      <w:r w:rsidR="005141FC">
        <w:rPr>
          <w:rFonts w:ascii="Gill Sans" w:hAnsi="Gill Sans" w:cs="Gill Sans"/>
          <w:sz w:val="22"/>
          <w:szCs w:val="22"/>
          <w:lang w:val="en-GB"/>
        </w:rPr>
        <w:t>. This was done</w:t>
      </w:r>
      <w:r w:rsidRPr="007919CD">
        <w:rPr>
          <w:rFonts w:ascii="Gill Sans" w:hAnsi="Gill Sans" w:cs="Gill Sans"/>
          <w:sz w:val="22"/>
          <w:szCs w:val="22"/>
          <w:lang w:val="en-GB"/>
        </w:rPr>
        <w:t xml:space="preserve"> by </w:t>
      </w:r>
      <w:r>
        <w:rPr>
          <w:rFonts w:ascii="Gill Sans" w:hAnsi="Gill Sans" w:cs="Gill Sans"/>
          <w:sz w:val="22"/>
          <w:szCs w:val="22"/>
          <w:lang w:val="en-GB"/>
        </w:rPr>
        <w:t>developing a system for the government to review and respond to submissions from the newly authorized e-petitioning system</w:t>
      </w:r>
      <w:r w:rsidRPr="007919CD">
        <w:rPr>
          <w:rFonts w:ascii="Gill Sans" w:hAnsi="Gill Sans" w:cs="Gill Sans"/>
          <w:sz w:val="22"/>
          <w:szCs w:val="22"/>
          <w:lang w:val="en-GB"/>
        </w:rPr>
        <w:t xml:space="preserve">. </w:t>
      </w:r>
      <w:r>
        <w:rPr>
          <w:rFonts w:ascii="Gill Sans" w:hAnsi="Gill Sans" w:cs="Gill Sans"/>
          <w:sz w:val="22"/>
          <w:szCs w:val="22"/>
          <w:lang w:val="en-GB"/>
        </w:rPr>
        <w:t>This commitment is related to commitment 18 (see previous)</w:t>
      </w:r>
      <w:r w:rsidR="00CD090D">
        <w:rPr>
          <w:rFonts w:ascii="Gill Sans" w:hAnsi="Gill Sans" w:cs="Gill Sans"/>
          <w:sz w:val="22"/>
          <w:szCs w:val="22"/>
          <w:lang w:val="en-GB"/>
        </w:rPr>
        <w:t>,</w:t>
      </w:r>
      <w:r>
        <w:rPr>
          <w:rFonts w:ascii="Gill Sans" w:hAnsi="Gill Sans" w:cs="Gill Sans"/>
          <w:sz w:val="22"/>
          <w:szCs w:val="22"/>
          <w:lang w:val="en-GB"/>
        </w:rPr>
        <w:t xml:space="preserve"> which had an outstanding impact on opening government</w:t>
      </w:r>
      <w:r w:rsidR="005141FC">
        <w:rPr>
          <w:rFonts w:ascii="Gill Sans" w:hAnsi="Gill Sans" w:cs="Gill Sans"/>
          <w:sz w:val="22"/>
          <w:szCs w:val="22"/>
          <w:lang w:val="en-GB"/>
        </w:rPr>
        <w:t>,</w:t>
      </w:r>
      <w:r>
        <w:rPr>
          <w:rFonts w:ascii="Gill Sans" w:hAnsi="Gill Sans" w:cs="Gill Sans"/>
          <w:sz w:val="22"/>
          <w:szCs w:val="22"/>
          <w:lang w:val="en-GB"/>
        </w:rPr>
        <w:t xml:space="preserve"> </w:t>
      </w:r>
      <w:r w:rsidR="00CD090D">
        <w:rPr>
          <w:rFonts w:ascii="Gill Sans" w:hAnsi="Gill Sans" w:cs="Gill Sans"/>
          <w:sz w:val="22"/>
          <w:szCs w:val="22"/>
          <w:lang w:val="en-GB"/>
        </w:rPr>
        <w:t xml:space="preserve">since </w:t>
      </w:r>
      <w:r>
        <w:rPr>
          <w:rFonts w:ascii="Gill Sans" w:hAnsi="Gill Sans" w:cs="Gill Sans"/>
          <w:sz w:val="22"/>
          <w:szCs w:val="22"/>
          <w:lang w:val="en-GB"/>
        </w:rPr>
        <w:t>it legally authorized and implemented an e-petition system at all levels and offices of government. Th</w:t>
      </w:r>
      <w:r w:rsidR="005141FC">
        <w:rPr>
          <w:rFonts w:ascii="Gill Sans" w:hAnsi="Gill Sans" w:cs="Gill Sans"/>
          <w:sz w:val="22"/>
          <w:szCs w:val="22"/>
          <w:lang w:val="en-GB"/>
        </w:rPr>
        <w:t>e</w:t>
      </w:r>
      <w:r w:rsidRPr="007919CD">
        <w:rPr>
          <w:rFonts w:ascii="Gill Sans" w:hAnsi="Gill Sans" w:cs="Gill Sans"/>
          <w:sz w:val="22"/>
          <w:szCs w:val="22"/>
          <w:lang w:val="en-GB"/>
        </w:rPr>
        <w:t xml:space="preserve"> commitment</w:t>
      </w:r>
      <w:r w:rsidR="00CD090D">
        <w:rPr>
          <w:rFonts w:ascii="Gill Sans" w:hAnsi="Gill Sans" w:cs="Gill Sans"/>
          <w:sz w:val="22"/>
          <w:szCs w:val="22"/>
          <w:lang w:val="en-GB"/>
        </w:rPr>
        <w:t>,</w:t>
      </w:r>
      <w:r w:rsidRPr="007919CD">
        <w:rPr>
          <w:rFonts w:ascii="Gill Sans" w:hAnsi="Gill Sans" w:cs="Gill Sans"/>
          <w:sz w:val="22"/>
          <w:szCs w:val="22"/>
          <w:lang w:val="en-GB"/>
        </w:rPr>
        <w:t xml:space="preserve"> </w:t>
      </w:r>
      <w:r>
        <w:rPr>
          <w:rFonts w:ascii="Gill Sans" w:hAnsi="Gill Sans" w:cs="Gill Sans"/>
          <w:sz w:val="22"/>
          <w:szCs w:val="22"/>
          <w:lang w:val="en-GB"/>
        </w:rPr>
        <w:t>to establish a system for processing e-petition submissions</w:t>
      </w:r>
      <w:r w:rsidR="00CD090D">
        <w:rPr>
          <w:rFonts w:ascii="Gill Sans" w:hAnsi="Gill Sans" w:cs="Gill Sans"/>
          <w:sz w:val="22"/>
          <w:szCs w:val="22"/>
          <w:lang w:val="en-GB"/>
        </w:rPr>
        <w:t>,</w:t>
      </w:r>
      <w:r>
        <w:rPr>
          <w:rFonts w:ascii="Gill Sans" w:hAnsi="Gill Sans" w:cs="Gill Sans"/>
          <w:sz w:val="22"/>
          <w:szCs w:val="22"/>
          <w:lang w:val="en-GB"/>
        </w:rPr>
        <w:t xml:space="preserve"> represented a largely internal government procedural change</w:t>
      </w:r>
      <w:r w:rsidRPr="007919CD">
        <w:rPr>
          <w:rFonts w:ascii="Gill Sans" w:hAnsi="Gill Sans" w:cs="Gill Sans"/>
          <w:sz w:val="22"/>
          <w:szCs w:val="22"/>
          <w:lang w:val="en-GB"/>
        </w:rPr>
        <w:t xml:space="preserve">. </w:t>
      </w:r>
    </w:p>
    <w:p w14:paraId="599C61B5" w14:textId="165CD199" w:rsidR="00DD5DA5" w:rsidRDefault="00DD5DA5" w:rsidP="00CC5FBD">
      <w:pPr>
        <w:spacing w:after="120"/>
        <w:rPr>
          <w:rFonts w:ascii="Gill Sans" w:hAnsi="Gill Sans" w:cs="Gill Sans"/>
          <w:sz w:val="22"/>
          <w:szCs w:val="22"/>
          <w:lang w:val="en-GB"/>
        </w:rPr>
      </w:pPr>
      <w:r w:rsidRPr="007919CD">
        <w:rPr>
          <w:rFonts w:ascii="Gill Sans" w:hAnsi="Gill Sans" w:cs="Gill Sans"/>
          <w:sz w:val="22"/>
          <w:szCs w:val="22"/>
          <w:lang w:val="en-GB"/>
        </w:rPr>
        <w:t>In 2016</w:t>
      </w:r>
      <w:r>
        <w:rPr>
          <w:rFonts w:ascii="Gill Sans" w:hAnsi="Gill Sans" w:cs="Gill Sans"/>
          <w:sz w:val="22"/>
          <w:szCs w:val="22"/>
          <w:lang w:val="en-GB"/>
        </w:rPr>
        <w:t xml:space="preserve">, the </w:t>
      </w:r>
      <w:r w:rsidR="00CD090D">
        <w:rPr>
          <w:rFonts w:ascii="Gill Sans" w:hAnsi="Gill Sans" w:cs="Gill Sans"/>
          <w:sz w:val="22"/>
          <w:szCs w:val="22"/>
          <w:lang w:val="en-GB"/>
        </w:rPr>
        <w:t>g</w:t>
      </w:r>
      <w:r>
        <w:rPr>
          <w:rFonts w:ascii="Gill Sans" w:hAnsi="Gill Sans" w:cs="Gill Sans"/>
          <w:sz w:val="22"/>
          <w:szCs w:val="22"/>
          <w:lang w:val="en-GB"/>
        </w:rPr>
        <w:t>overnment updated its</w:t>
      </w:r>
      <w:r w:rsidRPr="007919CD">
        <w:rPr>
          <w:rFonts w:ascii="Gill Sans" w:hAnsi="Gill Sans" w:cs="Gill Sans"/>
          <w:sz w:val="22"/>
          <w:szCs w:val="22"/>
          <w:lang w:val="en-GB"/>
        </w:rPr>
        <w:t xml:space="preserve"> regulations </w:t>
      </w:r>
      <w:r w:rsidR="00CD090D">
        <w:rPr>
          <w:rFonts w:ascii="Gill Sans" w:hAnsi="Gill Sans" w:cs="Gill Sans"/>
          <w:sz w:val="22"/>
          <w:szCs w:val="22"/>
          <w:lang w:val="en-GB"/>
        </w:rPr>
        <w:t xml:space="preserve">to </w:t>
      </w:r>
      <w:r w:rsidRPr="007919CD">
        <w:rPr>
          <w:rFonts w:ascii="Gill Sans" w:hAnsi="Gill Sans" w:cs="Gill Sans"/>
          <w:sz w:val="22"/>
          <w:szCs w:val="22"/>
          <w:lang w:val="en-GB"/>
        </w:rPr>
        <w:t xml:space="preserve">reflect new changes in the Law on Petitions. This was a positive step, as it aligned </w:t>
      </w:r>
      <w:r w:rsidR="00CD090D">
        <w:rPr>
          <w:rFonts w:ascii="Gill Sans" w:hAnsi="Gill Sans" w:cs="Gill Sans"/>
          <w:sz w:val="22"/>
          <w:szCs w:val="22"/>
          <w:lang w:val="en-GB"/>
        </w:rPr>
        <w:t>g</w:t>
      </w:r>
      <w:r w:rsidRPr="007919CD">
        <w:rPr>
          <w:rFonts w:ascii="Gill Sans" w:hAnsi="Gill Sans" w:cs="Gill Sans"/>
          <w:sz w:val="22"/>
          <w:szCs w:val="22"/>
          <w:lang w:val="en-GB"/>
        </w:rPr>
        <w:t>overnment bylaws with the new requirements</w:t>
      </w:r>
      <w:r w:rsidR="00CD090D">
        <w:rPr>
          <w:rFonts w:ascii="Gill Sans" w:hAnsi="Gill Sans" w:cs="Gill Sans"/>
          <w:sz w:val="22"/>
          <w:szCs w:val="22"/>
          <w:lang w:val="en-GB"/>
        </w:rPr>
        <w:t>. However,</w:t>
      </w:r>
      <w:r w:rsidRPr="007919CD">
        <w:rPr>
          <w:rFonts w:ascii="Gill Sans" w:hAnsi="Gill Sans" w:cs="Gill Sans"/>
          <w:sz w:val="22"/>
          <w:szCs w:val="22"/>
          <w:lang w:val="en-GB"/>
        </w:rPr>
        <w:t xml:space="preserve"> it had only</w:t>
      </w:r>
      <w:r>
        <w:rPr>
          <w:rFonts w:ascii="Gill Sans" w:hAnsi="Gill Sans" w:cs="Gill Sans"/>
          <w:sz w:val="22"/>
          <w:szCs w:val="22"/>
          <w:lang w:val="en-GB"/>
        </w:rPr>
        <w:t xml:space="preserve"> a</w:t>
      </w:r>
      <w:r w:rsidRPr="007919CD">
        <w:rPr>
          <w:rFonts w:ascii="Gill Sans" w:hAnsi="Gill Sans" w:cs="Gill Sans"/>
          <w:sz w:val="22"/>
          <w:szCs w:val="22"/>
          <w:lang w:val="en-GB"/>
        </w:rPr>
        <w:t xml:space="preserve"> marginal effect</w:t>
      </w:r>
      <w:r>
        <w:rPr>
          <w:rFonts w:ascii="Gill Sans" w:hAnsi="Gill Sans" w:cs="Gill Sans"/>
          <w:sz w:val="22"/>
          <w:szCs w:val="22"/>
          <w:lang w:val="en-GB"/>
        </w:rPr>
        <w:t xml:space="preserve"> on open government</w:t>
      </w:r>
      <w:r w:rsidRPr="007919CD">
        <w:rPr>
          <w:rFonts w:ascii="Gill Sans" w:hAnsi="Gill Sans" w:cs="Gill Sans"/>
          <w:sz w:val="22"/>
          <w:szCs w:val="22"/>
          <w:lang w:val="en-GB"/>
        </w:rPr>
        <w:t>.</w:t>
      </w:r>
      <w:r>
        <w:rPr>
          <w:rFonts w:ascii="Gill Sans" w:hAnsi="Gill Sans" w:cs="Gill Sans"/>
          <w:sz w:val="22"/>
          <w:szCs w:val="22"/>
        </w:rPr>
        <w:t xml:space="preserve"> While amending the law to permit regulations for responding to online petitions is a necessary component of responding to citizens, this commitment </w:t>
      </w:r>
      <w:r w:rsidR="00174A6F">
        <w:rPr>
          <w:rFonts w:ascii="Gill Sans" w:hAnsi="Gill Sans" w:cs="Gill Sans"/>
          <w:sz w:val="22"/>
          <w:szCs w:val="22"/>
        </w:rPr>
        <w:t xml:space="preserve">was </w:t>
      </w:r>
      <w:r>
        <w:rPr>
          <w:rFonts w:ascii="Gill Sans" w:hAnsi="Gill Sans" w:cs="Gill Sans"/>
          <w:sz w:val="22"/>
          <w:szCs w:val="22"/>
        </w:rPr>
        <w:t>technical in nature</w:t>
      </w:r>
      <w:r w:rsidR="00174A6F">
        <w:rPr>
          <w:rFonts w:ascii="Gill Sans" w:hAnsi="Gill Sans" w:cs="Gill Sans"/>
          <w:sz w:val="22"/>
          <w:szCs w:val="22"/>
        </w:rPr>
        <w:t>,</w:t>
      </w:r>
      <w:r>
        <w:rPr>
          <w:rFonts w:ascii="Gill Sans" w:hAnsi="Gill Sans" w:cs="Gill Sans"/>
          <w:sz w:val="22"/>
          <w:szCs w:val="22"/>
        </w:rPr>
        <w:t xml:space="preserve"> and </w:t>
      </w:r>
      <w:r w:rsidR="00874D39">
        <w:rPr>
          <w:rFonts w:ascii="Gill Sans" w:hAnsi="Gill Sans" w:cs="Gill Sans"/>
          <w:sz w:val="22"/>
          <w:szCs w:val="22"/>
        </w:rPr>
        <w:t xml:space="preserve">did </w:t>
      </w:r>
      <w:r>
        <w:rPr>
          <w:rFonts w:ascii="Gill Sans" w:hAnsi="Gill Sans" w:cs="Gill Sans"/>
          <w:sz w:val="22"/>
          <w:szCs w:val="22"/>
        </w:rPr>
        <w:t xml:space="preserve">not represent more than a marginal change in practice. </w:t>
      </w:r>
    </w:p>
    <w:p w14:paraId="245B83A4" w14:textId="77777777" w:rsidR="00677BA9" w:rsidRPr="00426663" w:rsidRDefault="00677BA9" w:rsidP="00163080">
      <w:pPr>
        <w:pStyle w:val="Heading3"/>
        <w:spacing w:after="120"/>
      </w:pPr>
      <w:r w:rsidRPr="00CC5FBD">
        <w:t>Carried forward?</w:t>
      </w:r>
    </w:p>
    <w:p w14:paraId="65D5EF83" w14:textId="2F68D8B7" w:rsidR="00677BA9" w:rsidRPr="007919CD" w:rsidRDefault="00677BA9" w:rsidP="002F45B2">
      <w:pPr>
        <w:spacing w:after="120"/>
        <w:rPr>
          <w:rFonts w:ascii="Gill Sans" w:hAnsi="Gill Sans" w:cs="Gill Sans"/>
          <w:noProof/>
          <w:sz w:val="22"/>
          <w:szCs w:val="22"/>
          <w:lang w:val="en-GB"/>
        </w:rPr>
      </w:pPr>
      <w:r w:rsidRPr="007919CD">
        <w:rPr>
          <w:rFonts w:ascii="Gill Sans" w:hAnsi="Gill Sans" w:cs="Gill Sans"/>
          <w:noProof/>
          <w:sz w:val="22"/>
          <w:szCs w:val="22"/>
          <w:lang w:val="en-GB"/>
        </w:rPr>
        <w:t>The commitment</w:t>
      </w:r>
      <w:r w:rsidR="00474959">
        <w:rPr>
          <w:rFonts w:ascii="Gill Sans" w:hAnsi="Gill Sans" w:cs="Gill Sans"/>
          <w:noProof/>
          <w:sz w:val="22"/>
          <w:szCs w:val="22"/>
          <w:lang w:val="en-GB"/>
        </w:rPr>
        <w:t xml:space="preserve"> on the development of e-democracy</w:t>
      </w:r>
      <w:r w:rsidRPr="007919CD">
        <w:rPr>
          <w:rFonts w:ascii="Gill Sans" w:hAnsi="Gill Sans" w:cs="Gill Sans"/>
          <w:noProof/>
          <w:sz w:val="22"/>
          <w:szCs w:val="22"/>
          <w:lang w:val="en-GB"/>
        </w:rPr>
        <w:t xml:space="preserve"> </w:t>
      </w:r>
      <w:r w:rsidR="00474959">
        <w:rPr>
          <w:rFonts w:ascii="Gill Sans" w:hAnsi="Gill Sans" w:cs="Gill Sans"/>
          <w:noProof/>
          <w:sz w:val="22"/>
          <w:szCs w:val="22"/>
          <w:lang w:val="en-GB"/>
        </w:rPr>
        <w:t xml:space="preserve">was </w:t>
      </w:r>
      <w:r w:rsidRPr="007919CD">
        <w:rPr>
          <w:rFonts w:ascii="Gill Sans" w:hAnsi="Gill Sans" w:cs="Gill Sans"/>
          <w:noProof/>
          <w:sz w:val="22"/>
          <w:szCs w:val="22"/>
          <w:lang w:val="en-GB"/>
        </w:rPr>
        <w:t>carried over to the new action plan.</w:t>
      </w:r>
      <w:r w:rsidR="00474959">
        <w:rPr>
          <w:rFonts w:ascii="Gill Sans" w:hAnsi="Gill Sans" w:cs="Gill Sans"/>
          <w:noProof/>
          <w:sz w:val="22"/>
          <w:szCs w:val="22"/>
          <w:lang w:val="en-GB"/>
        </w:rPr>
        <w:t xml:space="preserve"> The new plan </w:t>
      </w:r>
      <w:r w:rsidR="002F45B2">
        <w:rPr>
          <w:rFonts w:ascii="Gill Sans" w:hAnsi="Gill Sans" w:cs="Gill Sans"/>
          <w:noProof/>
          <w:sz w:val="22"/>
          <w:szCs w:val="22"/>
          <w:lang w:val="en-GB"/>
        </w:rPr>
        <w:t xml:space="preserve">requires </w:t>
      </w:r>
      <w:r w:rsidR="00474959">
        <w:rPr>
          <w:rFonts w:ascii="Gill Sans" w:hAnsi="Gill Sans" w:cs="Gill Sans"/>
          <w:noProof/>
          <w:sz w:val="22"/>
          <w:szCs w:val="22"/>
          <w:lang w:val="en-GB"/>
        </w:rPr>
        <w:t xml:space="preserve">preparation of a </w:t>
      </w:r>
      <w:r w:rsidR="002F45B2">
        <w:rPr>
          <w:rFonts w:ascii="Gill Sans" w:hAnsi="Gill Sans" w:cs="Gill Sans"/>
          <w:noProof/>
          <w:sz w:val="22"/>
          <w:szCs w:val="22"/>
          <w:lang w:val="en-GB"/>
        </w:rPr>
        <w:t>c</w:t>
      </w:r>
      <w:r w:rsidR="00474959">
        <w:rPr>
          <w:rFonts w:ascii="Gill Sans" w:hAnsi="Gill Sans" w:cs="Gill Sans"/>
          <w:noProof/>
          <w:sz w:val="22"/>
          <w:szCs w:val="22"/>
          <w:lang w:val="en-GB"/>
        </w:rPr>
        <w:t xml:space="preserve">oncept paper on the development of e-democracy (by May 2017) and an action plan to implement the </w:t>
      </w:r>
      <w:r w:rsidR="002F45B2">
        <w:rPr>
          <w:rFonts w:ascii="Gill Sans" w:hAnsi="Gill Sans" w:cs="Gill Sans"/>
          <w:noProof/>
          <w:sz w:val="22"/>
          <w:szCs w:val="22"/>
          <w:lang w:val="en-GB"/>
        </w:rPr>
        <w:t>c</w:t>
      </w:r>
      <w:r w:rsidR="00474959">
        <w:rPr>
          <w:rFonts w:ascii="Gill Sans" w:hAnsi="Gill Sans" w:cs="Gill Sans"/>
          <w:noProof/>
          <w:sz w:val="22"/>
          <w:szCs w:val="22"/>
          <w:lang w:val="en-GB"/>
        </w:rPr>
        <w:t xml:space="preserve">oncept paper (both documents </w:t>
      </w:r>
      <w:r w:rsidR="002F45B2">
        <w:rPr>
          <w:rFonts w:ascii="Gill Sans" w:hAnsi="Gill Sans" w:cs="Gill Sans"/>
          <w:noProof/>
          <w:sz w:val="22"/>
          <w:szCs w:val="22"/>
          <w:lang w:val="en-GB"/>
        </w:rPr>
        <w:t>must be</w:t>
      </w:r>
      <w:r w:rsidR="00474959">
        <w:rPr>
          <w:rFonts w:ascii="Gill Sans" w:hAnsi="Gill Sans" w:cs="Gill Sans"/>
          <w:noProof/>
          <w:sz w:val="22"/>
          <w:szCs w:val="22"/>
          <w:lang w:val="en-GB"/>
        </w:rPr>
        <w:t xml:space="preserve"> approved by the </w:t>
      </w:r>
      <w:r w:rsidR="002F45B2">
        <w:rPr>
          <w:rFonts w:ascii="Gill Sans" w:hAnsi="Gill Sans" w:cs="Gill Sans"/>
          <w:noProof/>
          <w:sz w:val="22"/>
          <w:szCs w:val="22"/>
          <w:lang w:val="en-GB"/>
        </w:rPr>
        <w:t>g</w:t>
      </w:r>
      <w:r w:rsidR="00474959">
        <w:rPr>
          <w:rFonts w:ascii="Gill Sans" w:hAnsi="Gill Sans" w:cs="Gill Sans"/>
          <w:noProof/>
          <w:sz w:val="22"/>
          <w:szCs w:val="22"/>
          <w:lang w:val="en-GB"/>
        </w:rPr>
        <w:t xml:space="preserve">overnment).  </w:t>
      </w:r>
      <w:r w:rsidRPr="007919CD">
        <w:rPr>
          <w:rFonts w:ascii="Gill Sans" w:hAnsi="Gill Sans" w:cs="Gill Sans"/>
          <w:noProof/>
          <w:sz w:val="22"/>
          <w:szCs w:val="22"/>
          <w:lang w:val="en-GB"/>
        </w:rPr>
        <w:t xml:space="preserve"> </w:t>
      </w:r>
    </w:p>
    <w:p w14:paraId="30D07217" w14:textId="77777777" w:rsidR="00677BA9" w:rsidRDefault="00677BA9" w:rsidP="00025289">
      <w:pPr>
        <w:pStyle w:val="Heading2"/>
        <w:spacing w:before="0" w:after="120"/>
        <w:rPr>
          <w:rFonts w:eastAsiaTheme="minorEastAsia"/>
          <w:bCs w:val="0"/>
          <w:color w:val="222222"/>
          <w:sz w:val="22"/>
          <w:szCs w:val="22"/>
          <w:lang w:val="en-GB"/>
        </w:rPr>
        <w:sectPr w:rsidR="00677BA9" w:rsidSect="00F561B7">
          <w:endnotePr>
            <w:numFmt w:val="decimal"/>
            <w:numRestart w:val="eachSect"/>
          </w:endnotePr>
          <w:pgSz w:w="12240" w:h="15840"/>
          <w:pgMar w:top="1440" w:right="1800" w:bottom="1440" w:left="1800" w:header="720" w:footer="720" w:gutter="0"/>
          <w:cols w:space="720"/>
          <w:docGrid w:linePitch="360"/>
        </w:sectPr>
      </w:pPr>
    </w:p>
    <w:p w14:paraId="1662211E" w14:textId="1408AF50" w:rsidR="00025289" w:rsidRPr="0033158A" w:rsidRDefault="00025289" w:rsidP="00025289">
      <w:pPr>
        <w:pStyle w:val="Heading2"/>
        <w:spacing w:before="0" w:after="120"/>
        <w:rPr>
          <w:rFonts w:eastAsiaTheme="minorEastAsia"/>
          <w:bCs w:val="0"/>
          <w:color w:val="222222"/>
          <w:sz w:val="22"/>
          <w:szCs w:val="22"/>
          <w:lang w:val="en-GB"/>
        </w:rPr>
      </w:pPr>
      <w:r>
        <w:rPr>
          <w:rFonts w:eastAsiaTheme="minorEastAsia"/>
          <w:bCs w:val="0"/>
          <w:color w:val="222222"/>
          <w:sz w:val="22"/>
          <w:szCs w:val="22"/>
          <w:lang w:val="en-GB"/>
        </w:rPr>
        <w:lastRenderedPageBreak/>
        <w:t>22</w:t>
      </w:r>
      <w:r w:rsidRPr="0033158A">
        <w:rPr>
          <w:rFonts w:eastAsiaTheme="minorEastAsia"/>
          <w:bCs w:val="0"/>
          <w:color w:val="222222"/>
          <w:sz w:val="22"/>
          <w:szCs w:val="22"/>
          <w:lang w:val="en-GB"/>
        </w:rPr>
        <w:t xml:space="preserve">. </w:t>
      </w:r>
      <w:r w:rsidRPr="00025289">
        <w:rPr>
          <w:rFonts w:eastAsiaTheme="minorEastAsia"/>
          <w:bCs w:val="0"/>
          <w:color w:val="222222"/>
          <w:sz w:val="22"/>
          <w:szCs w:val="22"/>
          <w:lang w:val="en-GB"/>
        </w:rPr>
        <w:t xml:space="preserve">Open budget initiatives </w:t>
      </w:r>
    </w:p>
    <w:p w14:paraId="5B7715D8" w14:textId="14753AF1" w:rsidR="00025289" w:rsidRPr="00025289" w:rsidRDefault="005B3A16" w:rsidP="00025289">
      <w:pPr>
        <w:spacing w:after="120"/>
        <w:rPr>
          <w:rFonts w:ascii="Gill Sans" w:hAnsi="Gill Sans" w:cs="Gill Sans"/>
          <w:i/>
          <w:noProof/>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025289" w:rsidRPr="00025289">
        <w:rPr>
          <w:rFonts w:ascii="Gill Sans" w:hAnsi="Gill Sans" w:cs="Gill Sans"/>
          <w:i/>
          <w:noProof/>
          <w:sz w:val="22"/>
          <w:szCs w:val="22"/>
          <w:lang w:val="en-GB"/>
        </w:rPr>
        <w:t>22. Partner implementation of pilot initiatives related to provision of budget information in an open and accessible form on the national, oblast and local levels</w:t>
      </w:r>
      <w:r w:rsidR="00A43CF7">
        <w:rPr>
          <w:rFonts w:ascii="Gill Sans" w:hAnsi="Gill Sans" w:cs="Gill Sans"/>
          <w:i/>
          <w:noProof/>
          <w:sz w:val="22"/>
          <w:szCs w:val="22"/>
          <w:lang w:val="en-GB"/>
        </w:rPr>
        <w:t>.</w:t>
      </w:r>
    </w:p>
    <w:p w14:paraId="028DF556" w14:textId="7062F24F" w:rsidR="00025289" w:rsidRPr="00025289" w:rsidRDefault="00025289" w:rsidP="00025289">
      <w:pPr>
        <w:spacing w:after="120"/>
        <w:rPr>
          <w:rFonts w:ascii="Gill Sans" w:hAnsi="Gill Sans" w:cs="Gill Sans"/>
          <w:i/>
          <w:noProof/>
          <w:sz w:val="22"/>
          <w:szCs w:val="22"/>
          <w:lang w:val="en-GB"/>
        </w:rPr>
      </w:pPr>
      <w:r w:rsidRPr="00025289">
        <w:rPr>
          <w:rFonts w:ascii="Gill Sans" w:hAnsi="Gill Sans" w:cs="Gill Sans"/>
          <w:i/>
          <w:noProof/>
          <w:sz w:val="22"/>
          <w:szCs w:val="22"/>
          <w:lang w:val="en-GB"/>
        </w:rPr>
        <w:t xml:space="preserve">Expected result: </w:t>
      </w:r>
      <w:r w:rsidRPr="00025289">
        <w:rPr>
          <w:rFonts w:ascii="Gill Sans" w:hAnsi="Gill Sans" w:cs="Gill Sans"/>
          <w:i/>
          <w:sz w:val="22"/>
          <w:szCs w:val="22"/>
          <w:lang w:val="en-GB"/>
        </w:rPr>
        <w:t>“How much does the State cost?” web-portal created; Open City platform implemented in 15 administrative-territorial units; at least 5 pilot initiatives implemented for public awareness-raising on budgeting and creating user-friendly budget information</w:t>
      </w:r>
      <w:r w:rsidR="00A43CF7">
        <w:rPr>
          <w:rFonts w:ascii="Gill Sans" w:hAnsi="Gill Sans" w:cs="Gill Sans"/>
          <w:i/>
          <w:sz w:val="22"/>
          <w:szCs w:val="22"/>
          <w:lang w:val="en-GB"/>
        </w:rPr>
        <w:t>.</w:t>
      </w:r>
      <w:r w:rsidRPr="00025289">
        <w:rPr>
          <w:rFonts w:ascii="Gill Sans" w:hAnsi="Gill Sans" w:cs="Gill Sans"/>
          <w:i/>
          <w:noProof/>
          <w:sz w:val="22"/>
          <w:szCs w:val="22"/>
          <w:lang w:val="en-GB"/>
        </w:rPr>
        <w:t xml:space="preserve"> </w:t>
      </w:r>
    </w:p>
    <w:p w14:paraId="1B098D01" w14:textId="1EF6BAD6" w:rsidR="00025289" w:rsidRPr="00025289" w:rsidRDefault="00025289" w:rsidP="00025289">
      <w:pPr>
        <w:spacing w:after="120"/>
        <w:rPr>
          <w:rFonts w:ascii="Gill Sans" w:hAnsi="Gill Sans" w:cs="Gill Sans"/>
          <w:noProof/>
          <w:sz w:val="22"/>
          <w:szCs w:val="22"/>
          <w:lang w:val="en-GB"/>
        </w:rPr>
      </w:pPr>
      <w:r w:rsidRPr="00025289">
        <w:rPr>
          <w:rFonts w:ascii="Gill Sans" w:hAnsi="Gill Sans" w:cs="Gill Sans"/>
          <w:sz w:val="22"/>
          <w:szCs w:val="22"/>
          <w:lang w:val="en-GB"/>
        </w:rPr>
        <w:t>Lead institution</w:t>
      </w:r>
      <w:r w:rsidR="00A43CF7">
        <w:rPr>
          <w:rFonts w:ascii="Gill Sans" w:hAnsi="Gill Sans" w:cs="Gill Sans"/>
          <w:sz w:val="22"/>
          <w:szCs w:val="22"/>
          <w:lang w:val="en-GB"/>
        </w:rPr>
        <w:t>(s)</w:t>
      </w:r>
      <w:r w:rsidRPr="00025289">
        <w:rPr>
          <w:rFonts w:ascii="Gill Sans" w:hAnsi="Gill Sans" w:cs="Gill Sans"/>
          <w:sz w:val="22"/>
          <w:szCs w:val="22"/>
          <w:lang w:val="en-GB"/>
        </w:rPr>
        <w:t xml:space="preserve">: </w:t>
      </w:r>
      <w:r w:rsidRPr="00025289">
        <w:rPr>
          <w:rFonts w:ascii="Gill Sans" w:hAnsi="Gill Sans" w:cs="Gill Sans"/>
          <w:noProof/>
          <w:sz w:val="22"/>
          <w:szCs w:val="22"/>
          <w:lang w:val="en-GB"/>
        </w:rPr>
        <w:t>Ministry of Finance</w:t>
      </w:r>
    </w:p>
    <w:p w14:paraId="58733203" w14:textId="5D13CBD7" w:rsidR="00025289" w:rsidRPr="00025289" w:rsidRDefault="00025289" w:rsidP="00025289">
      <w:pPr>
        <w:spacing w:after="120"/>
        <w:rPr>
          <w:rFonts w:ascii="Gill Sans" w:hAnsi="Gill Sans" w:cs="Gill Sans"/>
          <w:noProof/>
          <w:sz w:val="22"/>
          <w:szCs w:val="22"/>
          <w:lang w:val="en-GB"/>
        </w:rPr>
      </w:pPr>
      <w:r w:rsidRPr="00025289">
        <w:rPr>
          <w:rFonts w:ascii="Gill Sans" w:hAnsi="Gill Sans" w:cs="Gill Sans"/>
          <w:sz w:val="22"/>
          <w:szCs w:val="22"/>
          <w:lang w:val="en-GB"/>
        </w:rPr>
        <w:t>Supporting institution</w:t>
      </w:r>
      <w:r w:rsidR="00A43CF7">
        <w:rPr>
          <w:rFonts w:ascii="Gill Sans" w:hAnsi="Gill Sans" w:cs="Gill Sans"/>
          <w:sz w:val="22"/>
          <w:szCs w:val="22"/>
          <w:lang w:val="en-GB"/>
        </w:rPr>
        <w:t>(</w:t>
      </w:r>
      <w:r w:rsidRPr="00025289">
        <w:rPr>
          <w:rFonts w:ascii="Gill Sans" w:hAnsi="Gill Sans" w:cs="Gill Sans"/>
          <w:sz w:val="22"/>
          <w:szCs w:val="22"/>
          <w:lang w:val="en-GB"/>
        </w:rPr>
        <w:t>s</w:t>
      </w:r>
      <w:r w:rsidR="00A43CF7">
        <w:rPr>
          <w:rFonts w:ascii="Gill Sans" w:hAnsi="Gill Sans" w:cs="Gill Sans"/>
          <w:sz w:val="22"/>
          <w:szCs w:val="22"/>
          <w:lang w:val="en-GB"/>
        </w:rPr>
        <w:t>)</w:t>
      </w:r>
      <w:r w:rsidRPr="00025289">
        <w:rPr>
          <w:rFonts w:ascii="Gill Sans" w:hAnsi="Gill Sans" w:cs="Gill Sans"/>
          <w:sz w:val="22"/>
          <w:szCs w:val="22"/>
          <w:lang w:val="en-GB"/>
        </w:rPr>
        <w:t xml:space="preserve">: </w:t>
      </w:r>
      <w:r w:rsidRPr="00025289">
        <w:rPr>
          <w:rFonts w:ascii="Gill Sans" w:hAnsi="Gill Sans" w:cs="Gill Sans"/>
          <w:noProof/>
          <w:sz w:val="22"/>
          <w:szCs w:val="22"/>
          <w:lang w:val="en-GB"/>
        </w:rPr>
        <w:t>Ministry of Regional Development</w:t>
      </w:r>
    </w:p>
    <w:p w14:paraId="565274FB" w14:textId="1CD4D2DC" w:rsidR="00025289" w:rsidRPr="00025289" w:rsidRDefault="00025289" w:rsidP="00025289">
      <w:pPr>
        <w:spacing w:after="120"/>
        <w:rPr>
          <w:rFonts w:ascii="Gill Sans" w:hAnsi="Gill Sans" w:cs="Gill Sans"/>
          <w:noProof/>
          <w:sz w:val="22"/>
          <w:szCs w:val="22"/>
          <w:lang w:val="en-GB"/>
        </w:rPr>
      </w:pPr>
      <w:r w:rsidRPr="00025289">
        <w:rPr>
          <w:rFonts w:ascii="Gill Sans" w:hAnsi="Gill Sans" w:cs="Gill Sans"/>
          <w:noProof/>
          <w:sz w:val="22"/>
          <w:szCs w:val="22"/>
          <w:lang w:val="en-GB"/>
        </w:rPr>
        <w:t xml:space="preserve">Start </w:t>
      </w:r>
      <w:r w:rsidR="00A43CF7">
        <w:rPr>
          <w:rFonts w:ascii="Gill Sans" w:hAnsi="Gill Sans" w:cs="Gill Sans"/>
          <w:noProof/>
          <w:sz w:val="22"/>
          <w:szCs w:val="22"/>
          <w:lang w:val="en-GB"/>
        </w:rPr>
        <w:t>D</w:t>
      </w:r>
      <w:r w:rsidRPr="00025289">
        <w:rPr>
          <w:rFonts w:ascii="Gill Sans" w:hAnsi="Gill Sans" w:cs="Gill Sans"/>
          <w:noProof/>
          <w:sz w:val="22"/>
          <w:szCs w:val="22"/>
          <w:lang w:val="en-GB"/>
        </w:rPr>
        <w:t xml:space="preserve">ate: Not specified </w:t>
      </w:r>
      <w:r w:rsidRPr="00025289">
        <w:rPr>
          <w:rFonts w:ascii="Gill Sans" w:hAnsi="Gill Sans" w:cs="Gill Sans"/>
          <w:noProof/>
          <w:sz w:val="22"/>
          <w:szCs w:val="22"/>
          <w:lang w:val="en-GB"/>
        </w:rPr>
        <w:tab/>
      </w:r>
      <w:r w:rsidRPr="00025289">
        <w:rPr>
          <w:rFonts w:ascii="Gill Sans" w:hAnsi="Gill Sans" w:cs="Gill Sans"/>
          <w:noProof/>
          <w:sz w:val="22"/>
          <w:szCs w:val="22"/>
          <w:lang w:val="en-GB"/>
        </w:rPr>
        <w:tab/>
      </w:r>
      <w:r w:rsidRPr="00025289">
        <w:rPr>
          <w:rFonts w:ascii="Gill Sans" w:hAnsi="Gill Sans" w:cs="Gill Sans"/>
          <w:noProof/>
          <w:sz w:val="22"/>
          <w:szCs w:val="22"/>
          <w:lang w:val="en-GB"/>
        </w:rPr>
        <w:tab/>
      </w:r>
      <w:r w:rsidR="00AE68C1">
        <w:rPr>
          <w:rFonts w:ascii="Gill Sans" w:hAnsi="Gill Sans" w:cs="Gill Sans"/>
          <w:noProof/>
          <w:sz w:val="22"/>
          <w:szCs w:val="22"/>
          <w:lang w:val="en-GB"/>
        </w:rPr>
        <w:tab/>
      </w:r>
      <w:r w:rsidRPr="00025289">
        <w:rPr>
          <w:rFonts w:ascii="Gill Sans" w:hAnsi="Gill Sans" w:cs="Gill Sans"/>
          <w:noProof/>
          <w:sz w:val="22"/>
          <w:szCs w:val="22"/>
          <w:lang w:val="en-GB"/>
        </w:rPr>
        <w:t xml:space="preserve">End </w:t>
      </w:r>
      <w:r w:rsidR="00A43CF7">
        <w:rPr>
          <w:rFonts w:ascii="Gill Sans" w:hAnsi="Gill Sans" w:cs="Gill Sans"/>
          <w:noProof/>
          <w:sz w:val="22"/>
          <w:szCs w:val="22"/>
          <w:lang w:val="en-GB"/>
        </w:rPr>
        <w:t>D</w:t>
      </w:r>
      <w:r w:rsidRPr="00025289">
        <w:rPr>
          <w:rFonts w:ascii="Gill Sans" w:hAnsi="Gill Sans" w:cs="Gill Sans"/>
          <w:noProof/>
          <w:sz w:val="22"/>
          <w:szCs w:val="22"/>
          <w:lang w:val="en-GB"/>
        </w:rPr>
        <w:t>ate: 31 December 2015</w:t>
      </w:r>
    </w:p>
    <w:p w14:paraId="335AC470" w14:textId="77777777" w:rsidR="00025289" w:rsidRPr="00CA5EDC" w:rsidRDefault="00025289" w:rsidP="00025289">
      <w:pPr>
        <w:spacing w:after="120"/>
        <w:rPr>
          <w:rFonts w:ascii="Gill Sans" w:hAnsi="Gill Sans" w:cs="Gill Sans"/>
          <w:noProof/>
          <w:sz w:val="22"/>
          <w:szCs w:val="22"/>
          <w:lang w:val="en-GB"/>
        </w:rPr>
      </w:pP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48"/>
        <w:gridCol w:w="341"/>
        <w:gridCol w:w="341"/>
        <w:gridCol w:w="417"/>
        <w:gridCol w:w="417"/>
        <w:gridCol w:w="341"/>
        <w:gridCol w:w="341"/>
        <w:gridCol w:w="798"/>
        <w:gridCol w:w="341"/>
        <w:gridCol w:w="376"/>
        <w:gridCol w:w="341"/>
        <w:gridCol w:w="409"/>
        <w:gridCol w:w="466"/>
        <w:gridCol w:w="493"/>
        <w:gridCol w:w="417"/>
        <w:gridCol w:w="569"/>
        <w:gridCol w:w="341"/>
        <w:gridCol w:w="417"/>
        <w:gridCol w:w="382"/>
        <w:gridCol w:w="442"/>
        <w:gridCol w:w="419"/>
      </w:tblGrid>
      <w:tr w:rsidR="00AE68C1" w:rsidRPr="009651AC" w14:paraId="39761E2D" w14:textId="77777777" w:rsidTr="00B223BA">
        <w:trPr>
          <w:trHeight w:val="405"/>
        </w:trPr>
        <w:tc>
          <w:tcPr>
            <w:tcW w:w="1413" w:type="dxa"/>
            <w:vMerge w:val="restart"/>
            <w:tcBorders>
              <w:top w:val="single" w:sz="18" w:space="0" w:color="FFFFFF"/>
              <w:left w:val="single" w:sz="4" w:space="0" w:color="FFFFFF"/>
              <w:right w:val="single" w:sz="18" w:space="0" w:color="FFFFFF"/>
            </w:tcBorders>
            <w:shd w:val="clear" w:color="auto" w:fill="000000"/>
          </w:tcPr>
          <w:p w14:paraId="7A4C4B32" w14:textId="77777777" w:rsidR="00AE68C1" w:rsidRPr="009651AC" w:rsidRDefault="00AE68C1" w:rsidP="0084354E">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514FE207" w14:textId="3AADDA15" w:rsidR="00AE68C1" w:rsidRPr="009651AC" w:rsidRDefault="00AE68C1" w:rsidP="009F0B5C">
            <w:pPr>
              <w:rPr>
                <w:rFonts w:ascii="Gill Sans" w:hAnsi="Gill Sans" w:cs="Gill Sans"/>
                <w:color w:val="FFFFFF" w:themeColor="background1"/>
                <w:sz w:val="22"/>
                <w:szCs w:val="22"/>
                <w:lang w:val="en-GB"/>
              </w:rPr>
            </w:pPr>
          </w:p>
        </w:tc>
        <w:tc>
          <w:tcPr>
            <w:tcW w:w="1447" w:type="dxa"/>
            <w:gridSpan w:val="4"/>
            <w:vMerge w:val="restart"/>
            <w:tcBorders>
              <w:top w:val="single" w:sz="18" w:space="0" w:color="FFFFFF"/>
              <w:left w:val="single" w:sz="18" w:space="0" w:color="FFFFFF"/>
              <w:right w:val="single" w:sz="18" w:space="0" w:color="FFFFFF"/>
            </w:tcBorders>
            <w:shd w:val="clear" w:color="auto" w:fill="D6E3BC"/>
          </w:tcPr>
          <w:p w14:paraId="009F01F6"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Specificity</w:t>
            </w:r>
          </w:p>
        </w:tc>
        <w:tc>
          <w:tcPr>
            <w:tcW w:w="1897" w:type="dxa"/>
            <w:gridSpan w:val="4"/>
            <w:vMerge w:val="restart"/>
            <w:tcBorders>
              <w:top w:val="single" w:sz="18" w:space="0" w:color="FFFFFF"/>
              <w:left w:val="single" w:sz="18" w:space="0" w:color="FFFFFF"/>
              <w:right w:val="single" w:sz="18" w:space="0" w:color="FFFFFF"/>
            </w:tcBorders>
            <w:shd w:val="clear" w:color="auto" w:fill="FBD4B4"/>
          </w:tcPr>
          <w:p w14:paraId="6F1ADE8E" w14:textId="77B68B3C"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467" w:type="dxa"/>
            <w:gridSpan w:val="4"/>
            <w:vMerge w:val="restart"/>
            <w:tcBorders>
              <w:top w:val="single" w:sz="18" w:space="0" w:color="FFFFFF"/>
              <w:left w:val="single" w:sz="18" w:space="0" w:color="FFFFFF"/>
              <w:right w:val="single" w:sz="18" w:space="0" w:color="FFFFFF"/>
            </w:tcBorders>
            <w:shd w:val="clear" w:color="auto" w:fill="CCC0D9"/>
          </w:tcPr>
          <w:p w14:paraId="74D8E385"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959" w:type="dxa"/>
            <w:gridSpan w:val="2"/>
            <w:vMerge w:val="restart"/>
            <w:tcBorders>
              <w:top w:val="single" w:sz="18" w:space="0" w:color="FFFFFF"/>
              <w:left w:val="single" w:sz="18" w:space="0" w:color="FFFFFF"/>
              <w:right w:val="single" w:sz="2" w:space="0" w:color="FFFFFF"/>
            </w:tcBorders>
            <w:shd w:val="clear" w:color="auto" w:fill="B8CCE4"/>
          </w:tcPr>
          <w:p w14:paraId="3F9D6D50" w14:textId="42E76376" w:rsidR="00AE68C1" w:rsidRPr="009651AC" w:rsidRDefault="00AE68C1" w:rsidP="0084354E">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86"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1577639E"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Midterm</w:t>
            </w:r>
          </w:p>
        </w:tc>
        <w:tc>
          <w:tcPr>
            <w:tcW w:w="2001" w:type="dxa"/>
            <w:gridSpan w:val="5"/>
            <w:vMerge w:val="restart"/>
            <w:tcBorders>
              <w:top w:val="single" w:sz="18" w:space="0" w:color="FFFFFF"/>
              <w:left w:val="single" w:sz="18" w:space="0" w:color="FFFFFF"/>
              <w:right w:val="single" w:sz="18" w:space="0" w:color="FFFFFF"/>
            </w:tcBorders>
            <w:shd w:val="clear" w:color="auto" w:fill="D99594"/>
          </w:tcPr>
          <w:p w14:paraId="203557CD" w14:textId="2D823CD1"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AE68C1" w:rsidRPr="009651AC" w14:paraId="7F1B70B9" w14:textId="77777777" w:rsidTr="00B223BA">
        <w:trPr>
          <w:trHeight w:val="373"/>
        </w:trPr>
        <w:tc>
          <w:tcPr>
            <w:tcW w:w="1413" w:type="dxa"/>
            <w:vMerge/>
            <w:tcBorders>
              <w:left w:val="single" w:sz="4" w:space="0" w:color="FFFFFF"/>
              <w:right w:val="single" w:sz="18" w:space="0" w:color="FFFFFF"/>
            </w:tcBorders>
            <w:shd w:val="clear" w:color="auto" w:fill="000000"/>
          </w:tcPr>
          <w:p w14:paraId="037081DD" w14:textId="1D5FABBE" w:rsidR="00AE68C1" w:rsidRPr="009651AC" w:rsidRDefault="00AE68C1" w:rsidP="009F0B5C">
            <w:pPr>
              <w:rPr>
                <w:rFonts w:ascii="Gill Sans" w:hAnsi="Gill Sans" w:cs="Gill Sans"/>
                <w:color w:val="FFFFFF" w:themeColor="background1"/>
                <w:sz w:val="22"/>
                <w:szCs w:val="22"/>
                <w:lang w:val="en-GB"/>
              </w:rPr>
            </w:pPr>
          </w:p>
        </w:tc>
        <w:tc>
          <w:tcPr>
            <w:tcW w:w="1447" w:type="dxa"/>
            <w:gridSpan w:val="4"/>
            <w:vMerge/>
            <w:tcBorders>
              <w:left w:val="single" w:sz="18" w:space="0" w:color="FFFFFF"/>
              <w:bottom w:val="single" w:sz="18" w:space="0" w:color="FFFFFF"/>
              <w:right w:val="single" w:sz="18" w:space="0" w:color="FFFFFF"/>
            </w:tcBorders>
            <w:shd w:val="clear" w:color="auto" w:fill="D6E3BC"/>
          </w:tcPr>
          <w:p w14:paraId="0E32A2C7" w14:textId="77777777" w:rsidR="00AE68C1" w:rsidRPr="009651AC" w:rsidRDefault="00AE68C1" w:rsidP="0084354E">
            <w:pPr>
              <w:rPr>
                <w:rFonts w:ascii="Gill Sans" w:hAnsi="Gill Sans" w:cs="Gill Sans"/>
                <w:sz w:val="22"/>
                <w:szCs w:val="22"/>
                <w:lang w:val="en-GB"/>
              </w:rPr>
            </w:pPr>
          </w:p>
        </w:tc>
        <w:tc>
          <w:tcPr>
            <w:tcW w:w="1897" w:type="dxa"/>
            <w:gridSpan w:val="4"/>
            <w:vMerge/>
            <w:tcBorders>
              <w:left w:val="single" w:sz="18" w:space="0" w:color="FFFFFF"/>
              <w:bottom w:val="single" w:sz="18" w:space="0" w:color="FFFFFF"/>
              <w:right w:val="single" w:sz="18" w:space="0" w:color="FFFFFF"/>
            </w:tcBorders>
            <w:shd w:val="clear" w:color="auto" w:fill="FBD4B4"/>
          </w:tcPr>
          <w:p w14:paraId="479B5534" w14:textId="77777777" w:rsidR="00AE68C1" w:rsidRPr="009651AC" w:rsidRDefault="00AE68C1" w:rsidP="0084354E">
            <w:pPr>
              <w:rPr>
                <w:rFonts w:ascii="Gill Sans" w:hAnsi="Gill Sans" w:cs="Gill Sans"/>
                <w:sz w:val="22"/>
                <w:szCs w:val="22"/>
                <w:lang w:val="en-GB"/>
              </w:rPr>
            </w:pPr>
          </w:p>
        </w:tc>
        <w:tc>
          <w:tcPr>
            <w:tcW w:w="1467" w:type="dxa"/>
            <w:gridSpan w:val="4"/>
            <w:vMerge/>
            <w:tcBorders>
              <w:left w:val="single" w:sz="18" w:space="0" w:color="FFFFFF"/>
              <w:bottom w:val="single" w:sz="18" w:space="0" w:color="FFFFFF"/>
              <w:right w:val="single" w:sz="18" w:space="0" w:color="FFFFFF"/>
            </w:tcBorders>
            <w:shd w:val="clear" w:color="auto" w:fill="CCC0D9"/>
          </w:tcPr>
          <w:p w14:paraId="2D208C7A" w14:textId="77777777" w:rsidR="00AE68C1" w:rsidRPr="009651AC" w:rsidRDefault="00AE68C1" w:rsidP="0084354E">
            <w:pPr>
              <w:rPr>
                <w:rFonts w:ascii="Gill Sans" w:hAnsi="Gill Sans" w:cs="Gill Sans"/>
                <w:sz w:val="22"/>
                <w:szCs w:val="22"/>
                <w:lang w:val="en-GB"/>
              </w:rPr>
            </w:pPr>
          </w:p>
        </w:tc>
        <w:tc>
          <w:tcPr>
            <w:tcW w:w="959" w:type="dxa"/>
            <w:gridSpan w:val="2"/>
            <w:vMerge/>
            <w:tcBorders>
              <w:left w:val="single" w:sz="18" w:space="0" w:color="FFFFFF"/>
              <w:bottom w:val="single" w:sz="18" w:space="0" w:color="FFFFFF"/>
              <w:right w:val="single" w:sz="2" w:space="0" w:color="FFFFFF"/>
            </w:tcBorders>
            <w:shd w:val="clear" w:color="auto" w:fill="B8CCE4"/>
          </w:tcPr>
          <w:p w14:paraId="54B9DCF7" w14:textId="77777777" w:rsidR="00AE68C1" w:rsidRPr="009651AC" w:rsidRDefault="00AE68C1" w:rsidP="0084354E">
            <w:pPr>
              <w:rPr>
                <w:rFonts w:ascii="Gill Sans" w:hAnsi="Gill Sans" w:cs="Gill Sans"/>
                <w:sz w:val="22"/>
                <w:szCs w:val="22"/>
                <w:lang w:val="en-GB"/>
              </w:rPr>
            </w:pPr>
          </w:p>
        </w:tc>
        <w:tc>
          <w:tcPr>
            <w:tcW w:w="986"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795ED5DB" w14:textId="7863F37E"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2001" w:type="dxa"/>
            <w:gridSpan w:val="5"/>
            <w:vMerge/>
            <w:tcBorders>
              <w:left w:val="single" w:sz="18" w:space="0" w:color="FFFFFF"/>
              <w:bottom w:val="single" w:sz="18" w:space="0" w:color="FFFFFF"/>
              <w:right w:val="single" w:sz="18" w:space="0" w:color="FFFFFF"/>
            </w:tcBorders>
            <w:shd w:val="clear" w:color="auto" w:fill="D99594"/>
          </w:tcPr>
          <w:p w14:paraId="463F2280" w14:textId="77777777" w:rsidR="00AE68C1" w:rsidRPr="009651AC" w:rsidRDefault="00AE68C1" w:rsidP="0084354E">
            <w:pPr>
              <w:rPr>
                <w:rFonts w:ascii="Gill Sans" w:hAnsi="Gill Sans" w:cs="Gill Sans"/>
                <w:sz w:val="22"/>
                <w:szCs w:val="22"/>
                <w:lang w:val="en-GB"/>
              </w:rPr>
            </w:pPr>
          </w:p>
        </w:tc>
      </w:tr>
      <w:tr w:rsidR="00AE68C1" w:rsidRPr="009651AC" w14:paraId="7137BE53" w14:textId="77777777" w:rsidTr="00B223BA">
        <w:trPr>
          <w:cantSplit/>
          <w:trHeight w:val="2336"/>
        </w:trPr>
        <w:tc>
          <w:tcPr>
            <w:tcW w:w="1413" w:type="dxa"/>
            <w:vMerge/>
            <w:tcBorders>
              <w:left w:val="single" w:sz="4" w:space="0" w:color="FFFFFF"/>
              <w:right w:val="single" w:sz="18" w:space="0" w:color="FFFFFF"/>
            </w:tcBorders>
            <w:shd w:val="clear" w:color="auto" w:fill="000000"/>
          </w:tcPr>
          <w:p w14:paraId="5AC05C72" w14:textId="5F96A51D" w:rsidR="00AE68C1" w:rsidRPr="009651AC" w:rsidRDefault="00AE68C1" w:rsidP="009F0B5C">
            <w:pPr>
              <w:rPr>
                <w:rFonts w:ascii="Gill Sans" w:hAnsi="Gill Sans" w:cs="Gill Sans"/>
                <w:color w:val="FFFFFF" w:themeColor="background1"/>
                <w:sz w:val="22"/>
                <w:szCs w:val="22"/>
                <w:lang w:val="en-GB"/>
              </w:rPr>
            </w:pPr>
          </w:p>
        </w:tc>
        <w:tc>
          <w:tcPr>
            <w:tcW w:w="348"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20A76958"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None</w:t>
            </w:r>
          </w:p>
        </w:tc>
        <w:tc>
          <w:tcPr>
            <w:tcW w:w="341"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518105F9"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Low</w:t>
            </w:r>
          </w:p>
        </w:tc>
        <w:tc>
          <w:tcPr>
            <w:tcW w:w="341"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5DCEF35A"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Medium</w:t>
            </w:r>
          </w:p>
        </w:tc>
        <w:tc>
          <w:tcPr>
            <w:tcW w:w="417"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675AB1FD"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High</w:t>
            </w:r>
          </w:p>
        </w:tc>
        <w:tc>
          <w:tcPr>
            <w:tcW w:w="417"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1D6B1F23"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41"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31964E98"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41"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6E51DEA1"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798"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55D6B648"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341"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291BC24C"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None</w:t>
            </w:r>
          </w:p>
        </w:tc>
        <w:tc>
          <w:tcPr>
            <w:tcW w:w="376"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28F9A4CB"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Minor</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0C33C8A8"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Moderate</w:t>
            </w:r>
          </w:p>
        </w:tc>
        <w:tc>
          <w:tcPr>
            <w:tcW w:w="409"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39A57E64"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466"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1CEEA65C" w14:textId="2D81133F"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493"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0A70DDB5"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Limited</w:t>
            </w:r>
          </w:p>
        </w:tc>
        <w:tc>
          <w:tcPr>
            <w:tcW w:w="417"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26F62AC5"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Substantial</w:t>
            </w:r>
          </w:p>
        </w:tc>
        <w:tc>
          <w:tcPr>
            <w:tcW w:w="569"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4CD37C04"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Completed</w:t>
            </w:r>
          </w:p>
        </w:tc>
        <w:tc>
          <w:tcPr>
            <w:tcW w:w="34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684984FC" w14:textId="2C6A273D"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Worsen</w:t>
            </w:r>
            <w:r w:rsidR="006023C3">
              <w:rPr>
                <w:rFonts w:ascii="Gill Sans" w:hAnsi="Gill Sans" w:cs="Gill Sans"/>
                <w:sz w:val="22"/>
                <w:szCs w:val="22"/>
                <w:lang w:val="en-GB"/>
              </w:rPr>
              <w:t>ed</w:t>
            </w:r>
          </w:p>
        </w:tc>
        <w:tc>
          <w:tcPr>
            <w:tcW w:w="41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77FA816" w14:textId="744336BD"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38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7604D74"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Marginal</w:t>
            </w:r>
          </w:p>
        </w:tc>
        <w:tc>
          <w:tcPr>
            <w:tcW w:w="4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4881F7A"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19"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652C57F8"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Outstanding</w:t>
            </w:r>
          </w:p>
        </w:tc>
      </w:tr>
      <w:tr w:rsidR="00AE68C1" w:rsidRPr="009651AC" w14:paraId="2AC10A8C" w14:textId="77777777" w:rsidTr="00B223BA">
        <w:trPr>
          <w:trHeight w:val="340"/>
        </w:trPr>
        <w:tc>
          <w:tcPr>
            <w:tcW w:w="1413" w:type="dxa"/>
            <w:vMerge/>
            <w:tcBorders>
              <w:left w:val="single" w:sz="4" w:space="0" w:color="FFFFFF"/>
              <w:right w:val="single" w:sz="18" w:space="0" w:color="FFFFFF"/>
            </w:tcBorders>
            <w:shd w:val="clear" w:color="auto" w:fill="000000"/>
          </w:tcPr>
          <w:p w14:paraId="028D7250" w14:textId="740B59F4" w:rsidR="00AE68C1" w:rsidRPr="009651AC" w:rsidRDefault="00AE68C1" w:rsidP="009F0B5C">
            <w:pPr>
              <w:rPr>
                <w:rFonts w:ascii="Gill Sans" w:hAnsi="Gill Sans" w:cs="Gill Sans"/>
                <w:noProof/>
                <w:color w:val="FFFFFF" w:themeColor="background1"/>
                <w:sz w:val="22"/>
                <w:szCs w:val="22"/>
                <w:lang w:val="en-GB"/>
              </w:rPr>
            </w:pPr>
          </w:p>
        </w:tc>
        <w:tc>
          <w:tcPr>
            <w:tcW w:w="348" w:type="dxa"/>
            <w:vMerge w:val="restart"/>
            <w:tcBorders>
              <w:top w:val="single" w:sz="18" w:space="0" w:color="FFFFFF"/>
              <w:left w:val="single" w:sz="18" w:space="0" w:color="FFFFFF"/>
              <w:right w:val="single" w:sz="2" w:space="0" w:color="FFFFFF"/>
            </w:tcBorders>
            <w:shd w:val="clear" w:color="auto" w:fill="D6E3BC"/>
          </w:tcPr>
          <w:p w14:paraId="076719CB" w14:textId="77777777" w:rsidR="00AE68C1" w:rsidRPr="009651AC" w:rsidRDefault="00AE68C1" w:rsidP="0084354E">
            <w:pPr>
              <w:jc w:val="center"/>
              <w:rPr>
                <w:rFonts w:ascii="Gill Sans" w:hAnsi="Gill Sans" w:cs="Gill Sans"/>
                <w:sz w:val="22"/>
                <w:szCs w:val="22"/>
                <w:lang w:val="en-GB"/>
              </w:rPr>
            </w:pPr>
          </w:p>
        </w:tc>
        <w:tc>
          <w:tcPr>
            <w:tcW w:w="341" w:type="dxa"/>
            <w:vMerge w:val="restart"/>
            <w:tcBorders>
              <w:top w:val="single" w:sz="18" w:space="0" w:color="FFFFFF"/>
              <w:left w:val="single" w:sz="2" w:space="0" w:color="FFFFFF"/>
              <w:right w:val="single" w:sz="2" w:space="0" w:color="FFFFFF"/>
            </w:tcBorders>
            <w:shd w:val="clear" w:color="auto" w:fill="D6E3BC"/>
          </w:tcPr>
          <w:p w14:paraId="1955331A" w14:textId="77777777" w:rsidR="00AE68C1" w:rsidRPr="009651AC" w:rsidRDefault="00AE68C1" w:rsidP="0084354E">
            <w:pPr>
              <w:jc w:val="center"/>
              <w:rPr>
                <w:rFonts w:ascii="Gill Sans" w:hAnsi="Gill Sans" w:cs="Gill Sans"/>
                <w:sz w:val="22"/>
                <w:szCs w:val="22"/>
                <w:lang w:val="en-GB"/>
              </w:rPr>
            </w:pPr>
          </w:p>
        </w:tc>
        <w:tc>
          <w:tcPr>
            <w:tcW w:w="341" w:type="dxa"/>
            <w:vMerge w:val="restart"/>
            <w:tcBorders>
              <w:top w:val="single" w:sz="18" w:space="0" w:color="FFFFFF"/>
              <w:left w:val="single" w:sz="2" w:space="0" w:color="FFFFFF"/>
              <w:right w:val="single" w:sz="2" w:space="0" w:color="FFFFFF"/>
            </w:tcBorders>
            <w:shd w:val="clear" w:color="auto" w:fill="D6E3BC"/>
          </w:tcPr>
          <w:p w14:paraId="7496394F" w14:textId="77777777" w:rsidR="00AE68C1" w:rsidRPr="009651AC" w:rsidRDefault="00AE68C1" w:rsidP="0084354E">
            <w:pPr>
              <w:jc w:val="center"/>
              <w:rPr>
                <w:rFonts w:ascii="Gill Sans" w:hAnsi="Gill Sans" w:cs="Gill Sans"/>
                <w:sz w:val="22"/>
                <w:szCs w:val="22"/>
                <w:lang w:val="en-GB"/>
              </w:rPr>
            </w:pPr>
          </w:p>
        </w:tc>
        <w:tc>
          <w:tcPr>
            <w:tcW w:w="417" w:type="dxa"/>
            <w:vMerge w:val="restart"/>
            <w:tcBorders>
              <w:top w:val="single" w:sz="18" w:space="0" w:color="FFFFFF"/>
              <w:left w:val="single" w:sz="2" w:space="0" w:color="FFFFFF"/>
              <w:right w:val="single" w:sz="18" w:space="0" w:color="FFFFFF"/>
            </w:tcBorders>
            <w:shd w:val="clear" w:color="auto" w:fill="D6E3BC"/>
          </w:tcPr>
          <w:p w14:paraId="42218A97" w14:textId="77777777" w:rsidR="00AE68C1" w:rsidRPr="00C23352" w:rsidRDefault="00AE68C1" w:rsidP="0084354E">
            <w:pPr>
              <w:jc w:val="center"/>
              <w:rPr>
                <w:rFonts w:ascii="Zapf Dingbats" w:hAnsi="Zapf Dingbats" w:cs="Gill Sans"/>
                <w:noProof/>
                <w:sz w:val="22"/>
                <w:szCs w:val="22"/>
                <w:lang w:val="en-GB"/>
              </w:rPr>
            </w:pPr>
            <w:r w:rsidRPr="00C23352">
              <w:rPr>
                <w:rFonts w:ascii="Zapf Dingbats" w:eastAsia="MS Mincho" w:hAnsi="Zapf Dingbats" w:cs="MS Mincho"/>
                <w:noProof/>
                <w:sz w:val="22"/>
                <w:szCs w:val="22"/>
                <w:lang w:val="en-GB"/>
              </w:rPr>
              <w:t>✔</w:t>
            </w:r>
          </w:p>
        </w:tc>
        <w:tc>
          <w:tcPr>
            <w:tcW w:w="417" w:type="dxa"/>
            <w:vMerge w:val="restart"/>
            <w:tcBorders>
              <w:top w:val="single" w:sz="18" w:space="0" w:color="FFFFFF"/>
              <w:left w:val="single" w:sz="2" w:space="0" w:color="FFFFFF"/>
              <w:right w:val="single" w:sz="2" w:space="0" w:color="FFFFFF"/>
            </w:tcBorders>
            <w:shd w:val="clear" w:color="auto" w:fill="FBD4B4"/>
          </w:tcPr>
          <w:p w14:paraId="1BCEA0E5" w14:textId="103A0C55" w:rsidR="00AE68C1" w:rsidRPr="00C23352" w:rsidRDefault="00AE68C1" w:rsidP="0084354E">
            <w:pPr>
              <w:jc w:val="center"/>
              <w:rPr>
                <w:rFonts w:ascii="Zapf Dingbats" w:hAnsi="Zapf Dingbats" w:cs="Gill Sans"/>
                <w:sz w:val="22"/>
                <w:szCs w:val="22"/>
                <w:lang w:val="en-GB"/>
              </w:rPr>
            </w:pPr>
            <w:r w:rsidRPr="00C23352">
              <w:rPr>
                <w:rFonts w:ascii="Zapf Dingbats" w:eastAsia="MS Mincho" w:hAnsi="Zapf Dingbats" w:cs="MS Mincho"/>
                <w:noProof/>
                <w:sz w:val="22"/>
                <w:szCs w:val="22"/>
                <w:lang w:val="en-GB"/>
              </w:rPr>
              <w:t>✔</w:t>
            </w:r>
          </w:p>
        </w:tc>
        <w:tc>
          <w:tcPr>
            <w:tcW w:w="341" w:type="dxa"/>
            <w:vMerge w:val="restart"/>
            <w:tcBorders>
              <w:top w:val="single" w:sz="18" w:space="0" w:color="FFFFFF"/>
              <w:left w:val="single" w:sz="2" w:space="0" w:color="FFFFFF"/>
              <w:right w:val="single" w:sz="2" w:space="0" w:color="FFFFFF"/>
            </w:tcBorders>
            <w:shd w:val="clear" w:color="auto" w:fill="FBD4B4"/>
          </w:tcPr>
          <w:p w14:paraId="60FF2318" w14:textId="0C96AAA8" w:rsidR="00AE68C1" w:rsidRPr="00C23352" w:rsidRDefault="00AE68C1" w:rsidP="0084354E">
            <w:pPr>
              <w:jc w:val="center"/>
              <w:rPr>
                <w:rFonts w:ascii="Zapf Dingbats" w:hAnsi="Zapf Dingbats" w:cs="Gill Sans"/>
                <w:noProof/>
                <w:sz w:val="22"/>
                <w:szCs w:val="22"/>
                <w:lang w:val="en-GB"/>
              </w:rPr>
            </w:pPr>
          </w:p>
        </w:tc>
        <w:tc>
          <w:tcPr>
            <w:tcW w:w="341" w:type="dxa"/>
            <w:vMerge w:val="restart"/>
            <w:tcBorders>
              <w:top w:val="single" w:sz="18" w:space="0" w:color="FFFFFF"/>
              <w:left w:val="single" w:sz="2" w:space="0" w:color="FFFFFF"/>
              <w:right w:val="single" w:sz="2" w:space="0" w:color="FFFFFF"/>
            </w:tcBorders>
            <w:shd w:val="clear" w:color="auto" w:fill="FBD4B4"/>
          </w:tcPr>
          <w:p w14:paraId="36F22882" w14:textId="2999CE93" w:rsidR="00AE68C1" w:rsidRPr="00C23352" w:rsidRDefault="00AE68C1" w:rsidP="0084354E">
            <w:pPr>
              <w:jc w:val="center"/>
              <w:rPr>
                <w:rFonts w:ascii="Zapf Dingbats" w:hAnsi="Zapf Dingbats" w:cs="Gill Sans"/>
                <w:noProof/>
                <w:sz w:val="22"/>
                <w:szCs w:val="22"/>
                <w:lang w:val="en-GB"/>
              </w:rPr>
            </w:pPr>
            <w:r w:rsidRPr="00C23352">
              <w:rPr>
                <w:rFonts w:ascii="Zapf Dingbats" w:eastAsia="MS Mincho" w:hAnsi="Zapf Dingbats" w:cs="MS Mincho"/>
                <w:noProof/>
                <w:sz w:val="22"/>
                <w:szCs w:val="22"/>
                <w:lang w:val="en-GB"/>
              </w:rPr>
              <w:t>✔</w:t>
            </w:r>
          </w:p>
        </w:tc>
        <w:tc>
          <w:tcPr>
            <w:tcW w:w="798" w:type="dxa"/>
            <w:vMerge w:val="restart"/>
            <w:tcBorders>
              <w:top w:val="single" w:sz="18" w:space="0" w:color="FFFFFF"/>
              <w:left w:val="single" w:sz="2" w:space="0" w:color="FFFFFF"/>
              <w:right w:val="single" w:sz="18" w:space="0" w:color="FFFFFF"/>
            </w:tcBorders>
            <w:shd w:val="clear" w:color="auto" w:fill="FBD4B4"/>
          </w:tcPr>
          <w:p w14:paraId="0308E670" w14:textId="77777777" w:rsidR="00AE68C1" w:rsidRPr="00C23352" w:rsidRDefault="00AE68C1" w:rsidP="0084354E">
            <w:pPr>
              <w:jc w:val="center"/>
              <w:rPr>
                <w:rFonts w:ascii="Zapf Dingbats" w:hAnsi="Zapf Dingbats" w:cs="Gill Sans"/>
                <w:sz w:val="22"/>
                <w:szCs w:val="22"/>
                <w:lang w:val="en-GB"/>
              </w:rPr>
            </w:pPr>
            <w:r w:rsidRPr="00C23352">
              <w:rPr>
                <w:rFonts w:ascii="Zapf Dingbats" w:eastAsia="MS Mincho" w:hAnsi="Zapf Dingbats" w:cs="MS Mincho"/>
                <w:noProof/>
                <w:sz w:val="22"/>
                <w:szCs w:val="22"/>
                <w:lang w:val="en-GB"/>
              </w:rPr>
              <w:t>✔</w:t>
            </w:r>
          </w:p>
        </w:tc>
        <w:tc>
          <w:tcPr>
            <w:tcW w:w="341" w:type="dxa"/>
            <w:vMerge w:val="restart"/>
            <w:tcBorders>
              <w:top w:val="single" w:sz="18" w:space="0" w:color="FFFFFF"/>
              <w:left w:val="single" w:sz="18" w:space="0" w:color="FFFFFF"/>
              <w:right w:val="single" w:sz="2" w:space="0" w:color="FFFFFF"/>
            </w:tcBorders>
            <w:shd w:val="clear" w:color="auto" w:fill="CCC0D9"/>
          </w:tcPr>
          <w:p w14:paraId="077CF6B0" w14:textId="77777777" w:rsidR="00AE68C1" w:rsidRPr="00C23352" w:rsidRDefault="00AE68C1" w:rsidP="0084354E">
            <w:pPr>
              <w:jc w:val="center"/>
              <w:rPr>
                <w:rFonts w:ascii="Zapf Dingbats" w:hAnsi="Zapf Dingbats" w:cs="Gill Sans"/>
                <w:sz w:val="22"/>
                <w:szCs w:val="22"/>
                <w:lang w:val="en-GB"/>
              </w:rPr>
            </w:pPr>
          </w:p>
        </w:tc>
        <w:tc>
          <w:tcPr>
            <w:tcW w:w="376" w:type="dxa"/>
            <w:vMerge w:val="restart"/>
            <w:tcBorders>
              <w:top w:val="single" w:sz="18" w:space="0" w:color="FFFFFF"/>
              <w:left w:val="single" w:sz="2" w:space="0" w:color="FFFFFF"/>
              <w:right w:val="single" w:sz="2" w:space="0" w:color="FFFFFF"/>
            </w:tcBorders>
            <w:shd w:val="clear" w:color="auto" w:fill="CCC0D9"/>
          </w:tcPr>
          <w:p w14:paraId="6010608E" w14:textId="0EBDFCD9" w:rsidR="00AE68C1" w:rsidRPr="00C23352" w:rsidRDefault="00AE68C1" w:rsidP="0084354E">
            <w:pPr>
              <w:jc w:val="center"/>
              <w:rPr>
                <w:rFonts w:ascii="Zapf Dingbats" w:hAnsi="Zapf Dingbats" w:cs="Gill Sans"/>
                <w:sz w:val="22"/>
                <w:szCs w:val="22"/>
                <w:lang w:val="en-GB"/>
              </w:rPr>
            </w:pPr>
          </w:p>
        </w:tc>
        <w:tc>
          <w:tcPr>
            <w:tcW w:w="341" w:type="dxa"/>
            <w:vMerge w:val="restart"/>
            <w:tcBorders>
              <w:top w:val="single" w:sz="18" w:space="0" w:color="FFFFFF"/>
              <w:left w:val="single" w:sz="2" w:space="0" w:color="FFFFFF"/>
              <w:right w:val="single" w:sz="2" w:space="0" w:color="FFFFFF"/>
            </w:tcBorders>
            <w:shd w:val="clear" w:color="auto" w:fill="CCC0D9"/>
          </w:tcPr>
          <w:p w14:paraId="6F551545" w14:textId="04ECE29B" w:rsidR="00AE68C1" w:rsidRPr="00C23352" w:rsidRDefault="00AE68C1" w:rsidP="0084354E">
            <w:pPr>
              <w:jc w:val="center"/>
              <w:rPr>
                <w:rFonts w:ascii="Zapf Dingbats" w:hAnsi="Zapf Dingbats" w:cs="Gill Sans"/>
                <w:noProof/>
                <w:sz w:val="22"/>
                <w:szCs w:val="22"/>
                <w:lang w:val="en-GB"/>
              </w:rPr>
            </w:pPr>
            <w:r w:rsidRPr="00C23352">
              <w:rPr>
                <w:rFonts w:ascii="Zapf Dingbats" w:eastAsia="MS Mincho" w:hAnsi="Zapf Dingbats" w:cs="MS Mincho"/>
                <w:noProof/>
                <w:sz w:val="22"/>
                <w:szCs w:val="22"/>
                <w:lang w:val="en-GB"/>
              </w:rPr>
              <w:t>✔</w:t>
            </w:r>
          </w:p>
        </w:tc>
        <w:tc>
          <w:tcPr>
            <w:tcW w:w="409" w:type="dxa"/>
            <w:vMerge w:val="restart"/>
            <w:tcBorders>
              <w:top w:val="single" w:sz="18" w:space="0" w:color="FFFFFF"/>
              <w:left w:val="single" w:sz="2" w:space="0" w:color="FFFFFF"/>
              <w:right w:val="single" w:sz="18" w:space="0" w:color="FFFFFF"/>
            </w:tcBorders>
            <w:shd w:val="clear" w:color="auto" w:fill="CCC0D9"/>
          </w:tcPr>
          <w:p w14:paraId="2E1DE5FD" w14:textId="77777777" w:rsidR="00AE68C1" w:rsidRPr="00C23352" w:rsidRDefault="00AE68C1" w:rsidP="0084354E">
            <w:pPr>
              <w:jc w:val="center"/>
              <w:rPr>
                <w:rFonts w:ascii="Zapf Dingbats" w:hAnsi="Zapf Dingbats" w:cs="Gill Sans"/>
                <w:sz w:val="22"/>
                <w:szCs w:val="22"/>
                <w:lang w:val="en-GB"/>
              </w:rPr>
            </w:pPr>
          </w:p>
        </w:tc>
        <w:tc>
          <w:tcPr>
            <w:tcW w:w="466"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4C0CE05E" w14:textId="77777777" w:rsidR="00AE68C1" w:rsidRPr="00C23352" w:rsidRDefault="00AE68C1" w:rsidP="0084354E">
            <w:pPr>
              <w:jc w:val="center"/>
              <w:rPr>
                <w:rFonts w:ascii="Zapf Dingbats" w:hAnsi="Zapf Dingbats" w:cs="Gill Sans"/>
                <w:sz w:val="22"/>
                <w:szCs w:val="22"/>
                <w:lang w:val="en-GB"/>
              </w:rPr>
            </w:pPr>
          </w:p>
        </w:tc>
        <w:tc>
          <w:tcPr>
            <w:tcW w:w="493"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5085E9A" w14:textId="77777777" w:rsidR="00AE68C1" w:rsidRPr="00C23352" w:rsidRDefault="00AE68C1" w:rsidP="0084354E">
            <w:pPr>
              <w:jc w:val="center"/>
              <w:rPr>
                <w:rFonts w:ascii="Zapf Dingbats" w:hAnsi="Zapf Dingbats" w:cs="Gill Sans"/>
                <w:sz w:val="22"/>
                <w:szCs w:val="22"/>
                <w:lang w:val="en-GB"/>
              </w:rPr>
            </w:pPr>
          </w:p>
        </w:tc>
        <w:tc>
          <w:tcPr>
            <w:tcW w:w="41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D21F55D" w14:textId="30493619" w:rsidR="00AE68C1" w:rsidRPr="00C23352" w:rsidRDefault="00AE68C1" w:rsidP="0084354E">
            <w:pPr>
              <w:jc w:val="center"/>
              <w:rPr>
                <w:rFonts w:ascii="Zapf Dingbats" w:hAnsi="Zapf Dingbats" w:cs="Gill Sans"/>
                <w:sz w:val="22"/>
                <w:szCs w:val="22"/>
                <w:lang w:val="en-GB"/>
              </w:rPr>
            </w:pPr>
          </w:p>
        </w:tc>
        <w:tc>
          <w:tcPr>
            <w:tcW w:w="569"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2ACECC33" w14:textId="3B662025" w:rsidR="00AE68C1" w:rsidRPr="00C23352" w:rsidRDefault="00AE68C1" w:rsidP="0084354E">
            <w:pPr>
              <w:jc w:val="center"/>
              <w:rPr>
                <w:rFonts w:ascii="Zapf Dingbats" w:hAnsi="Zapf Dingbats" w:cs="Gill Sans"/>
                <w:sz w:val="22"/>
                <w:szCs w:val="22"/>
                <w:lang w:val="en-GB"/>
              </w:rPr>
            </w:pPr>
            <w:r w:rsidRPr="00C23352">
              <w:rPr>
                <w:rFonts w:ascii="Zapf Dingbats" w:eastAsia="MS Mincho" w:hAnsi="Zapf Dingbats" w:cs="MS Mincho"/>
                <w:noProof/>
                <w:sz w:val="22"/>
                <w:szCs w:val="22"/>
                <w:lang w:val="en-GB"/>
              </w:rPr>
              <w:t>✔</w:t>
            </w:r>
          </w:p>
        </w:tc>
        <w:tc>
          <w:tcPr>
            <w:tcW w:w="341" w:type="dxa"/>
            <w:vMerge w:val="restart"/>
            <w:tcBorders>
              <w:top w:val="single" w:sz="18" w:space="0" w:color="FFFFFF"/>
              <w:left w:val="single" w:sz="18" w:space="0" w:color="FFFFFF"/>
              <w:right w:val="single" w:sz="2" w:space="0" w:color="FFFFFF"/>
            </w:tcBorders>
            <w:shd w:val="clear" w:color="auto" w:fill="D99594"/>
          </w:tcPr>
          <w:p w14:paraId="5A7C8B14" w14:textId="77777777" w:rsidR="00AE68C1" w:rsidRPr="009651AC" w:rsidRDefault="00AE68C1" w:rsidP="0084354E">
            <w:pPr>
              <w:jc w:val="center"/>
              <w:rPr>
                <w:rFonts w:ascii="Gill Sans" w:hAnsi="Gill Sans" w:cs="Gill Sans"/>
                <w:sz w:val="22"/>
                <w:szCs w:val="22"/>
                <w:lang w:val="en-GB"/>
              </w:rPr>
            </w:pPr>
          </w:p>
        </w:tc>
        <w:tc>
          <w:tcPr>
            <w:tcW w:w="417" w:type="dxa"/>
            <w:vMerge w:val="restart"/>
            <w:tcBorders>
              <w:top w:val="single" w:sz="18" w:space="0" w:color="FFFFFF"/>
              <w:left w:val="single" w:sz="2" w:space="0" w:color="FFFFFF"/>
              <w:right w:val="single" w:sz="2" w:space="0" w:color="FFFFFF"/>
            </w:tcBorders>
            <w:shd w:val="clear" w:color="auto" w:fill="D99594"/>
          </w:tcPr>
          <w:p w14:paraId="76F07433" w14:textId="77777777" w:rsidR="00AE68C1" w:rsidRPr="009651AC" w:rsidRDefault="00AE68C1" w:rsidP="0084354E">
            <w:pPr>
              <w:jc w:val="center"/>
              <w:rPr>
                <w:rFonts w:ascii="Gill Sans" w:hAnsi="Gill Sans" w:cs="Gill Sans"/>
                <w:sz w:val="22"/>
                <w:szCs w:val="22"/>
                <w:lang w:val="en-GB"/>
              </w:rPr>
            </w:pPr>
          </w:p>
        </w:tc>
        <w:tc>
          <w:tcPr>
            <w:tcW w:w="382" w:type="dxa"/>
            <w:vMerge w:val="restart"/>
            <w:tcBorders>
              <w:top w:val="single" w:sz="18" w:space="0" w:color="FFFFFF"/>
              <w:left w:val="single" w:sz="2" w:space="0" w:color="FFFFFF"/>
              <w:right w:val="single" w:sz="2" w:space="0" w:color="FFFFFF"/>
            </w:tcBorders>
            <w:shd w:val="clear" w:color="auto" w:fill="D99594"/>
          </w:tcPr>
          <w:p w14:paraId="01A6C4FD" w14:textId="77777777" w:rsidR="00AE68C1" w:rsidRPr="009651AC" w:rsidRDefault="00AE68C1" w:rsidP="0084354E">
            <w:pPr>
              <w:jc w:val="center"/>
              <w:rPr>
                <w:rFonts w:ascii="Gill Sans" w:hAnsi="Gill Sans" w:cs="Gill Sans"/>
                <w:sz w:val="22"/>
                <w:szCs w:val="22"/>
                <w:lang w:val="uk-UA"/>
              </w:rPr>
            </w:pPr>
          </w:p>
        </w:tc>
        <w:tc>
          <w:tcPr>
            <w:tcW w:w="442" w:type="dxa"/>
            <w:vMerge w:val="restart"/>
            <w:tcBorders>
              <w:top w:val="single" w:sz="18" w:space="0" w:color="FFFFFF"/>
              <w:left w:val="single" w:sz="2" w:space="0" w:color="FFFFFF"/>
              <w:right w:val="single" w:sz="2" w:space="0" w:color="FFFFFF"/>
            </w:tcBorders>
            <w:shd w:val="clear" w:color="auto" w:fill="D99594"/>
          </w:tcPr>
          <w:p w14:paraId="75DFC625" w14:textId="57EBF612" w:rsidR="00AE68C1" w:rsidRPr="008E2D1E" w:rsidRDefault="00AE68C1" w:rsidP="0084354E">
            <w:pPr>
              <w:jc w:val="center"/>
              <w:rPr>
                <w:rFonts w:ascii="Gill Sans" w:hAnsi="Gill Sans" w:cs="Gill Sans"/>
                <w:noProof/>
                <w:sz w:val="22"/>
                <w:szCs w:val="22"/>
              </w:rPr>
            </w:pPr>
            <w:r w:rsidRPr="00C23352">
              <w:rPr>
                <w:rFonts w:ascii="Zapf Dingbats" w:eastAsia="MS Mincho" w:hAnsi="Zapf Dingbats" w:cs="MS Mincho"/>
                <w:noProof/>
                <w:sz w:val="22"/>
                <w:szCs w:val="22"/>
                <w:lang w:val="en-GB"/>
              </w:rPr>
              <w:t>✔</w:t>
            </w:r>
          </w:p>
        </w:tc>
        <w:tc>
          <w:tcPr>
            <w:tcW w:w="419" w:type="dxa"/>
            <w:vMerge w:val="restart"/>
            <w:tcBorders>
              <w:top w:val="single" w:sz="18" w:space="0" w:color="FFFFFF"/>
              <w:left w:val="single" w:sz="2" w:space="0" w:color="FFFFFF"/>
              <w:right w:val="single" w:sz="18" w:space="0" w:color="FFFFFF"/>
            </w:tcBorders>
            <w:shd w:val="clear" w:color="auto" w:fill="D99594"/>
          </w:tcPr>
          <w:p w14:paraId="24C1680A" w14:textId="124BE716" w:rsidR="00AE68C1" w:rsidRPr="000D214B" w:rsidRDefault="00AE68C1" w:rsidP="009F0B5C">
            <w:pPr>
              <w:rPr>
                <w:rFonts w:ascii="Gill Sans" w:hAnsi="Gill Sans" w:cs="Gill Sans"/>
                <w:b/>
                <w:sz w:val="22"/>
                <w:szCs w:val="22"/>
                <w:lang w:val="en-GB"/>
              </w:rPr>
            </w:pPr>
          </w:p>
        </w:tc>
      </w:tr>
      <w:tr w:rsidR="00AE68C1" w:rsidRPr="009651AC" w14:paraId="29C972E3" w14:textId="77777777" w:rsidTr="00B223BA">
        <w:trPr>
          <w:trHeight w:val="340"/>
        </w:trPr>
        <w:tc>
          <w:tcPr>
            <w:tcW w:w="1413" w:type="dxa"/>
            <w:vMerge/>
            <w:tcBorders>
              <w:left w:val="single" w:sz="4" w:space="0" w:color="FFFFFF"/>
              <w:right w:val="single" w:sz="18" w:space="0" w:color="FFFFFF"/>
            </w:tcBorders>
            <w:shd w:val="clear" w:color="auto" w:fill="000000"/>
          </w:tcPr>
          <w:p w14:paraId="4ABE5834" w14:textId="77777777" w:rsidR="00AE68C1" w:rsidRPr="009651AC" w:rsidRDefault="00AE68C1" w:rsidP="0084354E">
            <w:pPr>
              <w:rPr>
                <w:rFonts w:ascii="Gill Sans" w:hAnsi="Gill Sans" w:cs="Gill Sans"/>
                <w:color w:val="FFFFFF" w:themeColor="background1"/>
                <w:sz w:val="22"/>
                <w:szCs w:val="22"/>
                <w:lang w:val="en-GB"/>
              </w:rPr>
            </w:pPr>
          </w:p>
        </w:tc>
        <w:tc>
          <w:tcPr>
            <w:tcW w:w="348" w:type="dxa"/>
            <w:vMerge/>
            <w:tcBorders>
              <w:left w:val="single" w:sz="18" w:space="0" w:color="FFFFFF"/>
              <w:right w:val="single" w:sz="2" w:space="0" w:color="FFFFFF"/>
            </w:tcBorders>
            <w:shd w:val="clear" w:color="auto" w:fill="D6E3BC"/>
          </w:tcPr>
          <w:p w14:paraId="034A9757" w14:textId="77777777" w:rsidR="00AE68C1" w:rsidRPr="009651AC" w:rsidRDefault="00AE68C1" w:rsidP="0084354E">
            <w:pPr>
              <w:rPr>
                <w:rFonts w:ascii="Gill Sans" w:hAnsi="Gill Sans" w:cs="Gill Sans"/>
                <w:sz w:val="22"/>
                <w:szCs w:val="22"/>
                <w:lang w:val="en-GB"/>
              </w:rPr>
            </w:pPr>
          </w:p>
        </w:tc>
        <w:tc>
          <w:tcPr>
            <w:tcW w:w="341" w:type="dxa"/>
            <w:vMerge/>
            <w:tcBorders>
              <w:left w:val="single" w:sz="2" w:space="0" w:color="FFFFFF"/>
              <w:right w:val="single" w:sz="2" w:space="0" w:color="FFFFFF"/>
            </w:tcBorders>
            <w:shd w:val="clear" w:color="auto" w:fill="D6E3BC"/>
          </w:tcPr>
          <w:p w14:paraId="5F9C8CEA" w14:textId="77777777" w:rsidR="00AE68C1" w:rsidRPr="009651AC" w:rsidRDefault="00AE68C1" w:rsidP="0084354E">
            <w:pPr>
              <w:rPr>
                <w:rFonts w:ascii="Gill Sans" w:hAnsi="Gill Sans" w:cs="Gill Sans"/>
                <w:sz w:val="22"/>
                <w:szCs w:val="22"/>
                <w:lang w:val="en-GB"/>
              </w:rPr>
            </w:pPr>
          </w:p>
        </w:tc>
        <w:tc>
          <w:tcPr>
            <w:tcW w:w="341" w:type="dxa"/>
            <w:vMerge/>
            <w:tcBorders>
              <w:left w:val="single" w:sz="2" w:space="0" w:color="FFFFFF"/>
              <w:right w:val="single" w:sz="2" w:space="0" w:color="FFFFFF"/>
            </w:tcBorders>
            <w:shd w:val="clear" w:color="auto" w:fill="D6E3BC"/>
          </w:tcPr>
          <w:p w14:paraId="13D6E293" w14:textId="77777777" w:rsidR="00AE68C1" w:rsidRPr="009651AC" w:rsidRDefault="00AE68C1" w:rsidP="0084354E">
            <w:pPr>
              <w:rPr>
                <w:rFonts w:ascii="Gill Sans" w:hAnsi="Gill Sans" w:cs="Gill Sans"/>
                <w:sz w:val="22"/>
                <w:szCs w:val="22"/>
                <w:lang w:val="en-GB"/>
              </w:rPr>
            </w:pPr>
          </w:p>
        </w:tc>
        <w:tc>
          <w:tcPr>
            <w:tcW w:w="417" w:type="dxa"/>
            <w:vMerge/>
            <w:tcBorders>
              <w:left w:val="single" w:sz="2" w:space="0" w:color="FFFFFF"/>
              <w:right w:val="single" w:sz="18" w:space="0" w:color="FFFFFF"/>
            </w:tcBorders>
            <w:shd w:val="clear" w:color="auto" w:fill="D6E3BC"/>
          </w:tcPr>
          <w:p w14:paraId="35BEEBA8" w14:textId="77777777" w:rsidR="00AE68C1" w:rsidRPr="00C23352" w:rsidRDefault="00AE68C1" w:rsidP="0084354E">
            <w:pPr>
              <w:rPr>
                <w:rFonts w:ascii="Zapf Dingbats" w:hAnsi="Zapf Dingbats" w:cs="Gill Sans"/>
                <w:noProof/>
                <w:sz w:val="22"/>
                <w:szCs w:val="22"/>
                <w:lang w:val="en-GB"/>
              </w:rPr>
            </w:pPr>
          </w:p>
        </w:tc>
        <w:tc>
          <w:tcPr>
            <w:tcW w:w="417" w:type="dxa"/>
            <w:vMerge/>
            <w:tcBorders>
              <w:left w:val="single" w:sz="2" w:space="0" w:color="FFFFFF"/>
              <w:right w:val="single" w:sz="2" w:space="0" w:color="FFFFFF"/>
            </w:tcBorders>
            <w:shd w:val="clear" w:color="auto" w:fill="FBD4B4"/>
          </w:tcPr>
          <w:p w14:paraId="78636618" w14:textId="77777777" w:rsidR="00AE68C1" w:rsidRPr="00C23352" w:rsidRDefault="00AE68C1" w:rsidP="0084354E">
            <w:pPr>
              <w:rPr>
                <w:rFonts w:ascii="Zapf Dingbats" w:hAnsi="Zapf Dingbats" w:cs="Gill Sans"/>
                <w:sz w:val="22"/>
                <w:szCs w:val="22"/>
                <w:lang w:val="en-GB"/>
              </w:rPr>
            </w:pPr>
          </w:p>
        </w:tc>
        <w:tc>
          <w:tcPr>
            <w:tcW w:w="341" w:type="dxa"/>
            <w:vMerge/>
            <w:tcBorders>
              <w:left w:val="single" w:sz="2" w:space="0" w:color="FFFFFF"/>
              <w:right w:val="single" w:sz="2" w:space="0" w:color="FFFFFF"/>
            </w:tcBorders>
            <w:shd w:val="clear" w:color="auto" w:fill="FBD4B4"/>
          </w:tcPr>
          <w:p w14:paraId="18508D4C" w14:textId="77777777" w:rsidR="00AE68C1" w:rsidRPr="00C23352" w:rsidRDefault="00AE68C1" w:rsidP="0084354E">
            <w:pPr>
              <w:rPr>
                <w:rFonts w:ascii="Zapf Dingbats" w:hAnsi="Zapf Dingbats" w:cs="Gill Sans"/>
                <w:noProof/>
                <w:sz w:val="22"/>
                <w:szCs w:val="22"/>
                <w:lang w:val="en-GB"/>
              </w:rPr>
            </w:pPr>
          </w:p>
        </w:tc>
        <w:tc>
          <w:tcPr>
            <w:tcW w:w="341" w:type="dxa"/>
            <w:vMerge/>
            <w:tcBorders>
              <w:left w:val="single" w:sz="2" w:space="0" w:color="FFFFFF"/>
              <w:right w:val="single" w:sz="2" w:space="0" w:color="FFFFFF"/>
            </w:tcBorders>
            <w:shd w:val="clear" w:color="auto" w:fill="FBD4B4"/>
          </w:tcPr>
          <w:p w14:paraId="654969B5" w14:textId="77777777" w:rsidR="00AE68C1" w:rsidRPr="00C23352" w:rsidRDefault="00AE68C1" w:rsidP="0084354E">
            <w:pPr>
              <w:rPr>
                <w:rFonts w:ascii="Zapf Dingbats" w:hAnsi="Zapf Dingbats" w:cs="Gill Sans"/>
                <w:noProof/>
                <w:sz w:val="22"/>
                <w:szCs w:val="22"/>
                <w:lang w:val="en-GB"/>
              </w:rPr>
            </w:pPr>
          </w:p>
        </w:tc>
        <w:tc>
          <w:tcPr>
            <w:tcW w:w="798" w:type="dxa"/>
            <w:vMerge/>
            <w:tcBorders>
              <w:left w:val="single" w:sz="2" w:space="0" w:color="FFFFFF"/>
              <w:right w:val="single" w:sz="18" w:space="0" w:color="FFFFFF"/>
            </w:tcBorders>
            <w:shd w:val="clear" w:color="auto" w:fill="FBD4B4"/>
          </w:tcPr>
          <w:p w14:paraId="4C69416F" w14:textId="77777777" w:rsidR="00AE68C1" w:rsidRPr="00C23352" w:rsidRDefault="00AE68C1" w:rsidP="0084354E">
            <w:pPr>
              <w:rPr>
                <w:rFonts w:ascii="Zapf Dingbats" w:hAnsi="Zapf Dingbats" w:cs="Gill Sans"/>
                <w:sz w:val="22"/>
                <w:szCs w:val="22"/>
                <w:lang w:val="en-GB"/>
              </w:rPr>
            </w:pPr>
          </w:p>
        </w:tc>
        <w:tc>
          <w:tcPr>
            <w:tcW w:w="341" w:type="dxa"/>
            <w:vMerge/>
            <w:tcBorders>
              <w:left w:val="single" w:sz="18" w:space="0" w:color="FFFFFF"/>
              <w:right w:val="single" w:sz="2" w:space="0" w:color="FFFFFF"/>
            </w:tcBorders>
            <w:shd w:val="clear" w:color="auto" w:fill="CCC0D9"/>
          </w:tcPr>
          <w:p w14:paraId="7D0022C0" w14:textId="77777777" w:rsidR="00AE68C1" w:rsidRPr="00C23352" w:rsidRDefault="00AE68C1" w:rsidP="0084354E">
            <w:pPr>
              <w:rPr>
                <w:rFonts w:ascii="Zapf Dingbats" w:hAnsi="Zapf Dingbats" w:cs="Gill Sans"/>
                <w:sz w:val="22"/>
                <w:szCs w:val="22"/>
                <w:lang w:val="en-GB"/>
              </w:rPr>
            </w:pPr>
          </w:p>
        </w:tc>
        <w:tc>
          <w:tcPr>
            <w:tcW w:w="376" w:type="dxa"/>
            <w:vMerge/>
            <w:tcBorders>
              <w:left w:val="single" w:sz="2" w:space="0" w:color="FFFFFF"/>
              <w:right w:val="single" w:sz="2" w:space="0" w:color="FFFFFF"/>
            </w:tcBorders>
            <w:shd w:val="clear" w:color="auto" w:fill="CCC0D9"/>
          </w:tcPr>
          <w:p w14:paraId="09422161" w14:textId="77777777" w:rsidR="00AE68C1" w:rsidRPr="00C23352" w:rsidRDefault="00AE68C1" w:rsidP="0084354E">
            <w:pPr>
              <w:rPr>
                <w:rFonts w:ascii="Zapf Dingbats" w:hAnsi="Zapf Dingbats" w:cs="Gill Sans"/>
                <w:sz w:val="22"/>
                <w:szCs w:val="22"/>
                <w:lang w:val="en-GB"/>
              </w:rPr>
            </w:pPr>
          </w:p>
        </w:tc>
        <w:tc>
          <w:tcPr>
            <w:tcW w:w="341" w:type="dxa"/>
            <w:vMerge/>
            <w:tcBorders>
              <w:left w:val="single" w:sz="2" w:space="0" w:color="FFFFFF"/>
              <w:right w:val="single" w:sz="2" w:space="0" w:color="FFFFFF"/>
            </w:tcBorders>
            <w:shd w:val="clear" w:color="auto" w:fill="CCC0D9"/>
          </w:tcPr>
          <w:p w14:paraId="49074301" w14:textId="77777777" w:rsidR="00AE68C1" w:rsidRPr="00C23352" w:rsidRDefault="00AE68C1" w:rsidP="0084354E">
            <w:pPr>
              <w:rPr>
                <w:rFonts w:ascii="Zapf Dingbats" w:hAnsi="Zapf Dingbats" w:cs="Gill Sans"/>
                <w:noProof/>
                <w:sz w:val="22"/>
                <w:szCs w:val="22"/>
                <w:lang w:val="en-GB"/>
              </w:rPr>
            </w:pPr>
          </w:p>
        </w:tc>
        <w:tc>
          <w:tcPr>
            <w:tcW w:w="409" w:type="dxa"/>
            <w:vMerge/>
            <w:tcBorders>
              <w:left w:val="single" w:sz="2" w:space="0" w:color="FFFFFF"/>
              <w:right w:val="single" w:sz="18" w:space="0" w:color="FFFFFF"/>
            </w:tcBorders>
            <w:shd w:val="clear" w:color="auto" w:fill="CCC0D9"/>
          </w:tcPr>
          <w:p w14:paraId="36A2631E" w14:textId="77777777" w:rsidR="00AE68C1" w:rsidRPr="00C23352" w:rsidRDefault="00AE68C1" w:rsidP="0084354E">
            <w:pPr>
              <w:rPr>
                <w:rFonts w:ascii="Zapf Dingbats" w:hAnsi="Zapf Dingbats" w:cs="Gill Sans"/>
                <w:sz w:val="22"/>
                <w:szCs w:val="22"/>
                <w:lang w:val="en-GB"/>
              </w:rPr>
            </w:pPr>
          </w:p>
        </w:tc>
        <w:tc>
          <w:tcPr>
            <w:tcW w:w="466"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0EC14301" w14:textId="77777777" w:rsidR="00AE68C1" w:rsidRPr="00C23352" w:rsidRDefault="00AE68C1" w:rsidP="0084354E">
            <w:pPr>
              <w:rPr>
                <w:rFonts w:ascii="Zapf Dingbats" w:hAnsi="Zapf Dingbats" w:cs="Gill Sans"/>
                <w:sz w:val="22"/>
                <w:szCs w:val="22"/>
                <w:lang w:val="en-GB"/>
              </w:rPr>
            </w:pPr>
          </w:p>
        </w:tc>
        <w:tc>
          <w:tcPr>
            <w:tcW w:w="493"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27342D52" w14:textId="77777777" w:rsidR="00AE68C1" w:rsidRPr="00C23352" w:rsidRDefault="00AE68C1" w:rsidP="0084354E">
            <w:pPr>
              <w:rPr>
                <w:rFonts w:ascii="Zapf Dingbats" w:hAnsi="Zapf Dingbats" w:cs="Gill Sans"/>
                <w:sz w:val="22"/>
                <w:szCs w:val="22"/>
                <w:lang w:val="en-GB"/>
              </w:rPr>
            </w:pPr>
          </w:p>
        </w:tc>
        <w:tc>
          <w:tcPr>
            <w:tcW w:w="417"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17BB5FDC" w14:textId="3AE9B172" w:rsidR="00AE68C1" w:rsidRPr="00C23352" w:rsidRDefault="00AE68C1" w:rsidP="0084354E">
            <w:pPr>
              <w:rPr>
                <w:rFonts w:ascii="Zapf Dingbats" w:hAnsi="Zapf Dingbats" w:cs="Gill Sans"/>
                <w:sz w:val="22"/>
                <w:szCs w:val="22"/>
                <w:lang w:val="en-GB"/>
              </w:rPr>
            </w:pPr>
          </w:p>
        </w:tc>
        <w:tc>
          <w:tcPr>
            <w:tcW w:w="569"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0A592FD3" w14:textId="324926E6" w:rsidR="00AE68C1" w:rsidRPr="00C23352" w:rsidRDefault="00AE68C1" w:rsidP="0084354E">
            <w:pPr>
              <w:jc w:val="center"/>
              <w:rPr>
                <w:rFonts w:ascii="Zapf Dingbats" w:hAnsi="Zapf Dingbats" w:cs="Gill Sans"/>
                <w:sz w:val="22"/>
                <w:szCs w:val="22"/>
                <w:lang w:val="en-GB"/>
              </w:rPr>
            </w:pPr>
            <w:r w:rsidRPr="00C23352">
              <w:rPr>
                <w:rFonts w:ascii="Zapf Dingbats" w:eastAsia="MS Mincho" w:hAnsi="Zapf Dingbats" w:cs="MS Mincho"/>
                <w:noProof/>
                <w:sz w:val="22"/>
                <w:szCs w:val="22"/>
                <w:lang w:val="en-GB"/>
              </w:rPr>
              <w:t>✔</w:t>
            </w:r>
          </w:p>
        </w:tc>
        <w:tc>
          <w:tcPr>
            <w:tcW w:w="341" w:type="dxa"/>
            <w:vMerge/>
            <w:tcBorders>
              <w:left w:val="single" w:sz="18" w:space="0" w:color="FFFFFF"/>
              <w:right w:val="single" w:sz="2" w:space="0" w:color="FFFFFF"/>
            </w:tcBorders>
            <w:shd w:val="clear" w:color="auto" w:fill="D99594"/>
          </w:tcPr>
          <w:p w14:paraId="1A8C6E46" w14:textId="77777777" w:rsidR="00AE68C1" w:rsidRPr="009651AC" w:rsidRDefault="00AE68C1" w:rsidP="0084354E">
            <w:pPr>
              <w:rPr>
                <w:rFonts w:ascii="Gill Sans" w:hAnsi="Gill Sans" w:cs="Gill Sans"/>
                <w:sz w:val="22"/>
                <w:szCs w:val="22"/>
                <w:lang w:val="en-GB"/>
              </w:rPr>
            </w:pPr>
          </w:p>
        </w:tc>
        <w:tc>
          <w:tcPr>
            <w:tcW w:w="417" w:type="dxa"/>
            <w:vMerge/>
            <w:tcBorders>
              <w:left w:val="single" w:sz="2" w:space="0" w:color="FFFFFF"/>
              <w:right w:val="single" w:sz="2" w:space="0" w:color="FFFFFF"/>
            </w:tcBorders>
            <w:shd w:val="clear" w:color="auto" w:fill="D99594"/>
          </w:tcPr>
          <w:p w14:paraId="186F24E3" w14:textId="77777777" w:rsidR="00AE68C1" w:rsidRPr="009651AC" w:rsidRDefault="00AE68C1" w:rsidP="0084354E">
            <w:pPr>
              <w:rPr>
                <w:rFonts w:ascii="Gill Sans" w:hAnsi="Gill Sans" w:cs="Gill Sans"/>
                <w:sz w:val="22"/>
                <w:szCs w:val="22"/>
                <w:lang w:val="en-GB"/>
              </w:rPr>
            </w:pPr>
          </w:p>
        </w:tc>
        <w:tc>
          <w:tcPr>
            <w:tcW w:w="382" w:type="dxa"/>
            <w:vMerge/>
            <w:tcBorders>
              <w:left w:val="single" w:sz="2" w:space="0" w:color="FFFFFF"/>
              <w:right w:val="single" w:sz="2" w:space="0" w:color="FFFFFF"/>
            </w:tcBorders>
            <w:shd w:val="clear" w:color="auto" w:fill="D99594"/>
          </w:tcPr>
          <w:p w14:paraId="7AE6C771" w14:textId="77777777" w:rsidR="00AE68C1" w:rsidRPr="009651AC" w:rsidRDefault="00AE68C1" w:rsidP="0084354E">
            <w:pPr>
              <w:rPr>
                <w:rFonts w:ascii="Gill Sans" w:hAnsi="Gill Sans" w:cs="Gill Sans"/>
                <w:sz w:val="22"/>
                <w:szCs w:val="22"/>
                <w:lang w:val="en-GB"/>
              </w:rPr>
            </w:pPr>
          </w:p>
        </w:tc>
        <w:tc>
          <w:tcPr>
            <w:tcW w:w="442" w:type="dxa"/>
            <w:vMerge/>
            <w:tcBorders>
              <w:left w:val="single" w:sz="2" w:space="0" w:color="FFFFFF"/>
              <w:right w:val="single" w:sz="2" w:space="0" w:color="FFFFFF"/>
            </w:tcBorders>
            <w:shd w:val="clear" w:color="auto" w:fill="D99594"/>
          </w:tcPr>
          <w:p w14:paraId="027E35FC" w14:textId="77777777" w:rsidR="00AE68C1" w:rsidRPr="009651AC" w:rsidRDefault="00AE68C1" w:rsidP="0084354E">
            <w:pPr>
              <w:rPr>
                <w:rFonts w:ascii="Gill Sans" w:hAnsi="Gill Sans" w:cs="Gill Sans"/>
                <w:noProof/>
                <w:sz w:val="22"/>
                <w:szCs w:val="22"/>
                <w:lang w:val="en-GB"/>
              </w:rPr>
            </w:pPr>
          </w:p>
        </w:tc>
        <w:tc>
          <w:tcPr>
            <w:tcW w:w="419" w:type="dxa"/>
            <w:vMerge/>
            <w:tcBorders>
              <w:left w:val="single" w:sz="2" w:space="0" w:color="FFFFFF"/>
              <w:right w:val="single" w:sz="18" w:space="0" w:color="FFFFFF"/>
            </w:tcBorders>
            <w:shd w:val="clear" w:color="auto" w:fill="D99594"/>
          </w:tcPr>
          <w:p w14:paraId="3EE9C8CF" w14:textId="77777777" w:rsidR="00AE68C1" w:rsidRPr="009651AC" w:rsidRDefault="00AE68C1" w:rsidP="0084354E">
            <w:pPr>
              <w:rPr>
                <w:rFonts w:ascii="Gill Sans" w:hAnsi="Gill Sans" w:cs="Gill Sans"/>
                <w:sz w:val="22"/>
                <w:szCs w:val="22"/>
                <w:lang w:val="en-GB"/>
              </w:rPr>
            </w:pPr>
          </w:p>
        </w:tc>
      </w:tr>
    </w:tbl>
    <w:p w14:paraId="29093AC6" w14:textId="77777777" w:rsidR="00025289" w:rsidRPr="000B2CCA" w:rsidRDefault="00025289" w:rsidP="00025289">
      <w:pPr>
        <w:spacing w:after="120"/>
        <w:rPr>
          <w:rFonts w:ascii="Gill Sans" w:hAnsi="Gill Sans" w:cs="Gill Sans"/>
          <w:noProof/>
          <w:sz w:val="22"/>
          <w:szCs w:val="22"/>
          <w:lang w:val="en-GB"/>
        </w:rPr>
      </w:pPr>
    </w:p>
    <w:p w14:paraId="62208B8E" w14:textId="4B9BB011" w:rsidR="00025289" w:rsidRPr="00D2440E" w:rsidRDefault="00025289" w:rsidP="00163080">
      <w:pPr>
        <w:pStyle w:val="Heading3"/>
        <w:spacing w:after="120"/>
      </w:pPr>
      <w:r w:rsidRPr="00D2440E">
        <w:t xml:space="preserve">Commitment </w:t>
      </w:r>
      <w:r w:rsidR="009E5431">
        <w:t>a</w:t>
      </w:r>
      <w:r w:rsidRPr="00D2440E">
        <w:t>im</w:t>
      </w:r>
    </w:p>
    <w:p w14:paraId="1596A752" w14:textId="2DC35F1A" w:rsidR="00025289" w:rsidRPr="00D2440E" w:rsidRDefault="002718EC" w:rsidP="009F3200">
      <w:pPr>
        <w:spacing w:after="120"/>
        <w:rPr>
          <w:rFonts w:ascii="Gill Sans" w:hAnsi="Gill Sans" w:cs="Gill Sans"/>
          <w:noProof/>
          <w:sz w:val="22"/>
          <w:szCs w:val="22"/>
          <w:lang w:val="en-GB"/>
        </w:rPr>
      </w:pPr>
      <w:r>
        <w:rPr>
          <w:rFonts w:ascii="Gill Sans" w:hAnsi="Gill Sans" w:cs="Gill Sans"/>
          <w:noProof/>
          <w:sz w:val="22"/>
          <w:szCs w:val="22"/>
          <w:lang w:val="en-GB"/>
        </w:rPr>
        <w:t>Th</w:t>
      </w:r>
      <w:r w:rsidR="00795C24">
        <w:rPr>
          <w:rFonts w:ascii="Gill Sans" w:hAnsi="Gill Sans" w:cs="Gill Sans"/>
          <w:noProof/>
          <w:sz w:val="22"/>
          <w:szCs w:val="22"/>
          <w:lang w:val="en-GB"/>
        </w:rPr>
        <w:t>is</w:t>
      </w:r>
      <w:r>
        <w:rPr>
          <w:rFonts w:ascii="Gill Sans" w:hAnsi="Gill Sans" w:cs="Gill Sans"/>
          <w:noProof/>
          <w:sz w:val="22"/>
          <w:szCs w:val="22"/>
          <w:lang w:val="en-GB"/>
        </w:rPr>
        <w:t xml:space="preserve"> commitment </w:t>
      </w:r>
      <w:r w:rsidR="009F3200">
        <w:rPr>
          <w:rFonts w:ascii="Gill Sans" w:hAnsi="Gill Sans" w:cs="Gill Sans"/>
          <w:noProof/>
          <w:sz w:val="22"/>
          <w:szCs w:val="22"/>
          <w:lang w:val="en-GB"/>
        </w:rPr>
        <w:t>attempted</w:t>
      </w:r>
      <w:r w:rsidR="009F3200" w:rsidRPr="00D2440E">
        <w:rPr>
          <w:rFonts w:ascii="Gill Sans" w:hAnsi="Gill Sans" w:cs="Gill Sans"/>
          <w:noProof/>
          <w:sz w:val="22"/>
          <w:szCs w:val="22"/>
          <w:lang w:val="en-GB"/>
        </w:rPr>
        <w:t xml:space="preserve"> </w:t>
      </w:r>
      <w:r w:rsidR="000A7124" w:rsidRPr="00D2440E">
        <w:rPr>
          <w:rFonts w:ascii="Gill Sans" w:hAnsi="Gill Sans" w:cs="Gill Sans"/>
          <w:noProof/>
          <w:sz w:val="22"/>
          <w:szCs w:val="22"/>
          <w:lang w:val="en-GB"/>
        </w:rPr>
        <w:t xml:space="preserve">to </w:t>
      </w:r>
      <w:r w:rsidR="00087069" w:rsidRPr="00D2440E">
        <w:rPr>
          <w:rFonts w:ascii="Gill Sans" w:hAnsi="Gill Sans" w:cs="Gill Sans"/>
          <w:noProof/>
          <w:sz w:val="22"/>
          <w:szCs w:val="22"/>
          <w:lang w:val="en-GB"/>
        </w:rPr>
        <w:t xml:space="preserve">pilot initiatives on open budgets at different levels using online instruments. </w:t>
      </w:r>
      <w:r w:rsidR="000A7124" w:rsidRPr="00D2440E">
        <w:rPr>
          <w:rFonts w:ascii="Gill Sans" w:hAnsi="Gill Sans" w:cs="Gill Sans"/>
          <w:noProof/>
          <w:sz w:val="22"/>
          <w:szCs w:val="22"/>
          <w:lang w:val="en-GB"/>
        </w:rPr>
        <w:t xml:space="preserve">NGOs in Ukraine pioneered </w:t>
      </w:r>
      <w:r w:rsidR="009F3200">
        <w:rPr>
          <w:rFonts w:ascii="Gill Sans" w:hAnsi="Gill Sans" w:cs="Gill Sans"/>
          <w:noProof/>
          <w:sz w:val="22"/>
          <w:szCs w:val="22"/>
          <w:lang w:val="en-GB"/>
        </w:rPr>
        <w:t xml:space="preserve">the </w:t>
      </w:r>
      <w:r w:rsidR="000A7124" w:rsidRPr="00D2440E">
        <w:rPr>
          <w:rFonts w:ascii="Gill Sans" w:hAnsi="Gill Sans" w:cs="Gill Sans"/>
          <w:noProof/>
          <w:sz w:val="22"/>
          <w:szCs w:val="22"/>
          <w:lang w:val="en-GB"/>
        </w:rPr>
        <w:t>prepar</w:t>
      </w:r>
      <w:r w:rsidR="009F3200">
        <w:rPr>
          <w:rFonts w:ascii="Gill Sans" w:hAnsi="Gill Sans" w:cs="Gill Sans"/>
          <w:noProof/>
          <w:sz w:val="22"/>
          <w:szCs w:val="22"/>
          <w:lang w:val="en-GB"/>
        </w:rPr>
        <w:t>ation</w:t>
      </w:r>
      <w:r w:rsidR="000A7124" w:rsidRPr="00D2440E">
        <w:rPr>
          <w:rFonts w:ascii="Gill Sans" w:hAnsi="Gill Sans" w:cs="Gill Sans"/>
          <w:noProof/>
          <w:sz w:val="22"/>
          <w:szCs w:val="22"/>
          <w:lang w:val="en-GB"/>
        </w:rPr>
        <w:t xml:space="preserve"> and publi</w:t>
      </w:r>
      <w:r w:rsidR="009F3200">
        <w:rPr>
          <w:rFonts w:ascii="Gill Sans" w:hAnsi="Gill Sans" w:cs="Gill Sans"/>
          <w:noProof/>
          <w:sz w:val="22"/>
          <w:szCs w:val="22"/>
          <w:lang w:val="en-GB"/>
        </w:rPr>
        <w:t>cation of</w:t>
      </w:r>
      <w:r w:rsidR="000A7124" w:rsidRPr="00D2440E">
        <w:rPr>
          <w:rFonts w:ascii="Gill Sans" w:hAnsi="Gill Sans" w:cs="Gill Sans"/>
          <w:noProof/>
          <w:sz w:val="22"/>
          <w:szCs w:val="22"/>
          <w:lang w:val="en-GB"/>
        </w:rPr>
        <w:t xml:space="preserve"> information on local budgets and their execution in a user-friendly manner. In the OGP action plan, the government committed to support</w:t>
      </w:r>
      <w:r w:rsidR="009F3200">
        <w:rPr>
          <w:rFonts w:ascii="Gill Sans" w:hAnsi="Gill Sans" w:cs="Gill Sans"/>
          <w:noProof/>
          <w:sz w:val="22"/>
          <w:szCs w:val="22"/>
          <w:lang w:val="en-GB"/>
        </w:rPr>
        <w:t>ing</w:t>
      </w:r>
      <w:r w:rsidR="000A7124" w:rsidRPr="00D2440E">
        <w:rPr>
          <w:rFonts w:ascii="Gill Sans" w:hAnsi="Gill Sans" w:cs="Gill Sans"/>
          <w:noProof/>
          <w:sz w:val="22"/>
          <w:szCs w:val="22"/>
          <w:lang w:val="en-GB"/>
        </w:rPr>
        <w:t xml:space="preserve"> this work and</w:t>
      </w:r>
      <w:r w:rsidR="009F3200">
        <w:rPr>
          <w:rFonts w:ascii="Gill Sans" w:hAnsi="Gill Sans" w:cs="Gill Sans"/>
          <w:noProof/>
          <w:sz w:val="22"/>
          <w:szCs w:val="22"/>
          <w:lang w:val="en-GB"/>
        </w:rPr>
        <w:t xml:space="preserve"> </w:t>
      </w:r>
      <w:r w:rsidR="000A7124" w:rsidRPr="00D2440E">
        <w:rPr>
          <w:rFonts w:ascii="Gill Sans" w:hAnsi="Gill Sans" w:cs="Gill Sans"/>
          <w:noProof/>
          <w:sz w:val="22"/>
          <w:szCs w:val="22"/>
          <w:lang w:val="en-GB"/>
        </w:rPr>
        <w:t>mak</w:t>
      </w:r>
      <w:r w:rsidR="009F3200">
        <w:rPr>
          <w:rFonts w:ascii="Gill Sans" w:hAnsi="Gill Sans" w:cs="Gill Sans"/>
          <w:noProof/>
          <w:sz w:val="22"/>
          <w:szCs w:val="22"/>
          <w:lang w:val="en-GB"/>
        </w:rPr>
        <w:t>ing</w:t>
      </w:r>
      <w:r w:rsidR="000A7124" w:rsidRPr="00D2440E">
        <w:rPr>
          <w:rFonts w:ascii="Gill Sans" w:hAnsi="Gill Sans" w:cs="Gill Sans"/>
          <w:noProof/>
          <w:sz w:val="22"/>
          <w:szCs w:val="22"/>
          <w:lang w:val="en-GB"/>
        </w:rPr>
        <w:t xml:space="preserve"> budget information available in an accessible format for the first time, including through data visualisation. </w:t>
      </w:r>
    </w:p>
    <w:p w14:paraId="4F9DBB5F" w14:textId="3B242FC7" w:rsidR="00025289" w:rsidRPr="00D2440E" w:rsidRDefault="00025289" w:rsidP="006319F4">
      <w:pPr>
        <w:pStyle w:val="Heading3"/>
      </w:pPr>
      <w:r w:rsidRPr="00D2440E">
        <w:t>Status</w:t>
      </w:r>
    </w:p>
    <w:p w14:paraId="712A0965" w14:textId="7649BC22" w:rsidR="00025289" w:rsidRPr="00D2440E" w:rsidRDefault="00025289" w:rsidP="00D2440E">
      <w:pPr>
        <w:pStyle w:val="Normalrglronly"/>
        <w:rPr>
          <w:b/>
          <w:lang w:val="en-GB"/>
        </w:rPr>
      </w:pPr>
      <w:r w:rsidRPr="00D2440E">
        <w:rPr>
          <w:b/>
          <w:lang w:val="en-GB"/>
        </w:rPr>
        <w:t xml:space="preserve">Midterm: </w:t>
      </w:r>
      <w:r w:rsidR="00087069" w:rsidRPr="00D2440E">
        <w:rPr>
          <w:b/>
          <w:lang w:val="en-GB"/>
        </w:rPr>
        <w:t>Completed</w:t>
      </w:r>
    </w:p>
    <w:p w14:paraId="2573512C" w14:textId="6918D542" w:rsidR="006F5C1E" w:rsidRDefault="006F5C1E" w:rsidP="00CC5FBD">
      <w:pPr>
        <w:spacing w:after="120"/>
        <w:rPr>
          <w:rFonts w:ascii="Gill Sans" w:hAnsi="Gill Sans" w:cs="Gill Sans"/>
          <w:sz w:val="22"/>
          <w:szCs w:val="22"/>
          <w:lang w:val="en-GB"/>
        </w:rPr>
      </w:pPr>
      <w:r w:rsidRPr="005F10C0">
        <w:rPr>
          <w:rFonts w:ascii="Gill Sans" w:hAnsi="Gill Sans" w:cs="Gill Sans"/>
          <w:sz w:val="22"/>
          <w:szCs w:val="22"/>
          <w:lang w:val="en-GB"/>
        </w:rPr>
        <w:t xml:space="preserve">The commitment and its deliverables, as originally worded, did not </w:t>
      </w:r>
      <w:r w:rsidR="009F3200">
        <w:rPr>
          <w:rFonts w:ascii="Gill Sans" w:hAnsi="Gill Sans" w:cs="Gill Sans"/>
          <w:sz w:val="22"/>
          <w:szCs w:val="22"/>
          <w:lang w:val="en-GB"/>
        </w:rPr>
        <w:t>produce</w:t>
      </w:r>
      <w:r w:rsidRPr="005F10C0">
        <w:rPr>
          <w:rFonts w:ascii="Gill Sans" w:hAnsi="Gill Sans" w:cs="Gill Sans"/>
          <w:sz w:val="22"/>
          <w:szCs w:val="22"/>
          <w:lang w:val="en-GB"/>
        </w:rPr>
        <w:t xml:space="preserve"> transformative reforms. They included some important steps and pilot projects. However, the government managed to exceed its plan and launch a far-reaching initiative to open up information on all budgetary transactions. Civil society organisations in Ukraine originally </w:t>
      </w:r>
      <w:r w:rsidR="009F3200">
        <w:rPr>
          <w:rFonts w:ascii="Gill Sans" w:hAnsi="Gill Sans" w:cs="Gill Sans"/>
          <w:sz w:val="22"/>
          <w:szCs w:val="22"/>
          <w:lang w:val="en-GB"/>
        </w:rPr>
        <w:t>supported</w:t>
      </w:r>
      <w:r w:rsidR="009F3200" w:rsidRPr="005F10C0">
        <w:rPr>
          <w:rFonts w:ascii="Gill Sans" w:hAnsi="Gill Sans" w:cs="Gill Sans"/>
          <w:sz w:val="22"/>
          <w:szCs w:val="22"/>
          <w:lang w:val="en-GB"/>
        </w:rPr>
        <w:t xml:space="preserve"> </w:t>
      </w:r>
      <w:r w:rsidRPr="005F10C0">
        <w:rPr>
          <w:rFonts w:ascii="Gill Sans" w:hAnsi="Gill Sans" w:cs="Gill Sans"/>
          <w:sz w:val="22"/>
          <w:szCs w:val="22"/>
          <w:lang w:val="en-GB"/>
        </w:rPr>
        <w:t xml:space="preserve">the idea </w:t>
      </w:r>
      <w:r w:rsidR="009F3200">
        <w:rPr>
          <w:rFonts w:ascii="Gill Sans" w:hAnsi="Gill Sans" w:cs="Gill Sans"/>
          <w:sz w:val="22"/>
          <w:szCs w:val="22"/>
          <w:lang w:val="en-GB"/>
        </w:rPr>
        <w:t>of</w:t>
      </w:r>
      <w:r w:rsidR="009F3200" w:rsidRPr="005F10C0">
        <w:rPr>
          <w:rFonts w:ascii="Gill Sans" w:hAnsi="Gill Sans" w:cs="Gill Sans"/>
          <w:sz w:val="22"/>
          <w:szCs w:val="22"/>
          <w:lang w:val="en-GB"/>
        </w:rPr>
        <w:t xml:space="preserve"> </w:t>
      </w:r>
      <w:r w:rsidR="006E6C92" w:rsidRPr="005F10C0">
        <w:rPr>
          <w:rFonts w:ascii="Gill Sans" w:hAnsi="Gill Sans" w:cs="Gill Sans"/>
          <w:sz w:val="22"/>
          <w:szCs w:val="22"/>
          <w:lang w:val="en-GB"/>
        </w:rPr>
        <w:t>open</w:t>
      </w:r>
      <w:r w:rsidR="006E6C92">
        <w:rPr>
          <w:rFonts w:ascii="Gill Sans" w:hAnsi="Gill Sans" w:cs="Gill Sans"/>
          <w:sz w:val="22"/>
          <w:szCs w:val="22"/>
          <w:lang w:val="en-GB"/>
        </w:rPr>
        <w:t>ing</w:t>
      </w:r>
      <w:r w:rsidRPr="005F10C0">
        <w:rPr>
          <w:rFonts w:ascii="Gill Sans" w:hAnsi="Gill Sans" w:cs="Gill Sans"/>
          <w:sz w:val="22"/>
          <w:szCs w:val="22"/>
          <w:lang w:val="en-GB"/>
        </w:rPr>
        <w:t xml:space="preserve"> budgetary information, but in a user-friendly manner through visualisation and explanation</w:t>
      </w:r>
      <w:r w:rsidR="009F3200">
        <w:rPr>
          <w:rFonts w:ascii="Gill Sans" w:hAnsi="Gill Sans" w:cs="Gill Sans"/>
          <w:sz w:val="22"/>
          <w:szCs w:val="22"/>
          <w:lang w:val="en-GB"/>
        </w:rPr>
        <w:t>,</w:t>
      </w:r>
      <w:r w:rsidRPr="005F10C0">
        <w:rPr>
          <w:rFonts w:ascii="Gill Sans" w:hAnsi="Gill Sans" w:cs="Gill Sans"/>
          <w:sz w:val="22"/>
          <w:szCs w:val="22"/>
          <w:lang w:val="en-GB"/>
        </w:rPr>
        <w:t xml:space="preserve"> not just </w:t>
      </w:r>
      <w:r w:rsidR="009F3200">
        <w:rPr>
          <w:rFonts w:ascii="Gill Sans" w:hAnsi="Gill Sans" w:cs="Gill Sans"/>
          <w:sz w:val="22"/>
          <w:szCs w:val="22"/>
          <w:lang w:val="en-GB"/>
        </w:rPr>
        <w:t xml:space="preserve">in bulk </w:t>
      </w:r>
      <w:r w:rsidRPr="005F10C0">
        <w:rPr>
          <w:rFonts w:ascii="Gill Sans" w:hAnsi="Gill Sans" w:cs="Gill Sans"/>
          <w:sz w:val="22"/>
          <w:szCs w:val="22"/>
          <w:lang w:val="en-GB"/>
        </w:rPr>
        <w:t>disclos</w:t>
      </w:r>
      <w:r w:rsidR="009F3200">
        <w:rPr>
          <w:rFonts w:ascii="Gill Sans" w:hAnsi="Gill Sans" w:cs="Gill Sans"/>
          <w:sz w:val="22"/>
          <w:szCs w:val="22"/>
          <w:lang w:val="en-GB"/>
        </w:rPr>
        <w:t>ur</w:t>
      </w:r>
      <w:r w:rsidRPr="005F10C0">
        <w:rPr>
          <w:rFonts w:ascii="Gill Sans" w:hAnsi="Gill Sans" w:cs="Gill Sans"/>
          <w:sz w:val="22"/>
          <w:szCs w:val="22"/>
          <w:lang w:val="en-GB"/>
        </w:rPr>
        <w:t>e. The local self-government authorities and national government followed suit</w:t>
      </w:r>
      <w:r w:rsidR="009F3200">
        <w:rPr>
          <w:rFonts w:ascii="Gill Sans" w:hAnsi="Gill Sans" w:cs="Gill Sans"/>
          <w:sz w:val="22"/>
          <w:szCs w:val="22"/>
          <w:lang w:val="en-GB"/>
        </w:rPr>
        <w:t xml:space="preserve">, </w:t>
      </w:r>
      <w:r w:rsidRPr="005F10C0">
        <w:rPr>
          <w:rFonts w:ascii="Gill Sans" w:hAnsi="Gill Sans" w:cs="Gill Sans"/>
          <w:sz w:val="22"/>
          <w:szCs w:val="22"/>
          <w:lang w:val="en-GB"/>
        </w:rPr>
        <w:t xml:space="preserve">providing access to data and publishing visualised data on official websites. The OGP process </w:t>
      </w:r>
      <w:r w:rsidR="009F3200">
        <w:rPr>
          <w:rFonts w:ascii="Gill Sans" w:hAnsi="Gill Sans" w:cs="Gill Sans"/>
          <w:sz w:val="22"/>
          <w:szCs w:val="22"/>
          <w:lang w:val="en-GB"/>
        </w:rPr>
        <w:t>further</w:t>
      </w:r>
      <w:r w:rsidR="009F3200" w:rsidRPr="005F10C0">
        <w:rPr>
          <w:rFonts w:ascii="Gill Sans" w:hAnsi="Gill Sans" w:cs="Gill Sans"/>
          <w:sz w:val="22"/>
          <w:szCs w:val="22"/>
          <w:lang w:val="en-GB"/>
        </w:rPr>
        <w:t xml:space="preserve"> </w:t>
      </w:r>
      <w:r w:rsidRPr="005F10C0">
        <w:rPr>
          <w:rFonts w:ascii="Gill Sans" w:hAnsi="Gill Sans" w:cs="Gill Sans"/>
          <w:sz w:val="22"/>
          <w:szCs w:val="22"/>
          <w:lang w:val="en-GB"/>
        </w:rPr>
        <w:t xml:space="preserve">promoted innovative tools under this commitment, </w:t>
      </w:r>
      <w:r w:rsidR="00795C24">
        <w:rPr>
          <w:rFonts w:ascii="Gill Sans" w:hAnsi="Gill Sans" w:cs="Gill Sans"/>
          <w:sz w:val="22"/>
          <w:szCs w:val="22"/>
          <w:lang w:val="en-GB"/>
        </w:rPr>
        <w:t>for example,</w:t>
      </w:r>
      <w:r w:rsidR="00795C24" w:rsidRPr="005F10C0">
        <w:rPr>
          <w:rFonts w:ascii="Gill Sans" w:hAnsi="Gill Sans" w:cs="Gill Sans"/>
          <w:sz w:val="22"/>
          <w:szCs w:val="22"/>
          <w:lang w:val="en-GB"/>
        </w:rPr>
        <w:t xml:space="preserve"> </w:t>
      </w:r>
      <w:r w:rsidRPr="005F10C0">
        <w:rPr>
          <w:rFonts w:ascii="Gill Sans" w:hAnsi="Gill Sans" w:cs="Gill Sans"/>
          <w:sz w:val="22"/>
          <w:szCs w:val="22"/>
          <w:lang w:val="en-GB"/>
        </w:rPr>
        <w:t>“The Price of the State”</w:t>
      </w:r>
      <w:r>
        <w:rPr>
          <w:rFonts w:ascii="Gill Sans" w:hAnsi="Gill Sans" w:cs="Gill Sans"/>
          <w:sz w:val="22"/>
          <w:szCs w:val="22"/>
          <w:lang w:val="en-GB"/>
        </w:rPr>
        <w:t xml:space="preserve"> and “Open City”</w:t>
      </w:r>
      <w:r w:rsidR="00795C24">
        <w:rPr>
          <w:rFonts w:ascii="Gill Sans" w:hAnsi="Gill Sans" w:cs="Gill Sans"/>
          <w:sz w:val="22"/>
          <w:szCs w:val="22"/>
          <w:lang w:val="en-GB"/>
        </w:rPr>
        <w:t xml:space="preserve"> websites.</w:t>
      </w:r>
    </w:p>
    <w:p w14:paraId="5DE1B8A4" w14:textId="1DD9E200" w:rsidR="0017541C" w:rsidRPr="00D2440E" w:rsidRDefault="0017541C" w:rsidP="00CC5FBD">
      <w:pPr>
        <w:spacing w:after="120"/>
        <w:rPr>
          <w:rFonts w:ascii="Gill Sans" w:hAnsi="Gill Sans" w:cs="Gill Sans"/>
          <w:sz w:val="22"/>
          <w:szCs w:val="22"/>
          <w:lang w:val="en-GB"/>
        </w:rPr>
      </w:pPr>
      <w:r w:rsidRPr="00936E1A">
        <w:rPr>
          <w:rFonts w:ascii="Gill Sans" w:hAnsi="Gill Sans" w:cs="Gill Sans"/>
          <w:sz w:val="22"/>
          <w:szCs w:val="22"/>
          <w:lang w:val="en-GB"/>
        </w:rPr>
        <w:lastRenderedPageBreak/>
        <w:t xml:space="preserve">The commitment </w:t>
      </w:r>
      <w:r w:rsidR="00795C24">
        <w:rPr>
          <w:rFonts w:ascii="Gill Sans" w:hAnsi="Gill Sans" w:cs="Gill Sans"/>
          <w:sz w:val="22"/>
          <w:szCs w:val="22"/>
          <w:lang w:val="en-GB"/>
        </w:rPr>
        <w:t>was</w:t>
      </w:r>
      <w:r w:rsidRPr="00936E1A">
        <w:rPr>
          <w:rFonts w:ascii="Gill Sans" w:hAnsi="Gill Sans" w:cs="Gill Sans"/>
          <w:sz w:val="22"/>
          <w:szCs w:val="22"/>
          <w:lang w:val="en-GB"/>
        </w:rPr>
        <w:t xml:space="preserve"> successfully implemented</w:t>
      </w:r>
      <w:r w:rsidR="009F3200">
        <w:rPr>
          <w:rFonts w:ascii="Gill Sans" w:hAnsi="Gill Sans" w:cs="Gill Sans"/>
          <w:sz w:val="22"/>
          <w:szCs w:val="22"/>
          <w:lang w:val="en-GB"/>
        </w:rPr>
        <w:t>,</w:t>
      </w:r>
      <w:r w:rsidRPr="00936E1A">
        <w:rPr>
          <w:rFonts w:ascii="Gill Sans" w:hAnsi="Gill Sans" w:cs="Gill Sans"/>
          <w:sz w:val="22"/>
          <w:szCs w:val="22"/>
          <w:lang w:val="en-GB"/>
        </w:rPr>
        <w:t xml:space="preserve"> and even exceeded targeted results. </w:t>
      </w:r>
      <w:r w:rsidR="00212333" w:rsidRPr="00936E1A">
        <w:rPr>
          <w:rFonts w:ascii="Gill Sans" w:hAnsi="Gill Sans" w:cs="Gill Sans"/>
          <w:noProof/>
          <w:sz w:val="22"/>
          <w:szCs w:val="22"/>
          <w:lang w:val="en-GB"/>
        </w:rPr>
        <w:t>T</w:t>
      </w:r>
      <w:r w:rsidRPr="00936E1A">
        <w:rPr>
          <w:rFonts w:ascii="Gill Sans" w:hAnsi="Gill Sans" w:cs="Gill Sans"/>
          <w:noProof/>
          <w:sz w:val="22"/>
          <w:szCs w:val="22"/>
          <w:lang w:val="en-GB"/>
        </w:rPr>
        <w:t>he government reported that an NGO—the Centr</w:t>
      </w:r>
      <w:r w:rsidR="00F87693">
        <w:rPr>
          <w:rFonts w:ascii="Gill Sans" w:hAnsi="Gill Sans" w:cs="Gill Sans"/>
          <w:noProof/>
          <w:sz w:val="22"/>
          <w:szCs w:val="22"/>
          <w:lang w:val="en-GB"/>
        </w:rPr>
        <w:t>e</w:t>
      </w:r>
      <w:r w:rsidRPr="00936E1A">
        <w:rPr>
          <w:rFonts w:ascii="Gill Sans" w:hAnsi="Gill Sans" w:cs="Gill Sans"/>
          <w:noProof/>
          <w:sz w:val="22"/>
          <w:szCs w:val="22"/>
          <w:lang w:val="en-GB"/>
        </w:rPr>
        <w:t xml:space="preserve"> for Political Studies and Analytics—with donor support, launched a website and developed an open budget software tool for local self-government authorities (</w:t>
      </w:r>
      <w:hyperlink r:id="rId20" w:history="1">
        <w:r w:rsidRPr="00936E1A">
          <w:rPr>
            <w:rStyle w:val="Hyperlink"/>
            <w:rFonts w:ascii="Gill Sans" w:hAnsi="Gill Sans" w:cs="Gill Sans"/>
            <w:sz w:val="22"/>
            <w:szCs w:val="22"/>
            <w:lang w:val="en-GB"/>
          </w:rPr>
          <w:t>www.openbudget.in.ua</w:t>
        </w:r>
      </w:hyperlink>
      <w:r w:rsidRPr="00936E1A">
        <w:rPr>
          <w:rStyle w:val="Hyperlink"/>
          <w:rFonts w:ascii="Gill Sans" w:hAnsi="Gill Sans" w:cs="Gill Sans"/>
          <w:sz w:val="22"/>
          <w:szCs w:val="22"/>
          <w:lang w:val="en-GB"/>
        </w:rPr>
        <w:t>)</w:t>
      </w:r>
      <w:r w:rsidR="002718EC" w:rsidRPr="00936E1A">
        <w:rPr>
          <w:rFonts w:ascii="Gill Sans" w:hAnsi="Gill Sans" w:cs="Gill Sans"/>
          <w:sz w:val="22"/>
          <w:szCs w:val="22"/>
          <w:lang w:val="en-GB"/>
        </w:rPr>
        <w:t>. The web portal allowed</w:t>
      </w:r>
      <w:r w:rsidRPr="00936E1A">
        <w:rPr>
          <w:rFonts w:ascii="Gill Sans" w:hAnsi="Gill Sans" w:cs="Gill Sans"/>
          <w:sz w:val="22"/>
          <w:szCs w:val="22"/>
          <w:lang w:val="en-GB"/>
        </w:rPr>
        <w:t xml:space="preserve"> for the creation of an interactive visualisation of local budgets</w:t>
      </w:r>
      <w:r w:rsidR="009F3200">
        <w:rPr>
          <w:rFonts w:ascii="Gill Sans" w:hAnsi="Gill Sans" w:cs="Gill Sans"/>
          <w:sz w:val="22"/>
          <w:szCs w:val="22"/>
          <w:lang w:val="en-GB"/>
        </w:rPr>
        <w:t>,</w:t>
      </w:r>
      <w:r w:rsidRPr="00936E1A">
        <w:rPr>
          <w:rFonts w:ascii="Gill Sans" w:hAnsi="Gill Sans" w:cs="Gill Sans"/>
          <w:sz w:val="22"/>
          <w:szCs w:val="22"/>
          <w:lang w:val="en-GB"/>
        </w:rPr>
        <w:t xml:space="preserve"> based on the financial and statistical data of local authorities</w:t>
      </w:r>
      <w:r w:rsidR="009F3200">
        <w:rPr>
          <w:rFonts w:ascii="Gill Sans" w:hAnsi="Gill Sans" w:cs="Gill Sans"/>
          <w:sz w:val="22"/>
          <w:szCs w:val="22"/>
          <w:lang w:val="en-GB"/>
        </w:rPr>
        <w:t>,</w:t>
      </w:r>
      <w:r w:rsidRPr="00936E1A">
        <w:rPr>
          <w:rFonts w:ascii="Gill Sans" w:hAnsi="Gill Sans" w:cs="Gill Sans"/>
          <w:sz w:val="22"/>
          <w:szCs w:val="22"/>
          <w:lang w:val="en-GB"/>
        </w:rPr>
        <w:t xml:space="preserve"> and their publication on</w:t>
      </w:r>
      <w:r w:rsidR="009F3200">
        <w:rPr>
          <w:rFonts w:ascii="Gill Sans" w:hAnsi="Gill Sans" w:cs="Gill Sans"/>
          <w:sz w:val="22"/>
          <w:szCs w:val="22"/>
          <w:lang w:val="en-GB"/>
        </w:rPr>
        <w:t xml:space="preserve"> the websites of</w:t>
      </w:r>
      <w:r w:rsidRPr="00936E1A">
        <w:rPr>
          <w:rFonts w:ascii="Gill Sans" w:hAnsi="Gill Sans" w:cs="Gill Sans"/>
          <w:sz w:val="22"/>
          <w:szCs w:val="22"/>
          <w:lang w:val="en-GB"/>
        </w:rPr>
        <w:t xml:space="preserve"> local councils. A number of local authorities joined the project in 2015.</w:t>
      </w:r>
      <w:r w:rsidR="00212333" w:rsidRPr="00936E1A">
        <w:rPr>
          <w:rStyle w:val="EndnoteReference"/>
          <w:rFonts w:ascii="Gill Sans" w:hAnsi="Gill Sans" w:cs="Gill Sans"/>
          <w:sz w:val="22"/>
          <w:szCs w:val="22"/>
          <w:lang w:val="en-GB"/>
        </w:rPr>
        <w:endnoteReference w:id="110"/>
      </w:r>
    </w:p>
    <w:p w14:paraId="3CED37E1" w14:textId="7AB4819A" w:rsidR="0017541C" w:rsidRPr="00D2440E" w:rsidRDefault="0017541C" w:rsidP="00426663">
      <w:pPr>
        <w:spacing w:after="120"/>
        <w:rPr>
          <w:rFonts w:ascii="Gill Sans" w:hAnsi="Gill Sans" w:cs="Gill Sans"/>
          <w:sz w:val="22"/>
          <w:szCs w:val="22"/>
          <w:lang w:val="en-GB"/>
        </w:rPr>
      </w:pPr>
      <w:r w:rsidRPr="00D2440E">
        <w:rPr>
          <w:rFonts w:ascii="Gill Sans" w:hAnsi="Gill Sans" w:cs="Gill Sans"/>
          <w:sz w:val="22"/>
          <w:szCs w:val="22"/>
          <w:lang w:val="en-GB"/>
        </w:rPr>
        <w:t xml:space="preserve">The website, “The Price of the State” (http://costua.com), </w:t>
      </w:r>
      <w:r w:rsidR="009F3200">
        <w:rPr>
          <w:rFonts w:ascii="Gill Sans" w:hAnsi="Gill Sans" w:cs="Gill Sans"/>
          <w:sz w:val="22"/>
          <w:szCs w:val="22"/>
          <w:lang w:val="en-GB"/>
        </w:rPr>
        <w:t>was</w:t>
      </w:r>
      <w:r w:rsidR="009F3200" w:rsidRPr="00D2440E">
        <w:rPr>
          <w:rFonts w:ascii="Gill Sans" w:hAnsi="Gill Sans" w:cs="Gill Sans"/>
          <w:sz w:val="22"/>
          <w:szCs w:val="22"/>
          <w:lang w:val="en-GB"/>
        </w:rPr>
        <w:t xml:space="preserve"> </w:t>
      </w:r>
      <w:r w:rsidRPr="00D2440E">
        <w:rPr>
          <w:rFonts w:ascii="Gill Sans" w:hAnsi="Gill Sans" w:cs="Gill Sans"/>
          <w:sz w:val="22"/>
          <w:szCs w:val="22"/>
          <w:lang w:val="en-GB"/>
        </w:rPr>
        <w:t>successfully launched and administered by the NGO</w:t>
      </w:r>
      <w:r w:rsidR="00795C24">
        <w:rPr>
          <w:rFonts w:ascii="Gill Sans" w:hAnsi="Gill Sans" w:cs="Gill Sans"/>
          <w:sz w:val="22"/>
          <w:szCs w:val="22"/>
          <w:lang w:val="en-GB"/>
        </w:rPr>
        <w:t>,</w:t>
      </w:r>
      <w:r w:rsidRPr="00D2440E">
        <w:rPr>
          <w:rFonts w:ascii="Gill Sans" w:hAnsi="Gill Sans" w:cs="Gill Sans"/>
          <w:sz w:val="22"/>
          <w:szCs w:val="22"/>
          <w:lang w:val="en-GB"/>
        </w:rPr>
        <w:t xml:space="preserve"> CASE-Ukraine</w:t>
      </w:r>
      <w:r w:rsidR="00795C24">
        <w:rPr>
          <w:rFonts w:ascii="Gill Sans" w:hAnsi="Gill Sans" w:cs="Gill Sans"/>
          <w:sz w:val="22"/>
          <w:szCs w:val="22"/>
          <w:lang w:val="en-GB"/>
        </w:rPr>
        <w:t>,</w:t>
      </w:r>
      <w:r w:rsidR="00212333" w:rsidRPr="00D2440E">
        <w:rPr>
          <w:rFonts w:ascii="Gill Sans" w:hAnsi="Gill Sans" w:cs="Gill Sans"/>
          <w:sz w:val="22"/>
          <w:szCs w:val="22"/>
          <w:lang w:val="en-GB"/>
        </w:rPr>
        <w:t xml:space="preserve"> with donor support. It provided</w:t>
      </w:r>
      <w:r w:rsidRPr="00D2440E">
        <w:rPr>
          <w:rFonts w:ascii="Gill Sans" w:hAnsi="Gill Sans" w:cs="Gill Sans"/>
          <w:sz w:val="22"/>
          <w:szCs w:val="22"/>
          <w:lang w:val="en-GB"/>
        </w:rPr>
        <w:t xml:space="preserve"> visualised, accessible data on state budget revenues and expenses, debt, taxes paid, etc. </w:t>
      </w:r>
      <w:r w:rsidR="00795C24">
        <w:rPr>
          <w:rFonts w:ascii="Gill Sans" w:hAnsi="Gill Sans" w:cs="Gill Sans"/>
          <w:sz w:val="22"/>
          <w:szCs w:val="22"/>
          <w:lang w:val="en-GB"/>
        </w:rPr>
        <w:t>As of October 2015, t</w:t>
      </w:r>
      <w:r w:rsidRPr="00936E1A">
        <w:rPr>
          <w:rFonts w:ascii="Gill Sans" w:hAnsi="Gill Sans" w:cs="Gill Sans"/>
          <w:sz w:val="22"/>
          <w:szCs w:val="22"/>
          <w:lang w:val="en-GB"/>
        </w:rPr>
        <w:t>he platform, “Open City” (http://opencity.in.ua),</w:t>
      </w:r>
      <w:r w:rsidR="00212333" w:rsidRPr="00936E1A">
        <w:rPr>
          <w:rFonts w:ascii="Gill Sans" w:hAnsi="Gill Sans" w:cs="Gill Sans"/>
          <w:sz w:val="22"/>
          <w:szCs w:val="22"/>
          <w:lang w:val="en-GB"/>
        </w:rPr>
        <w:t xml:space="preserve"> </w:t>
      </w:r>
      <w:r w:rsidR="00795C24">
        <w:rPr>
          <w:rFonts w:ascii="Gill Sans" w:hAnsi="Gill Sans" w:cs="Gill Sans"/>
          <w:sz w:val="22"/>
          <w:szCs w:val="22"/>
          <w:lang w:val="en-GB"/>
        </w:rPr>
        <w:t>contained</w:t>
      </w:r>
      <w:r w:rsidRPr="00936E1A">
        <w:rPr>
          <w:rFonts w:ascii="Gill Sans" w:hAnsi="Gill Sans" w:cs="Gill Sans"/>
          <w:sz w:val="22"/>
          <w:szCs w:val="22"/>
          <w:lang w:val="en-GB"/>
        </w:rPr>
        <w:t xml:space="preserve"> about 18 cities</w:t>
      </w:r>
      <w:r w:rsidR="00795C24">
        <w:rPr>
          <w:rFonts w:ascii="Gill Sans" w:hAnsi="Gill Sans" w:cs="Gill Sans"/>
          <w:sz w:val="22"/>
          <w:szCs w:val="22"/>
          <w:lang w:val="en-GB"/>
        </w:rPr>
        <w:t xml:space="preserve">, </w:t>
      </w:r>
      <w:r w:rsidRPr="00936E1A">
        <w:rPr>
          <w:rFonts w:ascii="Gill Sans" w:hAnsi="Gill Sans" w:cs="Gill Sans"/>
          <w:sz w:val="22"/>
          <w:szCs w:val="22"/>
          <w:lang w:val="en-GB"/>
        </w:rPr>
        <w:t>with more than 30,000 reports per year and about 300 improvements per month as a result of citizen reports</w:t>
      </w:r>
      <w:r w:rsidR="00CD54B0" w:rsidRPr="00936E1A">
        <w:rPr>
          <w:rFonts w:ascii="Gill Sans" w:hAnsi="Gill Sans" w:cs="Gill Sans"/>
          <w:sz w:val="22"/>
          <w:szCs w:val="22"/>
          <w:lang w:val="en-GB"/>
        </w:rPr>
        <w:t>.</w:t>
      </w:r>
      <w:r w:rsidR="00212333" w:rsidRPr="00936E1A">
        <w:rPr>
          <w:rStyle w:val="EndnoteReference"/>
          <w:rFonts w:ascii="Gill Sans" w:hAnsi="Gill Sans" w:cs="Gill Sans"/>
          <w:sz w:val="22"/>
          <w:szCs w:val="22"/>
          <w:lang w:val="en-GB"/>
        </w:rPr>
        <w:endnoteReference w:id="111"/>
      </w:r>
    </w:p>
    <w:p w14:paraId="3CE55843" w14:textId="6E43DBF7" w:rsidR="00212333" w:rsidRPr="00280581" w:rsidRDefault="00D2440E" w:rsidP="001E48D4">
      <w:pPr>
        <w:spacing w:after="120"/>
        <w:rPr>
          <w:rFonts w:ascii="Gill Sans" w:hAnsi="Gill Sans" w:cs="Gill Sans"/>
          <w:noProof/>
          <w:sz w:val="22"/>
          <w:szCs w:val="22"/>
          <w:lang w:val="en-GB"/>
        </w:rPr>
      </w:pPr>
      <w:r w:rsidRPr="00D2440E">
        <w:rPr>
          <w:rFonts w:ascii="Gill Sans" w:hAnsi="Gill Sans" w:cs="Gill Sans"/>
          <w:noProof/>
          <w:sz w:val="22"/>
          <w:szCs w:val="22"/>
          <w:lang w:val="en-GB"/>
        </w:rPr>
        <w:t xml:space="preserve">Also, </w:t>
      </w:r>
      <w:r w:rsidR="00212333" w:rsidRPr="00D2440E">
        <w:rPr>
          <w:rFonts w:ascii="Gill Sans" w:hAnsi="Gill Sans" w:cs="Gill Sans"/>
          <w:noProof/>
          <w:sz w:val="22"/>
          <w:szCs w:val="22"/>
          <w:lang w:val="en-GB"/>
        </w:rPr>
        <w:t xml:space="preserve">in February 2015, </w:t>
      </w:r>
      <w:r w:rsidR="00F87693">
        <w:rPr>
          <w:rFonts w:ascii="Gill Sans" w:hAnsi="Gill Sans" w:cs="Gill Sans"/>
          <w:noProof/>
          <w:sz w:val="22"/>
          <w:szCs w:val="22"/>
          <w:lang w:val="en-GB"/>
        </w:rPr>
        <w:t>P</w:t>
      </w:r>
      <w:r w:rsidR="00212333" w:rsidRPr="00D2440E">
        <w:rPr>
          <w:rFonts w:ascii="Gill Sans" w:hAnsi="Gill Sans" w:cs="Gill Sans"/>
          <w:noProof/>
          <w:sz w:val="22"/>
          <w:szCs w:val="22"/>
          <w:lang w:val="en-GB"/>
        </w:rPr>
        <w:t>arliament passed an advanced Law on the Openness of Use of Public Funds. The l</w:t>
      </w:r>
      <w:r w:rsidRPr="00D2440E">
        <w:rPr>
          <w:rFonts w:ascii="Gill Sans" w:hAnsi="Gill Sans" w:cs="Gill Sans"/>
          <w:noProof/>
          <w:sz w:val="22"/>
          <w:szCs w:val="22"/>
          <w:lang w:val="en-GB"/>
        </w:rPr>
        <w:t>aw required</w:t>
      </w:r>
      <w:r w:rsidR="00212333" w:rsidRPr="00D2440E">
        <w:rPr>
          <w:rFonts w:ascii="Gill Sans" w:hAnsi="Gill Sans" w:cs="Gill Sans"/>
          <w:noProof/>
          <w:sz w:val="22"/>
          <w:szCs w:val="22"/>
          <w:lang w:val="en-GB"/>
        </w:rPr>
        <w:t xml:space="preserve"> publication of all data related to public expenses on a single web </w:t>
      </w:r>
      <w:r w:rsidR="00212333" w:rsidRPr="00280581">
        <w:rPr>
          <w:rFonts w:ascii="Gill Sans" w:hAnsi="Gill Sans" w:cs="Gill Sans"/>
          <w:noProof/>
          <w:sz w:val="22"/>
          <w:szCs w:val="22"/>
          <w:lang w:val="en-GB"/>
        </w:rPr>
        <w:t>portal, including real-time data on treasury transactions. In September 2015, the government adopted regulations required for the launch of the relevant web portal</w:t>
      </w:r>
      <w:r w:rsidR="00A66E89">
        <w:rPr>
          <w:rFonts w:ascii="Gill Sans" w:hAnsi="Gill Sans" w:cs="Gill Sans"/>
          <w:noProof/>
          <w:sz w:val="22"/>
          <w:szCs w:val="22"/>
          <w:lang w:val="en-GB"/>
        </w:rPr>
        <w:t>,</w:t>
      </w:r>
      <w:r w:rsidR="00212333" w:rsidRPr="00280581">
        <w:rPr>
          <w:rStyle w:val="EndnoteReference"/>
          <w:rFonts w:ascii="Gill Sans" w:hAnsi="Gill Sans" w:cs="Gill Sans"/>
          <w:noProof/>
          <w:sz w:val="22"/>
          <w:szCs w:val="22"/>
          <w:lang w:val="en-GB"/>
        </w:rPr>
        <w:endnoteReference w:id="112"/>
      </w:r>
      <w:r w:rsidR="00212333" w:rsidRPr="00280581">
        <w:rPr>
          <w:rFonts w:ascii="Gill Sans" w:hAnsi="Gill Sans" w:cs="Gill Sans"/>
          <w:noProof/>
          <w:sz w:val="22"/>
          <w:szCs w:val="22"/>
          <w:lang w:val="en-GB"/>
        </w:rPr>
        <w:t xml:space="preserve"> </w:t>
      </w:r>
      <w:r w:rsidR="00A66E89">
        <w:rPr>
          <w:rFonts w:ascii="Gill Sans" w:hAnsi="Gill Sans" w:cs="Gill Sans"/>
          <w:noProof/>
          <w:sz w:val="22"/>
          <w:szCs w:val="22"/>
          <w:lang w:val="en-GB"/>
        </w:rPr>
        <w:t>and</w:t>
      </w:r>
      <w:r w:rsidR="00212333" w:rsidRPr="00280581">
        <w:rPr>
          <w:rFonts w:ascii="Gill Sans" w:hAnsi="Gill Sans" w:cs="Gill Sans"/>
          <w:noProof/>
          <w:sz w:val="22"/>
          <w:szCs w:val="22"/>
          <w:lang w:val="en-GB"/>
        </w:rPr>
        <w:t xml:space="preserve"> allocated fund</w:t>
      </w:r>
      <w:r w:rsidR="00F87693">
        <w:rPr>
          <w:rFonts w:ascii="Gill Sans" w:hAnsi="Gill Sans" w:cs="Gill Sans"/>
          <w:noProof/>
          <w:sz w:val="22"/>
          <w:szCs w:val="22"/>
          <w:lang w:val="en-GB"/>
        </w:rPr>
        <w:t>s</w:t>
      </w:r>
      <w:r w:rsidR="00212333" w:rsidRPr="00280581">
        <w:rPr>
          <w:rFonts w:ascii="Gill Sans" w:hAnsi="Gill Sans" w:cs="Gill Sans"/>
          <w:noProof/>
          <w:sz w:val="22"/>
          <w:szCs w:val="22"/>
          <w:lang w:val="en-GB"/>
        </w:rPr>
        <w:t xml:space="preserve">. On 15 September 2015, the Ministry of Finance, with support from NGOs and donors, launched </w:t>
      </w:r>
      <w:r w:rsidR="00A66E89">
        <w:rPr>
          <w:rFonts w:ascii="Gill Sans" w:hAnsi="Gill Sans" w:cs="Gill Sans"/>
          <w:noProof/>
          <w:sz w:val="22"/>
          <w:szCs w:val="22"/>
          <w:lang w:val="en-GB"/>
        </w:rPr>
        <w:t>a test of the</w:t>
      </w:r>
      <w:r w:rsidR="00A66E89" w:rsidRPr="00280581">
        <w:rPr>
          <w:rFonts w:ascii="Gill Sans" w:hAnsi="Gill Sans" w:cs="Gill Sans"/>
          <w:noProof/>
          <w:sz w:val="22"/>
          <w:szCs w:val="22"/>
          <w:lang w:val="en-GB"/>
        </w:rPr>
        <w:t xml:space="preserve"> </w:t>
      </w:r>
      <w:r w:rsidR="00212333" w:rsidRPr="00280581">
        <w:rPr>
          <w:rFonts w:ascii="Gill Sans" w:hAnsi="Gill Sans" w:cs="Gill Sans"/>
          <w:noProof/>
          <w:sz w:val="22"/>
          <w:szCs w:val="22"/>
          <w:lang w:val="en-GB"/>
        </w:rPr>
        <w:t>web portal (</w:t>
      </w:r>
      <w:hyperlink r:id="rId21" w:history="1">
        <w:r w:rsidR="00212333" w:rsidRPr="00280581">
          <w:rPr>
            <w:rStyle w:val="Hyperlink"/>
            <w:rFonts w:ascii="Gill Sans" w:hAnsi="Gill Sans" w:cs="Gill Sans"/>
            <w:sz w:val="22"/>
            <w:szCs w:val="22"/>
            <w:lang w:val="en-GB"/>
          </w:rPr>
          <w:t>http://edata.gov.ua</w:t>
        </w:r>
      </w:hyperlink>
      <w:r w:rsidR="00212333" w:rsidRPr="00280581">
        <w:rPr>
          <w:rFonts w:ascii="Gill Sans" w:hAnsi="Gill Sans" w:cs="Gill Sans"/>
          <w:noProof/>
          <w:sz w:val="22"/>
          <w:szCs w:val="22"/>
          <w:lang w:val="en-GB"/>
        </w:rPr>
        <w:t>).</w:t>
      </w:r>
      <w:r w:rsidR="00212333" w:rsidRPr="00280581">
        <w:rPr>
          <w:rStyle w:val="EndnoteReference"/>
          <w:rFonts w:ascii="Gill Sans" w:hAnsi="Gill Sans" w:cs="Gill Sans"/>
          <w:noProof/>
          <w:sz w:val="22"/>
          <w:szCs w:val="22"/>
          <w:lang w:val="en-GB"/>
        </w:rPr>
        <w:endnoteReference w:id="113"/>
      </w:r>
    </w:p>
    <w:p w14:paraId="118F0616" w14:textId="5F189205" w:rsidR="00876474" w:rsidRPr="00280581" w:rsidRDefault="00211B28" w:rsidP="00CC5FBD">
      <w:pPr>
        <w:spacing w:after="120"/>
        <w:rPr>
          <w:rFonts w:ascii="Gill Sans" w:hAnsi="Gill Sans" w:cs="Gill Sans"/>
          <w:sz w:val="22"/>
          <w:szCs w:val="22"/>
        </w:rPr>
      </w:pPr>
      <w:r w:rsidRPr="00280581">
        <w:rPr>
          <w:rFonts w:ascii="Gill Sans" w:hAnsi="Gill Sans" w:cs="Gill Sans"/>
          <w:sz w:val="22"/>
          <w:szCs w:val="22"/>
          <w:lang w:val="en-GB"/>
        </w:rPr>
        <w:t>Initiatives described in the previous report have been further developed</w:t>
      </w:r>
      <w:r w:rsidR="00025289" w:rsidRPr="00280581">
        <w:rPr>
          <w:rFonts w:ascii="Gill Sans" w:hAnsi="Gill Sans" w:cs="Gill Sans"/>
          <w:sz w:val="22"/>
          <w:szCs w:val="22"/>
          <w:lang w:val="en-GB"/>
        </w:rPr>
        <w:t>.</w:t>
      </w:r>
      <w:r w:rsidR="00483E8F" w:rsidRPr="00280581">
        <w:rPr>
          <w:rFonts w:ascii="Gill Sans" w:hAnsi="Gill Sans" w:cs="Gill Sans"/>
          <w:sz w:val="22"/>
          <w:szCs w:val="22"/>
          <w:lang w:val="en-GB"/>
        </w:rPr>
        <w:t xml:space="preserve"> According to the website</w:t>
      </w:r>
      <w:r w:rsidR="00F87693">
        <w:rPr>
          <w:rFonts w:ascii="Gill Sans" w:hAnsi="Gill Sans" w:cs="Gill Sans"/>
          <w:sz w:val="22"/>
          <w:szCs w:val="22"/>
          <w:lang w:val="en-GB"/>
        </w:rPr>
        <w:t>,</w:t>
      </w:r>
      <w:r w:rsidR="00483E8F" w:rsidRPr="00280581">
        <w:rPr>
          <w:rFonts w:ascii="Gill Sans" w:hAnsi="Gill Sans" w:cs="Gill Sans"/>
          <w:sz w:val="22"/>
          <w:szCs w:val="22"/>
          <w:lang w:val="en-GB"/>
        </w:rPr>
        <w:t xml:space="preserve"> </w:t>
      </w:r>
      <w:hyperlink r:id="rId22" w:history="1">
        <w:r w:rsidR="00483E8F" w:rsidRPr="00280581">
          <w:rPr>
            <w:rStyle w:val="Hyperlink"/>
            <w:rFonts w:ascii="Gill Sans" w:hAnsi="Gill Sans" w:cs="Gill Sans"/>
            <w:sz w:val="22"/>
            <w:szCs w:val="22"/>
            <w:lang w:val="en-GB"/>
          </w:rPr>
          <w:t>http://opencity.in.ua</w:t>
        </w:r>
      </w:hyperlink>
      <w:r w:rsidR="00483E8F" w:rsidRPr="00280581">
        <w:rPr>
          <w:rFonts w:ascii="Gill Sans" w:hAnsi="Gill Sans" w:cs="Gill Sans"/>
          <w:sz w:val="22"/>
          <w:szCs w:val="22"/>
          <w:lang w:val="en-GB"/>
        </w:rPr>
        <w:t>, 27 cities are connected to the platform</w:t>
      </w:r>
      <w:r w:rsidR="00F87693">
        <w:rPr>
          <w:rFonts w:ascii="Gill Sans" w:hAnsi="Gill Sans" w:cs="Gill Sans"/>
          <w:sz w:val="22"/>
          <w:szCs w:val="22"/>
          <w:lang w:val="en-GB"/>
        </w:rPr>
        <w:t>,</w:t>
      </w:r>
      <w:r w:rsidR="00483E8F" w:rsidRPr="00280581">
        <w:rPr>
          <w:rFonts w:ascii="Gill Sans" w:hAnsi="Gill Sans" w:cs="Gill Sans"/>
          <w:sz w:val="22"/>
          <w:szCs w:val="22"/>
          <w:lang w:val="en-GB"/>
        </w:rPr>
        <w:t xml:space="preserve"> 34 messages </w:t>
      </w:r>
      <w:r w:rsidR="00F87693">
        <w:rPr>
          <w:rFonts w:ascii="Gill Sans" w:hAnsi="Gill Sans" w:cs="Gill Sans"/>
          <w:sz w:val="22"/>
          <w:szCs w:val="22"/>
          <w:lang w:val="en-GB"/>
        </w:rPr>
        <w:t xml:space="preserve">are </w:t>
      </w:r>
      <w:r w:rsidR="00483E8F" w:rsidRPr="00280581">
        <w:rPr>
          <w:rFonts w:ascii="Gill Sans" w:hAnsi="Gill Sans" w:cs="Gill Sans"/>
          <w:sz w:val="22"/>
          <w:szCs w:val="22"/>
          <w:lang w:val="en-GB"/>
        </w:rPr>
        <w:t xml:space="preserve">posted weekly, 414 improvements </w:t>
      </w:r>
      <w:r w:rsidR="00F87693">
        <w:rPr>
          <w:rFonts w:ascii="Gill Sans" w:hAnsi="Gill Sans" w:cs="Gill Sans"/>
          <w:sz w:val="22"/>
          <w:szCs w:val="22"/>
          <w:lang w:val="en-GB"/>
        </w:rPr>
        <w:t xml:space="preserve">are </w:t>
      </w:r>
      <w:r w:rsidR="00483E8F" w:rsidRPr="00280581">
        <w:rPr>
          <w:rFonts w:ascii="Gill Sans" w:hAnsi="Gill Sans" w:cs="Gill Sans"/>
          <w:sz w:val="22"/>
          <w:szCs w:val="22"/>
          <w:lang w:val="en-GB"/>
        </w:rPr>
        <w:t>accomplished monthly</w:t>
      </w:r>
      <w:r w:rsidR="00F87693">
        <w:rPr>
          <w:rFonts w:ascii="Gill Sans" w:hAnsi="Gill Sans" w:cs="Gill Sans"/>
          <w:sz w:val="22"/>
          <w:szCs w:val="22"/>
          <w:lang w:val="en-GB"/>
        </w:rPr>
        <w:t>,</w:t>
      </w:r>
      <w:r w:rsidR="00483E8F" w:rsidRPr="00280581">
        <w:rPr>
          <w:rFonts w:ascii="Gill Sans" w:hAnsi="Gill Sans" w:cs="Gill Sans"/>
          <w:sz w:val="22"/>
          <w:szCs w:val="22"/>
          <w:lang w:val="en-GB"/>
        </w:rPr>
        <w:t xml:space="preserve"> and more than 29,000 comments </w:t>
      </w:r>
      <w:r w:rsidR="00F87693">
        <w:rPr>
          <w:rFonts w:ascii="Gill Sans" w:hAnsi="Gill Sans" w:cs="Gill Sans"/>
          <w:sz w:val="22"/>
          <w:szCs w:val="22"/>
          <w:lang w:val="en-GB"/>
        </w:rPr>
        <w:t xml:space="preserve">are </w:t>
      </w:r>
      <w:r w:rsidR="00483E8F" w:rsidRPr="00280581">
        <w:rPr>
          <w:rFonts w:ascii="Gill Sans" w:hAnsi="Gill Sans" w:cs="Gill Sans"/>
          <w:sz w:val="22"/>
          <w:szCs w:val="22"/>
          <w:lang w:val="en-GB"/>
        </w:rPr>
        <w:t xml:space="preserve">left on the website </w:t>
      </w:r>
      <w:r w:rsidR="00F87693">
        <w:rPr>
          <w:rFonts w:ascii="Gill Sans" w:hAnsi="Gill Sans" w:cs="Gill Sans"/>
          <w:sz w:val="22"/>
          <w:szCs w:val="22"/>
          <w:lang w:val="en-GB"/>
        </w:rPr>
        <w:t>each</w:t>
      </w:r>
      <w:r w:rsidR="00F87693" w:rsidRPr="00280581">
        <w:rPr>
          <w:rFonts w:ascii="Gill Sans" w:hAnsi="Gill Sans" w:cs="Gill Sans"/>
          <w:sz w:val="22"/>
          <w:szCs w:val="22"/>
          <w:lang w:val="en-GB"/>
        </w:rPr>
        <w:t xml:space="preserve"> </w:t>
      </w:r>
      <w:r w:rsidR="00483E8F" w:rsidRPr="00280581">
        <w:rPr>
          <w:rFonts w:ascii="Gill Sans" w:hAnsi="Gill Sans" w:cs="Gill Sans"/>
          <w:sz w:val="22"/>
          <w:szCs w:val="22"/>
          <w:lang w:val="en-GB"/>
        </w:rPr>
        <w:t>year.</w:t>
      </w:r>
      <w:r w:rsidR="00552270" w:rsidRPr="00280581">
        <w:rPr>
          <w:rFonts w:ascii="Gill Sans" w:hAnsi="Gill Sans" w:cs="Gill Sans"/>
          <w:sz w:val="22"/>
          <w:szCs w:val="22"/>
          <w:lang w:val="en-GB"/>
        </w:rPr>
        <w:t xml:space="preserve"> </w:t>
      </w:r>
      <w:r w:rsidR="00876474" w:rsidRPr="00280581">
        <w:rPr>
          <w:rFonts w:ascii="Gill Sans" w:hAnsi="Gill Sans" w:cs="Gill Sans"/>
          <w:sz w:val="22"/>
          <w:szCs w:val="22"/>
          <w:lang w:val="en-GB"/>
        </w:rPr>
        <w:t xml:space="preserve">The Open Budget IT tools to visualise local budgets (available at </w:t>
      </w:r>
      <w:hyperlink r:id="rId23" w:history="1">
        <w:r w:rsidR="00876474" w:rsidRPr="00280581">
          <w:rPr>
            <w:rStyle w:val="Hyperlink"/>
            <w:rFonts w:ascii="Gill Sans" w:hAnsi="Gill Sans" w:cs="Gill Sans"/>
            <w:sz w:val="22"/>
            <w:szCs w:val="22"/>
          </w:rPr>
          <w:t>www.openbudget.in.ua)</w:t>
        </w:r>
      </w:hyperlink>
      <w:r w:rsidR="00876474" w:rsidRPr="00280581">
        <w:rPr>
          <w:rFonts w:ascii="Gill Sans" w:hAnsi="Gill Sans" w:cs="Gill Sans"/>
          <w:sz w:val="22"/>
          <w:szCs w:val="22"/>
        </w:rPr>
        <w:t xml:space="preserve"> </w:t>
      </w:r>
      <w:r w:rsidR="00007CDF" w:rsidRPr="00280581">
        <w:rPr>
          <w:rFonts w:ascii="Gill Sans" w:hAnsi="Gill Sans" w:cs="Gill Sans"/>
          <w:sz w:val="22"/>
          <w:szCs w:val="22"/>
        </w:rPr>
        <w:t xml:space="preserve">has been used by </w:t>
      </w:r>
      <w:r w:rsidR="00552270" w:rsidRPr="00280581">
        <w:rPr>
          <w:rFonts w:ascii="Gill Sans" w:hAnsi="Gill Sans" w:cs="Gill Sans"/>
          <w:sz w:val="22"/>
          <w:szCs w:val="22"/>
        </w:rPr>
        <w:t>50 cities and regions.</w:t>
      </w:r>
      <w:r w:rsidR="00552270" w:rsidRPr="00280581">
        <w:rPr>
          <w:rStyle w:val="EndnoteReference"/>
          <w:rFonts w:ascii="Gill Sans" w:hAnsi="Gill Sans" w:cs="Gill Sans"/>
          <w:sz w:val="22"/>
          <w:szCs w:val="22"/>
        </w:rPr>
        <w:endnoteReference w:id="114"/>
      </w:r>
    </w:p>
    <w:p w14:paraId="19FA30F9" w14:textId="77777777" w:rsidR="00025289" w:rsidRDefault="00025289" w:rsidP="006319F4">
      <w:pPr>
        <w:pStyle w:val="Heading3"/>
      </w:pPr>
      <w:r w:rsidRPr="005F10C0">
        <w:t>Did it open government?</w:t>
      </w:r>
    </w:p>
    <w:p w14:paraId="4F6487A4" w14:textId="4BA4DC3E" w:rsidR="00AE68C1" w:rsidRDefault="00AE68C1" w:rsidP="006023C3">
      <w:pPr>
        <w:spacing w:after="120"/>
        <w:rPr>
          <w:rFonts w:ascii="Gill Sans" w:hAnsi="Gill Sans" w:cs="Gill Sans"/>
          <w:b/>
          <w:color w:val="222222"/>
          <w:sz w:val="22"/>
          <w:szCs w:val="22"/>
          <w:lang w:val="en-GB"/>
        </w:rPr>
      </w:pPr>
      <w:r>
        <w:rPr>
          <w:rFonts w:ascii="Gill Sans" w:hAnsi="Gill Sans" w:cs="Gill Sans"/>
          <w:b/>
          <w:color w:val="222222"/>
          <w:sz w:val="22"/>
          <w:szCs w:val="22"/>
          <w:lang w:val="en-GB"/>
        </w:rPr>
        <w:t>Access to information: Major</w:t>
      </w:r>
    </w:p>
    <w:p w14:paraId="14DA619C" w14:textId="7E6DA6C9" w:rsidR="00F4548F" w:rsidRDefault="002718EC" w:rsidP="00163080">
      <w:pPr>
        <w:rPr>
          <w:rFonts w:ascii="Gill Sans" w:hAnsi="Gill Sans" w:cs="Gill Sans"/>
          <w:b/>
          <w:color w:val="222222"/>
          <w:sz w:val="22"/>
          <w:szCs w:val="22"/>
          <w:lang w:val="en-GB"/>
        </w:rPr>
      </w:pPr>
      <w:r w:rsidRPr="002718EC">
        <w:rPr>
          <w:rFonts w:ascii="Gill Sans" w:hAnsi="Gill Sans" w:cs="Gill Sans"/>
          <w:b/>
          <w:color w:val="222222"/>
          <w:sz w:val="22"/>
          <w:szCs w:val="22"/>
          <w:lang w:val="en-GB"/>
        </w:rPr>
        <w:t xml:space="preserve">Public Accountability: </w:t>
      </w:r>
      <w:r w:rsidR="00F4548F">
        <w:rPr>
          <w:rFonts w:ascii="Gill Sans" w:hAnsi="Gill Sans" w:cs="Gill Sans"/>
          <w:b/>
          <w:color w:val="222222"/>
          <w:sz w:val="22"/>
          <w:szCs w:val="22"/>
          <w:lang w:val="en-GB"/>
        </w:rPr>
        <w:t>Did not change</w:t>
      </w:r>
    </w:p>
    <w:p w14:paraId="67DE9260" w14:textId="77777777" w:rsidR="00AE68C1" w:rsidRDefault="00AE68C1" w:rsidP="00163080">
      <w:pPr>
        <w:rPr>
          <w:rFonts w:ascii="Gill Sans" w:hAnsi="Gill Sans" w:cs="Gill Sans"/>
          <w:b/>
          <w:color w:val="222222"/>
          <w:sz w:val="22"/>
          <w:szCs w:val="22"/>
          <w:lang w:val="en-GB"/>
        </w:rPr>
      </w:pPr>
    </w:p>
    <w:p w14:paraId="26B83091" w14:textId="30914CC5" w:rsidR="00B14BA8" w:rsidRPr="005F10C0" w:rsidRDefault="00ED6F7E" w:rsidP="00F87693">
      <w:pPr>
        <w:spacing w:after="120"/>
        <w:rPr>
          <w:rFonts w:ascii="Gill Sans" w:hAnsi="Gill Sans" w:cs="Gill Sans"/>
          <w:sz w:val="22"/>
          <w:szCs w:val="22"/>
          <w:lang w:val="en-GB"/>
        </w:rPr>
      </w:pPr>
      <w:r>
        <w:rPr>
          <w:rFonts w:ascii="Gill Sans" w:hAnsi="Gill Sans" w:cs="Gill Sans"/>
          <w:sz w:val="22"/>
          <w:szCs w:val="22"/>
          <w:lang w:val="en-GB"/>
        </w:rPr>
        <w:t>The website</w:t>
      </w:r>
      <w:r w:rsidR="00F87693">
        <w:rPr>
          <w:rFonts w:ascii="Gill Sans" w:hAnsi="Gill Sans" w:cs="Gill Sans"/>
          <w:sz w:val="22"/>
          <w:szCs w:val="22"/>
          <w:lang w:val="en-GB"/>
        </w:rPr>
        <w:t>,</w:t>
      </w:r>
      <w:r w:rsidRPr="005F10C0">
        <w:rPr>
          <w:rFonts w:ascii="Gill Sans" w:hAnsi="Gill Sans" w:cs="Gill Sans"/>
          <w:sz w:val="22"/>
          <w:szCs w:val="22"/>
          <w:lang w:val="en-GB"/>
        </w:rPr>
        <w:t xml:space="preserve"> “The Price of the State</w:t>
      </w:r>
      <w:r w:rsidR="00F87693">
        <w:rPr>
          <w:rFonts w:ascii="Gill Sans" w:hAnsi="Gill Sans" w:cs="Gill Sans"/>
          <w:sz w:val="22"/>
          <w:szCs w:val="22"/>
          <w:lang w:val="en-GB"/>
        </w:rPr>
        <w:t>,</w:t>
      </w:r>
      <w:r w:rsidRPr="005F10C0">
        <w:rPr>
          <w:rFonts w:ascii="Gill Sans" w:hAnsi="Gill Sans" w:cs="Gill Sans"/>
          <w:sz w:val="22"/>
          <w:szCs w:val="22"/>
          <w:lang w:val="en-GB"/>
        </w:rPr>
        <w:t>”</w:t>
      </w:r>
      <w:r>
        <w:rPr>
          <w:rFonts w:ascii="Gill Sans" w:hAnsi="Gill Sans" w:cs="Gill Sans"/>
          <w:sz w:val="22"/>
          <w:szCs w:val="22"/>
          <w:lang w:val="en-GB"/>
        </w:rPr>
        <w:t xml:space="preserve"> </w:t>
      </w:r>
      <w:r w:rsidR="00B14BA8" w:rsidRPr="005F10C0">
        <w:rPr>
          <w:rFonts w:ascii="Gill Sans" w:hAnsi="Gill Sans" w:cs="Gill Sans"/>
          <w:sz w:val="22"/>
          <w:szCs w:val="22"/>
          <w:lang w:val="en-GB"/>
        </w:rPr>
        <w:t>educate</w:t>
      </w:r>
      <w:r>
        <w:rPr>
          <w:rFonts w:ascii="Gill Sans" w:hAnsi="Gill Sans" w:cs="Gill Sans"/>
          <w:sz w:val="22"/>
          <w:szCs w:val="22"/>
          <w:lang w:val="en-GB"/>
        </w:rPr>
        <w:t>d</w:t>
      </w:r>
      <w:r w:rsidR="00B14BA8" w:rsidRPr="005F10C0">
        <w:rPr>
          <w:rFonts w:ascii="Gill Sans" w:hAnsi="Gill Sans" w:cs="Gill Sans"/>
          <w:sz w:val="22"/>
          <w:szCs w:val="22"/>
          <w:lang w:val="en-GB"/>
        </w:rPr>
        <w:t xml:space="preserve"> citizens about their taxes and how they are spent by th</w:t>
      </w:r>
      <w:r w:rsidR="002E09DC">
        <w:rPr>
          <w:rFonts w:ascii="Gill Sans" w:hAnsi="Gill Sans" w:cs="Gill Sans"/>
          <w:sz w:val="22"/>
          <w:szCs w:val="22"/>
          <w:lang w:val="en-GB"/>
        </w:rPr>
        <w:t xml:space="preserve">e state, </w:t>
      </w:r>
      <w:r w:rsidR="00F87693">
        <w:rPr>
          <w:rFonts w:ascii="Gill Sans" w:hAnsi="Gill Sans" w:cs="Gill Sans"/>
          <w:sz w:val="22"/>
          <w:szCs w:val="22"/>
          <w:lang w:val="en-GB"/>
        </w:rPr>
        <w:t xml:space="preserve">thereby </w:t>
      </w:r>
      <w:r>
        <w:rPr>
          <w:rFonts w:ascii="Gill Sans" w:hAnsi="Gill Sans" w:cs="Gill Sans"/>
          <w:sz w:val="22"/>
          <w:szCs w:val="22"/>
          <w:lang w:val="en-GB"/>
        </w:rPr>
        <w:t xml:space="preserve">providing information in user-friendly format and explaining complex financial concepts. </w:t>
      </w:r>
      <w:r w:rsidR="00E873DD">
        <w:rPr>
          <w:rFonts w:ascii="Gill Sans" w:hAnsi="Gill Sans" w:cs="Gill Sans"/>
          <w:sz w:val="22"/>
          <w:szCs w:val="22"/>
          <w:lang w:val="en-GB"/>
        </w:rPr>
        <w:t xml:space="preserve">According to a representative of the Centre for Political Studies and Analytics </w:t>
      </w:r>
      <w:proofErr w:type="spellStart"/>
      <w:r w:rsidR="00E873DD">
        <w:rPr>
          <w:rFonts w:ascii="Gill Sans" w:hAnsi="Gill Sans" w:cs="Gill Sans"/>
          <w:sz w:val="22"/>
          <w:szCs w:val="22"/>
          <w:lang w:val="en-GB"/>
        </w:rPr>
        <w:t>Eidos</w:t>
      </w:r>
      <w:proofErr w:type="spellEnd"/>
      <w:r w:rsidR="00E873DD">
        <w:rPr>
          <w:rFonts w:ascii="Gill Sans" w:hAnsi="Gill Sans" w:cs="Gill Sans"/>
          <w:sz w:val="22"/>
          <w:szCs w:val="22"/>
          <w:lang w:val="en-GB"/>
        </w:rPr>
        <w:t>, the ability to track public finances through the portal has provided citizens with usable, quality information about state spending.</w:t>
      </w:r>
      <w:r w:rsidR="00E873DD">
        <w:rPr>
          <w:rStyle w:val="EndnoteReference"/>
          <w:rFonts w:ascii="Gill Sans" w:hAnsi="Gill Sans" w:cs="Gill Sans"/>
          <w:sz w:val="22"/>
          <w:szCs w:val="22"/>
          <w:lang w:val="en-GB"/>
        </w:rPr>
        <w:endnoteReference w:id="115"/>
      </w:r>
      <w:r w:rsidR="00E873DD">
        <w:rPr>
          <w:rFonts w:ascii="Gill Sans" w:hAnsi="Gill Sans" w:cs="Gill Sans"/>
          <w:sz w:val="22"/>
          <w:szCs w:val="22"/>
          <w:lang w:val="en-GB"/>
        </w:rPr>
        <w:t xml:space="preserve"> </w:t>
      </w:r>
      <w:r>
        <w:rPr>
          <w:rFonts w:ascii="Gill Sans" w:hAnsi="Gill Sans" w:cs="Gill Sans"/>
          <w:sz w:val="22"/>
          <w:szCs w:val="22"/>
          <w:lang w:val="en-GB"/>
        </w:rPr>
        <w:t>The we</w:t>
      </w:r>
      <w:r w:rsidR="00CD54B0">
        <w:rPr>
          <w:rFonts w:ascii="Gill Sans" w:hAnsi="Gill Sans" w:cs="Gill Sans"/>
          <w:sz w:val="22"/>
          <w:szCs w:val="22"/>
          <w:lang w:val="en-GB"/>
        </w:rPr>
        <w:t>b</w:t>
      </w:r>
      <w:r>
        <w:rPr>
          <w:rFonts w:ascii="Gill Sans" w:hAnsi="Gill Sans" w:cs="Gill Sans"/>
          <w:sz w:val="22"/>
          <w:szCs w:val="22"/>
          <w:lang w:val="en-GB"/>
        </w:rPr>
        <w:t>site</w:t>
      </w:r>
      <w:r w:rsidR="00F87693">
        <w:rPr>
          <w:rFonts w:ascii="Gill Sans" w:hAnsi="Gill Sans" w:cs="Gill Sans"/>
          <w:sz w:val="22"/>
          <w:szCs w:val="22"/>
          <w:lang w:val="en-GB"/>
        </w:rPr>
        <w:t>,</w:t>
      </w:r>
      <w:r>
        <w:rPr>
          <w:rFonts w:ascii="Gill Sans" w:hAnsi="Gill Sans" w:cs="Gill Sans"/>
          <w:sz w:val="22"/>
          <w:szCs w:val="22"/>
          <w:lang w:val="en-GB"/>
        </w:rPr>
        <w:t xml:space="preserve"> “Open City</w:t>
      </w:r>
      <w:r w:rsidR="00F87693">
        <w:rPr>
          <w:rFonts w:ascii="Gill Sans" w:hAnsi="Gill Sans" w:cs="Gill Sans"/>
          <w:sz w:val="22"/>
          <w:szCs w:val="22"/>
          <w:lang w:val="en-GB"/>
        </w:rPr>
        <w:t>,</w:t>
      </w:r>
      <w:r>
        <w:rPr>
          <w:rFonts w:ascii="Gill Sans" w:hAnsi="Gill Sans" w:cs="Gill Sans"/>
          <w:sz w:val="22"/>
          <w:szCs w:val="22"/>
          <w:lang w:val="en-GB"/>
        </w:rPr>
        <w:t>”</w:t>
      </w:r>
      <w:r w:rsidR="002E09DC">
        <w:rPr>
          <w:rFonts w:ascii="Gill Sans" w:hAnsi="Gill Sans" w:cs="Gill Sans"/>
          <w:sz w:val="22"/>
          <w:szCs w:val="22"/>
          <w:lang w:val="en-GB"/>
        </w:rPr>
        <w:t xml:space="preserve"> </w:t>
      </w:r>
      <w:r w:rsidR="00F87693">
        <w:rPr>
          <w:rFonts w:ascii="Gill Sans" w:hAnsi="Gill Sans" w:cs="Gill Sans"/>
          <w:sz w:val="22"/>
          <w:szCs w:val="22"/>
          <w:lang w:val="en-GB"/>
        </w:rPr>
        <w:t xml:space="preserve">led to </w:t>
      </w:r>
      <w:r w:rsidR="00B14BA8" w:rsidRPr="005F10C0">
        <w:rPr>
          <w:rFonts w:ascii="Gill Sans" w:hAnsi="Gill Sans" w:cs="Gill Sans"/>
          <w:sz w:val="22"/>
          <w:szCs w:val="22"/>
          <w:lang w:val="en-GB"/>
        </w:rPr>
        <w:t xml:space="preserve">real-time reporting of </w:t>
      </w:r>
      <w:r>
        <w:rPr>
          <w:rFonts w:ascii="Gill Sans" w:hAnsi="Gill Sans" w:cs="Gill Sans"/>
          <w:sz w:val="22"/>
          <w:szCs w:val="22"/>
          <w:lang w:val="en-GB"/>
        </w:rPr>
        <w:t xml:space="preserve">hundreds of </w:t>
      </w:r>
      <w:r w:rsidR="00B14BA8" w:rsidRPr="005F10C0">
        <w:rPr>
          <w:rFonts w:ascii="Gill Sans" w:hAnsi="Gill Sans" w:cs="Gill Sans"/>
          <w:sz w:val="22"/>
          <w:szCs w:val="22"/>
          <w:lang w:val="en-GB"/>
        </w:rPr>
        <w:t>local problems</w:t>
      </w:r>
      <w:r w:rsidR="00F87693">
        <w:rPr>
          <w:rFonts w:ascii="Gill Sans" w:hAnsi="Gill Sans" w:cs="Gill Sans"/>
          <w:sz w:val="22"/>
          <w:szCs w:val="22"/>
          <w:lang w:val="en-GB"/>
        </w:rPr>
        <w:t>,</w:t>
      </w:r>
      <w:r w:rsidR="00B14BA8" w:rsidRPr="005F10C0">
        <w:rPr>
          <w:rFonts w:ascii="Gill Sans" w:hAnsi="Gill Sans" w:cs="Gill Sans"/>
          <w:sz w:val="22"/>
          <w:szCs w:val="22"/>
          <w:lang w:val="en-GB"/>
        </w:rPr>
        <w:t xml:space="preserve"> </w:t>
      </w:r>
      <w:r>
        <w:rPr>
          <w:rFonts w:ascii="Gill Sans" w:hAnsi="Gill Sans" w:cs="Gill Sans"/>
          <w:sz w:val="22"/>
          <w:szCs w:val="22"/>
          <w:lang w:val="en-GB"/>
        </w:rPr>
        <w:t xml:space="preserve">and </w:t>
      </w:r>
      <w:r w:rsidR="00E873DD">
        <w:rPr>
          <w:rFonts w:ascii="Gill Sans" w:hAnsi="Gill Sans" w:cs="Gill Sans"/>
          <w:sz w:val="22"/>
          <w:szCs w:val="22"/>
          <w:lang w:val="en-GB"/>
        </w:rPr>
        <w:t>identif</w:t>
      </w:r>
      <w:r w:rsidR="00F87693">
        <w:rPr>
          <w:rFonts w:ascii="Gill Sans" w:hAnsi="Gill Sans" w:cs="Gill Sans"/>
          <w:sz w:val="22"/>
          <w:szCs w:val="22"/>
          <w:lang w:val="en-GB"/>
        </w:rPr>
        <w:t>ied</w:t>
      </w:r>
      <w:r w:rsidR="00E873DD">
        <w:rPr>
          <w:rFonts w:ascii="Gill Sans" w:hAnsi="Gill Sans" w:cs="Gill Sans"/>
          <w:sz w:val="22"/>
          <w:szCs w:val="22"/>
          <w:lang w:val="en-GB"/>
        </w:rPr>
        <w:t xml:space="preserve"> the</w:t>
      </w:r>
      <w:r w:rsidR="00E873DD" w:rsidRPr="005F10C0">
        <w:rPr>
          <w:rFonts w:ascii="Gill Sans" w:hAnsi="Gill Sans" w:cs="Gill Sans"/>
          <w:sz w:val="22"/>
          <w:szCs w:val="22"/>
          <w:lang w:val="en-GB"/>
        </w:rPr>
        <w:t xml:space="preserve"> </w:t>
      </w:r>
      <w:r w:rsidR="00B14BA8" w:rsidRPr="005F10C0">
        <w:rPr>
          <w:rFonts w:ascii="Gill Sans" w:hAnsi="Gill Sans" w:cs="Gill Sans"/>
          <w:sz w:val="22"/>
          <w:szCs w:val="22"/>
          <w:lang w:val="en-GB"/>
        </w:rPr>
        <w:t>relevant municipal services</w:t>
      </w:r>
      <w:r>
        <w:rPr>
          <w:rFonts w:ascii="Gill Sans" w:hAnsi="Gill Sans" w:cs="Gill Sans"/>
          <w:sz w:val="22"/>
          <w:szCs w:val="22"/>
          <w:lang w:val="en-GB"/>
        </w:rPr>
        <w:t xml:space="preserve"> that </w:t>
      </w:r>
      <w:r w:rsidR="00E873DD">
        <w:rPr>
          <w:rFonts w:ascii="Gill Sans" w:hAnsi="Gill Sans" w:cs="Gill Sans"/>
          <w:sz w:val="22"/>
          <w:szCs w:val="22"/>
          <w:lang w:val="en-GB"/>
        </w:rPr>
        <w:t>resolved the issues.</w:t>
      </w:r>
    </w:p>
    <w:p w14:paraId="2E35882A" w14:textId="7C3BCC4C" w:rsidR="00025289" w:rsidRPr="0091168D" w:rsidRDefault="00B14BA8" w:rsidP="00163080">
      <w:pPr>
        <w:spacing w:after="120"/>
        <w:rPr>
          <w:rFonts w:eastAsia="Times New Roman"/>
        </w:rPr>
      </w:pPr>
      <w:r w:rsidRPr="005F10C0">
        <w:rPr>
          <w:rFonts w:ascii="Gill Sans" w:hAnsi="Gill Sans" w:cs="Gill Sans"/>
          <w:sz w:val="22"/>
          <w:szCs w:val="22"/>
          <w:lang w:val="en-GB"/>
        </w:rPr>
        <w:t xml:space="preserve">The </w:t>
      </w:r>
      <w:r w:rsidR="005F10C0" w:rsidRPr="005F10C0">
        <w:rPr>
          <w:rFonts w:ascii="Gill Sans" w:hAnsi="Gill Sans" w:cs="Gill Sans"/>
          <w:sz w:val="22"/>
          <w:szCs w:val="22"/>
          <w:lang w:val="en-GB"/>
        </w:rPr>
        <w:t xml:space="preserve">2015 </w:t>
      </w:r>
      <w:r w:rsidRPr="005F10C0">
        <w:rPr>
          <w:rFonts w:ascii="Gill Sans" w:hAnsi="Gill Sans" w:cs="Gill Sans"/>
          <w:sz w:val="22"/>
          <w:szCs w:val="22"/>
          <w:lang w:val="en-GB"/>
        </w:rPr>
        <w:t xml:space="preserve">Law on the Openness of the Use of Public Funds </w:t>
      </w:r>
      <w:r w:rsidR="005F10C0" w:rsidRPr="005F10C0">
        <w:rPr>
          <w:rFonts w:ascii="Gill Sans" w:hAnsi="Gill Sans" w:cs="Gill Sans"/>
          <w:sz w:val="22"/>
          <w:szCs w:val="22"/>
          <w:lang w:val="en-GB"/>
        </w:rPr>
        <w:t xml:space="preserve">was transformative </w:t>
      </w:r>
      <w:r w:rsidR="00A66E89">
        <w:rPr>
          <w:rFonts w:ascii="Gill Sans" w:hAnsi="Gill Sans" w:cs="Gill Sans"/>
          <w:sz w:val="22"/>
          <w:szCs w:val="22"/>
          <w:lang w:val="en-GB"/>
        </w:rPr>
        <w:t>as it</w:t>
      </w:r>
      <w:r w:rsidR="00A66E89" w:rsidRPr="005F10C0">
        <w:rPr>
          <w:rFonts w:ascii="Gill Sans" w:hAnsi="Gill Sans" w:cs="Gill Sans"/>
          <w:sz w:val="22"/>
          <w:szCs w:val="22"/>
          <w:lang w:val="en-GB"/>
        </w:rPr>
        <w:t xml:space="preserve"> </w:t>
      </w:r>
      <w:r w:rsidR="005F10C0" w:rsidRPr="005F10C0">
        <w:rPr>
          <w:rFonts w:ascii="Gill Sans" w:hAnsi="Gill Sans" w:cs="Gill Sans"/>
          <w:sz w:val="22"/>
          <w:szCs w:val="22"/>
          <w:lang w:val="en-GB"/>
        </w:rPr>
        <w:t>required</w:t>
      </w:r>
      <w:r w:rsidRPr="005F10C0">
        <w:rPr>
          <w:rFonts w:ascii="Gill Sans" w:hAnsi="Gill Sans" w:cs="Gill Sans"/>
          <w:sz w:val="22"/>
          <w:szCs w:val="22"/>
          <w:lang w:val="en-GB"/>
        </w:rPr>
        <w:t xml:space="preserve"> publication of detailed information on public expenditures by every budgetary unit, including real-time data on treasury transactions. This </w:t>
      </w:r>
      <w:r w:rsidR="005F10C0" w:rsidRPr="005F10C0">
        <w:rPr>
          <w:rFonts w:ascii="Gill Sans" w:hAnsi="Gill Sans" w:cs="Gill Sans"/>
          <w:sz w:val="22"/>
          <w:szCs w:val="22"/>
          <w:lang w:val="en-GB"/>
        </w:rPr>
        <w:t xml:space="preserve">was </w:t>
      </w:r>
      <w:r w:rsidRPr="005F10C0">
        <w:rPr>
          <w:rFonts w:ascii="Gill Sans" w:hAnsi="Gill Sans" w:cs="Gill Sans"/>
          <w:sz w:val="22"/>
          <w:szCs w:val="22"/>
          <w:lang w:val="en-GB"/>
        </w:rPr>
        <w:t xml:space="preserve">a commendable achievement, though it </w:t>
      </w:r>
      <w:r w:rsidR="005F10C0" w:rsidRPr="005F10C0">
        <w:rPr>
          <w:rFonts w:ascii="Gill Sans" w:hAnsi="Gill Sans" w:cs="Gill Sans"/>
          <w:sz w:val="22"/>
          <w:szCs w:val="22"/>
          <w:lang w:val="en-GB"/>
        </w:rPr>
        <w:t xml:space="preserve">was </w:t>
      </w:r>
      <w:r w:rsidRPr="005F10C0">
        <w:rPr>
          <w:rFonts w:ascii="Gill Sans" w:hAnsi="Gill Sans" w:cs="Gill Sans"/>
          <w:sz w:val="22"/>
          <w:szCs w:val="22"/>
          <w:lang w:val="en-GB"/>
        </w:rPr>
        <w:t>not part of the OGP action plan.</w:t>
      </w:r>
      <w:r w:rsidR="005F10C0" w:rsidRPr="005F10C0">
        <w:rPr>
          <w:rFonts w:ascii="Gill Sans" w:hAnsi="Gill Sans" w:cs="Gill Sans"/>
          <w:sz w:val="22"/>
          <w:szCs w:val="22"/>
          <w:lang w:val="en-GB"/>
        </w:rPr>
        <w:t xml:space="preserve"> </w:t>
      </w:r>
      <w:r w:rsidR="00E873DD">
        <w:rPr>
          <w:rFonts w:ascii="Gill Sans" w:hAnsi="Gill Sans" w:cs="Gill Sans"/>
          <w:sz w:val="22"/>
          <w:szCs w:val="22"/>
          <w:lang w:val="en-GB"/>
        </w:rPr>
        <w:t>A s</w:t>
      </w:r>
      <w:r w:rsidR="00ED6F7E">
        <w:rPr>
          <w:rFonts w:ascii="Gill Sans" w:hAnsi="Gill Sans" w:cs="Gill Sans"/>
          <w:sz w:val="22"/>
          <w:szCs w:val="22"/>
          <w:lang w:val="en-GB"/>
        </w:rPr>
        <w:t>ignificant amount of budgetary data ha</w:t>
      </w:r>
      <w:r w:rsidR="00A66E89">
        <w:rPr>
          <w:rFonts w:ascii="Gill Sans" w:hAnsi="Gill Sans" w:cs="Gill Sans"/>
          <w:sz w:val="22"/>
          <w:szCs w:val="22"/>
          <w:lang w:val="en-GB"/>
        </w:rPr>
        <w:t>s</w:t>
      </w:r>
      <w:r w:rsidR="00ED6F7E">
        <w:rPr>
          <w:rFonts w:ascii="Gill Sans" w:hAnsi="Gill Sans" w:cs="Gill Sans"/>
          <w:sz w:val="22"/>
          <w:szCs w:val="22"/>
          <w:lang w:val="en-GB"/>
        </w:rPr>
        <w:t xml:space="preserve"> been published</w:t>
      </w:r>
      <w:r w:rsidR="00F87693">
        <w:rPr>
          <w:rFonts w:ascii="Gill Sans" w:hAnsi="Gill Sans" w:cs="Gill Sans"/>
          <w:sz w:val="22"/>
          <w:szCs w:val="22"/>
          <w:lang w:val="en-GB"/>
        </w:rPr>
        <w:t>,</w:t>
      </w:r>
      <w:r w:rsidR="00ED6F7E">
        <w:rPr>
          <w:rFonts w:ascii="Gill Sans" w:hAnsi="Gill Sans" w:cs="Gill Sans"/>
          <w:sz w:val="22"/>
          <w:szCs w:val="22"/>
          <w:lang w:val="en-GB"/>
        </w:rPr>
        <w:t xml:space="preserve"> </w:t>
      </w:r>
      <w:r w:rsidR="00A66E89">
        <w:rPr>
          <w:rFonts w:ascii="Gill Sans" w:hAnsi="Gill Sans" w:cs="Gill Sans"/>
          <w:sz w:val="22"/>
          <w:szCs w:val="22"/>
          <w:lang w:val="en-GB"/>
        </w:rPr>
        <w:t xml:space="preserve">which </w:t>
      </w:r>
      <w:r w:rsidR="00ED6F7E">
        <w:rPr>
          <w:rFonts w:ascii="Gill Sans" w:hAnsi="Gill Sans" w:cs="Gill Sans"/>
          <w:sz w:val="22"/>
          <w:szCs w:val="22"/>
          <w:lang w:val="en-GB"/>
        </w:rPr>
        <w:t xml:space="preserve">resulted in </w:t>
      </w:r>
      <w:r w:rsidR="00F87693">
        <w:rPr>
          <w:rFonts w:ascii="Gill Sans" w:hAnsi="Gill Sans" w:cs="Gill Sans"/>
          <w:sz w:val="22"/>
          <w:szCs w:val="22"/>
          <w:lang w:val="en-GB"/>
        </w:rPr>
        <w:t xml:space="preserve">a </w:t>
      </w:r>
      <w:r w:rsidR="00ED6F7E">
        <w:rPr>
          <w:rFonts w:ascii="Gill Sans" w:hAnsi="Gill Sans" w:cs="Gill Sans"/>
          <w:sz w:val="22"/>
          <w:szCs w:val="22"/>
          <w:lang w:val="en-GB"/>
        </w:rPr>
        <w:t>much higher level of openness and public scrutiny over the use of public funds.</w:t>
      </w:r>
      <w:r w:rsidR="00A9435C">
        <w:rPr>
          <w:rFonts w:ascii="Gill Sans" w:hAnsi="Gill Sans" w:cs="Gill Sans"/>
          <w:sz w:val="22"/>
          <w:szCs w:val="22"/>
          <w:lang w:val="en-GB"/>
        </w:rPr>
        <w:t xml:space="preserve"> For example, open data introduced through the public finances web</w:t>
      </w:r>
      <w:r w:rsidR="00A66E89">
        <w:rPr>
          <w:rFonts w:ascii="Gill Sans" w:hAnsi="Gill Sans" w:cs="Gill Sans"/>
          <w:sz w:val="22"/>
          <w:szCs w:val="22"/>
          <w:lang w:val="en-GB"/>
        </w:rPr>
        <w:t xml:space="preserve"> </w:t>
      </w:r>
      <w:r w:rsidR="00A9435C">
        <w:rPr>
          <w:rFonts w:ascii="Gill Sans" w:hAnsi="Gill Sans" w:cs="Gill Sans"/>
          <w:sz w:val="22"/>
          <w:szCs w:val="22"/>
          <w:lang w:val="en-GB"/>
        </w:rPr>
        <w:t xml:space="preserve">portal </w:t>
      </w:r>
      <w:r w:rsidR="00A66E89">
        <w:rPr>
          <w:rFonts w:ascii="Gill Sans" w:hAnsi="Gill Sans" w:cs="Gill Sans"/>
          <w:sz w:val="22"/>
          <w:szCs w:val="22"/>
          <w:lang w:val="en-GB"/>
        </w:rPr>
        <w:t xml:space="preserve">have </w:t>
      </w:r>
      <w:r w:rsidR="00A9435C">
        <w:rPr>
          <w:rFonts w:ascii="Gill Sans" w:hAnsi="Gill Sans" w:cs="Gill Sans"/>
          <w:sz w:val="22"/>
          <w:szCs w:val="22"/>
          <w:lang w:val="en-GB"/>
        </w:rPr>
        <w:t>been useful to journalists and private sector organizations</w:t>
      </w:r>
      <w:r w:rsidR="00F87693">
        <w:rPr>
          <w:rFonts w:ascii="Gill Sans" w:hAnsi="Gill Sans" w:cs="Gill Sans"/>
          <w:sz w:val="22"/>
          <w:szCs w:val="22"/>
          <w:lang w:val="en-GB"/>
        </w:rPr>
        <w:t>,</w:t>
      </w:r>
      <w:r w:rsidR="00A9435C">
        <w:rPr>
          <w:rFonts w:ascii="Gill Sans" w:hAnsi="Gill Sans" w:cs="Gill Sans"/>
          <w:sz w:val="22"/>
          <w:szCs w:val="22"/>
          <w:lang w:val="en-GB"/>
        </w:rPr>
        <w:t xml:space="preserve"> such as </w:t>
      </w:r>
      <w:proofErr w:type="spellStart"/>
      <w:r w:rsidR="00A9435C">
        <w:rPr>
          <w:rFonts w:ascii="Gill Sans" w:hAnsi="Gill Sans" w:cs="Gill Sans"/>
          <w:sz w:val="22"/>
          <w:szCs w:val="22"/>
          <w:lang w:val="en-GB"/>
        </w:rPr>
        <w:t>Youcontrol</w:t>
      </w:r>
      <w:proofErr w:type="spellEnd"/>
      <w:r w:rsidR="00A9435C">
        <w:rPr>
          <w:rFonts w:ascii="Gill Sans" w:hAnsi="Gill Sans" w:cs="Gill Sans"/>
          <w:sz w:val="22"/>
          <w:szCs w:val="22"/>
          <w:lang w:val="en-GB"/>
        </w:rPr>
        <w:t xml:space="preserve"> and </w:t>
      </w:r>
      <w:proofErr w:type="spellStart"/>
      <w:r w:rsidR="00A9435C">
        <w:rPr>
          <w:rFonts w:ascii="Gill Sans" w:hAnsi="Gill Sans" w:cs="Gill Sans"/>
          <w:sz w:val="22"/>
          <w:szCs w:val="22"/>
          <w:lang w:val="en-GB"/>
        </w:rPr>
        <w:t>Liga</w:t>
      </w:r>
      <w:proofErr w:type="spellEnd"/>
      <w:r w:rsidR="00A9435C">
        <w:rPr>
          <w:rFonts w:ascii="Gill Sans" w:hAnsi="Gill Sans" w:cs="Gill Sans"/>
          <w:sz w:val="22"/>
          <w:szCs w:val="22"/>
          <w:lang w:val="en-GB"/>
        </w:rPr>
        <w:t xml:space="preserve">. </w:t>
      </w:r>
      <w:r w:rsidR="00A9435C" w:rsidRPr="0091168D">
        <w:rPr>
          <w:rFonts w:ascii="Gill Sans" w:hAnsi="Gill Sans" w:cs="Gill Sans"/>
          <w:sz w:val="22"/>
          <w:szCs w:val="22"/>
          <w:lang w:val="en-GB"/>
        </w:rPr>
        <w:t>It was also important that the Ministry of Finance introduce access to data through APIs</w:t>
      </w:r>
      <w:r w:rsidR="00A66E89">
        <w:rPr>
          <w:rFonts w:ascii="Gill Sans" w:hAnsi="Gill Sans" w:cs="Gill Sans"/>
          <w:sz w:val="22"/>
          <w:szCs w:val="22"/>
          <w:lang w:val="en-GB"/>
        </w:rPr>
        <w:t>. This</w:t>
      </w:r>
      <w:r w:rsidR="00A9435C" w:rsidRPr="0091168D">
        <w:rPr>
          <w:rFonts w:ascii="Gill Sans" w:hAnsi="Gill Sans" w:cs="Gill Sans"/>
          <w:sz w:val="22"/>
          <w:szCs w:val="22"/>
          <w:lang w:val="en-GB"/>
        </w:rPr>
        <w:t xml:space="preserve"> allowed</w:t>
      </w:r>
      <w:r w:rsidR="00A66E89">
        <w:rPr>
          <w:rFonts w:ascii="Gill Sans" w:hAnsi="Gill Sans" w:cs="Gill Sans"/>
          <w:sz w:val="22"/>
          <w:szCs w:val="22"/>
          <w:lang w:val="en-GB"/>
        </w:rPr>
        <w:t xml:space="preserve"> the</w:t>
      </w:r>
      <w:r w:rsidR="00A9435C" w:rsidRPr="0091168D">
        <w:rPr>
          <w:rFonts w:ascii="Gill Sans" w:hAnsi="Gill Sans" w:cs="Gill Sans"/>
          <w:sz w:val="22"/>
          <w:szCs w:val="22"/>
          <w:lang w:val="en-GB"/>
        </w:rPr>
        <w:t xml:space="preserve"> develop</w:t>
      </w:r>
      <w:r w:rsidR="00A66E89">
        <w:rPr>
          <w:rFonts w:ascii="Gill Sans" w:hAnsi="Gill Sans" w:cs="Gill Sans"/>
          <w:sz w:val="22"/>
          <w:szCs w:val="22"/>
          <w:lang w:val="en-GB"/>
        </w:rPr>
        <w:t>ment of</w:t>
      </w:r>
      <w:r w:rsidR="00A9435C" w:rsidRPr="0091168D">
        <w:rPr>
          <w:rFonts w:ascii="Gill Sans" w:hAnsi="Gill Sans" w:cs="Gill Sans"/>
          <w:sz w:val="22"/>
          <w:szCs w:val="22"/>
          <w:lang w:val="en-GB"/>
        </w:rPr>
        <w:t xml:space="preserve"> further services from the open data available on the portal.</w:t>
      </w:r>
      <w:r w:rsidR="00A9435C" w:rsidRPr="0091168D">
        <w:rPr>
          <w:rFonts w:ascii="Gill Sans" w:hAnsi="Gill Sans" w:cs="Gill Sans"/>
          <w:sz w:val="22"/>
          <w:szCs w:val="22"/>
          <w:vertAlign w:val="superscript"/>
          <w:lang w:val="en-GB"/>
        </w:rPr>
        <w:endnoteReference w:id="116"/>
      </w:r>
      <w:r w:rsidR="00A9435C" w:rsidRPr="0091168D">
        <w:rPr>
          <w:rFonts w:ascii="Arial" w:eastAsia="Times New Roman" w:hAnsi="Arial" w:cs="Arial"/>
          <w:color w:val="222222"/>
          <w:sz w:val="19"/>
          <w:szCs w:val="19"/>
          <w:shd w:val="clear" w:color="auto" w:fill="FFFFFF"/>
          <w:vertAlign w:val="superscript"/>
        </w:rPr>
        <w:t> </w:t>
      </w:r>
      <w:r w:rsidR="005F10C0">
        <w:rPr>
          <w:rFonts w:ascii="Gill Sans" w:hAnsi="Gill Sans" w:cs="Gill Sans"/>
          <w:sz w:val="22"/>
          <w:szCs w:val="22"/>
          <w:lang w:val="en-GB"/>
        </w:rPr>
        <w:t xml:space="preserve">The </w:t>
      </w:r>
      <w:r w:rsidR="00F87693">
        <w:rPr>
          <w:rFonts w:ascii="Gill Sans" w:hAnsi="Gill Sans" w:cs="Gill Sans"/>
          <w:sz w:val="22"/>
          <w:szCs w:val="22"/>
          <w:lang w:val="en-GB"/>
        </w:rPr>
        <w:t>g</w:t>
      </w:r>
      <w:r w:rsidR="005F10C0">
        <w:rPr>
          <w:rFonts w:ascii="Gill Sans" w:hAnsi="Gill Sans" w:cs="Gill Sans"/>
          <w:sz w:val="22"/>
          <w:szCs w:val="22"/>
          <w:lang w:val="en-GB"/>
        </w:rPr>
        <w:t xml:space="preserve">overnment has yet to ensure full compliance with the </w:t>
      </w:r>
      <w:r w:rsidR="00F87693">
        <w:rPr>
          <w:rFonts w:ascii="Gill Sans" w:hAnsi="Gill Sans" w:cs="Gill Sans"/>
          <w:sz w:val="22"/>
          <w:szCs w:val="22"/>
          <w:lang w:val="en-GB"/>
        </w:rPr>
        <w:t>l</w:t>
      </w:r>
      <w:r w:rsidR="005F10C0">
        <w:rPr>
          <w:rFonts w:ascii="Gill Sans" w:hAnsi="Gill Sans" w:cs="Gill Sans"/>
          <w:sz w:val="22"/>
          <w:szCs w:val="22"/>
          <w:lang w:val="en-GB"/>
        </w:rPr>
        <w:t>aw’s requirement.</w:t>
      </w:r>
    </w:p>
    <w:p w14:paraId="56B58694" w14:textId="77777777" w:rsidR="00025289" w:rsidRPr="005F10C0" w:rsidRDefault="00025289" w:rsidP="00163080">
      <w:pPr>
        <w:pStyle w:val="Heading3"/>
        <w:spacing w:after="120"/>
      </w:pPr>
      <w:r w:rsidRPr="005F10C0">
        <w:lastRenderedPageBreak/>
        <w:t>Carried forward?</w:t>
      </w:r>
    </w:p>
    <w:p w14:paraId="0CF8B502" w14:textId="5C5ACB6E" w:rsidR="00025289" w:rsidRPr="005F10C0" w:rsidRDefault="00025289" w:rsidP="005F10C0">
      <w:pPr>
        <w:spacing w:after="120"/>
        <w:rPr>
          <w:rFonts w:ascii="Gill Sans" w:hAnsi="Gill Sans" w:cs="Gill Sans"/>
          <w:noProof/>
          <w:sz w:val="22"/>
          <w:szCs w:val="22"/>
          <w:lang w:val="en-GB"/>
        </w:rPr>
      </w:pPr>
      <w:r w:rsidRPr="005F10C0">
        <w:rPr>
          <w:rFonts w:ascii="Gill Sans" w:hAnsi="Gill Sans" w:cs="Gill Sans"/>
          <w:noProof/>
          <w:sz w:val="22"/>
          <w:szCs w:val="22"/>
          <w:lang w:val="en-GB"/>
        </w:rPr>
        <w:t>The commitment was carried over to the new action plan</w:t>
      </w:r>
      <w:r w:rsidR="00F37218">
        <w:rPr>
          <w:rFonts w:ascii="Gill Sans" w:hAnsi="Gill Sans" w:cs="Gill Sans"/>
          <w:noProof/>
          <w:sz w:val="22"/>
          <w:szCs w:val="22"/>
          <w:lang w:val="en-GB"/>
        </w:rPr>
        <w:t xml:space="preserve"> as a more specific task focused on the Transparent Budget information system. </w:t>
      </w:r>
    </w:p>
    <w:p w14:paraId="1D51927F" w14:textId="77777777" w:rsidR="003223C0" w:rsidRDefault="003223C0" w:rsidP="00C75B2B">
      <w:pPr>
        <w:spacing w:after="120"/>
        <w:rPr>
          <w:rFonts w:ascii="Gill Sans" w:hAnsi="Gill Sans" w:cs="Gill Sans"/>
          <w:noProof/>
          <w:sz w:val="22"/>
          <w:szCs w:val="22"/>
          <w:lang w:val="en-GB"/>
        </w:rPr>
        <w:sectPr w:rsidR="003223C0" w:rsidSect="00F561B7">
          <w:endnotePr>
            <w:numFmt w:val="decimal"/>
            <w:numRestart w:val="eachSect"/>
          </w:endnotePr>
          <w:pgSz w:w="12240" w:h="15840"/>
          <w:pgMar w:top="1440" w:right="1800" w:bottom="1440" w:left="1800" w:header="720" w:footer="720" w:gutter="0"/>
          <w:cols w:space="720"/>
          <w:docGrid w:linePitch="360"/>
        </w:sectPr>
      </w:pPr>
    </w:p>
    <w:p w14:paraId="5D01849B" w14:textId="395A4232" w:rsidR="002551D4" w:rsidRPr="002551D4" w:rsidRDefault="002551D4" w:rsidP="002551D4">
      <w:pPr>
        <w:pStyle w:val="Heading2"/>
        <w:spacing w:before="0" w:after="120"/>
        <w:rPr>
          <w:rFonts w:eastAsiaTheme="minorEastAsia"/>
          <w:bCs w:val="0"/>
          <w:color w:val="222222"/>
          <w:sz w:val="22"/>
          <w:szCs w:val="22"/>
          <w:lang w:val="en-GB"/>
        </w:rPr>
      </w:pPr>
      <w:bookmarkStart w:id="13" w:name="_Toc437543885"/>
      <w:r w:rsidRPr="002551D4">
        <w:rPr>
          <w:rFonts w:eastAsiaTheme="minorEastAsia"/>
          <w:bCs w:val="0"/>
          <w:color w:val="222222"/>
          <w:sz w:val="22"/>
          <w:szCs w:val="22"/>
          <w:lang w:val="en-GB"/>
        </w:rPr>
        <w:lastRenderedPageBreak/>
        <w:t>24. E-government training for local governments</w:t>
      </w:r>
      <w:bookmarkEnd w:id="13"/>
    </w:p>
    <w:p w14:paraId="145FA0FF" w14:textId="755CEC81" w:rsidR="002551D4" w:rsidRPr="002551D4" w:rsidRDefault="005B3A16" w:rsidP="002551D4">
      <w:pPr>
        <w:spacing w:after="120"/>
        <w:rPr>
          <w:rFonts w:ascii="Gill Sans" w:hAnsi="Gill Sans" w:cs="Gill Sans"/>
          <w:i/>
          <w:noProof/>
          <w:sz w:val="22"/>
          <w:szCs w:val="22"/>
          <w:lang w:val="en-GB"/>
        </w:rPr>
      </w:pPr>
      <w:r w:rsidRPr="00A87830">
        <w:rPr>
          <w:rFonts w:ascii="Gill Sans" w:hAnsi="Gill Sans" w:cs="Gill Sans"/>
          <w:b/>
          <w:bCs/>
          <w:iCs/>
          <w:noProof/>
          <w:sz w:val="22"/>
          <w:szCs w:val="22"/>
          <w:lang w:val="en-GB"/>
        </w:rPr>
        <w:t>Commitment Text:</w:t>
      </w:r>
      <w:r>
        <w:rPr>
          <w:rFonts w:ascii="Gill Sans" w:hAnsi="Gill Sans" w:cs="Gill Sans"/>
          <w:i/>
          <w:noProof/>
          <w:sz w:val="22"/>
          <w:szCs w:val="22"/>
          <w:lang w:val="en-GB"/>
        </w:rPr>
        <w:t xml:space="preserve"> </w:t>
      </w:r>
      <w:r w:rsidR="002551D4" w:rsidRPr="002551D4">
        <w:rPr>
          <w:rFonts w:ascii="Gill Sans" w:hAnsi="Gill Sans" w:cs="Gill Sans"/>
          <w:i/>
          <w:noProof/>
          <w:sz w:val="22"/>
          <w:szCs w:val="22"/>
          <w:lang w:val="en-GB"/>
        </w:rPr>
        <w:t>24. Conducting a national awareness-raising campaign “Public Libraries as Bridges to e-Governance</w:t>
      </w:r>
      <w:r w:rsidR="00F87693">
        <w:rPr>
          <w:rFonts w:ascii="Gill Sans" w:hAnsi="Gill Sans" w:cs="Gill Sans"/>
          <w:i/>
          <w:noProof/>
          <w:sz w:val="22"/>
          <w:szCs w:val="22"/>
          <w:lang w:val="en-GB"/>
        </w:rPr>
        <w:t>.</w:t>
      </w:r>
      <w:r w:rsidR="002551D4" w:rsidRPr="002551D4">
        <w:rPr>
          <w:rFonts w:ascii="Gill Sans" w:hAnsi="Gill Sans" w:cs="Gill Sans"/>
          <w:i/>
          <w:noProof/>
          <w:sz w:val="22"/>
          <w:szCs w:val="22"/>
          <w:lang w:val="en-GB"/>
        </w:rPr>
        <w:t>”</w:t>
      </w:r>
    </w:p>
    <w:p w14:paraId="33B01295" w14:textId="08EA0981" w:rsidR="002551D4" w:rsidRPr="002551D4" w:rsidRDefault="002551D4" w:rsidP="002551D4">
      <w:pPr>
        <w:spacing w:after="120"/>
        <w:rPr>
          <w:rFonts w:ascii="Gill Sans" w:hAnsi="Gill Sans" w:cs="Gill Sans"/>
          <w:i/>
          <w:noProof/>
          <w:sz w:val="22"/>
          <w:szCs w:val="22"/>
          <w:lang w:val="en-GB"/>
        </w:rPr>
      </w:pPr>
      <w:r w:rsidRPr="002551D4">
        <w:rPr>
          <w:rFonts w:ascii="Gill Sans" w:hAnsi="Gill Sans" w:cs="Gill Sans"/>
          <w:i/>
          <w:noProof/>
          <w:sz w:val="22"/>
          <w:szCs w:val="22"/>
          <w:lang w:val="en-GB"/>
        </w:rPr>
        <w:t xml:space="preserve">Expected result: </w:t>
      </w:r>
      <w:r w:rsidRPr="002551D4">
        <w:rPr>
          <w:rFonts w:ascii="Gill Sans" w:hAnsi="Gill Sans" w:cs="Gill Sans"/>
          <w:i/>
          <w:sz w:val="22"/>
          <w:szCs w:val="22"/>
          <w:lang w:val="en-GB"/>
        </w:rPr>
        <w:t>e-Governance Basics distance training course developed; training provided to members of district and settlement councils</w:t>
      </w:r>
      <w:r w:rsidR="00F87693">
        <w:rPr>
          <w:rFonts w:ascii="Gill Sans" w:hAnsi="Gill Sans" w:cs="Gill Sans"/>
          <w:i/>
          <w:sz w:val="22"/>
          <w:szCs w:val="22"/>
          <w:lang w:val="en-GB"/>
        </w:rPr>
        <w:t>.</w:t>
      </w:r>
    </w:p>
    <w:p w14:paraId="04C59D99" w14:textId="157B4374" w:rsidR="002551D4" w:rsidRPr="002551D4" w:rsidRDefault="002551D4" w:rsidP="002551D4">
      <w:pPr>
        <w:spacing w:after="120"/>
        <w:rPr>
          <w:rFonts w:ascii="Gill Sans" w:hAnsi="Gill Sans" w:cs="Gill Sans"/>
          <w:noProof/>
          <w:sz w:val="22"/>
          <w:szCs w:val="22"/>
          <w:lang w:val="en-GB"/>
        </w:rPr>
      </w:pPr>
      <w:r w:rsidRPr="002551D4">
        <w:rPr>
          <w:rFonts w:ascii="Gill Sans" w:hAnsi="Gill Sans" w:cs="Gill Sans"/>
          <w:noProof/>
          <w:sz w:val="22"/>
          <w:szCs w:val="22"/>
          <w:lang w:val="en-GB"/>
        </w:rPr>
        <w:t>Lead institution</w:t>
      </w:r>
      <w:r w:rsidR="00F87693">
        <w:rPr>
          <w:rFonts w:ascii="Gill Sans" w:hAnsi="Gill Sans" w:cs="Gill Sans"/>
          <w:noProof/>
          <w:sz w:val="22"/>
          <w:szCs w:val="22"/>
          <w:lang w:val="en-GB"/>
        </w:rPr>
        <w:t>(s)</w:t>
      </w:r>
      <w:r w:rsidRPr="002551D4">
        <w:rPr>
          <w:rFonts w:ascii="Gill Sans" w:hAnsi="Gill Sans" w:cs="Gill Sans"/>
          <w:noProof/>
          <w:sz w:val="22"/>
          <w:szCs w:val="22"/>
          <w:lang w:val="en-GB"/>
        </w:rPr>
        <w:t>: Ministry of Culture</w:t>
      </w:r>
    </w:p>
    <w:p w14:paraId="2C3BA44A" w14:textId="4657E79D" w:rsidR="002551D4" w:rsidRPr="002551D4" w:rsidRDefault="002551D4" w:rsidP="002551D4">
      <w:pPr>
        <w:spacing w:after="120"/>
        <w:rPr>
          <w:rFonts w:ascii="Gill Sans" w:hAnsi="Gill Sans" w:cs="Gill Sans"/>
          <w:noProof/>
          <w:sz w:val="22"/>
          <w:szCs w:val="22"/>
          <w:lang w:val="en-GB"/>
        </w:rPr>
      </w:pPr>
      <w:r w:rsidRPr="002551D4">
        <w:rPr>
          <w:rFonts w:ascii="Gill Sans" w:hAnsi="Gill Sans" w:cs="Gill Sans"/>
          <w:noProof/>
          <w:sz w:val="22"/>
          <w:szCs w:val="22"/>
          <w:lang w:val="en-GB"/>
        </w:rPr>
        <w:t>Supporting institution</w:t>
      </w:r>
      <w:r w:rsidR="00F87693">
        <w:rPr>
          <w:rFonts w:ascii="Gill Sans" w:hAnsi="Gill Sans" w:cs="Gill Sans"/>
          <w:noProof/>
          <w:sz w:val="22"/>
          <w:szCs w:val="22"/>
          <w:lang w:val="en-GB"/>
        </w:rPr>
        <w:t>(</w:t>
      </w:r>
      <w:r w:rsidRPr="002551D4">
        <w:rPr>
          <w:rFonts w:ascii="Gill Sans" w:hAnsi="Gill Sans" w:cs="Gill Sans"/>
          <w:noProof/>
          <w:sz w:val="22"/>
          <w:szCs w:val="22"/>
          <w:lang w:val="en-GB"/>
        </w:rPr>
        <w:t>s</w:t>
      </w:r>
      <w:r w:rsidR="00F87693">
        <w:rPr>
          <w:rFonts w:ascii="Gill Sans" w:hAnsi="Gill Sans" w:cs="Gill Sans"/>
          <w:noProof/>
          <w:sz w:val="22"/>
          <w:szCs w:val="22"/>
          <w:lang w:val="en-GB"/>
        </w:rPr>
        <w:t>)</w:t>
      </w:r>
      <w:r w:rsidRPr="002551D4">
        <w:rPr>
          <w:rFonts w:ascii="Gill Sans" w:hAnsi="Gill Sans" w:cs="Gill Sans"/>
          <w:noProof/>
          <w:sz w:val="22"/>
          <w:szCs w:val="22"/>
          <w:lang w:val="en-GB"/>
        </w:rPr>
        <w:t>: Ministry of Regional Development, National Centre for E-Governance of the State Company Derzhinformresurs, "Bibliomist" Programme, Ukrainian Library Association, other unspecified NGOs and international organisations</w:t>
      </w:r>
    </w:p>
    <w:p w14:paraId="071A7D15" w14:textId="51CC6F1C" w:rsidR="002551D4" w:rsidRPr="002551D4" w:rsidRDefault="002551D4" w:rsidP="002551D4">
      <w:pPr>
        <w:spacing w:after="120"/>
        <w:rPr>
          <w:rFonts w:ascii="Gill Sans" w:hAnsi="Gill Sans" w:cs="Gill Sans"/>
          <w:noProof/>
          <w:sz w:val="22"/>
          <w:szCs w:val="22"/>
          <w:lang w:val="en-GB"/>
        </w:rPr>
      </w:pPr>
      <w:r w:rsidRPr="002551D4">
        <w:rPr>
          <w:rFonts w:ascii="Gill Sans" w:hAnsi="Gill Sans" w:cs="Gill Sans"/>
          <w:noProof/>
          <w:sz w:val="22"/>
          <w:szCs w:val="22"/>
          <w:lang w:val="en-GB"/>
        </w:rPr>
        <w:t xml:space="preserve">Start </w:t>
      </w:r>
      <w:r w:rsidR="00F87693">
        <w:rPr>
          <w:rFonts w:ascii="Gill Sans" w:hAnsi="Gill Sans" w:cs="Gill Sans"/>
          <w:noProof/>
          <w:sz w:val="22"/>
          <w:szCs w:val="22"/>
          <w:lang w:val="en-GB"/>
        </w:rPr>
        <w:t>D</w:t>
      </w:r>
      <w:r w:rsidRPr="002551D4">
        <w:rPr>
          <w:rFonts w:ascii="Gill Sans" w:hAnsi="Gill Sans" w:cs="Gill Sans"/>
          <w:noProof/>
          <w:sz w:val="22"/>
          <w:szCs w:val="22"/>
          <w:lang w:val="en-GB"/>
        </w:rPr>
        <w:t xml:space="preserve">ate: Not specified </w:t>
      </w:r>
      <w:r w:rsidRPr="002551D4">
        <w:rPr>
          <w:rFonts w:ascii="Gill Sans" w:hAnsi="Gill Sans" w:cs="Gill Sans"/>
          <w:noProof/>
          <w:sz w:val="22"/>
          <w:szCs w:val="22"/>
          <w:lang w:val="en-GB"/>
        </w:rPr>
        <w:tab/>
      </w:r>
      <w:r w:rsidRPr="002551D4">
        <w:rPr>
          <w:rFonts w:ascii="Gill Sans" w:hAnsi="Gill Sans" w:cs="Gill Sans"/>
          <w:noProof/>
          <w:sz w:val="22"/>
          <w:szCs w:val="22"/>
          <w:lang w:val="en-GB"/>
        </w:rPr>
        <w:tab/>
      </w:r>
      <w:r w:rsidRPr="002551D4">
        <w:rPr>
          <w:rFonts w:ascii="Gill Sans" w:hAnsi="Gill Sans" w:cs="Gill Sans"/>
          <w:noProof/>
          <w:sz w:val="22"/>
          <w:szCs w:val="22"/>
          <w:lang w:val="en-GB"/>
        </w:rPr>
        <w:tab/>
      </w:r>
      <w:r w:rsidR="00AE68C1">
        <w:rPr>
          <w:rFonts w:ascii="Gill Sans" w:hAnsi="Gill Sans" w:cs="Gill Sans"/>
          <w:noProof/>
          <w:sz w:val="22"/>
          <w:szCs w:val="22"/>
          <w:lang w:val="en-GB"/>
        </w:rPr>
        <w:tab/>
      </w:r>
      <w:r w:rsidR="00AE68C1">
        <w:rPr>
          <w:rFonts w:ascii="Gill Sans" w:hAnsi="Gill Sans" w:cs="Gill Sans"/>
          <w:noProof/>
          <w:sz w:val="22"/>
          <w:szCs w:val="22"/>
          <w:lang w:val="en-GB"/>
        </w:rPr>
        <w:tab/>
      </w:r>
      <w:r w:rsidRPr="002551D4">
        <w:rPr>
          <w:rFonts w:ascii="Gill Sans" w:hAnsi="Gill Sans" w:cs="Gill Sans"/>
          <w:noProof/>
          <w:sz w:val="22"/>
          <w:szCs w:val="22"/>
          <w:lang w:val="en-GB"/>
        </w:rPr>
        <w:t xml:space="preserve">End </w:t>
      </w:r>
      <w:r w:rsidR="00F87693">
        <w:rPr>
          <w:rFonts w:ascii="Gill Sans" w:hAnsi="Gill Sans" w:cs="Gill Sans"/>
          <w:noProof/>
          <w:sz w:val="22"/>
          <w:szCs w:val="22"/>
          <w:lang w:val="en-GB"/>
        </w:rPr>
        <w:t>D</w:t>
      </w:r>
      <w:r w:rsidRPr="002551D4">
        <w:rPr>
          <w:rFonts w:ascii="Gill Sans" w:hAnsi="Gill Sans" w:cs="Gill Sans"/>
          <w:noProof/>
          <w:sz w:val="22"/>
          <w:szCs w:val="22"/>
          <w:lang w:val="en-GB"/>
        </w:rPr>
        <w:t>ate: 31 December 2015</w:t>
      </w:r>
    </w:p>
    <w:p w14:paraId="59010B75" w14:textId="77777777" w:rsidR="0084354E" w:rsidRPr="00CA5EDC" w:rsidRDefault="0084354E" w:rsidP="0084354E">
      <w:pPr>
        <w:spacing w:after="120"/>
        <w:rPr>
          <w:rFonts w:ascii="Gill Sans" w:hAnsi="Gill Sans" w:cs="Gill Sans"/>
          <w:noProof/>
          <w:sz w:val="22"/>
          <w:szCs w:val="22"/>
          <w:lang w:val="en-GB"/>
        </w:rPr>
      </w:pPr>
    </w:p>
    <w:tbl>
      <w:tblPr>
        <w:tblW w:w="10256"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475"/>
        <w:gridCol w:w="418"/>
        <w:gridCol w:w="343"/>
        <w:gridCol w:w="343"/>
        <w:gridCol w:w="365"/>
        <w:gridCol w:w="365"/>
        <w:gridCol w:w="376"/>
        <w:gridCol w:w="725"/>
        <w:gridCol w:w="417"/>
        <w:gridCol w:w="341"/>
        <w:gridCol w:w="417"/>
        <w:gridCol w:w="373"/>
        <w:gridCol w:w="417"/>
        <w:gridCol w:w="535"/>
        <w:gridCol w:w="516"/>
        <w:gridCol w:w="405"/>
        <w:gridCol w:w="341"/>
        <w:gridCol w:w="344"/>
        <w:gridCol w:w="382"/>
        <w:gridCol w:w="442"/>
        <w:gridCol w:w="415"/>
      </w:tblGrid>
      <w:tr w:rsidR="00AE68C1" w:rsidRPr="009651AC" w14:paraId="7D3AB418" w14:textId="77777777" w:rsidTr="00B223BA">
        <w:trPr>
          <w:trHeight w:val="405"/>
        </w:trPr>
        <w:tc>
          <w:tcPr>
            <w:tcW w:w="1501" w:type="dxa"/>
            <w:vMerge w:val="restart"/>
            <w:tcBorders>
              <w:top w:val="single" w:sz="18" w:space="0" w:color="FFFFFF"/>
              <w:left w:val="single" w:sz="4" w:space="0" w:color="FFFFFF"/>
              <w:right w:val="single" w:sz="18" w:space="0" w:color="FFFFFF"/>
            </w:tcBorders>
            <w:shd w:val="clear" w:color="auto" w:fill="000000"/>
          </w:tcPr>
          <w:p w14:paraId="08FD65B2" w14:textId="77777777" w:rsidR="00AE68C1" w:rsidRPr="009651AC" w:rsidRDefault="00AE68C1" w:rsidP="0084354E">
            <w:pPr>
              <w:rPr>
                <w:rFonts w:ascii="Gill Sans" w:hAnsi="Gill Sans" w:cs="Gill Sans"/>
                <w:color w:val="FFFFFF" w:themeColor="background1"/>
                <w:sz w:val="22"/>
                <w:szCs w:val="22"/>
                <w:lang w:val="en-GB"/>
              </w:rPr>
            </w:pPr>
            <w:r w:rsidRPr="009651AC">
              <w:rPr>
                <w:rFonts w:ascii="Gill Sans" w:hAnsi="Gill Sans" w:cs="Gill Sans"/>
                <w:color w:val="FFFFFF" w:themeColor="background1"/>
                <w:sz w:val="22"/>
                <w:szCs w:val="22"/>
                <w:lang w:val="en-GB"/>
              </w:rPr>
              <w:t>Commitment Overview</w:t>
            </w:r>
          </w:p>
          <w:p w14:paraId="18217E1E" w14:textId="4F74B5B1" w:rsidR="00AE68C1" w:rsidRPr="009651AC" w:rsidRDefault="00AE68C1" w:rsidP="0084354E">
            <w:pPr>
              <w:rPr>
                <w:rFonts w:ascii="Gill Sans" w:hAnsi="Gill Sans" w:cs="Gill Sans"/>
                <w:color w:val="FFFFFF" w:themeColor="background1"/>
                <w:sz w:val="22"/>
                <w:szCs w:val="22"/>
                <w:lang w:val="en-GB"/>
              </w:rPr>
            </w:pPr>
          </w:p>
        </w:tc>
        <w:tc>
          <w:tcPr>
            <w:tcW w:w="1579" w:type="dxa"/>
            <w:gridSpan w:val="4"/>
            <w:vMerge w:val="restart"/>
            <w:tcBorders>
              <w:top w:val="single" w:sz="18" w:space="0" w:color="FFFFFF"/>
              <w:left w:val="single" w:sz="18" w:space="0" w:color="FFFFFF"/>
              <w:right w:val="single" w:sz="18" w:space="0" w:color="FFFFFF"/>
            </w:tcBorders>
            <w:shd w:val="clear" w:color="auto" w:fill="D6E3BC"/>
          </w:tcPr>
          <w:p w14:paraId="57F00CFA"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Specificity</w:t>
            </w:r>
          </w:p>
        </w:tc>
        <w:tc>
          <w:tcPr>
            <w:tcW w:w="1831" w:type="dxa"/>
            <w:gridSpan w:val="4"/>
            <w:vMerge w:val="restart"/>
            <w:tcBorders>
              <w:top w:val="single" w:sz="18" w:space="0" w:color="FFFFFF"/>
              <w:left w:val="single" w:sz="18" w:space="0" w:color="FFFFFF"/>
              <w:right w:val="single" w:sz="18" w:space="0" w:color="FFFFFF"/>
            </w:tcBorders>
            <w:shd w:val="clear" w:color="auto" w:fill="FBD4B4"/>
          </w:tcPr>
          <w:p w14:paraId="2F2EC8FC" w14:textId="6F732E3F"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OGP </w:t>
            </w:r>
            <w:r>
              <w:rPr>
                <w:rFonts w:ascii="Gill Sans" w:hAnsi="Gill Sans" w:cs="Gill Sans"/>
                <w:sz w:val="22"/>
                <w:szCs w:val="22"/>
                <w:lang w:val="en-GB"/>
              </w:rPr>
              <w:t>V</w:t>
            </w:r>
            <w:r w:rsidRPr="009651AC">
              <w:rPr>
                <w:rFonts w:ascii="Gill Sans" w:hAnsi="Gill Sans" w:cs="Gill Sans"/>
                <w:sz w:val="22"/>
                <w:szCs w:val="22"/>
                <w:lang w:val="en-GB"/>
              </w:rPr>
              <w:t xml:space="preserve">alue </w:t>
            </w:r>
            <w:r>
              <w:rPr>
                <w:rFonts w:ascii="Gill Sans" w:hAnsi="Gill Sans" w:cs="Gill Sans"/>
                <w:sz w:val="22"/>
                <w:szCs w:val="22"/>
                <w:lang w:val="en-GB"/>
              </w:rPr>
              <w:t>R</w:t>
            </w:r>
            <w:r w:rsidRPr="009651AC">
              <w:rPr>
                <w:rFonts w:ascii="Gill Sans" w:hAnsi="Gill Sans" w:cs="Gill Sans"/>
                <w:sz w:val="22"/>
                <w:szCs w:val="22"/>
                <w:lang w:val="en-GB"/>
              </w:rPr>
              <w:t>elevance</w:t>
            </w:r>
            <w:r>
              <w:rPr>
                <w:rFonts w:ascii="Gill Sans" w:hAnsi="Gill Sans" w:cs="Gill Sans"/>
                <w:sz w:val="22"/>
                <w:szCs w:val="22"/>
                <w:lang w:val="en-GB"/>
              </w:rPr>
              <w:t xml:space="preserve"> (as written)</w:t>
            </w:r>
          </w:p>
        </w:tc>
        <w:tc>
          <w:tcPr>
            <w:tcW w:w="1548" w:type="dxa"/>
            <w:gridSpan w:val="4"/>
            <w:vMerge w:val="restart"/>
            <w:tcBorders>
              <w:top w:val="single" w:sz="18" w:space="0" w:color="FFFFFF"/>
              <w:left w:val="single" w:sz="18" w:space="0" w:color="FFFFFF"/>
              <w:right w:val="single" w:sz="18" w:space="0" w:color="FFFFFF"/>
            </w:tcBorders>
            <w:shd w:val="clear" w:color="auto" w:fill="CCC0D9"/>
          </w:tcPr>
          <w:p w14:paraId="30E1302F"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Potential Impact</w:t>
            </w:r>
          </w:p>
        </w:tc>
        <w:tc>
          <w:tcPr>
            <w:tcW w:w="952" w:type="dxa"/>
            <w:gridSpan w:val="2"/>
            <w:vMerge w:val="restart"/>
            <w:tcBorders>
              <w:top w:val="single" w:sz="18" w:space="0" w:color="FFFFFF"/>
              <w:left w:val="single" w:sz="18" w:space="0" w:color="FFFFFF"/>
              <w:right w:val="single" w:sz="2" w:space="0" w:color="FFFFFF"/>
            </w:tcBorders>
            <w:shd w:val="clear" w:color="auto" w:fill="B8CCE4"/>
          </w:tcPr>
          <w:p w14:paraId="4A023D3C" w14:textId="563052D3" w:rsidR="00AE68C1" w:rsidRPr="009651AC" w:rsidRDefault="00AE68C1" w:rsidP="0084354E">
            <w:pPr>
              <w:rPr>
                <w:rFonts w:ascii="Gill Sans" w:hAnsi="Gill Sans" w:cs="Gill Sans"/>
                <w:sz w:val="22"/>
                <w:szCs w:val="22"/>
                <w:lang w:val="en-GB"/>
              </w:rPr>
            </w:pPr>
            <w:proofErr w:type="spellStart"/>
            <w:r w:rsidRPr="009651AC">
              <w:rPr>
                <w:rFonts w:ascii="Gill Sans" w:hAnsi="Gill Sans" w:cs="Gill Sans"/>
                <w:sz w:val="22"/>
                <w:szCs w:val="22"/>
                <w:lang w:val="en-GB"/>
              </w:rPr>
              <w:t>Comple</w:t>
            </w:r>
            <w:r>
              <w:rPr>
                <w:rFonts w:ascii="Gill Sans" w:hAnsi="Gill Sans" w:cs="Gill Sans"/>
                <w:sz w:val="22"/>
                <w:szCs w:val="22"/>
                <w:lang w:val="en-GB"/>
              </w:rPr>
              <w:t>-</w:t>
            </w:r>
            <w:r w:rsidRPr="009651AC">
              <w:rPr>
                <w:rFonts w:ascii="Gill Sans" w:hAnsi="Gill Sans" w:cs="Gill Sans"/>
                <w:sz w:val="22"/>
                <w:szCs w:val="22"/>
                <w:lang w:val="en-GB"/>
              </w:rPr>
              <w:t>tion</w:t>
            </w:r>
            <w:proofErr w:type="spellEnd"/>
          </w:p>
        </w:tc>
        <w:tc>
          <w:tcPr>
            <w:tcW w:w="92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52F40F8C"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Midterm</w:t>
            </w:r>
          </w:p>
        </w:tc>
        <w:tc>
          <w:tcPr>
            <w:tcW w:w="1924" w:type="dxa"/>
            <w:gridSpan w:val="5"/>
            <w:vMerge w:val="restart"/>
            <w:tcBorders>
              <w:top w:val="single" w:sz="18" w:space="0" w:color="FFFFFF"/>
              <w:left w:val="single" w:sz="18" w:space="0" w:color="FFFFFF"/>
              <w:right w:val="single" w:sz="18" w:space="0" w:color="FFFFFF"/>
            </w:tcBorders>
            <w:shd w:val="clear" w:color="auto" w:fill="D99594"/>
          </w:tcPr>
          <w:p w14:paraId="78054526" w14:textId="21E42061"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Did it </w:t>
            </w:r>
            <w:r>
              <w:rPr>
                <w:rFonts w:ascii="Gill Sans" w:hAnsi="Gill Sans" w:cs="Gill Sans"/>
                <w:sz w:val="22"/>
                <w:szCs w:val="22"/>
                <w:lang w:val="en-GB"/>
              </w:rPr>
              <w:t>O</w:t>
            </w:r>
            <w:r w:rsidRPr="009651AC">
              <w:rPr>
                <w:rFonts w:ascii="Gill Sans" w:hAnsi="Gill Sans" w:cs="Gill Sans"/>
                <w:sz w:val="22"/>
                <w:szCs w:val="22"/>
                <w:lang w:val="en-GB"/>
              </w:rPr>
              <w:t xml:space="preserve">pen </w:t>
            </w:r>
            <w:r>
              <w:rPr>
                <w:rFonts w:ascii="Gill Sans" w:hAnsi="Gill Sans" w:cs="Gill Sans"/>
                <w:sz w:val="22"/>
                <w:szCs w:val="22"/>
                <w:lang w:val="en-GB"/>
              </w:rPr>
              <w:t>G</w:t>
            </w:r>
            <w:r w:rsidRPr="009651AC">
              <w:rPr>
                <w:rFonts w:ascii="Gill Sans" w:hAnsi="Gill Sans" w:cs="Gill Sans"/>
                <w:sz w:val="22"/>
                <w:szCs w:val="22"/>
                <w:lang w:val="en-GB"/>
              </w:rPr>
              <w:t>overnment?</w:t>
            </w:r>
          </w:p>
        </w:tc>
      </w:tr>
      <w:tr w:rsidR="00AE68C1" w:rsidRPr="009651AC" w14:paraId="5C658745" w14:textId="77777777" w:rsidTr="00B223BA">
        <w:trPr>
          <w:trHeight w:val="373"/>
        </w:trPr>
        <w:tc>
          <w:tcPr>
            <w:tcW w:w="1501" w:type="dxa"/>
            <w:vMerge/>
            <w:tcBorders>
              <w:left w:val="single" w:sz="4" w:space="0" w:color="FFFFFF"/>
              <w:right w:val="single" w:sz="18" w:space="0" w:color="FFFFFF"/>
            </w:tcBorders>
            <w:shd w:val="clear" w:color="auto" w:fill="000000"/>
          </w:tcPr>
          <w:p w14:paraId="501BEF22" w14:textId="04D5612B" w:rsidR="00AE68C1" w:rsidRPr="009651AC" w:rsidRDefault="00AE68C1" w:rsidP="0084354E">
            <w:pPr>
              <w:rPr>
                <w:rFonts w:ascii="Gill Sans" w:hAnsi="Gill Sans" w:cs="Gill Sans"/>
                <w:color w:val="FFFFFF" w:themeColor="background1"/>
                <w:sz w:val="22"/>
                <w:szCs w:val="22"/>
                <w:lang w:val="en-GB"/>
              </w:rPr>
            </w:pPr>
          </w:p>
        </w:tc>
        <w:tc>
          <w:tcPr>
            <w:tcW w:w="1579" w:type="dxa"/>
            <w:gridSpan w:val="4"/>
            <w:vMerge/>
            <w:tcBorders>
              <w:left w:val="single" w:sz="18" w:space="0" w:color="FFFFFF"/>
              <w:bottom w:val="single" w:sz="18" w:space="0" w:color="FFFFFF"/>
              <w:right w:val="single" w:sz="18" w:space="0" w:color="FFFFFF"/>
            </w:tcBorders>
            <w:shd w:val="clear" w:color="auto" w:fill="D6E3BC"/>
          </w:tcPr>
          <w:p w14:paraId="5AB1D347" w14:textId="77777777" w:rsidR="00AE68C1" w:rsidRPr="009651AC" w:rsidRDefault="00AE68C1" w:rsidP="0084354E">
            <w:pPr>
              <w:rPr>
                <w:rFonts w:ascii="Gill Sans" w:hAnsi="Gill Sans" w:cs="Gill Sans"/>
                <w:sz w:val="22"/>
                <w:szCs w:val="22"/>
                <w:lang w:val="en-GB"/>
              </w:rPr>
            </w:pPr>
          </w:p>
        </w:tc>
        <w:tc>
          <w:tcPr>
            <w:tcW w:w="1831" w:type="dxa"/>
            <w:gridSpan w:val="4"/>
            <w:vMerge/>
            <w:tcBorders>
              <w:left w:val="single" w:sz="18" w:space="0" w:color="FFFFFF"/>
              <w:bottom w:val="single" w:sz="18" w:space="0" w:color="FFFFFF"/>
              <w:right w:val="single" w:sz="18" w:space="0" w:color="FFFFFF"/>
            </w:tcBorders>
            <w:shd w:val="clear" w:color="auto" w:fill="FBD4B4"/>
          </w:tcPr>
          <w:p w14:paraId="73032228" w14:textId="77777777" w:rsidR="00AE68C1" w:rsidRPr="009651AC" w:rsidRDefault="00AE68C1" w:rsidP="0084354E">
            <w:pPr>
              <w:rPr>
                <w:rFonts w:ascii="Gill Sans" w:hAnsi="Gill Sans" w:cs="Gill Sans"/>
                <w:sz w:val="22"/>
                <w:szCs w:val="22"/>
                <w:lang w:val="en-GB"/>
              </w:rPr>
            </w:pPr>
          </w:p>
        </w:tc>
        <w:tc>
          <w:tcPr>
            <w:tcW w:w="1548" w:type="dxa"/>
            <w:gridSpan w:val="4"/>
            <w:vMerge/>
            <w:tcBorders>
              <w:left w:val="single" w:sz="18" w:space="0" w:color="FFFFFF"/>
              <w:bottom w:val="single" w:sz="18" w:space="0" w:color="FFFFFF"/>
              <w:right w:val="single" w:sz="18" w:space="0" w:color="FFFFFF"/>
            </w:tcBorders>
            <w:shd w:val="clear" w:color="auto" w:fill="CCC0D9"/>
          </w:tcPr>
          <w:p w14:paraId="5A4250CA" w14:textId="77777777" w:rsidR="00AE68C1" w:rsidRPr="009651AC" w:rsidRDefault="00AE68C1" w:rsidP="0084354E">
            <w:pPr>
              <w:rPr>
                <w:rFonts w:ascii="Gill Sans" w:hAnsi="Gill Sans" w:cs="Gill Sans"/>
                <w:sz w:val="22"/>
                <w:szCs w:val="22"/>
                <w:lang w:val="en-GB"/>
              </w:rPr>
            </w:pPr>
          </w:p>
        </w:tc>
        <w:tc>
          <w:tcPr>
            <w:tcW w:w="952" w:type="dxa"/>
            <w:gridSpan w:val="2"/>
            <w:vMerge/>
            <w:tcBorders>
              <w:left w:val="single" w:sz="18" w:space="0" w:color="FFFFFF"/>
              <w:bottom w:val="single" w:sz="18" w:space="0" w:color="FFFFFF"/>
              <w:right w:val="single" w:sz="2" w:space="0" w:color="FFFFFF"/>
            </w:tcBorders>
            <w:shd w:val="clear" w:color="auto" w:fill="B8CCE4"/>
          </w:tcPr>
          <w:p w14:paraId="3D2243C1" w14:textId="77777777" w:rsidR="00AE68C1" w:rsidRPr="009651AC" w:rsidRDefault="00AE68C1" w:rsidP="0084354E">
            <w:pPr>
              <w:rPr>
                <w:rFonts w:ascii="Gill Sans" w:hAnsi="Gill Sans" w:cs="Gill Sans"/>
                <w:sz w:val="22"/>
                <w:szCs w:val="22"/>
                <w:lang w:val="en-GB"/>
              </w:rPr>
            </w:pPr>
          </w:p>
        </w:tc>
        <w:tc>
          <w:tcPr>
            <w:tcW w:w="92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668E0BF1" w14:textId="47BAF53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End of </w:t>
            </w:r>
            <w:r>
              <w:rPr>
                <w:rFonts w:ascii="Gill Sans" w:hAnsi="Gill Sans" w:cs="Gill Sans"/>
                <w:sz w:val="22"/>
                <w:szCs w:val="22"/>
                <w:lang w:val="en-GB"/>
              </w:rPr>
              <w:t>T</w:t>
            </w:r>
            <w:r w:rsidRPr="009651AC">
              <w:rPr>
                <w:rFonts w:ascii="Gill Sans" w:hAnsi="Gill Sans" w:cs="Gill Sans"/>
                <w:sz w:val="22"/>
                <w:szCs w:val="22"/>
                <w:lang w:val="en-GB"/>
              </w:rPr>
              <w:t>erm</w:t>
            </w:r>
          </w:p>
        </w:tc>
        <w:tc>
          <w:tcPr>
            <w:tcW w:w="1924" w:type="dxa"/>
            <w:gridSpan w:val="5"/>
            <w:vMerge/>
            <w:tcBorders>
              <w:left w:val="single" w:sz="18" w:space="0" w:color="FFFFFF"/>
              <w:bottom w:val="single" w:sz="18" w:space="0" w:color="FFFFFF"/>
              <w:right w:val="single" w:sz="18" w:space="0" w:color="FFFFFF"/>
            </w:tcBorders>
            <w:shd w:val="clear" w:color="auto" w:fill="D99594"/>
          </w:tcPr>
          <w:p w14:paraId="726D0BAB" w14:textId="77777777" w:rsidR="00AE68C1" w:rsidRPr="009651AC" w:rsidRDefault="00AE68C1" w:rsidP="0084354E">
            <w:pPr>
              <w:rPr>
                <w:rFonts w:ascii="Gill Sans" w:hAnsi="Gill Sans" w:cs="Gill Sans"/>
                <w:sz w:val="22"/>
                <w:szCs w:val="22"/>
                <w:lang w:val="en-GB"/>
              </w:rPr>
            </w:pPr>
          </w:p>
        </w:tc>
      </w:tr>
      <w:tr w:rsidR="00AE68C1" w:rsidRPr="009651AC" w14:paraId="295A4856" w14:textId="77777777" w:rsidTr="00B223BA">
        <w:trPr>
          <w:cantSplit/>
          <w:trHeight w:val="2336"/>
        </w:trPr>
        <w:tc>
          <w:tcPr>
            <w:tcW w:w="1501" w:type="dxa"/>
            <w:vMerge/>
            <w:tcBorders>
              <w:left w:val="single" w:sz="4" w:space="0" w:color="FFFFFF"/>
              <w:right w:val="single" w:sz="18" w:space="0" w:color="FFFFFF"/>
            </w:tcBorders>
            <w:shd w:val="clear" w:color="auto" w:fill="000000"/>
          </w:tcPr>
          <w:p w14:paraId="3E034E7D" w14:textId="29E62EE9" w:rsidR="00AE68C1" w:rsidRPr="009651AC" w:rsidRDefault="00AE68C1" w:rsidP="0084354E">
            <w:pPr>
              <w:rPr>
                <w:rFonts w:ascii="Gill Sans" w:hAnsi="Gill Sans" w:cs="Gill Sans"/>
                <w:color w:val="FFFFFF" w:themeColor="background1"/>
                <w:sz w:val="22"/>
                <w:szCs w:val="22"/>
                <w:lang w:val="en-GB"/>
              </w:rPr>
            </w:pPr>
          </w:p>
        </w:tc>
        <w:tc>
          <w:tcPr>
            <w:tcW w:w="475" w:type="dxa"/>
            <w:tcBorders>
              <w:top w:val="single" w:sz="18" w:space="0" w:color="FFFFFF"/>
              <w:left w:val="single" w:sz="18" w:space="0" w:color="FFFFFF"/>
              <w:bottom w:val="single" w:sz="18" w:space="0" w:color="FFFFFF"/>
              <w:right w:val="single" w:sz="2" w:space="0" w:color="FFFFFF"/>
            </w:tcBorders>
            <w:shd w:val="clear" w:color="auto" w:fill="D6E3BC"/>
            <w:textDirection w:val="btLr"/>
          </w:tcPr>
          <w:p w14:paraId="1FE6E4E2"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None</w:t>
            </w:r>
          </w:p>
        </w:tc>
        <w:tc>
          <w:tcPr>
            <w:tcW w:w="418"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77E772E9"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Low</w:t>
            </w:r>
          </w:p>
        </w:tc>
        <w:tc>
          <w:tcPr>
            <w:tcW w:w="343" w:type="dxa"/>
            <w:tcBorders>
              <w:top w:val="single" w:sz="18" w:space="0" w:color="FFFFFF"/>
              <w:left w:val="single" w:sz="2" w:space="0" w:color="FFFFFF"/>
              <w:bottom w:val="single" w:sz="18" w:space="0" w:color="FFFFFF"/>
              <w:right w:val="single" w:sz="2" w:space="0" w:color="FFFFFF"/>
            </w:tcBorders>
            <w:shd w:val="clear" w:color="auto" w:fill="D6E3BC"/>
            <w:textDirection w:val="btLr"/>
          </w:tcPr>
          <w:p w14:paraId="0530596C"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Medium</w:t>
            </w:r>
          </w:p>
        </w:tc>
        <w:tc>
          <w:tcPr>
            <w:tcW w:w="343" w:type="dxa"/>
            <w:tcBorders>
              <w:top w:val="single" w:sz="18" w:space="0" w:color="FFFFFF"/>
              <w:left w:val="single" w:sz="2" w:space="0" w:color="FFFFFF"/>
              <w:bottom w:val="single" w:sz="18" w:space="0" w:color="FFFFFF"/>
              <w:right w:val="single" w:sz="18" w:space="0" w:color="FFFFFF"/>
            </w:tcBorders>
            <w:shd w:val="clear" w:color="auto" w:fill="D6E3BC"/>
            <w:textDirection w:val="btLr"/>
          </w:tcPr>
          <w:p w14:paraId="2AE3329E"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High</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69199B95"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Access to Information</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16728836"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Civic Participation</w:t>
            </w:r>
          </w:p>
        </w:tc>
        <w:tc>
          <w:tcPr>
            <w:tcW w:w="376" w:type="dxa"/>
            <w:tcBorders>
              <w:top w:val="single" w:sz="18" w:space="0" w:color="FFFFFF"/>
              <w:left w:val="single" w:sz="2" w:space="0" w:color="FFFFFF"/>
              <w:bottom w:val="single" w:sz="18" w:space="0" w:color="FFFFFF"/>
              <w:right w:val="single" w:sz="2" w:space="0" w:color="FFFFFF"/>
            </w:tcBorders>
            <w:shd w:val="clear" w:color="auto" w:fill="FBD4B4"/>
            <w:textDirection w:val="btLr"/>
          </w:tcPr>
          <w:p w14:paraId="42E0345E"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Public Accountability</w:t>
            </w:r>
          </w:p>
        </w:tc>
        <w:tc>
          <w:tcPr>
            <w:tcW w:w="725" w:type="dxa"/>
            <w:tcBorders>
              <w:top w:val="single" w:sz="18" w:space="0" w:color="FFFFFF"/>
              <w:left w:val="single" w:sz="2" w:space="0" w:color="FFFFFF"/>
              <w:bottom w:val="single" w:sz="18" w:space="0" w:color="FFFFFF"/>
              <w:right w:val="single" w:sz="18" w:space="0" w:color="FFFFFF"/>
            </w:tcBorders>
            <w:shd w:val="clear" w:color="auto" w:fill="FBD4B4"/>
            <w:textDirection w:val="btLr"/>
          </w:tcPr>
          <w:p w14:paraId="2E45CF32"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Technology &amp; Innovation for Transparency &amp; Accountability</w:t>
            </w:r>
          </w:p>
        </w:tc>
        <w:tc>
          <w:tcPr>
            <w:tcW w:w="417" w:type="dxa"/>
            <w:tcBorders>
              <w:top w:val="single" w:sz="18" w:space="0" w:color="FFFFFF"/>
              <w:left w:val="single" w:sz="18" w:space="0" w:color="FFFFFF"/>
              <w:bottom w:val="single" w:sz="18" w:space="0" w:color="FFFFFF"/>
              <w:right w:val="single" w:sz="2" w:space="0" w:color="FFFFFF"/>
            </w:tcBorders>
            <w:shd w:val="clear" w:color="auto" w:fill="CCC0D9"/>
            <w:textDirection w:val="btLr"/>
          </w:tcPr>
          <w:p w14:paraId="472A6ADC"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None</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41524E84"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Minor</w:t>
            </w:r>
          </w:p>
        </w:tc>
        <w:tc>
          <w:tcPr>
            <w:tcW w:w="417" w:type="dxa"/>
            <w:tcBorders>
              <w:top w:val="single" w:sz="18" w:space="0" w:color="FFFFFF"/>
              <w:left w:val="single" w:sz="2" w:space="0" w:color="FFFFFF"/>
              <w:bottom w:val="single" w:sz="18" w:space="0" w:color="FFFFFF"/>
              <w:right w:val="single" w:sz="2" w:space="0" w:color="FFFFFF"/>
            </w:tcBorders>
            <w:shd w:val="clear" w:color="auto" w:fill="CCC0D9"/>
            <w:textDirection w:val="btLr"/>
          </w:tcPr>
          <w:p w14:paraId="0D9AFA91"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Moderate</w:t>
            </w:r>
          </w:p>
        </w:tc>
        <w:tc>
          <w:tcPr>
            <w:tcW w:w="373" w:type="dxa"/>
            <w:tcBorders>
              <w:top w:val="single" w:sz="18" w:space="0" w:color="FFFFFF"/>
              <w:left w:val="single" w:sz="2" w:space="0" w:color="FFFFFF"/>
              <w:bottom w:val="single" w:sz="18" w:space="0" w:color="FFFFFF"/>
              <w:right w:val="single" w:sz="18" w:space="0" w:color="FFFFFF"/>
            </w:tcBorders>
            <w:shd w:val="clear" w:color="auto" w:fill="CCC0D9"/>
            <w:textDirection w:val="btLr"/>
          </w:tcPr>
          <w:p w14:paraId="0D8B53A3"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Transformative</w:t>
            </w:r>
          </w:p>
        </w:tc>
        <w:tc>
          <w:tcPr>
            <w:tcW w:w="417" w:type="dxa"/>
            <w:tcBorders>
              <w:top w:val="single" w:sz="18" w:space="0" w:color="FFFFFF"/>
              <w:left w:val="single" w:sz="18" w:space="0" w:color="FFFFFF"/>
              <w:bottom w:val="single" w:sz="18" w:space="0" w:color="FFFFFF"/>
              <w:right w:val="single" w:sz="2" w:space="0" w:color="FFFFFF"/>
            </w:tcBorders>
            <w:shd w:val="clear" w:color="auto" w:fill="B8CCE4"/>
            <w:textDirection w:val="btLr"/>
          </w:tcPr>
          <w:p w14:paraId="35144837" w14:textId="6A5E1FDC"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Not </w:t>
            </w:r>
            <w:r>
              <w:rPr>
                <w:rFonts w:ascii="Gill Sans" w:hAnsi="Gill Sans" w:cs="Gill Sans"/>
                <w:sz w:val="22"/>
                <w:szCs w:val="22"/>
                <w:lang w:val="en-GB"/>
              </w:rPr>
              <w:t>S</w:t>
            </w:r>
            <w:r w:rsidRPr="009651AC">
              <w:rPr>
                <w:rFonts w:ascii="Gill Sans" w:hAnsi="Gill Sans" w:cs="Gill Sans"/>
                <w:sz w:val="22"/>
                <w:szCs w:val="22"/>
                <w:lang w:val="en-GB"/>
              </w:rPr>
              <w:t>tarted</w:t>
            </w:r>
          </w:p>
        </w:tc>
        <w:tc>
          <w:tcPr>
            <w:tcW w:w="535"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66234211"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Limited</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tcPr>
          <w:p w14:paraId="71AA6914"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Substantial</w:t>
            </w:r>
          </w:p>
        </w:tc>
        <w:tc>
          <w:tcPr>
            <w:tcW w:w="405" w:type="dxa"/>
            <w:tcBorders>
              <w:top w:val="single" w:sz="18" w:space="0" w:color="FFFFFF"/>
              <w:left w:val="single" w:sz="2" w:space="0" w:color="FFFFFF"/>
              <w:bottom w:val="single" w:sz="18" w:space="0" w:color="FFFFFF"/>
              <w:right w:val="single" w:sz="18" w:space="0" w:color="FFFFFF"/>
            </w:tcBorders>
            <w:shd w:val="clear" w:color="auto" w:fill="B8CCE4"/>
            <w:textDirection w:val="btLr"/>
          </w:tcPr>
          <w:p w14:paraId="318E1B7A"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Completed</w:t>
            </w:r>
          </w:p>
        </w:tc>
        <w:tc>
          <w:tcPr>
            <w:tcW w:w="34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33C0F0DC" w14:textId="45B4F96D"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Worsen</w:t>
            </w:r>
            <w:r w:rsidR="006023C3">
              <w:rPr>
                <w:rFonts w:ascii="Gill Sans" w:hAnsi="Gill Sans" w:cs="Gill Sans"/>
                <w:sz w:val="22"/>
                <w:szCs w:val="22"/>
                <w:lang w:val="en-GB"/>
              </w:rPr>
              <w:t>ed</w:t>
            </w:r>
          </w:p>
        </w:tc>
        <w:tc>
          <w:tcPr>
            <w:tcW w:w="3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BE50416" w14:textId="6E91F57A"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Did </w:t>
            </w:r>
            <w:r>
              <w:rPr>
                <w:rFonts w:ascii="Gill Sans" w:hAnsi="Gill Sans" w:cs="Gill Sans"/>
                <w:sz w:val="22"/>
                <w:szCs w:val="22"/>
                <w:lang w:val="en-GB"/>
              </w:rPr>
              <w:t>N</w:t>
            </w:r>
            <w:r w:rsidRPr="009651AC">
              <w:rPr>
                <w:rFonts w:ascii="Gill Sans" w:hAnsi="Gill Sans" w:cs="Gill Sans"/>
                <w:sz w:val="22"/>
                <w:szCs w:val="22"/>
                <w:lang w:val="en-GB"/>
              </w:rPr>
              <w:t xml:space="preserve">ot </w:t>
            </w:r>
            <w:r>
              <w:rPr>
                <w:rFonts w:ascii="Gill Sans" w:hAnsi="Gill Sans" w:cs="Gill Sans"/>
                <w:sz w:val="22"/>
                <w:szCs w:val="22"/>
                <w:lang w:val="en-GB"/>
              </w:rPr>
              <w:t>C</w:t>
            </w:r>
            <w:r w:rsidRPr="009651AC">
              <w:rPr>
                <w:rFonts w:ascii="Gill Sans" w:hAnsi="Gill Sans" w:cs="Gill Sans"/>
                <w:sz w:val="22"/>
                <w:szCs w:val="22"/>
                <w:lang w:val="en-GB"/>
              </w:rPr>
              <w:t>hange</w:t>
            </w:r>
          </w:p>
        </w:tc>
        <w:tc>
          <w:tcPr>
            <w:tcW w:w="38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BDA8380"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Marginal</w:t>
            </w:r>
          </w:p>
        </w:tc>
        <w:tc>
          <w:tcPr>
            <w:tcW w:w="4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8F3B897"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 xml:space="preserve">Major </w:t>
            </w:r>
          </w:p>
        </w:tc>
        <w:tc>
          <w:tcPr>
            <w:tcW w:w="415"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78FD52B1" w14:textId="77777777" w:rsidR="00AE68C1" w:rsidRPr="009651AC" w:rsidRDefault="00AE68C1" w:rsidP="0084354E">
            <w:pPr>
              <w:rPr>
                <w:rFonts w:ascii="Gill Sans" w:hAnsi="Gill Sans" w:cs="Gill Sans"/>
                <w:sz w:val="22"/>
                <w:szCs w:val="22"/>
                <w:lang w:val="en-GB"/>
              </w:rPr>
            </w:pPr>
            <w:r w:rsidRPr="009651AC">
              <w:rPr>
                <w:rFonts w:ascii="Gill Sans" w:hAnsi="Gill Sans" w:cs="Gill Sans"/>
                <w:sz w:val="22"/>
                <w:szCs w:val="22"/>
                <w:lang w:val="en-GB"/>
              </w:rPr>
              <w:t>Outstanding</w:t>
            </w:r>
          </w:p>
        </w:tc>
      </w:tr>
      <w:tr w:rsidR="00AE68C1" w:rsidRPr="009651AC" w14:paraId="2E7C6885" w14:textId="77777777" w:rsidTr="00B223BA">
        <w:trPr>
          <w:trHeight w:val="340"/>
        </w:trPr>
        <w:tc>
          <w:tcPr>
            <w:tcW w:w="1501" w:type="dxa"/>
            <w:vMerge/>
            <w:tcBorders>
              <w:left w:val="single" w:sz="4" w:space="0" w:color="FFFFFF"/>
              <w:right w:val="single" w:sz="18" w:space="0" w:color="FFFFFF"/>
            </w:tcBorders>
            <w:shd w:val="clear" w:color="auto" w:fill="000000"/>
          </w:tcPr>
          <w:p w14:paraId="0795E4C9" w14:textId="58BFB103" w:rsidR="00AE68C1" w:rsidRPr="00D54FC1" w:rsidRDefault="00AE68C1" w:rsidP="0084354E">
            <w:pPr>
              <w:rPr>
                <w:rFonts w:ascii="Gill Sans" w:hAnsi="Gill Sans" w:cs="Gill Sans"/>
                <w:color w:val="FFFFFF" w:themeColor="background1"/>
                <w:sz w:val="22"/>
                <w:szCs w:val="22"/>
                <w:lang w:val="en-GB"/>
              </w:rPr>
            </w:pPr>
          </w:p>
        </w:tc>
        <w:tc>
          <w:tcPr>
            <w:tcW w:w="475" w:type="dxa"/>
            <w:vMerge w:val="restart"/>
            <w:tcBorders>
              <w:top w:val="single" w:sz="18" w:space="0" w:color="FFFFFF"/>
              <w:left w:val="single" w:sz="18" w:space="0" w:color="FFFFFF"/>
              <w:right w:val="single" w:sz="2" w:space="0" w:color="FFFFFF"/>
            </w:tcBorders>
            <w:shd w:val="clear" w:color="auto" w:fill="D6E3BC"/>
          </w:tcPr>
          <w:p w14:paraId="1C76A8D2" w14:textId="77777777" w:rsidR="00AE68C1" w:rsidRPr="009651AC" w:rsidRDefault="00AE68C1" w:rsidP="0084354E">
            <w:pPr>
              <w:jc w:val="center"/>
              <w:rPr>
                <w:rFonts w:ascii="Gill Sans" w:hAnsi="Gill Sans" w:cs="Gill Sans"/>
                <w:sz w:val="22"/>
                <w:szCs w:val="22"/>
                <w:lang w:val="en-GB"/>
              </w:rPr>
            </w:pPr>
          </w:p>
        </w:tc>
        <w:tc>
          <w:tcPr>
            <w:tcW w:w="418" w:type="dxa"/>
            <w:vMerge w:val="restart"/>
            <w:tcBorders>
              <w:top w:val="single" w:sz="18" w:space="0" w:color="FFFFFF"/>
              <w:left w:val="single" w:sz="2" w:space="0" w:color="FFFFFF"/>
              <w:right w:val="single" w:sz="2" w:space="0" w:color="FFFFFF"/>
            </w:tcBorders>
            <w:shd w:val="clear" w:color="auto" w:fill="D6E3BC"/>
          </w:tcPr>
          <w:p w14:paraId="0F3743CE" w14:textId="77777777" w:rsidR="00AE68C1" w:rsidRPr="009651AC" w:rsidRDefault="00AE68C1" w:rsidP="0084354E">
            <w:pPr>
              <w:jc w:val="center"/>
              <w:rPr>
                <w:rFonts w:ascii="Gill Sans" w:hAnsi="Gill Sans" w:cs="Gill Sans"/>
                <w:sz w:val="22"/>
                <w:szCs w:val="22"/>
                <w:lang w:val="en-GB"/>
              </w:rPr>
            </w:pPr>
          </w:p>
        </w:tc>
        <w:tc>
          <w:tcPr>
            <w:tcW w:w="343" w:type="dxa"/>
            <w:vMerge w:val="restart"/>
            <w:tcBorders>
              <w:top w:val="single" w:sz="18" w:space="0" w:color="FFFFFF"/>
              <w:left w:val="single" w:sz="2" w:space="0" w:color="FFFFFF"/>
              <w:right w:val="single" w:sz="2" w:space="0" w:color="FFFFFF"/>
            </w:tcBorders>
            <w:shd w:val="clear" w:color="auto" w:fill="D6E3BC"/>
          </w:tcPr>
          <w:p w14:paraId="5630DC33" w14:textId="1E27A63D" w:rsidR="00AE68C1" w:rsidRPr="009651AC" w:rsidRDefault="00AE68C1" w:rsidP="0084354E">
            <w:pPr>
              <w:jc w:val="center"/>
              <w:rPr>
                <w:rFonts w:ascii="Gill Sans" w:hAnsi="Gill Sans" w:cs="Gill Sans"/>
                <w:sz w:val="22"/>
                <w:szCs w:val="22"/>
                <w:lang w:val="en-GB"/>
              </w:rPr>
            </w:pPr>
            <w:r w:rsidRPr="00C23352">
              <w:rPr>
                <w:rFonts w:ascii="Zapf Dingbats" w:eastAsia="MS Mincho" w:hAnsi="Zapf Dingbats" w:cs="MS Mincho"/>
                <w:noProof/>
                <w:sz w:val="22"/>
                <w:szCs w:val="22"/>
                <w:lang w:val="en-GB"/>
              </w:rPr>
              <w:t>✔</w:t>
            </w:r>
          </w:p>
        </w:tc>
        <w:tc>
          <w:tcPr>
            <w:tcW w:w="343" w:type="dxa"/>
            <w:vMerge w:val="restart"/>
            <w:tcBorders>
              <w:top w:val="single" w:sz="18" w:space="0" w:color="FFFFFF"/>
              <w:left w:val="single" w:sz="2" w:space="0" w:color="FFFFFF"/>
              <w:right w:val="single" w:sz="18" w:space="0" w:color="FFFFFF"/>
            </w:tcBorders>
            <w:shd w:val="clear" w:color="auto" w:fill="D6E3BC"/>
          </w:tcPr>
          <w:p w14:paraId="2B7C6A5E" w14:textId="52EE61B8" w:rsidR="00AE68C1" w:rsidRPr="009651AC" w:rsidRDefault="00AE68C1" w:rsidP="0084354E">
            <w:pPr>
              <w:jc w:val="center"/>
              <w:rPr>
                <w:rFonts w:ascii="Gill Sans" w:hAnsi="Gill Sans" w:cs="Gill Sans"/>
                <w:noProof/>
                <w:sz w:val="22"/>
                <w:szCs w:val="22"/>
                <w:lang w:val="en-GB"/>
              </w:rPr>
            </w:pPr>
          </w:p>
        </w:tc>
        <w:tc>
          <w:tcPr>
            <w:tcW w:w="1831" w:type="dxa"/>
            <w:gridSpan w:val="4"/>
            <w:vMerge w:val="restart"/>
            <w:tcBorders>
              <w:top w:val="single" w:sz="18" w:space="0" w:color="FFFFFF"/>
              <w:left w:val="single" w:sz="2" w:space="0" w:color="FFFFFF"/>
              <w:right w:val="single" w:sz="18" w:space="0" w:color="FFFFFF"/>
            </w:tcBorders>
            <w:shd w:val="clear" w:color="auto" w:fill="FBD4B4"/>
          </w:tcPr>
          <w:p w14:paraId="7A72F770" w14:textId="3A90CC79" w:rsidR="00AE68C1" w:rsidRPr="009651AC" w:rsidRDefault="00AE68C1" w:rsidP="0084354E">
            <w:pPr>
              <w:jc w:val="center"/>
              <w:rPr>
                <w:rFonts w:ascii="Gill Sans" w:hAnsi="Gill Sans" w:cs="Gill Sans"/>
                <w:sz w:val="22"/>
                <w:szCs w:val="22"/>
                <w:lang w:val="en-GB"/>
              </w:rPr>
            </w:pPr>
            <w:r>
              <w:rPr>
                <w:rFonts w:ascii="Gill Sans" w:hAnsi="Gill Sans" w:cs="Gill Sans"/>
                <w:sz w:val="22"/>
                <w:szCs w:val="22"/>
                <w:lang w:val="en-GB"/>
              </w:rPr>
              <w:t>Unclear</w:t>
            </w:r>
          </w:p>
        </w:tc>
        <w:tc>
          <w:tcPr>
            <w:tcW w:w="417" w:type="dxa"/>
            <w:vMerge w:val="restart"/>
            <w:tcBorders>
              <w:top w:val="single" w:sz="18" w:space="0" w:color="FFFFFF"/>
              <w:left w:val="single" w:sz="18" w:space="0" w:color="FFFFFF"/>
              <w:right w:val="single" w:sz="2" w:space="0" w:color="FFFFFF"/>
            </w:tcBorders>
            <w:shd w:val="clear" w:color="auto" w:fill="CCC0D9"/>
          </w:tcPr>
          <w:p w14:paraId="278B761B" w14:textId="77777777" w:rsidR="00AE68C1" w:rsidRPr="009651AC" w:rsidRDefault="00AE68C1" w:rsidP="0084354E">
            <w:pPr>
              <w:jc w:val="center"/>
              <w:rPr>
                <w:rFonts w:ascii="Gill Sans" w:hAnsi="Gill Sans" w:cs="Gill Sans"/>
                <w:sz w:val="22"/>
                <w:szCs w:val="22"/>
                <w:lang w:val="en-GB"/>
              </w:rPr>
            </w:pPr>
          </w:p>
        </w:tc>
        <w:tc>
          <w:tcPr>
            <w:tcW w:w="341" w:type="dxa"/>
            <w:vMerge w:val="restart"/>
            <w:tcBorders>
              <w:top w:val="single" w:sz="18" w:space="0" w:color="FFFFFF"/>
              <w:left w:val="single" w:sz="2" w:space="0" w:color="FFFFFF"/>
              <w:right w:val="single" w:sz="2" w:space="0" w:color="FFFFFF"/>
            </w:tcBorders>
            <w:shd w:val="clear" w:color="auto" w:fill="CCC0D9"/>
          </w:tcPr>
          <w:p w14:paraId="2C3EAB5F" w14:textId="600122D0" w:rsidR="00AE68C1" w:rsidRPr="00C23352" w:rsidRDefault="00AE68C1" w:rsidP="0084354E">
            <w:pPr>
              <w:jc w:val="center"/>
              <w:rPr>
                <w:rFonts w:ascii="Zapf Dingbats" w:eastAsia="MS Mincho" w:hAnsi="Zapf Dingbats" w:cs="MS Mincho"/>
                <w:noProof/>
                <w:sz w:val="22"/>
                <w:szCs w:val="22"/>
                <w:lang w:val="en-GB"/>
              </w:rPr>
            </w:pPr>
            <w:r w:rsidRPr="00C23352">
              <w:rPr>
                <w:rFonts w:ascii="Zapf Dingbats" w:eastAsia="MS Mincho" w:hAnsi="Zapf Dingbats" w:cs="MS Mincho"/>
                <w:noProof/>
                <w:sz w:val="22"/>
                <w:szCs w:val="22"/>
                <w:lang w:val="en-GB"/>
              </w:rPr>
              <w:t>✔</w:t>
            </w:r>
          </w:p>
        </w:tc>
        <w:tc>
          <w:tcPr>
            <w:tcW w:w="417" w:type="dxa"/>
            <w:vMerge w:val="restart"/>
            <w:tcBorders>
              <w:top w:val="single" w:sz="18" w:space="0" w:color="FFFFFF"/>
              <w:left w:val="single" w:sz="2" w:space="0" w:color="FFFFFF"/>
              <w:right w:val="single" w:sz="2" w:space="0" w:color="FFFFFF"/>
            </w:tcBorders>
            <w:shd w:val="clear" w:color="auto" w:fill="CCC0D9"/>
          </w:tcPr>
          <w:p w14:paraId="7B4132E0" w14:textId="26A162C6" w:rsidR="00AE68C1" w:rsidRPr="00C23352" w:rsidRDefault="00AE68C1" w:rsidP="0084354E">
            <w:pPr>
              <w:jc w:val="center"/>
              <w:rPr>
                <w:rFonts w:ascii="Zapf Dingbats" w:eastAsia="MS Mincho" w:hAnsi="Zapf Dingbats" w:cs="MS Mincho"/>
                <w:noProof/>
                <w:sz w:val="22"/>
                <w:szCs w:val="22"/>
                <w:lang w:val="en-GB"/>
              </w:rPr>
            </w:pPr>
          </w:p>
        </w:tc>
        <w:tc>
          <w:tcPr>
            <w:tcW w:w="373" w:type="dxa"/>
            <w:vMerge w:val="restart"/>
            <w:tcBorders>
              <w:top w:val="single" w:sz="18" w:space="0" w:color="FFFFFF"/>
              <w:left w:val="single" w:sz="2" w:space="0" w:color="FFFFFF"/>
              <w:right w:val="single" w:sz="18" w:space="0" w:color="FFFFFF"/>
            </w:tcBorders>
            <w:shd w:val="clear" w:color="auto" w:fill="CCC0D9"/>
          </w:tcPr>
          <w:p w14:paraId="0F49B3A3" w14:textId="77777777" w:rsidR="00AE68C1" w:rsidRPr="00C23352" w:rsidRDefault="00AE68C1" w:rsidP="0084354E">
            <w:pPr>
              <w:jc w:val="center"/>
              <w:rPr>
                <w:rFonts w:ascii="Zapf Dingbats" w:eastAsia="MS Mincho" w:hAnsi="Zapf Dingbats" w:cs="MS Mincho"/>
                <w:noProof/>
                <w:sz w:val="22"/>
                <w:szCs w:val="22"/>
                <w:lang w:val="en-GB"/>
              </w:rPr>
            </w:pPr>
          </w:p>
        </w:tc>
        <w:tc>
          <w:tcPr>
            <w:tcW w:w="417" w:type="dxa"/>
            <w:tcBorders>
              <w:top w:val="single" w:sz="18" w:space="0" w:color="FFFFFF"/>
              <w:left w:val="single" w:sz="18" w:space="0" w:color="FFFFFF"/>
              <w:bottom w:val="nil"/>
              <w:right w:val="single" w:sz="4" w:space="0" w:color="FFFFFF" w:themeColor="background1"/>
            </w:tcBorders>
            <w:shd w:val="clear" w:color="auto" w:fill="B8CCE4"/>
          </w:tcPr>
          <w:p w14:paraId="197D3C39" w14:textId="77777777" w:rsidR="00AE68C1" w:rsidRPr="00C23352" w:rsidRDefault="00AE68C1" w:rsidP="0084354E">
            <w:pPr>
              <w:jc w:val="center"/>
              <w:rPr>
                <w:rFonts w:ascii="Zapf Dingbats" w:eastAsia="MS Mincho" w:hAnsi="Zapf Dingbats" w:cs="MS Mincho"/>
                <w:noProof/>
                <w:sz w:val="22"/>
                <w:szCs w:val="22"/>
                <w:lang w:val="en-GB"/>
              </w:rPr>
            </w:pPr>
          </w:p>
        </w:tc>
        <w:tc>
          <w:tcPr>
            <w:tcW w:w="535" w:type="dxa"/>
            <w:tcBorders>
              <w:top w:val="single" w:sz="18" w:space="0" w:color="FFFFFF"/>
              <w:left w:val="single" w:sz="4" w:space="0" w:color="FFFFFF" w:themeColor="background1"/>
              <w:bottom w:val="nil"/>
              <w:right w:val="single" w:sz="4" w:space="0" w:color="FFFFFF" w:themeColor="background1"/>
            </w:tcBorders>
            <w:shd w:val="clear" w:color="auto" w:fill="B8CCE4"/>
          </w:tcPr>
          <w:p w14:paraId="747C1F89" w14:textId="77777777" w:rsidR="00AE68C1" w:rsidRPr="00C23352" w:rsidRDefault="00AE68C1" w:rsidP="0084354E">
            <w:pPr>
              <w:jc w:val="center"/>
              <w:rPr>
                <w:rFonts w:ascii="Zapf Dingbats" w:eastAsia="MS Mincho" w:hAnsi="Zapf Dingbats" w:cs="MS Mincho"/>
                <w:noProof/>
                <w:sz w:val="22"/>
                <w:szCs w:val="22"/>
                <w:lang w:val="en-GB"/>
              </w:rPr>
            </w:pPr>
          </w:p>
        </w:tc>
        <w:tc>
          <w:tcPr>
            <w:tcW w:w="516" w:type="dxa"/>
            <w:tcBorders>
              <w:top w:val="single" w:sz="18" w:space="0" w:color="FFFFFF"/>
              <w:left w:val="single" w:sz="4" w:space="0" w:color="FFFFFF" w:themeColor="background1"/>
              <w:bottom w:val="nil"/>
              <w:right w:val="single" w:sz="4" w:space="0" w:color="FFFFFF" w:themeColor="background1"/>
            </w:tcBorders>
            <w:shd w:val="clear" w:color="auto" w:fill="B8CCE4"/>
          </w:tcPr>
          <w:p w14:paraId="58D2B9E3" w14:textId="77777777" w:rsidR="00AE68C1" w:rsidRPr="00C23352" w:rsidRDefault="00AE68C1" w:rsidP="0084354E">
            <w:pPr>
              <w:jc w:val="center"/>
              <w:rPr>
                <w:rFonts w:ascii="Zapf Dingbats" w:eastAsia="MS Mincho" w:hAnsi="Zapf Dingbats" w:cs="MS Mincho"/>
                <w:noProof/>
                <w:sz w:val="22"/>
                <w:szCs w:val="22"/>
                <w:lang w:val="en-GB"/>
              </w:rPr>
            </w:pPr>
          </w:p>
        </w:tc>
        <w:tc>
          <w:tcPr>
            <w:tcW w:w="405" w:type="dxa"/>
            <w:tcBorders>
              <w:top w:val="single" w:sz="18" w:space="0" w:color="FFFFFF"/>
              <w:left w:val="single" w:sz="4" w:space="0" w:color="FFFFFF" w:themeColor="background1"/>
              <w:bottom w:val="nil"/>
              <w:right w:val="single" w:sz="18" w:space="0" w:color="FFFFFF"/>
            </w:tcBorders>
            <w:shd w:val="clear" w:color="auto" w:fill="B8CCE4"/>
          </w:tcPr>
          <w:p w14:paraId="273221B1" w14:textId="77777777" w:rsidR="00AE68C1" w:rsidRPr="00C23352" w:rsidRDefault="00AE68C1" w:rsidP="0084354E">
            <w:pPr>
              <w:jc w:val="center"/>
              <w:rPr>
                <w:rFonts w:ascii="Zapf Dingbats" w:eastAsia="MS Mincho" w:hAnsi="Zapf Dingbats" w:cs="MS Mincho"/>
                <w:noProof/>
                <w:sz w:val="22"/>
                <w:szCs w:val="22"/>
                <w:lang w:val="en-GB"/>
              </w:rPr>
            </w:pPr>
            <w:r w:rsidRPr="00C23352">
              <w:rPr>
                <w:rFonts w:ascii="Zapf Dingbats" w:eastAsia="MS Mincho" w:hAnsi="Zapf Dingbats" w:cs="MS Mincho"/>
                <w:noProof/>
                <w:sz w:val="22"/>
                <w:szCs w:val="22"/>
                <w:lang w:val="en-GB"/>
              </w:rPr>
              <w:t>✔</w:t>
            </w:r>
          </w:p>
        </w:tc>
        <w:tc>
          <w:tcPr>
            <w:tcW w:w="341" w:type="dxa"/>
            <w:vMerge w:val="restart"/>
            <w:tcBorders>
              <w:top w:val="single" w:sz="18" w:space="0" w:color="FFFFFF"/>
              <w:left w:val="single" w:sz="18" w:space="0" w:color="FFFFFF"/>
              <w:right w:val="single" w:sz="2" w:space="0" w:color="FFFFFF"/>
            </w:tcBorders>
            <w:shd w:val="clear" w:color="auto" w:fill="D99594"/>
          </w:tcPr>
          <w:p w14:paraId="4943502D" w14:textId="77777777" w:rsidR="00AE68C1" w:rsidRPr="009651AC" w:rsidRDefault="00AE68C1" w:rsidP="0084354E">
            <w:pPr>
              <w:jc w:val="center"/>
              <w:rPr>
                <w:rFonts w:ascii="Gill Sans" w:hAnsi="Gill Sans" w:cs="Gill Sans"/>
                <w:sz w:val="22"/>
                <w:szCs w:val="22"/>
                <w:lang w:val="en-GB"/>
              </w:rPr>
            </w:pPr>
          </w:p>
        </w:tc>
        <w:tc>
          <w:tcPr>
            <w:tcW w:w="344" w:type="dxa"/>
            <w:vMerge w:val="restart"/>
            <w:tcBorders>
              <w:top w:val="single" w:sz="18" w:space="0" w:color="FFFFFF"/>
              <w:left w:val="single" w:sz="2" w:space="0" w:color="FFFFFF"/>
              <w:right w:val="single" w:sz="2" w:space="0" w:color="FFFFFF"/>
            </w:tcBorders>
            <w:shd w:val="clear" w:color="auto" w:fill="D99594"/>
          </w:tcPr>
          <w:p w14:paraId="3667B620" w14:textId="6814B55D" w:rsidR="00AE68C1" w:rsidRPr="00C23352" w:rsidRDefault="00AE68C1" w:rsidP="0084354E">
            <w:pPr>
              <w:jc w:val="center"/>
              <w:rPr>
                <w:rFonts w:ascii="Zapf Dingbats" w:eastAsia="MS Mincho" w:hAnsi="Zapf Dingbats" w:cs="MS Mincho"/>
                <w:noProof/>
                <w:sz w:val="22"/>
                <w:szCs w:val="22"/>
                <w:lang w:val="en-GB"/>
              </w:rPr>
            </w:pPr>
            <w:r w:rsidRPr="00C23352">
              <w:rPr>
                <w:rFonts w:ascii="Zapf Dingbats" w:eastAsia="MS Mincho" w:hAnsi="Zapf Dingbats" w:cs="MS Mincho"/>
                <w:noProof/>
                <w:sz w:val="22"/>
                <w:szCs w:val="22"/>
                <w:lang w:val="en-GB"/>
              </w:rPr>
              <w:t>✔</w:t>
            </w:r>
          </w:p>
        </w:tc>
        <w:tc>
          <w:tcPr>
            <w:tcW w:w="382" w:type="dxa"/>
            <w:vMerge w:val="restart"/>
            <w:tcBorders>
              <w:top w:val="single" w:sz="18" w:space="0" w:color="FFFFFF"/>
              <w:left w:val="single" w:sz="2" w:space="0" w:color="FFFFFF"/>
              <w:right w:val="single" w:sz="2" w:space="0" w:color="FFFFFF"/>
            </w:tcBorders>
            <w:shd w:val="clear" w:color="auto" w:fill="D99594"/>
          </w:tcPr>
          <w:p w14:paraId="43C2B30E" w14:textId="721D02EA" w:rsidR="00AE68C1" w:rsidRPr="00C23352" w:rsidRDefault="00AE68C1" w:rsidP="0084354E">
            <w:pPr>
              <w:jc w:val="center"/>
              <w:rPr>
                <w:rFonts w:ascii="Zapf Dingbats" w:eastAsia="MS Mincho" w:hAnsi="Zapf Dingbats" w:cs="MS Mincho"/>
                <w:noProof/>
                <w:sz w:val="22"/>
                <w:szCs w:val="22"/>
                <w:lang w:val="en-GB"/>
              </w:rPr>
            </w:pPr>
          </w:p>
        </w:tc>
        <w:tc>
          <w:tcPr>
            <w:tcW w:w="442" w:type="dxa"/>
            <w:vMerge w:val="restart"/>
            <w:tcBorders>
              <w:top w:val="single" w:sz="18" w:space="0" w:color="FFFFFF"/>
              <w:left w:val="single" w:sz="2" w:space="0" w:color="FFFFFF"/>
              <w:right w:val="single" w:sz="2" w:space="0" w:color="FFFFFF"/>
            </w:tcBorders>
            <w:shd w:val="clear" w:color="auto" w:fill="D99594"/>
          </w:tcPr>
          <w:p w14:paraId="1F5BFA3A" w14:textId="61311CD3" w:rsidR="00AE68C1" w:rsidRPr="008E2D1E" w:rsidRDefault="00AE68C1" w:rsidP="0084354E">
            <w:pPr>
              <w:jc w:val="center"/>
              <w:rPr>
                <w:rFonts w:ascii="Gill Sans" w:hAnsi="Gill Sans" w:cs="Gill Sans"/>
                <w:noProof/>
                <w:sz w:val="22"/>
                <w:szCs w:val="22"/>
              </w:rPr>
            </w:pPr>
          </w:p>
        </w:tc>
        <w:tc>
          <w:tcPr>
            <w:tcW w:w="415" w:type="dxa"/>
            <w:vMerge w:val="restart"/>
            <w:tcBorders>
              <w:top w:val="single" w:sz="18" w:space="0" w:color="FFFFFF"/>
              <w:left w:val="single" w:sz="2" w:space="0" w:color="FFFFFF"/>
              <w:right w:val="single" w:sz="18" w:space="0" w:color="FFFFFF"/>
            </w:tcBorders>
            <w:shd w:val="clear" w:color="auto" w:fill="D99594"/>
          </w:tcPr>
          <w:p w14:paraId="269B4A41" w14:textId="77777777" w:rsidR="00AE68C1" w:rsidRPr="000D214B" w:rsidRDefault="00AE68C1" w:rsidP="0084354E">
            <w:pPr>
              <w:rPr>
                <w:rFonts w:ascii="Gill Sans" w:hAnsi="Gill Sans" w:cs="Gill Sans"/>
                <w:b/>
                <w:sz w:val="22"/>
                <w:szCs w:val="22"/>
                <w:lang w:val="en-GB"/>
              </w:rPr>
            </w:pPr>
          </w:p>
        </w:tc>
      </w:tr>
      <w:tr w:rsidR="00AE68C1" w:rsidRPr="009651AC" w14:paraId="6B849D13" w14:textId="77777777" w:rsidTr="00B223BA">
        <w:trPr>
          <w:trHeight w:val="340"/>
        </w:trPr>
        <w:tc>
          <w:tcPr>
            <w:tcW w:w="1501" w:type="dxa"/>
            <w:vMerge/>
            <w:tcBorders>
              <w:left w:val="single" w:sz="4" w:space="0" w:color="FFFFFF"/>
              <w:right w:val="single" w:sz="18" w:space="0" w:color="FFFFFF"/>
            </w:tcBorders>
            <w:shd w:val="clear" w:color="auto" w:fill="000000"/>
          </w:tcPr>
          <w:p w14:paraId="75C2860A" w14:textId="77777777" w:rsidR="00AE68C1" w:rsidRPr="009651AC" w:rsidRDefault="00AE68C1" w:rsidP="0084354E">
            <w:pPr>
              <w:rPr>
                <w:rFonts w:ascii="Gill Sans" w:hAnsi="Gill Sans" w:cs="Gill Sans"/>
                <w:color w:val="FFFFFF" w:themeColor="background1"/>
                <w:sz w:val="22"/>
                <w:szCs w:val="22"/>
                <w:lang w:val="en-GB"/>
              </w:rPr>
            </w:pPr>
          </w:p>
        </w:tc>
        <w:tc>
          <w:tcPr>
            <w:tcW w:w="475" w:type="dxa"/>
            <w:vMerge/>
            <w:tcBorders>
              <w:left w:val="single" w:sz="18" w:space="0" w:color="FFFFFF"/>
              <w:right w:val="single" w:sz="2" w:space="0" w:color="FFFFFF"/>
            </w:tcBorders>
            <w:shd w:val="clear" w:color="auto" w:fill="D6E3BC"/>
          </w:tcPr>
          <w:p w14:paraId="429D11AA" w14:textId="77777777" w:rsidR="00AE68C1" w:rsidRPr="009651AC" w:rsidRDefault="00AE68C1" w:rsidP="0084354E">
            <w:pPr>
              <w:rPr>
                <w:rFonts w:ascii="Gill Sans" w:hAnsi="Gill Sans" w:cs="Gill Sans"/>
                <w:sz w:val="22"/>
                <w:szCs w:val="22"/>
                <w:lang w:val="en-GB"/>
              </w:rPr>
            </w:pPr>
          </w:p>
        </w:tc>
        <w:tc>
          <w:tcPr>
            <w:tcW w:w="418" w:type="dxa"/>
            <w:vMerge/>
            <w:tcBorders>
              <w:left w:val="single" w:sz="2" w:space="0" w:color="FFFFFF"/>
              <w:right w:val="single" w:sz="2" w:space="0" w:color="FFFFFF"/>
            </w:tcBorders>
            <w:shd w:val="clear" w:color="auto" w:fill="D6E3BC"/>
          </w:tcPr>
          <w:p w14:paraId="1EBB6D1E" w14:textId="77777777" w:rsidR="00AE68C1" w:rsidRPr="009651AC" w:rsidRDefault="00AE68C1" w:rsidP="0084354E">
            <w:pPr>
              <w:rPr>
                <w:rFonts w:ascii="Gill Sans" w:hAnsi="Gill Sans" w:cs="Gill Sans"/>
                <w:sz w:val="22"/>
                <w:szCs w:val="22"/>
                <w:lang w:val="en-GB"/>
              </w:rPr>
            </w:pPr>
          </w:p>
        </w:tc>
        <w:tc>
          <w:tcPr>
            <w:tcW w:w="343" w:type="dxa"/>
            <w:vMerge/>
            <w:tcBorders>
              <w:left w:val="single" w:sz="2" w:space="0" w:color="FFFFFF"/>
              <w:right w:val="single" w:sz="2" w:space="0" w:color="FFFFFF"/>
            </w:tcBorders>
            <w:shd w:val="clear" w:color="auto" w:fill="D6E3BC"/>
          </w:tcPr>
          <w:p w14:paraId="1755E0E2" w14:textId="77777777" w:rsidR="00AE68C1" w:rsidRPr="009651AC" w:rsidRDefault="00AE68C1" w:rsidP="0084354E">
            <w:pPr>
              <w:rPr>
                <w:rFonts w:ascii="Gill Sans" w:hAnsi="Gill Sans" w:cs="Gill Sans"/>
                <w:sz w:val="22"/>
                <w:szCs w:val="22"/>
                <w:lang w:val="en-GB"/>
              </w:rPr>
            </w:pPr>
          </w:p>
        </w:tc>
        <w:tc>
          <w:tcPr>
            <w:tcW w:w="343" w:type="dxa"/>
            <w:vMerge/>
            <w:tcBorders>
              <w:left w:val="single" w:sz="2" w:space="0" w:color="FFFFFF"/>
              <w:right w:val="single" w:sz="18" w:space="0" w:color="FFFFFF"/>
            </w:tcBorders>
            <w:shd w:val="clear" w:color="auto" w:fill="D6E3BC"/>
          </w:tcPr>
          <w:p w14:paraId="54A0EE6E" w14:textId="77777777" w:rsidR="00AE68C1" w:rsidRPr="009651AC" w:rsidRDefault="00AE68C1" w:rsidP="0084354E">
            <w:pPr>
              <w:rPr>
                <w:rFonts w:ascii="Gill Sans" w:hAnsi="Gill Sans" w:cs="Gill Sans"/>
                <w:noProof/>
                <w:sz w:val="22"/>
                <w:szCs w:val="22"/>
                <w:lang w:val="en-GB"/>
              </w:rPr>
            </w:pPr>
          </w:p>
        </w:tc>
        <w:tc>
          <w:tcPr>
            <w:tcW w:w="1831" w:type="dxa"/>
            <w:gridSpan w:val="4"/>
            <w:vMerge/>
            <w:tcBorders>
              <w:left w:val="single" w:sz="2" w:space="0" w:color="FFFFFF"/>
              <w:right w:val="single" w:sz="18" w:space="0" w:color="FFFFFF"/>
            </w:tcBorders>
            <w:shd w:val="clear" w:color="auto" w:fill="FBD4B4"/>
          </w:tcPr>
          <w:p w14:paraId="3F08BF07" w14:textId="77777777" w:rsidR="00AE68C1" w:rsidRPr="009651AC" w:rsidRDefault="00AE68C1" w:rsidP="0084354E">
            <w:pPr>
              <w:rPr>
                <w:rFonts w:ascii="Gill Sans" w:hAnsi="Gill Sans" w:cs="Gill Sans"/>
                <w:sz w:val="22"/>
                <w:szCs w:val="22"/>
                <w:lang w:val="en-GB"/>
              </w:rPr>
            </w:pPr>
          </w:p>
        </w:tc>
        <w:tc>
          <w:tcPr>
            <w:tcW w:w="417" w:type="dxa"/>
            <w:vMerge/>
            <w:tcBorders>
              <w:left w:val="single" w:sz="18" w:space="0" w:color="FFFFFF"/>
              <w:right w:val="single" w:sz="2" w:space="0" w:color="FFFFFF"/>
            </w:tcBorders>
            <w:shd w:val="clear" w:color="auto" w:fill="CCC0D9"/>
          </w:tcPr>
          <w:p w14:paraId="4D9550F3" w14:textId="77777777" w:rsidR="00AE68C1" w:rsidRPr="009651AC" w:rsidRDefault="00AE68C1" w:rsidP="0084354E">
            <w:pPr>
              <w:rPr>
                <w:rFonts w:ascii="Gill Sans" w:hAnsi="Gill Sans" w:cs="Gill Sans"/>
                <w:sz w:val="22"/>
                <w:szCs w:val="22"/>
                <w:lang w:val="en-GB"/>
              </w:rPr>
            </w:pPr>
          </w:p>
        </w:tc>
        <w:tc>
          <w:tcPr>
            <w:tcW w:w="341" w:type="dxa"/>
            <w:vMerge/>
            <w:tcBorders>
              <w:left w:val="single" w:sz="2" w:space="0" w:color="FFFFFF"/>
              <w:right w:val="single" w:sz="2" w:space="0" w:color="FFFFFF"/>
            </w:tcBorders>
            <w:shd w:val="clear" w:color="auto" w:fill="CCC0D9"/>
          </w:tcPr>
          <w:p w14:paraId="744F5935" w14:textId="77777777" w:rsidR="00AE68C1" w:rsidRPr="00C23352" w:rsidRDefault="00AE68C1" w:rsidP="00C23352">
            <w:pPr>
              <w:jc w:val="center"/>
              <w:rPr>
                <w:rFonts w:ascii="Zapf Dingbats" w:eastAsia="MS Mincho" w:hAnsi="Zapf Dingbats" w:cs="MS Mincho"/>
                <w:noProof/>
                <w:sz w:val="22"/>
                <w:szCs w:val="22"/>
                <w:lang w:val="en-GB"/>
              </w:rPr>
            </w:pPr>
          </w:p>
        </w:tc>
        <w:tc>
          <w:tcPr>
            <w:tcW w:w="417" w:type="dxa"/>
            <w:vMerge/>
            <w:tcBorders>
              <w:left w:val="single" w:sz="2" w:space="0" w:color="FFFFFF"/>
              <w:right w:val="single" w:sz="2" w:space="0" w:color="FFFFFF"/>
            </w:tcBorders>
            <w:shd w:val="clear" w:color="auto" w:fill="CCC0D9"/>
          </w:tcPr>
          <w:p w14:paraId="231E4BC7" w14:textId="77777777" w:rsidR="00AE68C1" w:rsidRPr="00C23352" w:rsidRDefault="00AE68C1" w:rsidP="00C23352">
            <w:pPr>
              <w:jc w:val="center"/>
              <w:rPr>
                <w:rFonts w:ascii="Zapf Dingbats" w:eastAsia="MS Mincho" w:hAnsi="Zapf Dingbats" w:cs="MS Mincho"/>
                <w:noProof/>
                <w:sz w:val="22"/>
                <w:szCs w:val="22"/>
                <w:lang w:val="en-GB"/>
              </w:rPr>
            </w:pPr>
          </w:p>
        </w:tc>
        <w:tc>
          <w:tcPr>
            <w:tcW w:w="373" w:type="dxa"/>
            <w:vMerge/>
            <w:tcBorders>
              <w:left w:val="single" w:sz="2" w:space="0" w:color="FFFFFF"/>
              <w:right w:val="single" w:sz="18" w:space="0" w:color="FFFFFF"/>
            </w:tcBorders>
            <w:shd w:val="clear" w:color="auto" w:fill="CCC0D9"/>
          </w:tcPr>
          <w:p w14:paraId="5C4DDF24" w14:textId="77777777" w:rsidR="00AE68C1" w:rsidRPr="00C23352" w:rsidRDefault="00AE68C1" w:rsidP="00C23352">
            <w:pPr>
              <w:jc w:val="center"/>
              <w:rPr>
                <w:rFonts w:ascii="Zapf Dingbats" w:eastAsia="MS Mincho" w:hAnsi="Zapf Dingbats" w:cs="MS Mincho"/>
                <w:noProof/>
                <w:sz w:val="22"/>
                <w:szCs w:val="22"/>
                <w:lang w:val="en-GB"/>
              </w:rPr>
            </w:pPr>
          </w:p>
        </w:tc>
        <w:tc>
          <w:tcPr>
            <w:tcW w:w="417" w:type="dxa"/>
            <w:tcBorders>
              <w:top w:val="nil"/>
              <w:left w:val="single" w:sz="18" w:space="0" w:color="FFFFFF"/>
              <w:bottom w:val="single" w:sz="4" w:space="0" w:color="auto"/>
              <w:right w:val="single" w:sz="4" w:space="0" w:color="FFFFFF" w:themeColor="background1"/>
            </w:tcBorders>
            <w:shd w:val="clear" w:color="auto" w:fill="B8CCE4"/>
          </w:tcPr>
          <w:p w14:paraId="32765DB7" w14:textId="77777777" w:rsidR="00AE68C1" w:rsidRPr="00C23352" w:rsidRDefault="00AE68C1" w:rsidP="00C23352">
            <w:pPr>
              <w:jc w:val="center"/>
              <w:rPr>
                <w:rFonts w:ascii="Zapf Dingbats" w:eastAsia="MS Mincho" w:hAnsi="Zapf Dingbats" w:cs="MS Mincho"/>
                <w:noProof/>
                <w:sz w:val="22"/>
                <w:szCs w:val="22"/>
                <w:lang w:val="en-GB"/>
              </w:rPr>
            </w:pPr>
          </w:p>
        </w:tc>
        <w:tc>
          <w:tcPr>
            <w:tcW w:w="535" w:type="dxa"/>
            <w:tcBorders>
              <w:top w:val="nil"/>
              <w:left w:val="single" w:sz="4" w:space="0" w:color="FFFFFF" w:themeColor="background1"/>
              <w:bottom w:val="single" w:sz="4" w:space="0" w:color="auto"/>
              <w:right w:val="single" w:sz="4" w:space="0" w:color="FFFFFF" w:themeColor="background1"/>
            </w:tcBorders>
            <w:shd w:val="clear" w:color="auto" w:fill="B8CCE4"/>
          </w:tcPr>
          <w:p w14:paraId="01F61611" w14:textId="77777777" w:rsidR="00AE68C1" w:rsidRPr="00C23352" w:rsidRDefault="00AE68C1" w:rsidP="00C23352">
            <w:pPr>
              <w:jc w:val="center"/>
              <w:rPr>
                <w:rFonts w:ascii="Zapf Dingbats" w:eastAsia="MS Mincho" w:hAnsi="Zapf Dingbats" w:cs="MS Mincho"/>
                <w:noProof/>
                <w:sz w:val="22"/>
                <w:szCs w:val="22"/>
                <w:lang w:val="en-GB"/>
              </w:rPr>
            </w:pPr>
          </w:p>
        </w:tc>
        <w:tc>
          <w:tcPr>
            <w:tcW w:w="516" w:type="dxa"/>
            <w:tcBorders>
              <w:top w:val="nil"/>
              <w:left w:val="single" w:sz="4" w:space="0" w:color="FFFFFF" w:themeColor="background1"/>
              <w:bottom w:val="single" w:sz="4" w:space="0" w:color="auto"/>
              <w:right w:val="single" w:sz="4" w:space="0" w:color="FFFFFF" w:themeColor="background1"/>
            </w:tcBorders>
            <w:shd w:val="clear" w:color="auto" w:fill="B8CCE4"/>
          </w:tcPr>
          <w:p w14:paraId="58B942D2" w14:textId="77777777" w:rsidR="00AE68C1" w:rsidRPr="00C23352" w:rsidRDefault="00AE68C1" w:rsidP="00C23352">
            <w:pPr>
              <w:jc w:val="center"/>
              <w:rPr>
                <w:rFonts w:ascii="Zapf Dingbats" w:eastAsia="MS Mincho" w:hAnsi="Zapf Dingbats" w:cs="MS Mincho"/>
                <w:noProof/>
                <w:sz w:val="22"/>
                <w:szCs w:val="22"/>
                <w:lang w:val="en-GB"/>
              </w:rPr>
            </w:pPr>
          </w:p>
        </w:tc>
        <w:tc>
          <w:tcPr>
            <w:tcW w:w="405" w:type="dxa"/>
            <w:tcBorders>
              <w:top w:val="nil"/>
              <w:left w:val="single" w:sz="4" w:space="0" w:color="FFFFFF" w:themeColor="background1"/>
              <w:bottom w:val="single" w:sz="4" w:space="0" w:color="auto"/>
              <w:right w:val="single" w:sz="18" w:space="0" w:color="FFFFFF"/>
            </w:tcBorders>
            <w:shd w:val="clear" w:color="auto" w:fill="B8CCE4"/>
          </w:tcPr>
          <w:p w14:paraId="5645586B" w14:textId="77777777" w:rsidR="00AE68C1" w:rsidRPr="00C23352" w:rsidRDefault="00AE68C1" w:rsidP="00C23352">
            <w:pPr>
              <w:jc w:val="center"/>
              <w:rPr>
                <w:rFonts w:ascii="Zapf Dingbats" w:eastAsia="MS Mincho" w:hAnsi="Zapf Dingbats" w:cs="MS Mincho"/>
                <w:noProof/>
                <w:sz w:val="22"/>
                <w:szCs w:val="22"/>
                <w:lang w:val="en-GB"/>
              </w:rPr>
            </w:pPr>
            <w:r w:rsidRPr="00C23352">
              <w:rPr>
                <w:rFonts w:ascii="Zapf Dingbats" w:eastAsia="MS Mincho" w:hAnsi="Zapf Dingbats" w:cs="MS Mincho"/>
                <w:noProof/>
                <w:sz w:val="22"/>
                <w:szCs w:val="22"/>
                <w:lang w:val="en-GB"/>
              </w:rPr>
              <w:t>✔</w:t>
            </w:r>
          </w:p>
        </w:tc>
        <w:tc>
          <w:tcPr>
            <w:tcW w:w="341" w:type="dxa"/>
            <w:vMerge/>
            <w:tcBorders>
              <w:left w:val="single" w:sz="18" w:space="0" w:color="FFFFFF"/>
              <w:right w:val="single" w:sz="2" w:space="0" w:color="FFFFFF"/>
            </w:tcBorders>
            <w:shd w:val="clear" w:color="auto" w:fill="D99594"/>
          </w:tcPr>
          <w:p w14:paraId="3D5DE174" w14:textId="77777777" w:rsidR="00AE68C1" w:rsidRPr="009651AC" w:rsidRDefault="00AE68C1" w:rsidP="0084354E">
            <w:pPr>
              <w:rPr>
                <w:rFonts w:ascii="Gill Sans" w:hAnsi="Gill Sans" w:cs="Gill Sans"/>
                <w:sz w:val="22"/>
                <w:szCs w:val="22"/>
                <w:lang w:val="en-GB"/>
              </w:rPr>
            </w:pPr>
          </w:p>
        </w:tc>
        <w:tc>
          <w:tcPr>
            <w:tcW w:w="344" w:type="dxa"/>
            <w:vMerge/>
            <w:tcBorders>
              <w:left w:val="single" w:sz="2" w:space="0" w:color="FFFFFF"/>
              <w:right w:val="single" w:sz="2" w:space="0" w:color="FFFFFF"/>
            </w:tcBorders>
            <w:shd w:val="clear" w:color="auto" w:fill="D99594"/>
          </w:tcPr>
          <w:p w14:paraId="559EFE26" w14:textId="77777777" w:rsidR="00AE68C1" w:rsidRPr="009651AC" w:rsidRDefault="00AE68C1" w:rsidP="0084354E">
            <w:pPr>
              <w:rPr>
                <w:rFonts w:ascii="Gill Sans" w:hAnsi="Gill Sans" w:cs="Gill Sans"/>
                <w:sz w:val="22"/>
                <w:szCs w:val="22"/>
                <w:lang w:val="en-GB"/>
              </w:rPr>
            </w:pPr>
          </w:p>
        </w:tc>
        <w:tc>
          <w:tcPr>
            <w:tcW w:w="382" w:type="dxa"/>
            <w:vMerge/>
            <w:tcBorders>
              <w:left w:val="single" w:sz="2" w:space="0" w:color="FFFFFF"/>
              <w:right w:val="single" w:sz="2" w:space="0" w:color="FFFFFF"/>
            </w:tcBorders>
            <w:shd w:val="clear" w:color="auto" w:fill="D99594"/>
          </w:tcPr>
          <w:p w14:paraId="4F88DDEE" w14:textId="77777777" w:rsidR="00AE68C1" w:rsidRPr="009651AC" w:rsidRDefault="00AE68C1" w:rsidP="0084354E">
            <w:pPr>
              <w:rPr>
                <w:rFonts w:ascii="Gill Sans" w:hAnsi="Gill Sans" w:cs="Gill Sans"/>
                <w:sz w:val="22"/>
                <w:szCs w:val="22"/>
                <w:lang w:val="en-GB"/>
              </w:rPr>
            </w:pPr>
          </w:p>
        </w:tc>
        <w:tc>
          <w:tcPr>
            <w:tcW w:w="442" w:type="dxa"/>
            <w:vMerge/>
            <w:tcBorders>
              <w:left w:val="single" w:sz="2" w:space="0" w:color="FFFFFF"/>
              <w:right w:val="single" w:sz="2" w:space="0" w:color="FFFFFF"/>
            </w:tcBorders>
            <w:shd w:val="clear" w:color="auto" w:fill="D99594"/>
          </w:tcPr>
          <w:p w14:paraId="50B6E367" w14:textId="77777777" w:rsidR="00AE68C1" w:rsidRPr="009651AC" w:rsidRDefault="00AE68C1" w:rsidP="0084354E">
            <w:pPr>
              <w:rPr>
                <w:rFonts w:ascii="Gill Sans" w:hAnsi="Gill Sans" w:cs="Gill Sans"/>
                <w:noProof/>
                <w:sz w:val="22"/>
                <w:szCs w:val="22"/>
                <w:lang w:val="en-GB"/>
              </w:rPr>
            </w:pPr>
          </w:p>
        </w:tc>
        <w:tc>
          <w:tcPr>
            <w:tcW w:w="415" w:type="dxa"/>
            <w:vMerge/>
            <w:tcBorders>
              <w:left w:val="single" w:sz="2" w:space="0" w:color="FFFFFF"/>
              <w:right w:val="single" w:sz="18" w:space="0" w:color="FFFFFF"/>
            </w:tcBorders>
            <w:shd w:val="clear" w:color="auto" w:fill="D99594"/>
          </w:tcPr>
          <w:p w14:paraId="133ECE7F" w14:textId="77777777" w:rsidR="00AE68C1" w:rsidRPr="009651AC" w:rsidRDefault="00AE68C1" w:rsidP="0084354E">
            <w:pPr>
              <w:rPr>
                <w:rFonts w:ascii="Gill Sans" w:hAnsi="Gill Sans" w:cs="Gill Sans"/>
                <w:sz w:val="22"/>
                <w:szCs w:val="22"/>
                <w:lang w:val="en-GB"/>
              </w:rPr>
            </w:pPr>
          </w:p>
        </w:tc>
      </w:tr>
    </w:tbl>
    <w:p w14:paraId="598AD1EB" w14:textId="77777777" w:rsidR="0084354E" w:rsidRPr="00D54FC1" w:rsidRDefault="0084354E" w:rsidP="00D54FC1">
      <w:pPr>
        <w:spacing w:after="120"/>
        <w:rPr>
          <w:rFonts w:ascii="Gill Sans" w:hAnsi="Gill Sans" w:cs="Gill Sans"/>
          <w:noProof/>
          <w:sz w:val="22"/>
          <w:szCs w:val="22"/>
          <w:lang w:val="en-GB"/>
        </w:rPr>
      </w:pPr>
    </w:p>
    <w:p w14:paraId="3DA4137D" w14:textId="757224FA" w:rsidR="0084354E" w:rsidRPr="00D54FC1" w:rsidRDefault="0084354E" w:rsidP="00163080">
      <w:pPr>
        <w:pStyle w:val="Heading3"/>
        <w:spacing w:after="120"/>
      </w:pPr>
      <w:r w:rsidRPr="00D54FC1">
        <w:t xml:space="preserve">Commitment </w:t>
      </w:r>
      <w:r w:rsidR="00A66E89">
        <w:t>a</w:t>
      </w:r>
      <w:r w:rsidRPr="00D54FC1">
        <w:t>im</w:t>
      </w:r>
    </w:p>
    <w:p w14:paraId="2B7C5D84" w14:textId="381C5A53" w:rsidR="00D54FC1" w:rsidRPr="00D54FC1" w:rsidRDefault="002E09DC" w:rsidP="00B126F0">
      <w:pPr>
        <w:spacing w:after="120"/>
        <w:rPr>
          <w:rFonts w:ascii="Gill Sans" w:hAnsi="Gill Sans" w:cs="Gill Sans"/>
          <w:noProof/>
          <w:sz w:val="22"/>
          <w:szCs w:val="22"/>
          <w:lang w:val="en-GB"/>
        </w:rPr>
      </w:pPr>
      <w:r>
        <w:rPr>
          <w:rFonts w:ascii="Gill Sans" w:hAnsi="Gill Sans" w:cs="Gill Sans"/>
          <w:noProof/>
          <w:sz w:val="22"/>
          <w:szCs w:val="22"/>
          <w:lang w:val="en-GB"/>
        </w:rPr>
        <w:t xml:space="preserve">The commitment </w:t>
      </w:r>
      <w:r w:rsidR="00B126F0">
        <w:rPr>
          <w:rFonts w:ascii="Gill Sans" w:hAnsi="Gill Sans" w:cs="Gill Sans"/>
          <w:noProof/>
          <w:sz w:val="22"/>
          <w:szCs w:val="22"/>
          <w:lang w:val="en-GB"/>
        </w:rPr>
        <w:t>sought</w:t>
      </w:r>
      <w:r w:rsidR="00B126F0" w:rsidRPr="00D54FC1">
        <w:rPr>
          <w:rFonts w:ascii="Gill Sans" w:hAnsi="Gill Sans" w:cs="Gill Sans"/>
          <w:noProof/>
          <w:sz w:val="22"/>
          <w:szCs w:val="22"/>
          <w:lang w:val="en-GB"/>
        </w:rPr>
        <w:t xml:space="preserve"> </w:t>
      </w:r>
      <w:r w:rsidR="0084354E" w:rsidRPr="00D54FC1">
        <w:rPr>
          <w:rFonts w:ascii="Gill Sans" w:hAnsi="Gill Sans" w:cs="Gill Sans"/>
          <w:noProof/>
          <w:sz w:val="22"/>
          <w:szCs w:val="22"/>
          <w:lang w:val="en-GB"/>
        </w:rPr>
        <w:t xml:space="preserve">to </w:t>
      </w:r>
      <w:r w:rsidR="00D54FC1" w:rsidRPr="00D54FC1">
        <w:rPr>
          <w:rFonts w:ascii="Gill Sans" w:hAnsi="Gill Sans" w:cs="Gill Sans"/>
          <w:noProof/>
          <w:sz w:val="22"/>
          <w:szCs w:val="22"/>
          <w:lang w:val="en-GB"/>
        </w:rPr>
        <w:t xml:space="preserve">raise awareness on e-governance by developing </w:t>
      </w:r>
      <w:r w:rsidR="00B126F0">
        <w:rPr>
          <w:rFonts w:ascii="Gill Sans" w:hAnsi="Gill Sans" w:cs="Gill Sans"/>
          <w:noProof/>
          <w:sz w:val="22"/>
          <w:szCs w:val="22"/>
          <w:lang w:val="en-GB"/>
        </w:rPr>
        <w:t xml:space="preserve">an </w:t>
      </w:r>
      <w:r w:rsidR="00D54FC1" w:rsidRPr="00D54FC1">
        <w:rPr>
          <w:rFonts w:ascii="Gill Sans" w:hAnsi="Gill Sans" w:cs="Gill Sans"/>
          <w:sz w:val="22"/>
          <w:szCs w:val="22"/>
          <w:lang w:val="en-GB"/>
        </w:rPr>
        <w:t>e-Governance Basics distance training course and training members of local councils.</w:t>
      </w:r>
    </w:p>
    <w:p w14:paraId="5CAC7C38" w14:textId="32C1E54A" w:rsidR="0084354E" w:rsidRPr="00D54FC1" w:rsidRDefault="0084354E" w:rsidP="006319F4">
      <w:pPr>
        <w:pStyle w:val="Heading3"/>
      </w:pPr>
      <w:r w:rsidRPr="00D54FC1">
        <w:t>Status</w:t>
      </w:r>
    </w:p>
    <w:p w14:paraId="60265C3D" w14:textId="53861821" w:rsidR="0084354E" w:rsidRPr="00D54FC1" w:rsidRDefault="0084354E" w:rsidP="00D54FC1">
      <w:pPr>
        <w:pStyle w:val="Normalrglronly"/>
        <w:rPr>
          <w:b/>
          <w:lang w:val="en-GB"/>
        </w:rPr>
      </w:pPr>
      <w:r w:rsidRPr="00D54FC1">
        <w:rPr>
          <w:b/>
          <w:lang w:val="en-GB"/>
        </w:rPr>
        <w:t>Midterm: Completed</w:t>
      </w:r>
    </w:p>
    <w:p w14:paraId="6323D3CD" w14:textId="1B6F6728" w:rsidR="00D54FC1" w:rsidRPr="00D54FC1" w:rsidRDefault="00D54FC1" w:rsidP="00CC5FBD">
      <w:pPr>
        <w:spacing w:after="120"/>
        <w:rPr>
          <w:rFonts w:ascii="Gill Sans" w:hAnsi="Gill Sans" w:cs="Gill Sans"/>
          <w:noProof/>
          <w:sz w:val="22"/>
          <w:szCs w:val="22"/>
          <w:lang w:val="en-GB"/>
        </w:rPr>
      </w:pPr>
      <w:r w:rsidRPr="00D54FC1">
        <w:rPr>
          <w:rFonts w:ascii="Gill Sans" w:hAnsi="Gill Sans" w:cs="Gill Sans"/>
          <w:sz w:val="22"/>
          <w:szCs w:val="22"/>
          <w:lang w:val="en-GB"/>
        </w:rPr>
        <w:t xml:space="preserve">The Ministry of Culture developed a </w:t>
      </w:r>
      <w:r w:rsidRPr="00D54FC1">
        <w:rPr>
          <w:rFonts w:ascii="Gill Sans" w:hAnsi="Gill Sans" w:cs="Gill Sans"/>
          <w:noProof/>
          <w:sz w:val="22"/>
          <w:szCs w:val="22"/>
          <w:lang w:val="en-GB"/>
        </w:rPr>
        <w:t xml:space="preserve">distance learning course, </w:t>
      </w:r>
      <w:r w:rsidR="00B126F0">
        <w:rPr>
          <w:rFonts w:ascii="Gill Sans" w:hAnsi="Gill Sans" w:cs="Gill Sans"/>
          <w:noProof/>
          <w:sz w:val="22"/>
          <w:szCs w:val="22"/>
          <w:lang w:val="en-GB"/>
        </w:rPr>
        <w:t>“</w:t>
      </w:r>
      <w:r w:rsidRPr="00D54FC1">
        <w:rPr>
          <w:rFonts w:ascii="Gill Sans" w:hAnsi="Gill Sans" w:cs="Gill Sans"/>
          <w:noProof/>
          <w:sz w:val="22"/>
          <w:szCs w:val="22"/>
          <w:lang w:val="en-GB"/>
        </w:rPr>
        <w:t>Basics of E-Governance,</w:t>
      </w:r>
      <w:r w:rsidR="00B126F0">
        <w:rPr>
          <w:rFonts w:ascii="Gill Sans" w:hAnsi="Gill Sans" w:cs="Gill Sans"/>
          <w:noProof/>
          <w:sz w:val="22"/>
          <w:szCs w:val="22"/>
          <w:lang w:val="en-GB"/>
        </w:rPr>
        <w:t>”</w:t>
      </w:r>
      <w:r w:rsidRPr="00D54FC1">
        <w:rPr>
          <w:rFonts w:ascii="Gill Sans" w:hAnsi="Gill Sans" w:cs="Gill Sans"/>
          <w:noProof/>
          <w:sz w:val="22"/>
          <w:szCs w:val="22"/>
          <w:lang w:val="en-GB"/>
        </w:rPr>
        <w:t xml:space="preserve"> that was disseminated on CD-ROMs to all regional and district libraries, as well as regional and district state administrations</w:t>
      </w:r>
      <w:r w:rsidR="00765622">
        <w:rPr>
          <w:rFonts w:ascii="Gill Sans" w:hAnsi="Gill Sans" w:cs="Gill Sans"/>
          <w:noProof/>
          <w:sz w:val="22"/>
          <w:szCs w:val="22"/>
          <w:lang w:val="en-GB"/>
        </w:rPr>
        <w:t xml:space="preserve">. </w:t>
      </w:r>
      <w:r w:rsidR="00CC5FBD">
        <w:rPr>
          <w:rFonts w:ascii="Gill Sans" w:hAnsi="Gill Sans" w:cs="Gill Sans"/>
          <w:noProof/>
          <w:sz w:val="22"/>
          <w:szCs w:val="22"/>
          <w:lang w:val="en-GB"/>
        </w:rPr>
        <w:t>This was</w:t>
      </w:r>
      <w:r w:rsidRPr="00D54FC1">
        <w:rPr>
          <w:rFonts w:ascii="Gill Sans" w:hAnsi="Gill Sans" w:cs="Gill Sans"/>
          <w:noProof/>
          <w:sz w:val="22"/>
          <w:szCs w:val="22"/>
          <w:lang w:val="en-GB"/>
        </w:rPr>
        <w:t xml:space="preserve"> to be used during local trainings on e-governance. The course was also uploaded </w:t>
      </w:r>
      <w:r w:rsidR="00CC5FBD">
        <w:rPr>
          <w:rFonts w:ascii="Gill Sans" w:hAnsi="Gill Sans" w:cs="Gill Sans"/>
          <w:noProof/>
          <w:sz w:val="22"/>
          <w:szCs w:val="22"/>
          <w:lang w:val="en-GB"/>
        </w:rPr>
        <w:t>to</w:t>
      </w:r>
      <w:r w:rsidR="00CC5FBD" w:rsidRPr="00D54FC1">
        <w:rPr>
          <w:rFonts w:ascii="Gill Sans" w:hAnsi="Gill Sans" w:cs="Gill Sans"/>
          <w:noProof/>
          <w:sz w:val="22"/>
          <w:szCs w:val="22"/>
          <w:lang w:val="en-GB"/>
        </w:rPr>
        <w:t xml:space="preserve"> </w:t>
      </w:r>
      <w:r w:rsidRPr="00D54FC1">
        <w:rPr>
          <w:rFonts w:ascii="Gill Sans" w:hAnsi="Gill Sans" w:cs="Gill Sans"/>
          <w:noProof/>
          <w:sz w:val="22"/>
          <w:szCs w:val="22"/>
          <w:lang w:val="en-GB"/>
        </w:rPr>
        <w:t xml:space="preserve">the web portal of the Ukrainian Association of Libraries and </w:t>
      </w:r>
      <w:r w:rsidR="00B126F0">
        <w:rPr>
          <w:rFonts w:ascii="Gill Sans" w:hAnsi="Gill Sans" w:cs="Gill Sans"/>
          <w:noProof/>
          <w:sz w:val="22"/>
          <w:szCs w:val="22"/>
          <w:lang w:val="en-GB"/>
        </w:rPr>
        <w:t>made</w:t>
      </w:r>
      <w:r w:rsidR="00B126F0" w:rsidRPr="00D54FC1">
        <w:rPr>
          <w:rFonts w:ascii="Gill Sans" w:hAnsi="Gill Sans" w:cs="Gill Sans"/>
          <w:noProof/>
          <w:sz w:val="22"/>
          <w:szCs w:val="22"/>
          <w:lang w:val="en-GB"/>
        </w:rPr>
        <w:t xml:space="preserve"> </w:t>
      </w:r>
      <w:r w:rsidRPr="00D54FC1">
        <w:rPr>
          <w:rFonts w:ascii="Gill Sans" w:hAnsi="Gill Sans" w:cs="Gill Sans"/>
          <w:noProof/>
          <w:sz w:val="22"/>
          <w:szCs w:val="22"/>
          <w:lang w:val="en-GB"/>
        </w:rPr>
        <w:t xml:space="preserve">available to the public. The ministry conducted 303 trainings for more than 2,300 </w:t>
      </w:r>
      <w:r w:rsidR="005E18D1">
        <w:rPr>
          <w:rFonts w:ascii="Gill Sans" w:hAnsi="Gill Sans" w:cs="Gill Sans"/>
          <w:noProof/>
          <w:sz w:val="22"/>
          <w:szCs w:val="22"/>
          <w:lang w:val="en-GB"/>
        </w:rPr>
        <w:t>members of local councils</w:t>
      </w:r>
      <w:r w:rsidRPr="00D54FC1">
        <w:rPr>
          <w:rFonts w:ascii="Gill Sans" w:hAnsi="Gill Sans" w:cs="Gill Sans"/>
          <w:noProof/>
          <w:sz w:val="22"/>
          <w:szCs w:val="22"/>
          <w:lang w:val="en-GB"/>
        </w:rPr>
        <w:t xml:space="preserve">. It </w:t>
      </w:r>
      <w:r w:rsidR="00B126F0">
        <w:rPr>
          <w:rFonts w:ascii="Gill Sans" w:hAnsi="Gill Sans" w:cs="Gill Sans"/>
          <w:noProof/>
          <w:sz w:val="22"/>
          <w:szCs w:val="22"/>
          <w:lang w:val="en-GB"/>
        </w:rPr>
        <w:t>further</w:t>
      </w:r>
      <w:r w:rsidR="00B126F0" w:rsidRPr="00D54FC1">
        <w:rPr>
          <w:rFonts w:ascii="Gill Sans" w:hAnsi="Gill Sans" w:cs="Gill Sans"/>
          <w:noProof/>
          <w:sz w:val="22"/>
          <w:szCs w:val="22"/>
          <w:lang w:val="en-GB"/>
        </w:rPr>
        <w:t xml:space="preserve"> </w:t>
      </w:r>
      <w:r w:rsidRPr="00D54FC1">
        <w:rPr>
          <w:rFonts w:ascii="Gill Sans" w:hAnsi="Gill Sans" w:cs="Gill Sans"/>
          <w:noProof/>
          <w:sz w:val="22"/>
          <w:szCs w:val="22"/>
          <w:lang w:val="en-GB"/>
        </w:rPr>
        <w:t>created three local online portals for e-governance services (in Shepetivka, Dymytriv, and Lutsk).</w:t>
      </w:r>
      <w:r w:rsidRPr="00D54FC1">
        <w:rPr>
          <w:rStyle w:val="EndnoteReference"/>
          <w:rFonts w:ascii="Gill Sans" w:hAnsi="Gill Sans" w:cs="Gill Sans"/>
          <w:noProof/>
          <w:sz w:val="22"/>
          <w:szCs w:val="22"/>
          <w:lang w:val="en-GB"/>
        </w:rPr>
        <w:endnoteReference w:id="117"/>
      </w:r>
    </w:p>
    <w:p w14:paraId="08CA5C10" w14:textId="59B74AE8" w:rsidR="0084354E" w:rsidRPr="00D54FC1" w:rsidRDefault="00D54FC1" w:rsidP="00CC5FBD">
      <w:pPr>
        <w:pStyle w:val="Normalrglronly"/>
        <w:rPr>
          <w:lang w:val="en-US"/>
        </w:rPr>
      </w:pPr>
      <w:r w:rsidRPr="00D54FC1">
        <w:rPr>
          <w:lang w:val="en-GB"/>
        </w:rPr>
        <w:t>In its final self-assessment report</w:t>
      </w:r>
      <w:r w:rsidR="00B126F0">
        <w:rPr>
          <w:lang w:val="en-GB"/>
        </w:rPr>
        <w:t>,</w:t>
      </w:r>
      <w:r w:rsidRPr="00D54FC1">
        <w:rPr>
          <w:lang w:val="en-GB"/>
        </w:rPr>
        <w:t xml:space="preserve"> the </w:t>
      </w:r>
      <w:r w:rsidR="00B126F0">
        <w:rPr>
          <w:lang w:val="en-GB"/>
        </w:rPr>
        <w:t>g</w:t>
      </w:r>
      <w:r w:rsidRPr="00D54FC1">
        <w:rPr>
          <w:lang w:val="en-GB"/>
        </w:rPr>
        <w:t xml:space="preserve">overnment </w:t>
      </w:r>
      <w:r w:rsidR="00CC5FBD">
        <w:rPr>
          <w:lang w:val="en-GB"/>
        </w:rPr>
        <w:t>stated</w:t>
      </w:r>
      <w:r w:rsidR="00CC5FBD" w:rsidRPr="00D54FC1">
        <w:rPr>
          <w:lang w:val="en-GB"/>
        </w:rPr>
        <w:t xml:space="preserve"> </w:t>
      </w:r>
      <w:r w:rsidR="00B126F0">
        <w:rPr>
          <w:lang w:val="en-GB"/>
        </w:rPr>
        <w:t>that some</w:t>
      </w:r>
      <w:r w:rsidRPr="00D54FC1">
        <w:rPr>
          <w:lang w:val="en-GB"/>
        </w:rPr>
        <w:t xml:space="preserve"> 25 training centres </w:t>
      </w:r>
      <w:r w:rsidR="00B126F0">
        <w:rPr>
          <w:lang w:val="en-GB"/>
        </w:rPr>
        <w:t xml:space="preserve">were </w:t>
      </w:r>
      <w:r w:rsidRPr="00D54FC1">
        <w:rPr>
          <w:lang w:val="en-GB"/>
        </w:rPr>
        <w:t>set up at the regional academic libraries</w:t>
      </w:r>
      <w:r w:rsidR="00B126F0">
        <w:rPr>
          <w:lang w:val="en-GB"/>
        </w:rPr>
        <w:t>,</w:t>
      </w:r>
      <w:r w:rsidRPr="00D54FC1">
        <w:rPr>
          <w:lang w:val="en-GB"/>
        </w:rPr>
        <w:t xml:space="preserve"> and 303 trainings</w:t>
      </w:r>
      <w:r w:rsidR="00B126F0">
        <w:rPr>
          <w:lang w:val="en-GB"/>
        </w:rPr>
        <w:t xml:space="preserve"> held</w:t>
      </w:r>
      <w:r w:rsidRPr="00D54FC1">
        <w:rPr>
          <w:lang w:val="en-GB"/>
        </w:rPr>
        <w:t xml:space="preserve"> (the number of participants increased to 5,393</w:t>
      </w:r>
      <w:r w:rsidR="00B126F0">
        <w:rPr>
          <w:lang w:val="en-GB"/>
        </w:rPr>
        <w:t>,</w:t>
      </w:r>
      <w:r w:rsidR="00334725">
        <w:rPr>
          <w:lang w:val="en-GB"/>
        </w:rPr>
        <w:t xml:space="preserve"> compared with the </w:t>
      </w:r>
      <w:r w:rsidR="00CC5FBD">
        <w:rPr>
          <w:lang w:val="en-GB"/>
        </w:rPr>
        <w:t xml:space="preserve">number reported in the </w:t>
      </w:r>
      <w:r w:rsidR="00334725">
        <w:rPr>
          <w:lang w:val="en-GB"/>
        </w:rPr>
        <w:t>previous self-assessment report</w:t>
      </w:r>
      <w:r w:rsidRPr="00D54FC1">
        <w:rPr>
          <w:lang w:val="en-GB"/>
        </w:rPr>
        <w:t>).</w:t>
      </w:r>
    </w:p>
    <w:p w14:paraId="563A8EBB" w14:textId="77777777" w:rsidR="0084354E" w:rsidRPr="005826BA" w:rsidRDefault="0084354E" w:rsidP="00163080">
      <w:pPr>
        <w:pStyle w:val="Heading3"/>
        <w:spacing w:after="120"/>
      </w:pPr>
      <w:r w:rsidRPr="005826BA">
        <w:t>Did it open government?</w:t>
      </w:r>
    </w:p>
    <w:p w14:paraId="53369F4F" w14:textId="77777777" w:rsidR="00AE68C1" w:rsidRDefault="00AE68C1" w:rsidP="00AE68C1">
      <w:pPr>
        <w:pStyle w:val="Normalrglronly"/>
        <w:rPr>
          <w:b/>
          <w:lang w:val="en-GB"/>
        </w:rPr>
      </w:pPr>
      <w:r>
        <w:rPr>
          <w:b/>
          <w:lang w:val="en-GB"/>
        </w:rPr>
        <w:t>Access to Information: Did not change</w:t>
      </w:r>
    </w:p>
    <w:p w14:paraId="718A70FD" w14:textId="77777777" w:rsidR="00AE68C1" w:rsidRDefault="00AE68C1" w:rsidP="00AE68C1">
      <w:pPr>
        <w:pStyle w:val="Normalrglronly"/>
        <w:rPr>
          <w:b/>
          <w:lang w:val="en-GB"/>
        </w:rPr>
      </w:pPr>
      <w:r>
        <w:rPr>
          <w:b/>
          <w:lang w:val="en-GB"/>
        </w:rPr>
        <w:t>Civic Participation: Did not change</w:t>
      </w:r>
    </w:p>
    <w:p w14:paraId="133429DC" w14:textId="737215F1" w:rsidR="00AE68C1" w:rsidRPr="006023C3" w:rsidRDefault="00AE68C1" w:rsidP="006023C3">
      <w:pPr>
        <w:pStyle w:val="Normalrglronly"/>
        <w:rPr>
          <w:b/>
          <w:lang w:val="en-US"/>
        </w:rPr>
      </w:pPr>
      <w:r>
        <w:rPr>
          <w:b/>
          <w:lang w:val="en-GB"/>
        </w:rPr>
        <w:t>Public Accountability: Did not change</w:t>
      </w:r>
    </w:p>
    <w:p w14:paraId="4A2A78F6" w14:textId="6D9A894A" w:rsidR="00D54FC1" w:rsidRPr="005826BA" w:rsidRDefault="00D54FC1" w:rsidP="00B126F0">
      <w:pPr>
        <w:spacing w:after="120"/>
        <w:rPr>
          <w:rFonts w:ascii="Gill Sans" w:hAnsi="Gill Sans" w:cs="Gill Sans"/>
          <w:noProof/>
          <w:sz w:val="22"/>
          <w:szCs w:val="22"/>
          <w:lang w:val="en-GB"/>
        </w:rPr>
      </w:pPr>
      <w:r w:rsidRPr="005826BA">
        <w:rPr>
          <w:rFonts w:ascii="Gill Sans" w:hAnsi="Gill Sans" w:cs="Gill Sans"/>
          <w:noProof/>
          <w:sz w:val="22"/>
          <w:szCs w:val="22"/>
          <w:lang w:val="en-GB"/>
        </w:rPr>
        <w:lastRenderedPageBreak/>
        <w:t>The 2012 OGP action plan mentioned a similar initiative entitled, “Public Libraries as Bridges to e-Governance.” The new commitment specified, among its expected results, the development of a distance learning course</w:t>
      </w:r>
      <w:r w:rsidR="00B126F0">
        <w:rPr>
          <w:rFonts w:ascii="Gill Sans" w:hAnsi="Gill Sans" w:cs="Gill Sans"/>
          <w:noProof/>
          <w:sz w:val="22"/>
          <w:szCs w:val="22"/>
          <w:lang w:val="en-GB"/>
        </w:rPr>
        <w:t xml:space="preserve"> </w:t>
      </w:r>
      <w:r w:rsidRPr="005826BA">
        <w:rPr>
          <w:rFonts w:ascii="Gill Sans" w:hAnsi="Gill Sans" w:cs="Gill Sans"/>
          <w:noProof/>
          <w:sz w:val="22"/>
          <w:szCs w:val="22"/>
          <w:lang w:val="en-GB"/>
        </w:rPr>
        <w:t>—</w:t>
      </w:r>
      <w:r w:rsidR="00B126F0">
        <w:rPr>
          <w:rFonts w:ascii="Gill Sans" w:hAnsi="Gill Sans" w:cs="Gill Sans"/>
          <w:noProof/>
          <w:sz w:val="22"/>
          <w:szCs w:val="22"/>
          <w:lang w:val="en-GB"/>
        </w:rPr>
        <w:t xml:space="preserve"> </w:t>
      </w:r>
      <w:r w:rsidRPr="005826BA">
        <w:rPr>
          <w:rFonts w:ascii="Gill Sans" w:hAnsi="Gill Sans" w:cs="Gill Sans"/>
          <w:noProof/>
          <w:sz w:val="22"/>
          <w:szCs w:val="22"/>
          <w:lang w:val="en-GB"/>
        </w:rPr>
        <w:t>“Basics of E-Governance</w:t>
      </w:r>
      <w:r w:rsidR="00B126F0">
        <w:rPr>
          <w:rFonts w:ascii="Gill Sans" w:hAnsi="Gill Sans" w:cs="Gill Sans"/>
          <w:noProof/>
          <w:sz w:val="22"/>
          <w:szCs w:val="22"/>
          <w:lang w:val="en-GB"/>
        </w:rPr>
        <w:t xml:space="preserve">” </w:t>
      </w:r>
      <w:r w:rsidRPr="005826BA">
        <w:rPr>
          <w:rFonts w:ascii="Gill Sans" w:hAnsi="Gill Sans" w:cs="Gill Sans"/>
          <w:noProof/>
          <w:sz w:val="22"/>
          <w:szCs w:val="22"/>
          <w:lang w:val="en-GB"/>
        </w:rPr>
        <w:t>—</w:t>
      </w:r>
      <w:r w:rsidR="00B126F0">
        <w:rPr>
          <w:rFonts w:ascii="Gill Sans" w:hAnsi="Gill Sans" w:cs="Gill Sans"/>
          <w:noProof/>
          <w:sz w:val="22"/>
          <w:szCs w:val="22"/>
          <w:lang w:val="en-GB"/>
        </w:rPr>
        <w:t xml:space="preserve"> </w:t>
      </w:r>
      <w:r w:rsidRPr="005826BA">
        <w:rPr>
          <w:rFonts w:ascii="Gill Sans" w:hAnsi="Gill Sans" w:cs="Gill Sans"/>
          <w:noProof/>
          <w:sz w:val="22"/>
          <w:szCs w:val="22"/>
          <w:lang w:val="en-GB"/>
        </w:rPr>
        <w:t>and training for officials of district and village local councils. The activities under the commitment did not actually include an awareness-raising campaign on how the public libraries can be used to promote e-governance.</w:t>
      </w:r>
      <w:r w:rsidR="005826BA">
        <w:rPr>
          <w:rStyle w:val="EndnoteReference"/>
          <w:rFonts w:ascii="Gill Sans" w:hAnsi="Gill Sans" w:cs="Gill Sans"/>
          <w:noProof/>
          <w:sz w:val="22"/>
          <w:szCs w:val="22"/>
          <w:lang w:val="en-GB"/>
        </w:rPr>
        <w:endnoteReference w:id="118"/>
      </w:r>
      <w:r w:rsidR="000C286E">
        <w:rPr>
          <w:rFonts w:ascii="Gill Sans" w:hAnsi="Gill Sans" w:cs="Gill Sans"/>
          <w:noProof/>
          <w:sz w:val="22"/>
          <w:szCs w:val="22"/>
          <w:lang w:val="en-GB"/>
        </w:rPr>
        <w:t xml:space="preserve"> </w:t>
      </w:r>
      <w:r w:rsidR="007B02FB">
        <w:rPr>
          <w:rFonts w:ascii="Gill Sans" w:hAnsi="Gill Sans" w:cs="Gill Sans"/>
          <w:noProof/>
          <w:sz w:val="22"/>
          <w:szCs w:val="22"/>
          <w:lang w:val="en-GB"/>
        </w:rPr>
        <w:t xml:space="preserve">The commitment </w:t>
      </w:r>
      <w:r w:rsidR="000C286E">
        <w:rPr>
          <w:rFonts w:ascii="Gill Sans" w:hAnsi="Gill Sans" w:cs="Gill Sans"/>
          <w:noProof/>
          <w:sz w:val="22"/>
          <w:szCs w:val="22"/>
          <w:lang w:val="en-GB"/>
        </w:rPr>
        <w:t xml:space="preserve">did not clearly </w:t>
      </w:r>
      <w:r w:rsidR="00B126F0">
        <w:rPr>
          <w:rFonts w:ascii="Gill Sans" w:hAnsi="Gill Sans" w:cs="Gill Sans"/>
          <w:noProof/>
          <w:sz w:val="22"/>
          <w:szCs w:val="22"/>
          <w:lang w:val="en-GB"/>
        </w:rPr>
        <w:t xml:space="preserve">promote </w:t>
      </w:r>
      <w:r w:rsidR="000C286E">
        <w:rPr>
          <w:rFonts w:ascii="Gill Sans" w:hAnsi="Gill Sans" w:cs="Gill Sans"/>
          <w:noProof/>
          <w:sz w:val="22"/>
          <w:szCs w:val="22"/>
          <w:lang w:val="en-GB"/>
        </w:rPr>
        <w:t>any of the OGP core values</w:t>
      </w:r>
      <w:r w:rsidR="00B126F0">
        <w:rPr>
          <w:rFonts w:ascii="Gill Sans" w:hAnsi="Gill Sans" w:cs="Gill Sans"/>
          <w:noProof/>
          <w:sz w:val="22"/>
          <w:szCs w:val="22"/>
          <w:lang w:val="en-GB"/>
        </w:rPr>
        <w:t>,</w:t>
      </w:r>
      <w:r w:rsidR="007B02FB">
        <w:rPr>
          <w:rFonts w:ascii="Gill Sans" w:hAnsi="Gill Sans" w:cs="Gill Sans"/>
          <w:noProof/>
          <w:sz w:val="22"/>
          <w:szCs w:val="22"/>
          <w:lang w:val="en-GB"/>
        </w:rPr>
        <w:t xml:space="preserve"> and</w:t>
      </w:r>
      <w:r w:rsidR="00B126F0">
        <w:rPr>
          <w:rFonts w:ascii="Gill Sans" w:hAnsi="Gill Sans" w:cs="Gill Sans"/>
          <w:noProof/>
          <w:sz w:val="22"/>
          <w:szCs w:val="22"/>
          <w:lang w:val="en-GB"/>
        </w:rPr>
        <w:t>,</w:t>
      </w:r>
      <w:r w:rsidR="007B02FB">
        <w:rPr>
          <w:rFonts w:ascii="Gill Sans" w:hAnsi="Gill Sans" w:cs="Gill Sans"/>
          <w:noProof/>
          <w:sz w:val="22"/>
          <w:szCs w:val="22"/>
          <w:lang w:val="en-GB"/>
        </w:rPr>
        <w:t xml:space="preserve"> as implemented</w:t>
      </w:r>
      <w:r w:rsidR="00B126F0">
        <w:rPr>
          <w:rFonts w:ascii="Gill Sans" w:hAnsi="Gill Sans" w:cs="Gill Sans"/>
          <w:noProof/>
          <w:sz w:val="22"/>
          <w:szCs w:val="22"/>
          <w:lang w:val="en-GB"/>
        </w:rPr>
        <w:t>,</w:t>
      </w:r>
      <w:r w:rsidR="007B02FB">
        <w:rPr>
          <w:rFonts w:ascii="Gill Sans" w:hAnsi="Gill Sans" w:cs="Gill Sans"/>
          <w:noProof/>
          <w:sz w:val="22"/>
          <w:szCs w:val="22"/>
          <w:lang w:val="en-GB"/>
        </w:rPr>
        <w:t xml:space="preserve"> </w:t>
      </w:r>
      <w:r w:rsidR="00365B88">
        <w:rPr>
          <w:rFonts w:ascii="Gill Sans" w:hAnsi="Gill Sans" w:cs="Gill Sans"/>
          <w:noProof/>
          <w:sz w:val="22"/>
          <w:szCs w:val="22"/>
          <w:lang w:val="en-GB"/>
        </w:rPr>
        <w:t xml:space="preserve">did not lead to any changes in opening government. </w:t>
      </w:r>
    </w:p>
    <w:p w14:paraId="61A83AD7" w14:textId="77777777" w:rsidR="0084354E" w:rsidRPr="005826BA" w:rsidRDefault="0084354E" w:rsidP="00163080">
      <w:pPr>
        <w:pStyle w:val="Heading3"/>
        <w:spacing w:after="120"/>
      </w:pPr>
      <w:r w:rsidRPr="005826BA">
        <w:t>Carried forward?</w:t>
      </w:r>
    </w:p>
    <w:p w14:paraId="3AA54CA9" w14:textId="77777777" w:rsidR="00423ED9" w:rsidRDefault="0084354E" w:rsidP="00875931">
      <w:pPr>
        <w:spacing w:after="120"/>
        <w:rPr>
          <w:rFonts w:ascii="Gill Sans" w:hAnsi="Gill Sans" w:cs="Gill Sans"/>
          <w:noProof/>
          <w:sz w:val="22"/>
          <w:szCs w:val="22"/>
          <w:lang w:val="en-GB"/>
        </w:rPr>
      </w:pPr>
      <w:r w:rsidRPr="005826BA">
        <w:rPr>
          <w:rFonts w:ascii="Gill Sans" w:hAnsi="Gill Sans" w:cs="Gill Sans"/>
          <w:noProof/>
          <w:sz w:val="22"/>
          <w:szCs w:val="22"/>
          <w:lang w:val="en-GB"/>
        </w:rPr>
        <w:t xml:space="preserve">The commitment was </w:t>
      </w:r>
      <w:r w:rsidR="00D54FC1" w:rsidRPr="005826BA">
        <w:rPr>
          <w:rFonts w:ascii="Gill Sans" w:hAnsi="Gill Sans" w:cs="Gill Sans"/>
          <w:noProof/>
          <w:sz w:val="22"/>
          <w:szCs w:val="22"/>
          <w:lang w:val="en-GB"/>
        </w:rPr>
        <w:t xml:space="preserve">not </w:t>
      </w:r>
      <w:r w:rsidRPr="005826BA">
        <w:rPr>
          <w:rFonts w:ascii="Gill Sans" w:hAnsi="Gill Sans" w:cs="Gill Sans"/>
          <w:noProof/>
          <w:sz w:val="22"/>
          <w:szCs w:val="22"/>
          <w:lang w:val="en-GB"/>
        </w:rPr>
        <w:t>carried over to the ne</w:t>
      </w:r>
      <w:r w:rsidR="00365B88">
        <w:rPr>
          <w:rFonts w:ascii="Gill Sans" w:hAnsi="Gill Sans" w:cs="Gill Sans"/>
          <w:noProof/>
          <w:sz w:val="22"/>
          <w:szCs w:val="22"/>
          <w:lang w:val="en-GB"/>
        </w:rPr>
        <w:t>xt</w:t>
      </w:r>
      <w:r w:rsidRPr="005826BA">
        <w:rPr>
          <w:rFonts w:ascii="Gill Sans" w:hAnsi="Gill Sans" w:cs="Gill Sans"/>
          <w:noProof/>
          <w:sz w:val="22"/>
          <w:szCs w:val="22"/>
          <w:lang w:val="en-GB"/>
        </w:rPr>
        <w:t xml:space="preserve"> action plan.</w:t>
      </w:r>
    </w:p>
    <w:p w14:paraId="622017BB" w14:textId="4F811416" w:rsidR="0038165E" w:rsidRDefault="0038165E" w:rsidP="004875C1">
      <w:pPr>
        <w:spacing w:after="120"/>
        <w:rPr>
          <w:rFonts w:ascii="Gill Sans" w:hAnsi="Gill Sans" w:cs="Gill Sans"/>
          <w:noProof/>
          <w:sz w:val="22"/>
          <w:szCs w:val="22"/>
          <w:lang w:val="en-GB"/>
        </w:rPr>
        <w:sectPr w:rsidR="0038165E" w:rsidSect="002A2966">
          <w:endnotePr>
            <w:numFmt w:val="decimal"/>
            <w:numRestart w:val="eachSect"/>
          </w:endnotePr>
          <w:pgSz w:w="11907" w:h="16839" w:code="9"/>
          <w:pgMar w:top="1417" w:right="1417" w:bottom="1417" w:left="1417" w:header="0" w:footer="0" w:gutter="0"/>
          <w:cols w:space="708"/>
          <w:docGrid w:linePitch="360"/>
        </w:sectPr>
      </w:pPr>
    </w:p>
    <w:p w14:paraId="18B73687" w14:textId="66B6F2AB" w:rsidR="008E3268" w:rsidRPr="009400F9" w:rsidRDefault="008E3268" w:rsidP="006319F4">
      <w:pPr>
        <w:pStyle w:val="Heading3"/>
      </w:pPr>
      <w:r w:rsidRPr="009400F9">
        <w:lastRenderedPageBreak/>
        <w:t>METHODOLOGICAL NOTE</w:t>
      </w:r>
    </w:p>
    <w:p w14:paraId="47B392E3" w14:textId="6C0052B1" w:rsidR="008E3268" w:rsidRPr="009400F9" w:rsidRDefault="008E3268" w:rsidP="00A85F0B">
      <w:pPr>
        <w:pStyle w:val="Normalrglronly"/>
        <w:rPr>
          <w:lang w:val="en-GB"/>
        </w:rPr>
      </w:pPr>
      <w:r w:rsidRPr="009400F9">
        <w:rPr>
          <w:lang w:val="en-GB"/>
        </w:rPr>
        <w:t xml:space="preserve">Commitments are clustered based on the original OGP action plan. This report is based on a desk review </w:t>
      </w:r>
      <w:r w:rsidR="00C77645" w:rsidRPr="009400F9">
        <w:rPr>
          <w:lang w:val="en-GB"/>
        </w:rPr>
        <w:t xml:space="preserve">of </w:t>
      </w:r>
      <w:r w:rsidR="00456B1E" w:rsidRPr="009400F9">
        <w:rPr>
          <w:lang w:val="en-GB"/>
        </w:rPr>
        <w:t>governmental programmes</w:t>
      </w:r>
      <w:r w:rsidRPr="009400F9">
        <w:rPr>
          <w:lang w:val="en-GB"/>
        </w:rPr>
        <w:t xml:space="preserve">, </w:t>
      </w:r>
      <w:r w:rsidR="009C277D" w:rsidRPr="009400F9">
        <w:rPr>
          <w:lang w:val="en-GB"/>
        </w:rPr>
        <w:t>d</w:t>
      </w:r>
      <w:r w:rsidRPr="009400F9">
        <w:rPr>
          <w:lang w:val="en-GB"/>
        </w:rPr>
        <w:t xml:space="preserve">raft laws and regulations, </w:t>
      </w:r>
      <w:r w:rsidR="00456B1E" w:rsidRPr="009400F9">
        <w:rPr>
          <w:lang w:val="en-GB"/>
        </w:rPr>
        <w:t>governmental decrees</w:t>
      </w:r>
      <w:r w:rsidRPr="009400F9">
        <w:rPr>
          <w:lang w:val="en-GB"/>
        </w:rPr>
        <w:t xml:space="preserve">, </w:t>
      </w:r>
      <w:r w:rsidR="00CC5FBD">
        <w:rPr>
          <w:lang w:val="en-GB"/>
        </w:rPr>
        <w:t xml:space="preserve">a </w:t>
      </w:r>
      <w:r w:rsidR="009B0A47" w:rsidRPr="009400F9">
        <w:rPr>
          <w:lang w:val="en-GB"/>
        </w:rPr>
        <w:t xml:space="preserve">review of the </w:t>
      </w:r>
      <w:r w:rsidR="009B0A47" w:rsidRPr="005826BA">
        <w:rPr>
          <w:lang w:val="en-GB"/>
        </w:rPr>
        <w:t>government</w:t>
      </w:r>
      <w:r w:rsidR="00CC5FBD">
        <w:rPr>
          <w:lang w:val="en-GB"/>
        </w:rPr>
        <w:t>’s</w:t>
      </w:r>
      <w:r w:rsidR="009B0A47" w:rsidRPr="005826BA">
        <w:rPr>
          <w:lang w:val="en-GB"/>
        </w:rPr>
        <w:t xml:space="preserve"> self-assessment report, </w:t>
      </w:r>
      <w:r w:rsidRPr="005826BA">
        <w:rPr>
          <w:lang w:val="en-GB"/>
        </w:rPr>
        <w:t xml:space="preserve">analysis of the </w:t>
      </w:r>
      <w:r w:rsidR="00114719" w:rsidRPr="005826BA">
        <w:rPr>
          <w:lang w:val="en-GB"/>
        </w:rPr>
        <w:t>commitments</w:t>
      </w:r>
      <w:r w:rsidR="009B0A47" w:rsidRPr="005826BA">
        <w:rPr>
          <w:lang w:val="en-GB"/>
        </w:rPr>
        <w:t>,</w:t>
      </w:r>
      <w:r w:rsidR="00114719" w:rsidRPr="005826BA">
        <w:rPr>
          <w:lang w:val="en-GB"/>
        </w:rPr>
        <w:t xml:space="preserve"> as well as on monitor</w:t>
      </w:r>
      <w:r w:rsidRPr="005826BA">
        <w:rPr>
          <w:lang w:val="en-GB"/>
        </w:rPr>
        <w:t>ing the</w:t>
      </w:r>
      <w:r w:rsidR="005826BA" w:rsidRPr="005826BA">
        <w:rPr>
          <w:lang w:val="en-GB"/>
        </w:rPr>
        <w:t xml:space="preserve"> process of elaboration of the </w:t>
      </w:r>
      <w:r w:rsidR="00A85F0B">
        <w:rPr>
          <w:lang w:val="en-GB"/>
        </w:rPr>
        <w:t>second</w:t>
      </w:r>
      <w:r w:rsidR="00A85F0B" w:rsidRPr="005826BA">
        <w:rPr>
          <w:lang w:val="en-GB"/>
        </w:rPr>
        <w:t xml:space="preserve"> </w:t>
      </w:r>
      <w:r w:rsidR="00CC5FBD">
        <w:rPr>
          <w:lang w:val="en-GB"/>
        </w:rPr>
        <w:t>a</w:t>
      </w:r>
      <w:r w:rsidRPr="005826BA">
        <w:rPr>
          <w:lang w:val="en-GB"/>
        </w:rPr>
        <w:t xml:space="preserve">ction </w:t>
      </w:r>
      <w:r w:rsidR="00CC5FBD">
        <w:rPr>
          <w:lang w:val="en-GB"/>
        </w:rPr>
        <w:t>p</w:t>
      </w:r>
      <w:r w:rsidRPr="005826BA">
        <w:rPr>
          <w:lang w:val="en-GB"/>
        </w:rPr>
        <w:t>lan</w:t>
      </w:r>
      <w:r w:rsidR="009B0A47" w:rsidRPr="005826BA">
        <w:rPr>
          <w:lang w:val="en-GB"/>
        </w:rPr>
        <w:t xml:space="preserve">. The IRM researcher also relied upon </w:t>
      </w:r>
      <w:r w:rsidR="00C82106" w:rsidRPr="005826BA">
        <w:rPr>
          <w:lang w:val="en-GB"/>
        </w:rPr>
        <w:t>written consultation</w:t>
      </w:r>
      <w:r w:rsidR="005826BA" w:rsidRPr="005826BA">
        <w:rPr>
          <w:lang w:val="en-GB"/>
        </w:rPr>
        <w:t>s</w:t>
      </w:r>
      <w:r w:rsidR="00C82106" w:rsidRPr="005826BA">
        <w:rPr>
          <w:lang w:val="en-GB"/>
        </w:rPr>
        <w:t xml:space="preserve"> </w:t>
      </w:r>
      <w:r w:rsidR="005826BA" w:rsidRPr="005826BA">
        <w:rPr>
          <w:lang w:val="en-GB"/>
        </w:rPr>
        <w:t xml:space="preserve">with civil society experts </w:t>
      </w:r>
      <w:r w:rsidR="00A141EF" w:rsidRPr="005826BA">
        <w:rPr>
          <w:rFonts w:cs="Times New Roman"/>
          <w:lang w:val="en-GB"/>
        </w:rPr>
        <w:t xml:space="preserve">and </w:t>
      </w:r>
      <w:r w:rsidR="009B0A47" w:rsidRPr="005826BA">
        <w:rPr>
          <w:rFonts w:cs="Times New Roman"/>
          <w:lang w:val="en-GB"/>
        </w:rPr>
        <w:t>reports from the</w:t>
      </w:r>
      <w:r w:rsidR="00CC5FBD">
        <w:rPr>
          <w:rFonts w:cs="Times New Roman"/>
          <w:lang w:val="en-GB"/>
        </w:rPr>
        <w:t xml:space="preserve"> </w:t>
      </w:r>
      <w:r w:rsidR="00A141EF" w:rsidRPr="005826BA">
        <w:rPr>
          <w:rFonts w:cs="Times New Roman"/>
          <w:lang w:val="en-GB"/>
        </w:rPr>
        <w:t>media</w:t>
      </w:r>
      <w:r w:rsidR="009B0A47" w:rsidRPr="005826BA">
        <w:rPr>
          <w:lang w:val="en-GB"/>
        </w:rPr>
        <w:t xml:space="preserve"> to evaluate completion of the </w:t>
      </w:r>
      <w:r w:rsidR="00CC5FBD">
        <w:rPr>
          <w:lang w:val="en-GB"/>
        </w:rPr>
        <w:t>a</w:t>
      </w:r>
      <w:r w:rsidR="009B0A47" w:rsidRPr="005826BA">
        <w:rPr>
          <w:lang w:val="en-GB"/>
        </w:rPr>
        <w:t xml:space="preserve">ction </w:t>
      </w:r>
      <w:r w:rsidR="00CC5FBD">
        <w:rPr>
          <w:lang w:val="en-GB"/>
        </w:rPr>
        <w:t>p</w:t>
      </w:r>
      <w:r w:rsidR="009B0A47" w:rsidRPr="005826BA">
        <w:rPr>
          <w:lang w:val="en-GB"/>
        </w:rPr>
        <w:t>lan</w:t>
      </w:r>
      <w:r w:rsidRPr="005826BA">
        <w:rPr>
          <w:lang w:val="en-GB"/>
        </w:rPr>
        <w:t>.</w:t>
      </w:r>
      <w:r w:rsidRPr="009400F9">
        <w:rPr>
          <w:lang w:val="en-GB"/>
        </w:rPr>
        <w:t xml:space="preserve"> </w:t>
      </w:r>
    </w:p>
    <w:p w14:paraId="7F7A189F" w14:textId="5DE7392F" w:rsidR="0060422D" w:rsidRPr="009400F9" w:rsidRDefault="00875931" w:rsidP="00B0395A">
      <w:pPr>
        <w:pStyle w:val="Normalrglronly"/>
        <w:rPr>
          <w:lang w:val="en-GB"/>
        </w:rPr>
      </w:pPr>
      <w:r w:rsidRPr="009400F9">
        <w:rPr>
          <w:noProof/>
          <w:lang w:val="en-US"/>
        </w:rPr>
        <mc:AlternateContent>
          <mc:Choice Requires="wps">
            <w:drawing>
              <wp:anchor distT="0" distB="0" distL="114300" distR="114300" simplePos="0" relativeHeight="251654656" behindDoc="0" locked="0" layoutInCell="1" allowOverlap="1" wp14:anchorId="6F0F1C6C" wp14:editId="795CED42">
                <wp:simplePos x="0" y="0"/>
                <wp:positionH relativeFrom="column">
                  <wp:posOffset>-48895</wp:posOffset>
                </wp:positionH>
                <wp:positionV relativeFrom="paragraph">
                  <wp:posOffset>73025</wp:posOffset>
                </wp:positionV>
                <wp:extent cx="5253990" cy="2073275"/>
                <wp:effectExtent l="76200" t="50800" r="105410" b="136525"/>
                <wp:wrapTight wrapText="bothSides">
                  <wp:wrapPolygon edited="0">
                    <wp:start x="-313" y="-529"/>
                    <wp:lineTo x="-313" y="22758"/>
                    <wp:lineTo x="21929" y="22758"/>
                    <wp:lineTo x="21929" y="-529"/>
                    <wp:lineTo x="-313" y="-529"/>
                  </wp:wrapPolygon>
                </wp:wrapTight>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073275"/>
                        </a:xfrm>
                        <a:prstGeom prst="rect">
                          <a:avLst/>
                        </a:prstGeom>
                        <a:gradFill rotWithShape="1">
                          <a:gsLst>
                            <a:gs pos="0">
                              <a:srgbClr val="A7BFDE">
                                <a:alpha val="14998"/>
                              </a:srgbClr>
                            </a:gs>
                            <a:gs pos="100000">
                              <a:srgbClr val="4F81BD">
                                <a:alpha val="14998"/>
                              </a:srgbClr>
                            </a:gs>
                          </a:gsLst>
                          <a:lin ang="5400000"/>
                        </a:gradFill>
                        <a:ln w="9525">
                          <a:solidFill>
                            <a:srgbClr val="4579B8"/>
                          </a:solidFill>
                          <a:miter lim="800000"/>
                          <a:headEnd/>
                          <a:tailEnd/>
                        </a:ln>
                        <a:effectLst>
                          <a:outerShdw blurRad="63500" dist="23000" dir="5400000" rotWithShape="0">
                            <a:srgbClr val="000000">
                              <a:alpha val="34998"/>
                            </a:srgbClr>
                          </a:outerShdw>
                        </a:effectLst>
                      </wps:spPr>
                      <wps:txbx>
                        <w:txbxContent>
                          <w:p w14:paraId="276C1B01" w14:textId="4D3D81EF" w:rsidR="00CD1FAD" w:rsidRPr="00163080" w:rsidRDefault="00CD1FAD" w:rsidP="00CC5FBD">
                            <w:pPr>
                              <w:pStyle w:val="p1"/>
                              <w:rPr>
                                <w:rFonts w:ascii="Gill Sans" w:hAnsi="Gill Sans" w:cs="Gill Sans"/>
                                <w:sz w:val="22"/>
                                <w:szCs w:val="22"/>
                              </w:rPr>
                            </w:pPr>
                            <w:proofErr w:type="spellStart"/>
                            <w:r w:rsidRPr="00163080">
                              <w:rPr>
                                <w:rFonts w:ascii="Gill Sans" w:hAnsi="Gill Sans" w:cs="Gill Sans"/>
                                <w:sz w:val="22"/>
                                <w:szCs w:val="22"/>
                              </w:rPr>
                              <w:t>Dmytro</w:t>
                            </w:r>
                            <w:proofErr w:type="spellEnd"/>
                            <w:r w:rsidRPr="00163080">
                              <w:rPr>
                                <w:rFonts w:ascii="Gill Sans" w:hAnsi="Gill Sans" w:cs="Gill Sans"/>
                                <w:sz w:val="22"/>
                                <w:szCs w:val="22"/>
                              </w:rPr>
                              <w:t xml:space="preserve"> </w:t>
                            </w:r>
                            <w:proofErr w:type="spellStart"/>
                            <w:r w:rsidRPr="00163080">
                              <w:rPr>
                                <w:rFonts w:ascii="Gill Sans" w:hAnsi="Gill Sans" w:cs="Gill Sans"/>
                                <w:sz w:val="22"/>
                                <w:szCs w:val="22"/>
                              </w:rPr>
                              <w:t>Kotlyar</w:t>
                            </w:r>
                            <w:proofErr w:type="spellEnd"/>
                            <w:r w:rsidRPr="00163080">
                              <w:rPr>
                                <w:rFonts w:ascii="Gill Sans" w:hAnsi="Gill Sans" w:cs="Gill Sans"/>
                                <w:sz w:val="22"/>
                                <w:szCs w:val="22"/>
                              </w:rPr>
                              <w:t xml:space="preserve"> is an independent researcher who specializes in issues of open governance and anti-corruption. </w:t>
                            </w:r>
                            <w:r>
                              <w:rPr>
                                <w:rFonts w:ascii="Gill Sans" w:hAnsi="Gill Sans" w:cs="Gill Sans"/>
                                <w:sz w:val="22"/>
                                <w:szCs w:val="22"/>
                              </w:rPr>
                              <w:t>The r</w:t>
                            </w:r>
                            <w:r w:rsidRPr="00163080">
                              <w:rPr>
                                <w:rFonts w:ascii="Gill Sans" w:hAnsi="Gill Sans" w:cs="Gill Sans"/>
                                <w:sz w:val="22"/>
                                <w:szCs w:val="22"/>
                              </w:rPr>
                              <w:t>eport on commitments 7 (Supervisory mechanism for the right to information), 12 (Asset disclosure on a single web portal)</w:t>
                            </w:r>
                            <w:r>
                              <w:rPr>
                                <w:rFonts w:ascii="Gill Sans" w:hAnsi="Gill Sans" w:cs="Gill Sans"/>
                                <w:sz w:val="22"/>
                                <w:szCs w:val="22"/>
                              </w:rPr>
                              <w:t>,</w:t>
                            </w:r>
                            <w:r w:rsidRPr="00163080">
                              <w:rPr>
                                <w:rFonts w:ascii="Gill Sans" w:hAnsi="Gill Sans" w:cs="Gill Sans"/>
                                <w:sz w:val="22"/>
                                <w:szCs w:val="22"/>
                              </w:rPr>
                              <w:t xml:space="preserve"> and 6 (Draft law on open data) was prepared by </w:t>
                            </w:r>
                            <w:r>
                              <w:rPr>
                                <w:rFonts w:ascii="Gill Sans" w:hAnsi="Gill Sans" w:cs="Gill Sans"/>
                                <w:sz w:val="22"/>
                                <w:szCs w:val="22"/>
                              </w:rPr>
                              <w:t xml:space="preserve">the </w:t>
                            </w:r>
                            <w:r w:rsidRPr="00865962">
                              <w:rPr>
                                <w:rFonts w:ascii="Gill Sans" w:hAnsi="Gill Sans" w:cs="Gill Sans"/>
                                <w:sz w:val="22"/>
                                <w:szCs w:val="22"/>
                              </w:rPr>
                              <w:t>independent researcher</w:t>
                            </w:r>
                            <w:r>
                              <w:rPr>
                                <w:rFonts w:ascii="Gill Sans" w:hAnsi="Gill Sans" w:cs="Gill Sans"/>
                                <w:sz w:val="22"/>
                                <w:szCs w:val="22"/>
                              </w:rPr>
                              <w:t xml:space="preserve">, </w:t>
                            </w:r>
                            <w:r w:rsidRPr="00163080">
                              <w:rPr>
                                <w:rFonts w:ascii="Gill Sans" w:hAnsi="Gill Sans" w:cs="Gill Sans"/>
                                <w:sz w:val="22"/>
                                <w:szCs w:val="22"/>
                              </w:rPr>
                              <w:t xml:space="preserve">Denys </w:t>
                            </w:r>
                            <w:proofErr w:type="spellStart"/>
                            <w:r w:rsidRPr="00163080">
                              <w:rPr>
                                <w:rFonts w:ascii="Gill Sans" w:hAnsi="Gill Sans" w:cs="Gill Sans"/>
                                <w:sz w:val="22"/>
                                <w:szCs w:val="22"/>
                              </w:rPr>
                              <w:t>Kovryzhenko</w:t>
                            </w:r>
                            <w:proofErr w:type="spellEnd"/>
                            <w:r w:rsidRPr="00163080">
                              <w:rPr>
                                <w:rFonts w:ascii="Gill Sans" w:hAnsi="Gill Sans" w:cs="Gill Sans"/>
                                <w:sz w:val="22"/>
                                <w:szCs w:val="22"/>
                              </w:rPr>
                              <w:t>.</w:t>
                            </w:r>
                          </w:p>
                          <w:p w14:paraId="165F57CA" w14:textId="77777777" w:rsidR="00CD1FAD" w:rsidRPr="00163080" w:rsidRDefault="00CD1FAD" w:rsidP="00875931">
                            <w:pPr>
                              <w:pStyle w:val="p1"/>
                              <w:rPr>
                                <w:rFonts w:ascii="Gill Sans" w:hAnsi="Gill Sans" w:cs="Gill Sans"/>
                                <w:sz w:val="22"/>
                                <w:szCs w:val="22"/>
                              </w:rPr>
                            </w:pPr>
                          </w:p>
                          <w:p w14:paraId="57393CB7" w14:textId="422194A9" w:rsidR="00CD1FAD" w:rsidRPr="00163080" w:rsidRDefault="00CD1FAD" w:rsidP="005E62C0">
                            <w:pPr>
                              <w:rPr>
                                <w:rFonts w:ascii="Gill Sans" w:hAnsi="Gill Sans" w:cs="Gill Sans"/>
                                <w:color w:val="1A1A1A"/>
                                <w:sz w:val="22"/>
                                <w:szCs w:val="22"/>
                              </w:rPr>
                            </w:pPr>
                            <w:r w:rsidRPr="00163080">
                              <w:rPr>
                                <w:rFonts w:ascii="Gill Sans" w:hAnsi="Gill Sans" w:cs="Gill Sans"/>
                                <w:sz w:val="22"/>
                                <w:szCs w:val="22"/>
                              </w:rPr>
                              <w:t xml:space="preserve">The Open Government Partnership (OGP) aims to secure concrete commitments from governments to promote transparency, </w:t>
                            </w:r>
                            <w:r>
                              <w:rPr>
                                <w:rFonts w:ascii="Gill Sans" w:hAnsi="Gill Sans" w:cs="Gill Sans"/>
                                <w:sz w:val="22"/>
                                <w:szCs w:val="22"/>
                              </w:rPr>
                              <w:t xml:space="preserve">to </w:t>
                            </w:r>
                            <w:r w:rsidRPr="00163080">
                              <w:rPr>
                                <w:rFonts w:ascii="Gill Sans" w:hAnsi="Gill Sans" w:cs="Gill Sans"/>
                                <w:sz w:val="22"/>
                                <w:szCs w:val="22"/>
                              </w:rPr>
                              <w:t xml:space="preserve">empower citizens, </w:t>
                            </w:r>
                            <w:r>
                              <w:rPr>
                                <w:rFonts w:ascii="Gill Sans" w:hAnsi="Gill Sans" w:cs="Gill Sans"/>
                                <w:sz w:val="22"/>
                                <w:szCs w:val="22"/>
                              </w:rPr>
                              <w:t xml:space="preserve">to </w:t>
                            </w:r>
                            <w:r w:rsidRPr="00163080">
                              <w:rPr>
                                <w:rFonts w:ascii="Gill Sans" w:hAnsi="Gill Sans" w:cs="Gill Sans"/>
                                <w:sz w:val="22"/>
                                <w:szCs w:val="22"/>
                              </w:rPr>
                              <w:t>fight corruption, and</w:t>
                            </w:r>
                            <w:r>
                              <w:rPr>
                                <w:rFonts w:ascii="Gill Sans" w:hAnsi="Gill Sans" w:cs="Gill Sans"/>
                                <w:sz w:val="22"/>
                                <w:szCs w:val="22"/>
                              </w:rPr>
                              <w:t xml:space="preserve"> to</w:t>
                            </w:r>
                            <w:r w:rsidRPr="00163080">
                              <w:rPr>
                                <w:rFonts w:ascii="Gill Sans" w:hAnsi="Gill Sans" w:cs="Gill Sans"/>
                                <w:sz w:val="22"/>
                                <w:szCs w:val="22"/>
                              </w:rPr>
                              <w:t xml:space="preserve"> harness new technologies to strengthen governance. OGP’s Independent Reporting Mechanism assesses development and implementation of national action plans to foster dialogue among stakeholders and improve accountability.</w:t>
                            </w:r>
                          </w:p>
                          <w:p w14:paraId="49DB21D4" w14:textId="77777777" w:rsidR="00CD1FAD" w:rsidRDefault="00CD1FAD" w:rsidP="0060422D">
                            <w:pPr>
                              <w:ind w:right="285"/>
                              <w:jc w:val="both"/>
                              <w:rPr>
                                <w:rFonts w:eastAsia="Times New Roman"/>
                                <w:color w:val="000000"/>
                                <w:sz w:val="18"/>
                                <w:szCs w:val="1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0F1C6C" id="Rectangle 11" o:spid="_x0000_s1027" style="position:absolute;margin-left:-3.85pt;margin-top:5.75pt;width:413.7pt;height:16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" fillcolor="#a7bfde" strokecolor="#4579b8">
                <v:fill opacity="9829f" color2="#4f81bd" o:opacity2="9829f" rotate="t" focus="100%" type="gradient">
                  <o:fill v:ext="view" type="gradientUnscaled"/>
                </v:fill>
                <v:shadow on="t" opacity="22936f" origin=",.5" offset="0,23000emu"/>
                <v:textbox>
                  <w:txbxContent>
                    <w:p w14:paraId="276C1B01" w14:textId="4D3D81EF" w:rsidR="00CD1FAD" w:rsidRPr="00163080" w:rsidRDefault="00CD1FAD" w:rsidP="00CC5FBD">
                      <w:pPr>
                        <w:pStyle w:val="p1"/>
                        <w:rPr>
                          <w:rFonts w:ascii="Gill Sans" w:hAnsi="Gill Sans" w:cs="Gill Sans"/>
                          <w:sz w:val="22"/>
                          <w:szCs w:val="22"/>
                        </w:rPr>
                      </w:pPr>
                      <w:proofErr w:type="spellStart"/>
                      <w:r w:rsidRPr="00163080">
                        <w:rPr>
                          <w:rFonts w:ascii="Gill Sans" w:hAnsi="Gill Sans" w:cs="Gill Sans"/>
                          <w:sz w:val="22"/>
                          <w:szCs w:val="22"/>
                        </w:rPr>
                        <w:t>Dmytro</w:t>
                      </w:r>
                      <w:proofErr w:type="spellEnd"/>
                      <w:r w:rsidRPr="00163080">
                        <w:rPr>
                          <w:rFonts w:ascii="Gill Sans" w:hAnsi="Gill Sans" w:cs="Gill Sans"/>
                          <w:sz w:val="22"/>
                          <w:szCs w:val="22"/>
                        </w:rPr>
                        <w:t xml:space="preserve"> </w:t>
                      </w:r>
                      <w:proofErr w:type="spellStart"/>
                      <w:r w:rsidRPr="00163080">
                        <w:rPr>
                          <w:rFonts w:ascii="Gill Sans" w:hAnsi="Gill Sans" w:cs="Gill Sans"/>
                          <w:sz w:val="22"/>
                          <w:szCs w:val="22"/>
                        </w:rPr>
                        <w:t>Kotlyar</w:t>
                      </w:r>
                      <w:proofErr w:type="spellEnd"/>
                      <w:r w:rsidRPr="00163080">
                        <w:rPr>
                          <w:rFonts w:ascii="Gill Sans" w:hAnsi="Gill Sans" w:cs="Gill Sans"/>
                          <w:sz w:val="22"/>
                          <w:szCs w:val="22"/>
                        </w:rPr>
                        <w:t xml:space="preserve"> is an independent researcher who specializes in issues of open governance and anti-corruption. </w:t>
                      </w:r>
                      <w:r>
                        <w:rPr>
                          <w:rFonts w:ascii="Gill Sans" w:hAnsi="Gill Sans" w:cs="Gill Sans"/>
                          <w:sz w:val="22"/>
                          <w:szCs w:val="22"/>
                        </w:rPr>
                        <w:t>The r</w:t>
                      </w:r>
                      <w:r w:rsidRPr="00163080">
                        <w:rPr>
                          <w:rFonts w:ascii="Gill Sans" w:hAnsi="Gill Sans" w:cs="Gill Sans"/>
                          <w:sz w:val="22"/>
                          <w:szCs w:val="22"/>
                        </w:rPr>
                        <w:t>eport on commitments 7 (Supervisory mechanism for the right to information), 12 (Asset disclosure on a single web portal)</w:t>
                      </w:r>
                      <w:r>
                        <w:rPr>
                          <w:rFonts w:ascii="Gill Sans" w:hAnsi="Gill Sans" w:cs="Gill Sans"/>
                          <w:sz w:val="22"/>
                          <w:szCs w:val="22"/>
                        </w:rPr>
                        <w:t>,</w:t>
                      </w:r>
                      <w:r w:rsidRPr="00163080">
                        <w:rPr>
                          <w:rFonts w:ascii="Gill Sans" w:hAnsi="Gill Sans" w:cs="Gill Sans"/>
                          <w:sz w:val="22"/>
                          <w:szCs w:val="22"/>
                        </w:rPr>
                        <w:t xml:space="preserve"> and 6 (Draft law on open data) was prepared by </w:t>
                      </w:r>
                      <w:r>
                        <w:rPr>
                          <w:rFonts w:ascii="Gill Sans" w:hAnsi="Gill Sans" w:cs="Gill Sans"/>
                          <w:sz w:val="22"/>
                          <w:szCs w:val="22"/>
                        </w:rPr>
                        <w:t xml:space="preserve">the </w:t>
                      </w:r>
                      <w:r w:rsidRPr="00865962">
                        <w:rPr>
                          <w:rFonts w:ascii="Gill Sans" w:hAnsi="Gill Sans" w:cs="Gill Sans"/>
                          <w:sz w:val="22"/>
                          <w:szCs w:val="22"/>
                        </w:rPr>
                        <w:t>independent researcher</w:t>
                      </w:r>
                      <w:r>
                        <w:rPr>
                          <w:rFonts w:ascii="Gill Sans" w:hAnsi="Gill Sans" w:cs="Gill Sans"/>
                          <w:sz w:val="22"/>
                          <w:szCs w:val="22"/>
                        </w:rPr>
                        <w:t xml:space="preserve">, </w:t>
                      </w:r>
                      <w:r w:rsidRPr="00163080">
                        <w:rPr>
                          <w:rFonts w:ascii="Gill Sans" w:hAnsi="Gill Sans" w:cs="Gill Sans"/>
                          <w:sz w:val="22"/>
                          <w:szCs w:val="22"/>
                        </w:rPr>
                        <w:t xml:space="preserve">Denys </w:t>
                      </w:r>
                      <w:proofErr w:type="spellStart"/>
                      <w:r w:rsidRPr="00163080">
                        <w:rPr>
                          <w:rFonts w:ascii="Gill Sans" w:hAnsi="Gill Sans" w:cs="Gill Sans"/>
                          <w:sz w:val="22"/>
                          <w:szCs w:val="22"/>
                        </w:rPr>
                        <w:t>Kovryzhenko</w:t>
                      </w:r>
                      <w:proofErr w:type="spellEnd"/>
                      <w:r w:rsidRPr="00163080">
                        <w:rPr>
                          <w:rFonts w:ascii="Gill Sans" w:hAnsi="Gill Sans" w:cs="Gill Sans"/>
                          <w:sz w:val="22"/>
                          <w:szCs w:val="22"/>
                        </w:rPr>
                        <w:t>.</w:t>
                      </w:r>
                    </w:p>
                    <w:p w14:paraId="165F57CA" w14:textId="77777777" w:rsidR="00CD1FAD" w:rsidRPr="00163080" w:rsidRDefault="00CD1FAD" w:rsidP="00875931">
                      <w:pPr>
                        <w:pStyle w:val="p1"/>
                        <w:rPr>
                          <w:rFonts w:ascii="Gill Sans" w:hAnsi="Gill Sans" w:cs="Gill Sans"/>
                          <w:sz w:val="22"/>
                          <w:szCs w:val="22"/>
                        </w:rPr>
                      </w:pPr>
                    </w:p>
                    <w:p w14:paraId="57393CB7" w14:textId="422194A9" w:rsidR="00CD1FAD" w:rsidRPr="00163080" w:rsidRDefault="00CD1FAD" w:rsidP="005E62C0">
                      <w:pPr>
                        <w:rPr>
                          <w:rFonts w:ascii="Gill Sans" w:hAnsi="Gill Sans" w:cs="Gill Sans"/>
                          <w:color w:val="1A1A1A"/>
                          <w:sz w:val="22"/>
                          <w:szCs w:val="22"/>
                        </w:rPr>
                      </w:pPr>
                      <w:r w:rsidRPr="00163080">
                        <w:rPr>
                          <w:rFonts w:ascii="Gill Sans" w:hAnsi="Gill Sans" w:cs="Gill Sans"/>
                          <w:sz w:val="22"/>
                          <w:szCs w:val="22"/>
                        </w:rPr>
                        <w:t xml:space="preserve">The Open Government Partnership (OGP) aims to secure concrete commitments from governments to promote transparency, </w:t>
                      </w:r>
                      <w:r>
                        <w:rPr>
                          <w:rFonts w:ascii="Gill Sans" w:hAnsi="Gill Sans" w:cs="Gill Sans"/>
                          <w:sz w:val="22"/>
                          <w:szCs w:val="22"/>
                        </w:rPr>
                        <w:t xml:space="preserve">to </w:t>
                      </w:r>
                      <w:r w:rsidRPr="00163080">
                        <w:rPr>
                          <w:rFonts w:ascii="Gill Sans" w:hAnsi="Gill Sans" w:cs="Gill Sans"/>
                          <w:sz w:val="22"/>
                          <w:szCs w:val="22"/>
                        </w:rPr>
                        <w:t xml:space="preserve">empower citizens, </w:t>
                      </w:r>
                      <w:r>
                        <w:rPr>
                          <w:rFonts w:ascii="Gill Sans" w:hAnsi="Gill Sans" w:cs="Gill Sans"/>
                          <w:sz w:val="22"/>
                          <w:szCs w:val="22"/>
                        </w:rPr>
                        <w:t xml:space="preserve">to </w:t>
                      </w:r>
                      <w:r w:rsidRPr="00163080">
                        <w:rPr>
                          <w:rFonts w:ascii="Gill Sans" w:hAnsi="Gill Sans" w:cs="Gill Sans"/>
                          <w:sz w:val="22"/>
                          <w:szCs w:val="22"/>
                        </w:rPr>
                        <w:t>fight corruption, and</w:t>
                      </w:r>
                      <w:r>
                        <w:rPr>
                          <w:rFonts w:ascii="Gill Sans" w:hAnsi="Gill Sans" w:cs="Gill Sans"/>
                          <w:sz w:val="22"/>
                          <w:szCs w:val="22"/>
                        </w:rPr>
                        <w:t xml:space="preserve"> to</w:t>
                      </w:r>
                      <w:r w:rsidRPr="00163080">
                        <w:rPr>
                          <w:rFonts w:ascii="Gill Sans" w:hAnsi="Gill Sans" w:cs="Gill Sans"/>
                          <w:sz w:val="22"/>
                          <w:szCs w:val="22"/>
                        </w:rPr>
                        <w:t xml:space="preserve"> harness new technologies to strengthen governance. OGP’s Independent Reporting Mechanism assesses development and implementation of national action plans to foster dialogue among stakeholders and improve accountability.</w:t>
                      </w:r>
                    </w:p>
                    <w:p w14:paraId="49DB21D4" w14:textId="77777777" w:rsidR="00CD1FAD" w:rsidRDefault="00CD1FAD" w:rsidP="0060422D">
                      <w:pPr>
                        <w:ind w:right="285"/>
                        <w:jc w:val="both"/>
                        <w:rPr>
                          <w:rFonts w:eastAsia="Times New Roman"/>
                          <w:color w:val="000000"/>
                          <w:sz w:val="18"/>
                          <w:szCs w:val="17"/>
                        </w:rPr>
                      </w:pPr>
                    </w:p>
                  </w:txbxContent>
                </v:textbox>
                <w10:wrap type="tight"/>
              </v:rect>
            </w:pict>
          </mc:Fallback>
        </mc:AlternateContent>
      </w:r>
    </w:p>
    <w:p w14:paraId="0A0F812E" w14:textId="7CA239AC" w:rsidR="0060422D" w:rsidRPr="009400F9" w:rsidRDefault="006D697C" w:rsidP="00B0395A">
      <w:pPr>
        <w:pStyle w:val="Normalrglronly"/>
        <w:rPr>
          <w:lang w:val="en-GB"/>
        </w:rPr>
      </w:pPr>
      <w:r w:rsidRPr="009400F9">
        <w:rPr>
          <w:noProof/>
          <w:lang w:val="en-US"/>
        </w:rPr>
        <w:drawing>
          <wp:anchor distT="0" distB="0" distL="114300" distR="114300" simplePos="0" relativeHeight="251655680" behindDoc="0" locked="0" layoutInCell="1" allowOverlap="1" wp14:anchorId="101019A7" wp14:editId="3EBB8EED">
            <wp:simplePos x="0" y="0"/>
            <wp:positionH relativeFrom="column">
              <wp:posOffset>5323205</wp:posOffset>
            </wp:positionH>
            <wp:positionV relativeFrom="paragraph">
              <wp:posOffset>334010</wp:posOffset>
            </wp:positionV>
            <wp:extent cx="914400" cy="9144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DB671A" w14:textId="559628A6" w:rsidR="0060422D" w:rsidRPr="009400F9" w:rsidRDefault="0060422D" w:rsidP="00B0395A">
      <w:pPr>
        <w:pStyle w:val="Normalrglronly"/>
        <w:rPr>
          <w:lang w:val="en-GB"/>
        </w:rPr>
      </w:pPr>
    </w:p>
    <w:p w14:paraId="3D77B06B" w14:textId="477EE08F" w:rsidR="008E3268" w:rsidRPr="009400F9" w:rsidRDefault="008E3268" w:rsidP="00B0395A">
      <w:pPr>
        <w:pStyle w:val="Normalrglronly"/>
        <w:rPr>
          <w:lang w:val="en-GB"/>
        </w:rPr>
      </w:pPr>
    </w:p>
    <w:sectPr w:rsidR="008E3268" w:rsidRPr="009400F9" w:rsidSect="002A2966">
      <w:endnotePr>
        <w:numFmt w:val="decimal"/>
        <w:numRestart w:val="eachSect"/>
      </w:endnotePr>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88C02" w14:textId="77777777" w:rsidR="00006330" w:rsidRDefault="00006330" w:rsidP="008F072B">
      <w:r>
        <w:separator/>
      </w:r>
    </w:p>
  </w:endnote>
  <w:endnote w:type="continuationSeparator" w:id="0">
    <w:p w14:paraId="3B85D97D" w14:textId="77777777" w:rsidR="00006330" w:rsidRDefault="00006330" w:rsidP="008F072B">
      <w:r>
        <w:continuationSeparator/>
      </w:r>
    </w:p>
  </w:endnote>
  <w:endnote w:type="continuationNotice" w:id="1">
    <w:p w14:paraId="1953326D" w14:textId="77777777" w:rsidR="00006330" w:rsidRDefault="00006330"/>
  </w:endnote>
  <w:endnote w:id="2">
    <w:p w14:paraId="67EE984C" w14:textId="77777777" w:rsidR="00CD1FAD" w:rsidRDefault="00CD1FAD" w:rsidP="00163080">
      <w:pPr>
        <w:pStyle w:val="EndnoteText"/>
      </w:pPr>
    </w:p>
    <w:p w14:paraId="4D856C38" w14:textId="29E11DFE" w:rsidR="00CD1FAD" w:rsidRPr="00717DD9" w:rsidRDefault="00CD1FAD" w:rsidP="00163080">
      <w:pPr>
        <w:pStyle w:val="EndnoteText"/>
        <w:rPr>
          <w:lang w:val="es-ES"/>
        </w:rPr>
      </w:pPr>
      <w:r w:rsidRPr="00717DD9">
        <w:rPr>
          <w:rStyle w:val="EndnoteReference"/>
        </w:rPr>
        <w:endnoteRef/>
      </w:r>
      <w:r w:rsidRPr="00717DD9">
        <w:t xml:space="preserve"> IAP2 </w:t>
      </w:r>
      <w:proofErr w:type="spellStart"/>
      <w:r w:rsidRPr="00717DD9">
        <w:t>Spectrum</w:t>
      </w:r>
      <w:proofErr w:type="spellEnd"/>
      <w:r w:rsidRPr="00717DD9">
        <w:t xml:space="preserve"> </w:t>
      </w:r>
      <w:proofErr w:type="spellStart"/>
      <w:r w:rsidRPr="00717DD9">
        <w:t>information</w:t>
      </w:r>
      <w:proofErr w:type="spellEnd"/>
      <w:r w:rsidRPr="00717DD9">
        <w:t xml:space="preserve"> </w:t>
      </w:r>
      <w:proofErr w:type="spellStart"/>
      <w:r w:rsidRPr="00717DD9">
        <w:t>available</w:t>
      </w:r>
      <w:proofErr w:type="spellEnd"/>
      <w:r w:rsidRPr="00717DD9">
        <w:t xml:space="preserve"> </w:t>
      </w:r>
      <w:proofErr w:type="spellStart"/>
      <w:r w:rsidRPr="00717DD9">
        <w:t>here</w:t>
      </w:r>
      <w:proofErr w:type="spellEnd"/>
      <w:r w:rsidRPr="00717DD9">
        <w:t xml:space="preserve"> </w:t>
      </w:r>
      <w:r w:rsidRPr="00991366">
        <w:rPr>
          <w:lang w:val="uk-UA"/>
        </w:rPr>
        <w:t>https://c.ymcdn.com/sites/www.iap2.org/resource/resmgr/foundations_course/IAP2_P2_Spectrum_FINAL.pdf</w:t>
      </w:r>
    </w:p>
  </w:endnote>
  <w:endnote w:id="3">
    <w:p w14:paraId="46793D68" w14:textId="2999E623" w:rsidR="00CD1FAD" w:rsidRPr="00D2440E" w:rsidRDefault="00CD1FAD" w:rsidP="006319F4">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24</w:t>
      </w:r>
      <w:r>
        <w:t>,</w:t>
      </w:r>
      <w:r w:rsidRPr="00D2440E">
        <w:t xml:space="preserve"> http://www.opengovpartnership.org/sites/default/files/Ukraine_Second_IRM_Report_PublicComment_ENG.pdf</w:t>
      </w:r>
    </w:p>
  </w:endnote>
  <w:endnote w:id="4">
    <w:p w14:paraId="58E591B0" w14:textId="101E8A9C" w:rsidR="00CD1FAD" w:rsidRPr="00D2440E" w:rsidRDefault="00CD1FAD" w:rsidP="006319F4">
      <w:pPr>
        <w:pStyle w:val="EndnoteText"/>
      </w:pPr>
      <w:r w:rsidRPr="00D2440E">
        <w:rPr>
          <w:rStyle w:val="EndnoteReference"/>
          <w:szCs w:val="18"/>
        </w:rPr>
        <w:endnoteRef/>
      </w:r>
      <w:r w:rsidRPr="00D2440E">
        <w:t xml:space="preserve"> </w:t>
      </w:r>
      <w:proofErr w:type="spellStart"/>
      <w:r w:rsidRPr="00D2440E">
        <w:t>Ibid</w:t>
      </w:r>
      <w:proofErr w:type="spellEnd"/>
      <w:r w:rsidRPr="00D2440E">
        <w:t>, 25</w:t>
      </w:r>
      <w:r>
        <w:t>.</w:t>
      </w:r>
    </w:p>
  </w:endnote>
  <w:endnote w:id="5">
    <w:p w14:paraId="2D577D0A" w14:textId="07070E4F" w:rsidR="00CD1FAD" w:rsidRPr="00254401" w:rsidRDefault="00CD1FAD">
      <w:pPr>
        <w:pStyle w:val="EndnoteText"/>
        <w:rPr>
          <w:lang w:val="es-MX"/>
        </w:rPr>
      </w:pPr>
      <w:r w:rsidRPr="006A0EE8">
        <w:rPr>
          <w:vertAlign w:val="superscript"/>
          <w:lang w:val="en-US"/>
        </w:rPr>
        <w:endnoteRef/>
      </w:r>
      <w:r w:rsidRPr="00254401">
        <w:rPr>
          <w:lang w:val="es-MX"/>
        </w:rPr>
        <w:t xml:space="preserve"> </w:t>
      </w:r>
      <w:hyperlink r:id="rId1" w:history="1">
        <w:r w:rsidRPr="00254401">
          <w:rPr>
            <w:lang w:val="es-MX"/>
          </w:rPr>
          <w:t>http://bit.ly/2glgW3s</w:t>
        </w:r>
      </w:hyperlink>
      <w:r w:rsidRPr="00254401">
        <w:rPr>
          <w:lang w:val="es-MX"/>
        </w:rPr>
        <w:t xml:space="preserve">. </w:t>
      </w:r>
    </w:p>
  </w:endnote>
  <w:endnote w:id="6">
    <w:p w14:paraId="5796D503" w14:textId="0956B0C4" w:rsidR="00CD1FAD" w:rsidRPr="00D2440E" w:rsidRDefault="00CD1FAD" w:rsidP="006B11FD">
      <w:pPr>
        <w:rPr>
          <w:rFonts w:ascii="Gill Sans" w:hAnsi="Gill Sans" w:cs="Gill Sans"/>
          <w:sz w:val="18"/>
          <w:szCs w:val="18"/>
        </w:rPr>
      </w:pPr>
      <w:r w:rsidRPr="006A0EE8">
        <w:rPr>
          <w:rFonts w:ascii="Gill Sans" w:hAnsi="Gill Sans" w:cs="Gill Sans"/>
          <w:sz w:val="18"/>
          <w:szCs w:val="18"/>
          <w:vertAlign w:val="superscript"/>
        </w:rPr>
        <w:endnoteRef/>
      </w:r>
      <w:r w:rsidRPr="00D2440E">
        <w:rPr>
          <w:rFonts w:ascii="Gill Sans" w:hAnsi="Gill Sans" w:cs="Gill Sans"/>
          <w:sz w:val="18"/>
          <w:szCs w:val="18"/>
        </w:rPr>
        <w:t xml:space="preserve"> </w:t>
      </w:r>
      <w:hyperlink r:id="rId2" w:history="1">
        <w:r w:rsidRPr="00D2440E">
          <w:rPr>
            <w:rFonts w:ascii="Gill Sans" w:hAnsi="Gill Sans" w:cs="Gill Sans"/>
            <w:sz w:val="18"/>
            <w:szCs w:val="18"/>
          </w:rPr>
          <w:t>http://bit.ly/2hkz6A7</w:t>
        </w:r>
      </w:hyperlink>
      <w:r w:rsidRPr="00D2440E">
        <w:rPr>
          <w:rFonts w:ascii="Gill Sans" w:hAnsi="Gill Sans" w:cs="Gill Sans"/>
          <w:sz w:val="18"/>
          <w:szCs w:val="18"/>
        </w:rPr>
        <w:t xml:space="preserve">. </w:t>
      </w:r>
    </w:p>
  </w:endnote>
  <w:endnote w:id="7">
    <w:p w14:paraId="67F6D7CE" w14:textId="425C602D" w:rsidR="00CD1FAD" w:rsidRPr="00707EC6" w:rsidRDefault="00CD1FAD" w:rsidP="006319F4">
      <w:pPr>
        <w:pStyle w:val="EndnoteText"/>
      </w:pPr>
      <w:r>
        <w:rPr>
          <w:rStyle w:val="EndnoteReference"/>
        </w:rPr>
        <w:endnoteRef/>
      </w:r>
      <w:r>
        <w:t xml:space="preserve"> </w:t>
      </w:r>
      <w:proofErr w:type="spellStart"/>
      <w:r w:rsidRPr="003B71DC">
        <w:t>Maksym</w:t>
      </w:r>
      <w:proofErr w:type="spellEnd"/>
      <w:r w:rsidRPr="003B71DC">
        <w:t xml:space="preserve"> </w:t>
      </w:r>
      <w:proofErr w:type="spellStart"/>
      <w:r w:rsidRPr="003B71DC">
        <w:t>Latsyba</w:t>
      </w:r>
      <w:proofErr w:type="spellEnd"/>
      <w:r w:rsidRPr="003B71DC">
        <w:t xml:space="preserve">, NGO </w:t>
      </w:r>
      <w:proofErr w:type="spellStart"/>
      <w:r w:rsidRPr="003B71DC">
        <w:t>Ukrainian</w:t>
      </w:r>
      <w:proofErr w:type="spellEnd"/>
      <w:r w:rsidRPr="003B71DC">
        <w:t xml:space="preserve"> </w:t>
      </w:r>
      <w:proofErr w:type="spellStart"/>
      <w:r w:rsidRPr="003B71DC">
        <w:t>Independent</w:t>
      </w:r>
      <w:proofErr w:type="spellEnd"/>
      <w:r w:rsidRPr="003B71DC">
        <w:t xml:space="preserve"> </w:t>
      </w:r>
      <w:proofErr w:type="spellStart"/>
      <w:r w:rsidRPr="003B71DC">
        <w:t>Center</w:t>
      </w:r>
      <w:proofErr w:type="spellEnd"/>
      <w:r w:rsidRPr="003B71DC">
        <w:t xml:space="preserve"> </w:t>
      </w:r>
      <w:proofErr w:type="spellStart"/>
      <w:r w:rsidRPr="003B71DC">
        <w:t>for</w:t>
      </w:r>
      <w:proofErr w:type="spellEnd"/>
      <w:r w:rsidRPr="003B71DC">
        <w:t xml:space="preserve"> </w:t>
      </w:r>
      <w:proofErr w:type="spellStart"/>
      <w:r w:rsidRPr="003B71DC">
        <w:t>Political</w:t>
      </w:r>
      <w:proofErr w:type="spellEnd"/>
      <w:r w:rsidRPr="003B71DC">
        <w:t xml:space="preserve"> </w:t>
      </w:r>
      <w:proofErr w:type="spellStart"/>
      <w:r w:rsidRPr="003B71DC">
        <w:t>Research</w:t>
      </w:r>
      <w:proofErr w:type="spellEnd"/>
      <w:r w:rsidRPr="00AA43DE">
        <w:t xml:space="preserve">, </w:t>
      </w:r>
      <w:proofErr w:type="spellStart"/>
      <w:r>
        <w:t>interview</w:t>
      </w:r>
      <w:proofErr w:type="spellEnd"/>
      <w:r>
        <w:t xml:space="preserve"> </w:t>
      </w:r>
      <w:proofErr w:type="spellStart"/>
      <w:r>
        <w:t>with</w:t>
      </w:r>
      <w:proofErr w:type="spellEnd"/>
      <w:r>
        <w:t xml:space="preserve"> </w:t>
      </w:r>
      <w:proofErr w:type="spellStart"/>
      <w:r>
        <w:t>the</w:t>
      </w:r>
      <w:proofErr w:type="spellEnd"/>
      <w:r>
        <w:t xml:space="preserve"> IRM </w:t>
      </w:r>
      <w:proofErr w:type="spellStart"/>
      <w:r>
        <w:t>researcher</w:t>
      </w:r>
      <w:proofErr w:type="spellEnd"/>
      <w:r>
        <w:t xml:space="preserve">, </w:t>
      </w:r>
      <w:r w:rsidRPr="00AA43DE">
        <w:t xml:space="preserve">29 </w:t>
      </w:r>
      <w:proofErr w:type="spellStart"/>
      <w:r w:rsidRPr="00AA43DE">
        <w:t>September</w:t>
      </w:r>
      <w:proofErr w:type="spellEnd"/>
      <w:r w:rsidRPr="00AA43DE">
        <w:t xml:space="preserve"> 2015.</w:t>
      </w:r>
    </w:p>
  </w:endnote>
  <w:endnote w:id="8">
    <w:p w14:paraId="01025A55" w14:textId="7C35DF25" w:rsidR="00CD1FAD" w:rsidRPr="00D2440E" w:rsidRDefault="00CD1FAD" w:rsidP="006319F4">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29.</w:t>
      </w:r>
    </w:p>
  </w:endnote>
  <w:endnote w:id="9">
    <w:p w14:paraId="5ED0D771" w14:textId="39BE90BE" w:rsidR="00CD1FAD" w:rsidRPr="00D2440E" w:rsidRDefault="00CD1FAD">
      <w:pPr>
        <w:pStyle w:val="EndnoteText"/>
      </w:pPr>
      <w:r w:rsidRPr="00D2440E">
        <w:rPr>
          <w:rStyle w:val="EndnoteReference"/>
          <w:szCs w:val="18"/>
        </w:rPr>
        <w:endnoteRef/>
      </w:r>
      <w:r w:rsidRPr="00D2440E">
        <w:t xml:space="preserve"> </w:t>
      </w:r>
      <w:proofErr w:type="spellStart"/>
      <w:r w:rsidRPr="00D2440E">
        <w:t>Ibid</w:t>
      </w:r>
      <w:proofErr w:type="spellEnd"/>
      <w:r w:rsidRPr="00D2440E">
        <w:t>, 29.</w:t>
      </w:r>
    </w:p>
  </w:endnote>
  <w:endnote w:id="10">
    <w:p w14:paraId="409E3C9E" w14:textId="77777777" w:rsidR="00CD1FAD" w:rsidRPr="00D2440E" w:rsidRDefault="00CD1FAD">
      <w:pPr>
        <w:pStyle w:val="EndnoteText"/>
      </w:pPr>
      <w:r w:rsidRPr="00D2440E">
        <w:rPr>
          <w:rStyle w:val="EndnoteReference"/>
          <w:szCs w:val="18"/>
        </w:rPr>
        <w:endnoteRef/>
      </w:r>
      <w:r w:rsidRPr="00D2440E">
        <w:t xml:space="preserve"> </w:t>
      </w:r>
      <w:proofErr w:type="spellStart"/>
      <w:r>
        <w:t>Written</w:t>
      </w:r>
      <w:proofErr w:type="spellEnd"/>
      <w:r>
        <w:t xml:space="preserve"> </w:t>
      </w:r>
      <w:proofErr w:type="spellStart"/>
      <w:r>
        <w:t>i</w:t>
      </w:r>
      <w:r w:rsidRPr="00D2440E">
        <w:t>nterview</w:t>
      </w:r>
      <w:proofErr w:type="spellEnd"/>
      <w:r w:rsidRPr="00D2440E">
        <w:t xml:space="preserve"> </w:t>
      </w:r>
      <w:proofErr w:type="spellStart"/>
      <w:r w:rsidRPr="00D2440E">
        <w:t>with</w:t>
      </w:r>
      <w:proofErr w:type="spellEnd"/>
      <w:r w:rsidRPr="00D2440E">
        <w:t xml:space="preserve"> </w:t>
      </w:r>
      <w:proofErr w:type="spellStart"/>
      <w:r w:rsidRPr="00D2440E">
        <w:t>Maksym</w:t>
      </w:r>
      <w:proofErr w:type="spellEnd"/>
      <w:r w:rsidRPr="00D2440E">
        <w:t xml:space="preserve"> </w:t>
      </w:r>
      <w:proofErr w:type="spellStart"/>
      <w:r w:rsidRPr="00D2440E">
        <w:t>Latsyba</w:t>
      </w:r>
      <w:proofErr w:type="spellEnd"/>
      <w:r w:rsidRPr="00D2440E">
        <w:t xml:space="preserve">, NGO </w:t>
      </w:r>
      <w:proofErr w:type="spellStart"/>
      <w:r w:rsidRPr="00D2440E">
        <w:t>Ukrainian</w:t>
      </w:r>
      <w:proofErr w:type="spellEnd"/>
      <w:r w:rsidRPr="00D2440E">
        <w:t xml:space="preserve"> </w:t>
      </w:r>
      <w:proofErr w:type="spellStart"/>
      <w:r w:rsidRPr="00D2440E">
        <w:t>Centre</w:t>
      </w:r>
      <w:proofErr w:type="spellEnd"/>
      <w:r w:rsidRPr="00D2440E">
        <w:t xml:space="preserve"> </w:t>
      </w:r>
      <w:proofErr w:type="spellStart"/>
      <w:r w:rsidRPr="00D2440E">
        <w:t>for</w:t>
      </w:r>
      <w:proofErr w:type="spellEnd"/>
      <w:r w:rsidRPr="00D2440E">
        <w:t xml:space="preserve"> </w:t>
      </w:r>
      <w:proofErr w:type="spellStart"/>
      <w:r w:rsidRPr="00D2440E">
        <w:t>Independent</w:t>
      </w:r>
      <w:proofErr w:type="spellEnd"/>
      <w:r w:rsidRPr="00D2440E">
        <w:t xml:space="preserve"> </w:t>
      </w:r>
      <w:proofErr w:type="spellStart"/>
      <w:r w:rsidRPr="00D2440E">
        <w:t>Political</w:t>
      </w:r>
      <w:proofErr w:type="spellEnd"/>
      <w:r w:rsidRPr="00D2440E">
        <w:t xml:space="preserve"> </w:t>
      </w:r>
      <w:proofErr w:type="spellStart"/>
      <w:r w:rsidRPr="00D2440E">
        <w:t>Research</w:t>
      </w:r>
      <w:proofErr w:type="spellEnd"/>
      <w:r w:rsidRPr="00D2440E">
        <w:t>.</w:t>
      </w:r>
    </w:p>
  </w:endnote>
  <w:endnote w:id="11">
    <w:p w14:paraId="21D5B948" w14:textId="26BA280F" w:rsidR="00CD1FAD" w:rsidRPr="00D2440E" w:rsidRDefault="00CD1FAD">
      <w:pPr>
        <w:pStyle w:val="EndnoteText"/>
      </w:pPr>
      <w:r w:rsidRPr="00D2440E">
        <w:rPr>
          <w:rStyle w:val="EndnoteReference"/>
          <w:szCs w:val="18"/>
        </w:rPr>
        <w:endnoteRef/>
      </w:r>
      <w:r w:rsidRPr="00D2440E">
        <w:t xml:space="preserve"> </w:t>
      </w:r>
      <w:proofErr w:type="spellStart"/>
      <w:r w:rsidRPr="00D2440E">
        <w:t>Ibid</w:t>
      </w:r>
      <w:proofErr w:type="spellEnd"/>
      <w:r w:rsidRPr="00D2440E">
        <w:t>.</w:t>
      </w:r>
    </w:p>
  </w:endnote>
  <w:endnote w:id="12">
    <w:p w14:paraId="3C711F68" w14:textId="77777777" w:rsidR="00CD1FAD" w:rsidRPr="00D2440E" w:rsidRDefault="00CD1FAD">
      <w:pPr>
        <w:pStyle w:val="EndnoteText"/>
      </w:pPr>
      <w:r w:rsidRPr="00D2440E">
        <w:rPr>
          <w:rStyle w:val="EndnoteReference"/>
          <w:szCs w:val="18"/>
        </w:rPr>
        <w:endnoteRef/>
      </w:r>
      <w:r w:rsidRPr="00D2440E">
        <w:t xml:space="preserve"> </w:t>
      </w:r>
      <w:proofErr w:type="spellStart"/>
      <w:r w:rsidRPr="00D2440E">
        <w:t>See</w:t>
      </w:r>
      <w:proofErr w:type="spellEnd"/>
      <w:r w:rsidRPr="00D2440E">
        <w:t xml:space="preserve"> </w:t>
      </w:r>
      <w:proofErr w:type="spellStart"/>
      <w:r w:rsidRPr="00D2440E">
        <w:t>text</w:t>
      </w:r>
      <w:proofErr w:type="spellEnd"/>
      <w:r w:rsidRPr="00D2440E">
        <w:t xml:space="preserve"> </w:t>
      </w:r>
      <w:proofErr w:type="spellStart"/>
      <w:r w:rsidRPr="00D2440E">
        <w:t>of</w:t>
      </w:r>
      <w:proofErr w:type="spellEnd"/>
      <w:r w:rsidRPr="00D2440E">
        <w:t xml:space="preserve"> </w:t>
      </w:r>
      <w:proofErr w:type="spellStart"/>
      <w:r w:rsidRPr="00D2440E">
        <w:t>the</w:t>
      </w:r>
      <w:proofErr w:type="spellEnd"/>
      <w:r w:rsidRPr="00D2440E">
        <w:t xml:space="preserve"> </w:t>
      </w:r>
      <w:proofErr w:type="spellStart"/>
      <w:r w:rsidRPr="00D2440E">
        <w:t>law</w:t>
      </w:r>
      <w:proofErr w:type="spellEnd"/>
      <w:r w:rsidRPr="00D2440E">
        <w:t xml:space="preserve"> </w:t>
      </w:r>
      <w:proofErr w:type="spellStart"/>
      <w:r w:rsidRPr="00D2440E">
        <w:t>at</w:t>
      </w:r>
      <w:proofErr w:type="spellEnd"/>
      <w:r w:rsidRPr="00D2440E">
        <w:t>: http://bit.ly/1Vrnx6S.</w:t>
      </w:r>
    </w:p>
  </w:endnote>
  <w:endnote w:id="13">
    <w:p w14:paraId="2752F329" w14:textId="1193D23D"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xml:space="preserve">, 31-32. </w:t>
      </w:r>
    </w:p>
  </w:endnote>
  <w:endnote w:id="14">
    <w:p w14:paraId="6001F5A9" w14:textId="6D121DEC" w:rsidR="00CD1FAD" w:rsidRPr="00D2440E" w:rsidRDefault="00CD1FAD" w:rsidP="00A55DCA">
      <w:pPr>
        <w:rPr>
          <w:rFonts w:ascii="Gill Sans" w:eastAsia="Times New Roman" w:hAnsi="Gill Sans" w:cs="Gill Sans"/>
          <w:sz w:val="18"/>
          <w:szCs w:val="18"/>
        </w:rPr>
      </w:pPr>
      <w:r w:rsidRPr="00D2440E">
        <w:rPr>
          <w:rFonts w:ascii="Gill Sans" w:hAnsi="Gill Sans" w:cs="Gill Sans"/>
          <w:color w:val="222222"/>
          <w:sz w:val="18"/>
          <w:szCs w:val="18"/>
          <w:vertAlign w:val="superscript"/>
        </w:rPr>
        <w:endnoteRef/>
      </w:r>
      <w:r w:rsidRPr="00D2440E">
        <w:rPr>
          <w:rFonts w:ascii="Gill Sans" w:hAnsi="Gill Sans" w:cs="Gill Sans"/>
          <w:color w:val="222222"/>
          <w:sz w:val="18"/>
          <w:szCs w:val="18"/>
        </w:rPr>
        <w:t xml:space="preserve"> See text of the regulations at: </w:t>
      </w:r>
      <w:hyperlink r:id="rId3" w:history="1">
        <w:r w:rsidRPr="00D2440E">
          <w:rPr>
            <w:rFonts w:ascii="Gill Sans" w:hAnsi="Gill Sans" w:cs="Gill Sans"/>
            <w:color w:val="222222"/>
            <w:sz w:val="18"/>
            <w:szCs w:val="18"/>
          </w:rPr>
          <w:t>http://bit.ly/2ily5va</w:t>
        </w:r>
      </w:hyperlink>
      <w:r w:rsidRPr="00D2440E">
        <w:rPr>
          <w:rFonts w:ascii="Gill Sans" w:hAnsi="Gill Sans" w:cs="Gill Sans"/>
          <w:color w:val="222222"/>
          <w:sz w:val="18"/>
          <w:szCs w:val="18"/>
        </w:rPr>
        <w:t>.</w:t>
      </w:r>
      <w:r w:rsidRPr="00D2440E">
        <w:rPr>
          <w:rFonts w:ascii="Gill Sans" w:eastAsia="Times New Roman" w:hAnsi="Gill Sans" w:cs="Gill Sans"/>
          <w:color w:val="A3AAAE"/>
          <w:sz w:val="18"/>
          <w:szCs w:val="18"/>
        </w:rPr>
        <w:t xml:space="preserve"> </w:t>
      </w:r>
    </w:p>
  </w:endnote>
  <w:endnote w:id="15">
    <w:p w14:paraId="1EC916F8" w14:textId="4C4F04F0" w:rsidR="00CD1FAD" w:rsidRPr="00D2440E" w:rsidRDefault="00CD1FAD" w:rsidP="006319F4">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xml:space="preserve">, 31. </w:t>
      </w:r>
    </w:p>
  </w:endnote>
  <w:endnote w:id="16">
    <w:p w14:paraId="268A2BA6" w14:textId="4E8508FC" w:rsidR="00CD1FAD" w:rsidRPr="002D6D9A" w:rsidRDefault="00CD1FAD">
      <w:pPr>
        <w:pStyle w:val="EndnoteText"/>
      </w:pPr>
      <w:r>
        <w:rPr>
          <w:rStyle w:val="EndnoteReference"/>
        </w:rPr>
        <w:endnoteRef/>
      </w:r>
      <w:r>
        <w:t xml:space="preserve"> </w:t>
      </w:r>
      <w:proofErr w:type="spellStart"/>
      <w:r>
        <w:t>Harm</w:t>
      </w:r>
      <w:proofErr w:type="spellEnd"/>
      <w:r>
        <w:t xml:space="preserve"> </w:t>
      </w:r>
      <w:proofErr w:type="spellStart"/>
      <w:r>
        <w:t>and</w:t>
      </w:r>
      <w:proofErr w:type="spellEnd"/>
      <w:r>
        <w:t xml:space="preserve"> </w:t>
      </w:r>
      <w:proofErr w:type="spellStart"/>
      <w:r>
        <w:t>public</w:t>
      </w:r>
      <w:proofErr w:type="spellEnd"/>
      <w:r>
        <w:t xml:space="preserve"> </w:t>
      </w:r>
      <w:proofErr w:type="spellStart"/>
      <w:r>
        <w:t>interest</w:t>
      </w:r>
      <w:proofErr w:type="spellEnd"/>
      <w:r>
        <w:t xml:space="preserve"> tests </w:t>
      </w:r>
      <w:proofErr w:type="spellStart"/>
      <w:r>
        <w:t>are</w:t>
      </w:r>
      <w:proofErr w:type="spellEnd"/>
      <w:r>
        <w:t xml:space="preserve"> </w:t>
      </w:r>
      <w:proofErr w:type="spellStart"/>
      <w:r>
        <w:t>used</w:t>
      </w:r>
      <w:proofErr w:type="spellEnd"/>
      <w:r>
        <w:t xml:space="preserve"> to </w:t>
      </w:r>
      <w:proofErr w:type="spellStart"/>
      <w:r>
        <w:t>establish</w:t>
      </w:r>
      <w:proofErr w:type="spellEnd"/>
      <w:r>
        <w:t xml:space="preserve"> </w:t>
      </w:r>
      <w:proofErr w:type="spellStart"/>
      <w:r>
        <w:t>whether</w:t>
      </w:r>
      <w:proofErr w:type="spellEnd"/>
      <w:r>
        <w:t xml:space="preserve"> </w:t>
      </w:r>
      <w:proofErr w:type="spellStart"/>
      <w:r>
        <w:t>disclosure</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requested</w:t>
      </w:r>
      <w:proofErr w:type="spellEnd"/>
      <w:r>
        <w:t xml:space="preserve"> </w:t>
      </w:r>
      <w:proofErr w:type="spellStart"/>
      <w:r>
        <w:t>information</w:t>
      </w:r>
      <w:proofErr w:type="spellEnd"/>
      <w:r>
        <w:t xml:space="preserve"> </w:t>
      </w:r>
      <w:proofErr w:type="spellStart"/>
      <w:r>
        <w:t>will</w:t>
      </w:r>
      <w:proofErr w:type="spellEnd"/>
      <w:r>
        <w:t xml:space="preserve"> </w:t>
      </w:r>
      <w:proofErr w:type="spellStart"/>
      <w:r>
        <w:t>harm</w:t>
      </w:r>
      <w:proofErr w:type="spellEnd"/>
      <w:r>
        <w:t xml:space="preserve"> </w:t>
      </w:r>
      <w:proofErr w:type="spellStart"/>
      <w:r>
        <w:t>any</w:t>
      </w:r>
      <w:proofErr w:type="spellEnd"/>
      <w:r>
        <w:t xml:space="preserve"> </w:t>
      </w:r>
      <w:proofErr w:type="spellStart"/>
      <w:r>
        <w:t>protected</w:t>
      </w:r>
      <w:proofErr w:type="spellEnd"/>
      <w:r>
        <w:t xml:space="preserve"> </w:t>
      </w:r>
      <w:proofErr w:type="spellStart"/>
      <w:r>
        <w:t>interest</w:t>
      </w:r>
      <w:proofErr w:type="spellEnd"/>
      <w:r>
        <w:t xml:space="preserve"> </w:t>
      </w:r>
      <w:proofErr w:type="spellStart"/>
      <w:r>
        <w:t>and</w:t>
      </w:r>
      <w:proofErr w:type="spellEnd"/>
      <w:r>
        <w:t xml:space="preserve">, </w:t>
      </w:r>
      <w:proofErr w:type="spellStart"/>
      <w:r>
        <w:t>if</w:t>
      </w:r>
      <w:proofErr w:type="spellEnd"/>
      <w:r>
        <w:t xml:space="preserve"> </w:t>
      </w:r>
      <w:proofErr w:type="spellStart"/>
      <w:r>
        <w:t>so</w:t>
      </w:r>
      <w:proofErr w:type="spellEnd"/>
      <w:r>
        <w:t xml:space="preserve">, </w:t>
      </w:r>
      <w:proofErr w:type="spellStart"/>
      <w:r>
        <w:t>whether</w:t>
      </w:r>
      <w:proofErr w:type="spellEnd"/>
      <w:r>
        <w:t xml:space="preserve"> </w:t>
      </w:r>
      <w:proofErr w:type="spellStart"/>
      <w:r>
        <w:t>such</w:t>
      </w:r>
      <w:proofErr w:type="spellEnd"/>
      <w:r>
        <w:t xml:space="preserve"> </w:t>
      </w:r>
      <w:proofErr w:type="spellStart"/>
      <w:r>
        <w:t>harm</w:t>
      </w:r>
      <w:proofErr w:type="spellEnd"/>
      <w:r>
        <w:t xml:space="preserve"> </w:t>
      </w:r>
      <w:proofErr w:type="spellStart"/>
      <w:r>
        <w:t>outweighs</w:t>
      </w:r>
      <w:proofErr w:type="spellEnd"/>
      <w:r>
        <w:t xml:space="preserve"> </w:t>
      </w:r>
      <w:proofErr w:type="spellStart"/>
      <w:r>
        <w:t>the</w:t>
      </w:r>
      <w:proofErr w:type="spellEnd"/>
      <w:r>
        <w:t xml:space="preserve"> </w:t>
      </w:r>
      <w:proofErr w:type="spellStart"/>
      <w:r>
        <w:t>public</w:t>
      </w:r>
      <w:proofErr w:type="spellEnd"/>
      <w:r>
        <w:t xml:space="preserve"> </w:t>
      </w:r>
      <w:proofErr w:type="spellStart"/>
      <w:r>
        <w:t>interest</w:t>
      </w:r>
      <w:proofErr w:type="spellEnd"/>
      <w:r>
        <w:t xml:space="preserve"> </w:t>
      </w:r>
      <w:proofErr w:type="spellStart"/>
      <w:r>
        <w:t>in</w:t>
      </w:r>
      <w:proofErr w:type="spellEnd"/>
      <w:r>
        <w:t xml:space="preserve"> </w:t>
      </w:r>
      <w:proofErr w:type="spellStart"/>
      <w:r>
        <w:t>the</w:t>
      </w:r>
      <w:proofErr w:type="spellEnd"/>
      <w:r>
        <w:t xml:space="preserve"> </w:t>
      </w:r>
      <w:proofErr w:type="spellStart"/>
      <w:r>
        <w:t>disclosure</w:t>
      </w:r>
      <w:proofErr w:type="spellEnd"/>
      <w:r>
        <w:t>.</w:t>
      </w:r>
    </w:p>
  </w:endnote>
  <w:endnote w:id="17">
    <w:p w14:paraId="2BDA7982" w14:textId="77777777" w:rsidR="00CD1FAD" w:rsidRPr="00D2440E" w:rsidRDefault="00CD1FAD">
      <w:pPr>
        <w:pStyle w:val="EndnoteText"/>
        <w:rPr>
          <w:lang w:val="en-US"/>
        </w:rPr>
      </w:pPr>
      <w:r w:rsidRPr="00D2440E">
        <w:rPr>
          <w:rStyle w:val="EndnoteReference"/>
          <w:szCs w:val="18"/>
        </w:rPr>
        <w:endnoteRef/>
      </w:r>
      <w:r w:rsidRPr="00D2440E">
        <w:t xml:space="preserve"> </w:t>
      </w:r>
      <w:r w:rsidRPr="00D2440E">
        <w:t>http://bit.ly/1O2mNof</w:t>
      </w:r>
      <w:r w:rsidRPr="00D2440E">
        <w:rPr>
          <w:lang w:val="en-US"/>
        </w:rPr>
        <w:t xml:space="preserve">. </w:t>
      </w:r>
    </w:p>
  </w:endnote>
  <w:endnote w:id="18">
    <w:p w14:paraId="301FA438" w14:textId="79B94D96" w:rsidR="00CD1FAD" w:rsidRPr="00D2440E" w:rsidRDefault="00CD1FAD">
      <w:pPr>
        <w:pStyle w:val="EndnoteText"/>
        <w:rPr>
          <w:lang w:val="uk-UA"/>
        </w:rPr>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33-34.</w:t>
      </w:r>
      <w:r w:rsidRPr="00D2440E">
        <w:rPr>
          <w:lang w:val="uk-UA"/>
        </w:rPr>
        <w:t xml:space="preserve"> </w:t>
      </w:r>
    </w:p>
  </w:endnote>
  <w:endnote w:id="19">
    <w:p w14:paraId="13EF04CF" w14:textId="54E275F1" w:rsidR="00CD1FAD" w:rsidRPr="00D2440E" w:rsidRDefault="00CD1FAD">
      <w:pPr>
        <w:pStyle w:val="EndnoteText"/>
      </w:pPr>
      <w:r w:rsidRPr="00D2440E">
        <w:rPr>
          <w:rStyle w:val="EndnoteReference"/>
          <w:szCs w:val="18"/>
        </w:rPr>
        <w:endnoteRef/>
      </w:r>
      <w:r w:rsidRPr="00D2440E">
        <w:t xml:space="preserve"> </w:t>
      </w:r>
      <w:proofErr w:type="spellStart"/>
      <w:r w:rsidRPr="00D2440E">
        <w:t>Ibid</w:t>
      </w:r>
      <w:proofErr w:type="spellEnd"/>
      <w:r w:rsidRPr="00D2440E">
        <w:t xml:space="preserve">, 34. </w:t>
      </w:r>
    </w:p>
  </w:endnote>
  <w:endnote w:id="20">
    <w:p w14:paraId="518C4279" w14:textId="319C200F" w:rsidR="00CD1FAD" w:rsidRPr="00F24770" w:rsidRDefault="00CD1FAD">
      <w:pPr>
        <w:pStyle w:val="EndnoteText"/>
        <w:rPr>
          <w:lang w:val="en-US"/>
        </w:rPr>
      </w:pPr>
      <w:r>
        <w:rPr>
          <w:rStyle w:val="EndnoteReference"/>
        </w:rPr>
        <w:endnoteRef/>
      </w:r>
      <w:r>
        <w:t xml:space="preserve"> </w:t>
      </w:r>
      <w:proofErr w:type="spellStart"/>
      <w:r>
        <w:t>Written</w:t>
      </w:r>
      <w:proofErr w:type="spellEnd"/>
      <w:r>
        <w:t xml:space="preserve"> i</w:t>
      </w:r>
      <w:proofErr w:type="spellStart"/>
      <w:r>
        <w:rPr>
          <w:lang w:val="en-US"/>
        </w:rPr>
        <w:t>nterview</w:t>
      </w:r>
      <w:proofErr w:type="spellEnd"/>
      <w:r>
        <w:rPr>
          <w:lang w:val="en-US"/>
        </w:rPr>
        <w:t xml:space="preserve"> with </w:t>
      </w:r>
      <w:proofErr w:type="spellStart"/>
      <w:r>
        <w:rPr>
          <w:lang w:val="en-US"/>
        </w:rPr>
        <w:t>Volodymyr</w:t>
      </w:r>
      <w:proofErr w:type="spellEnd"/>
      <w:r>
        <w:rPr>
          <w:lang w:val="en-US"/>
        </w:rPr>
        <w:t xml:space="preserve"> </w:t>
      </w:r>
      <w:proofErr w:type="spellStart"/>
      <w:r>
        <w:rPr>
          <w:lang w:val="en-US"/>
        </w:rPr>
        <w:t>Shcherbachenko</w:t>
      </w:r>
      <w:proofErr w:type="spellEnd"/>
      <w:r>
        <w:rPr>
          <w:lang w:val="en-US"/>
        </w:rPr>
        <w:t xml:space="preserve">, </w:t>
      </w:r>
      <w:r w:rsidRPr="00C23854">
        <w:rPr>
          <w:szCs w:val="22"/>
        </w:rPr>
        <w:t>NGO East-</w:t>
      </w:r>
      <w:proofErr w:type="spellStart"/>
      <w:r w:rsidRPr="00C23854">
        <w:rPr>
          <w:szCs w:val="22"/>
        </w:rPr>
        <w:t>Ukrainian</w:t>
      </w:r>
      <w:proofErr w:type="spellEnd"/>
      <w:r w:rsidRPr="00C23854">
        <w:rPr>
          <w:szCs w:val="22"/>
        </w:rPr>
        <w:t xml:space="preserve"> </w:t>
      </w:r>
      <w:proofErr w:type="spellStart"/>
      <w:r w:rsidRPr="00C23854">
        <w:rPr>
          <w:szCs w:val="22"/>
        </w:rPr>
        <w:t>Center</w:t>
      </w:r>
      <w:proofErr w:type="spellEnd"/>
      <w:r w:rsidRPr="00C23854">
        <w:rPr>
          <w:szCs w:val="22"/>
        </w:rPr>
        <w:t xml:space="preserve"> </w:t>
      </w:r>
      <w:proofErr w:type="spellStart"/>
      <w:r w:rsidRPr="00C23854">
        <w:rPr>
          <w:szCs w:val="22"/>
        </w:rPr>
        <w:t>for</w:t>
      </w:r>
      <w:proofErr w:type="spellEnd"/>
      <w:r w:rsidRPr="00C23854">
        <w:rPr>
          <w:szCs w:val="22"/>
        </w:rPr>
        <w:t xml:space="preserve"> Civic </w:t>
      </w:r>
      <w:proofErr w:type="spellStart"/>
      <w:r w:rsidRPr="00C23854">
        <w:rPr>
          <w:szCs w:val="22"/>
        </w:rPr>
        <w:t>Initiatives</w:t>
      </w:r>
      <w:proofErr w:type="spellEnd"/>
      <w:r>
        <w:rPr>
          <w:szCs w:val="22"/>
        </w:rPr>
        <w:t>.</w:t>
      </w:r>
    </w:p>
  </w:endnote>
  <w:endnote w:id="21">
    <w:p w14:paraId="4AB41526" w14:textId="2E013AB9" w:rsidR="00CD1FAD" w:rsidRPr="007913CC" w:rsidRDefault="00CD1FAD" w:rsidP="007913CC">
      <w:pPr>
        <w:rPr>
          <w:rFonts w:ascii="Gill Sans" w:eastAsia="Times New Roman" w:hAnsi="Gill Sans" w:cs="Gill Sans"/>
          <w:sz w:val="18"/>
          <w:szCs w:val="18"/>
        </w:rPr>
      </w:pPr>
      <w:r w:rsidRPr="007913CC">
        <w:rPr>
          <w:rStyle w:val="EndnoteReference"/>
          <w:rFonts w:ascii="Gill Sans" w:hAnsi="Gill Sans" w:cs="Gill Sans"/>
          <w:sz w:val="18"/>
          <w:szCs w:val="18"/>
        </w:rPr>
        <w:endnoteRef/>
      </w:r>
      <w:r w:rsidRPr="007913CC">
        <w:rPr>
          <w:rFonts w:ascii="Gill Sans" w:hAnsi="Gill Sans" w:cs="Gill Sans"/>
          <w:sz w:val="18"/>
          <w:szCs w:val="18"/>
        </w:rPr>
        <w:t xml:space="preserve"> See, for example, </w:t>
      </w:r>
      <w:r>
        <w:rPr>
          <w:rFonts w:ascii="Gill Sans" w:hAnsi="Gill Sans" w:cs="Gill Sans"/>
          <w:sz w:val="18"/>
          <w:szCs w:val="18"/>
        </w:rPr>
        <w:t xml:space="preserve">the </w:t>
      </w:r>
      <w:r w:rsidRPr="007913CC">
        <w:rPr>
          <w:rFonts w:ascii="Gill Sans" w:hAnsi="Gill Sans" w:cs="Gill Sans"/>
          <w:sz w:val="18"/>
          <w:szCs w:val="18"/>
        </w:rPr>
        <w:t xml:space="preserve">case of </w:t>
      </w:r>
      <w:proofErr w:type="spellStart"/>
      <w:r w:rsidRPr="007913CC">
        <w:rPr>
          <w:rFonts w:ascii="Gill Sans" w:hAnsi="Gill Sans" w:cs="Gill Sans"/>
          <w:sz w:val="18"/>
          <w:szCs w:val="18"/>
        </w:rPr>
        <w:t>Vinnytsia</w:t>
      </w:r>
      <w:proofErr w:type="spellEnd"/>
      <w:r w:rsidRPr="007913CC">
        <w:rPr>
          <w:rFonts w:ascii="Gill Sans" w:hAnsi="Gill Sans" w:cs="Gill Sans"/>
          <w:sz w:val="18"/>
          <w:szCs w:val="18"/>
        </w:rPr>
        <w:t xml:space="preserve">: </w:t>
      </w:r>
      <w:hyperlink r:id="rId4" w:history="1">
        <w:r w:rsidRPr="007913CC">
          <w:rPr>
            <w:rStyle w:val="Hyperlink"/>
            <w:rFonts w:ascii="Gill Sans" w:eastAsia="Times New Roman" w:hAnsi="Gill Sans" w:cs="Gill Sans"/>
            <w:sz w:val="18"/>
            <w:szCs w:val="18"/>
          </w:rPr>
          <w:t>http://bit.ly/2mSUovN</w:t>
        </w:r>
      </w:hyperlink>
      <w:r w:rsidRPr="00163080">
        <w:rPr>
          <w:rFonts w:ascii="Gill Sans" w:eastAsia="Times New Roman" w:hAnsi="Gill Sans" w:cs="Gill Sans"/>
          <w:color w:val="000000" w:themeColor="text1"/>
          <w:sz w:val="18"/>
          <w:szCs w:val="18"/>
        </w:rPr>
        <w:t>, http://bit.ly/2oeSAxn.</w:t>
      </w:r>
    </w:p>
  </w:endnote>
  <w:endnote w:id="22">
    <w:p w14:paraId="13E92324" w14:textId="0E6BC9FB" w:rsidR="00CD1FAD" w:rsidRPr="00F24770" w:rsidRDefault="00CD1FAD" w:rsidP="006319F4">
      <w:pPr>
        <w:pStyle w:val="EndnoteText"/>
        <w:rPr>
          <w:lang w:val="en-US"/>
        </w:rPr>
      </w:pPr>
      <w:r>
        <w:rPr>
          <w:rStyle w:val="EndnoteReference"/>
        </w:rPr>
        <w:endnoteRef/>
      </w:r>
      <w:r>
        <w:t xml:space="preserve"> </w:t>
      </w:r>
      <w:proofErr w:type="spellStart"/>
      <w:r>
        <w:t>Written</w:t>
      </w:r>
      <w:proofErr w:type="spellEnd"/>
      <w:r>
        <w:t xml:space="preserve"> </w:t>
      </w:r>
      <w:proofErr w:type="spellStart"/>
      <w:r>
        <w:t>submission</w:t>
      </w:r>
      <w:proofErr w:type="spellEnd"/>
      <w:r>
        <w:t xml:space="preserve"> </w:t>
      </w:r>
      <w:proofErr w:type="spellStart"/>
      <w:r>
        <w:t>by</w:t>
      </w:r>
      <w:proofErr w:type="spellEnd"/>
      <w:r>
        <w:t xml:space="preserve"> </w:t>
      </w:r>
      <w:r w:rsidRPr="00C23854">
        <w:t>NGO East-</w:t>
      </w:r>
      <w:proofErr w:type="spellStart"/>
      <w:r w:rsidRPr="00C23854">
        <w:t>Ukrainian</w:t>
      </w:r>
      <w:proofErr w:type="spellEnd"/>
      <w:r w:rsidRPr="00C23854">
        <w:t xml:space="preserve"> </w:t>
      </w:r>
      <w:proofErr w:type="spellStart"/>
      <w:r w:rsidRPr="00C23854">
        <w:t>Center</w:t>
      </w:r>
      <w:proofErr w:type="spellEnd"/>
      <w:r w:rsidRPr="00C23854">
        <w:t xml:space="preserve"> </w:t>
      </w:r>
      <w:proofErr w:type="spellStart"/>
      <w:r w:rsidRPr="00C23854">
        <w:t>for</w:t>
      </w:r>
      <w:proofErr w:type="spellEnd"/>
      <w:r w:rsidRPr="00C23854">
        <w:t xml:space="preserve"> Civic </w:t>
      </w:r>
      <w:proofErr w:type="spellStart"/>
      <w:r w:rsidRPr="00C23854">
        <w:t>Initiatives</w:t>
      </w:r>
      <w:proofErr w:type="spellEnd"/>
      <w:r>
        <w:t>.</w:t>
      </w:r>
    </w:p>
  </w:endnote>
  <w:endnote w:id="23">
    <w:p w14:paraId="790A22AF" w14:textId="77777777" w:rsidR="00CD1FAD" w:rsidRPr="003221C6" w:rsidRDefault="00CD1FAD" w:rsidP="006319F4">
      <w:pPr>
        <w:pStyle w:val="EndnoteText"/>
        <w:rPr>
          <w:lang w:val="uk-UA"/>
        </w:rPr>
      </w:pPr>
      <w:r w:rsidRPr="003221C6">
        <w:rPr>
          <w:rStyle w:val="EndnoteReference"/>
          <w:rFonts w:ascii="Gill Sans MT" w:hAnsi="Gill Sans MT"/>
          <w:szCs w:val="18"/>
        </w:rPr>
        <w:endnoteRef/>
      </w:r>
      <w:r w:rsidRPr="003221C6">
        <w:rPr>
          <w:lang w:val="uk-UA"/>
        </w:rPr>
        <w:t xml:space="preserve"> </w:t>
      </w:r>
      <w:r w:rsidRPr="003221C6">
        <w:t>http</w:t>
      </w:r>
      <w:r w:rsidRPr="003221C6">
        <w:rPr>
          <w:lang w:val="uk-UA"/>
        </w:rPr>
        <w:t>://</w:t>
      </w:r>
      <w:r w:rsidRPr="003221C6">
        <w:t>bit</w:t>
      </w:r>
      <w:r w:rsidRPr="003221C6">
        <w:rPr>
          <w:lang w:val="uk-UA"/>
        </w:rPr>
        <w:t>.</w:t>
      </w:r>
      <w:r w:rsidRPr="003221C6">
        <w:t>ly</w:t>
      </w:r>
      <w:r w:rsidRPr="003221C6">
        <w:rPr>
          <w:lang w:val="uk-UA"/>
        </w:rPr>
        <w:t>/1</w:t>
      </w:r>
      <w:r w:rsidRPr="003221C6">
        <w:t>hKjXrb</w:t>
      </w:r>
      <w:r w:rsidRPr="003221C6">
        <w:rPr>
          <w:lang w:val="uk-UA"/>
        </w:rPr>
        <w:t xml:space="preserve">. </w:t>
      </w:r>
    </w:p>
  </w:endnote>
  <w:endnote w:id="24">
    <w:p w14:paraId="25E266E7" w14:textId="631D1638" w:rsidR="00CD1FAD" w:rsidRPr="003221C6" w:rsidRDefault="00CD1FAD">
      <w:pPr>
        <w:pStyle w:val="EndnoteText"/>
      </w:pPr>
      <w:r w:rsidRPr="003221C6">
        <w:rPr>
          <w:rStyle w:val="EndnoteReference"/>
          <w:rFonts w:ascii="Gill Sans MT" w:hAnsi="Gill Sans MT"/>
          <w:szCs w:val="18"/>
        </w:rPr>
        <w:endnoteRef/>
      </w:r>
      <w:r w:rsidRPr="003221C6">
        <w:t xml:space="preserve"> </w:t>
      </w:r>
      <w:proofErr w:type="spellStart"/>
      <w:r w:rsidRPr="003221C6">
        <w:t>Independent</w:t>
      </w:r>
      <w:proofErr w:type="spellEnd"/>
      <w:r w:rsidRPr="003221C6">
        <w:t xml:space="preserve"> </w:t>
      </w:r>
      <w:proofErr w:type="spellStart"/>
      <w:r w:rsidRPr="003221C6">
        <w:t>Reporting</w:t>
      </w:r>
      <w:proofErr w:type="spellEnd"/>
      <w:r w:rsidRPr="003221C6">
        <w:t xml:space="preserve"> </w:t>
      </w:r>
      <w:proofErr w:type="spellStart"/>
      <w:r w:rsidRPr="003221C6">
        <w:t>Mechanism</w:t>
      </w:r>
      <w:proofErr w:type="spellEnd"/>
      <w:r w:rsidRPr="003221C6">
        <w:t xml:space="preserve"> (IRM) Progress </w:t>
      </w:r>
      <w:proofErr w:type="spellStart"/>
      <w:r w:rsidRPr="003221C6">
        <w:t>Report</w:t>
      </w:r>
      <w:proofErr w:type="spellEnd"/>
      <w:r w:rsidRPr="003221C6">
        <w:t xml:space="preserve"> 2014</w:t>
      </w:r>
      <w:r>
        <w:t>-</w:t>
      </w:r>
      <w:r w:rsidRPr="003221C6">
        <w:t xml:space="preserve">15: </w:t>
      </w:r>
      <w:proofErr w:type="spellStart"/>
      <w:r w:rsidRPr="003221C6">
        <w:t>Ukraine</w:t>
      </w:r>
      <w:proofErr w:type="spellEnd"/>
      <w:r w:rsidRPr="003221C6">
        <w:t xml:space="preserve">, 36-37. </w:t>
      </w:r>
    </w:p>
  </w:endnote>
  <w:endnote w:id="25">
    <w:p w14:paraId="45025289" w14:textId="6DEA5E0C" w:rsidR="00CD1FAD" w:rsidRPr="003221C6" w:rsidRDefault="00CD1FAD">
      <w:pPr>
        <w:pStyle w:val="EndnoteText"/>
        <w:rPr>
          <w:lang w:val="uk-UA"/>
        </w:rPr>
      </w:pPr>
      <w:r w:rsidRPr="003221C6">
        <w:rPr>
          <w:rStyle w:val="EndnoteReference"/>
          <w:rFonts w:ascii="Gill Sans MT" w:hAnsi="Gill Sans MT"/>
          <w:szCs w:val="18"/>
        </w:rPr>
        <w:endnoteRef/>
      </w:r>
      <w:r w:rsidRPr="003221C6">
        <w:rPr>
          <w:lang w:val="uk-UA"/>
        </w:rPr>
        <w:t xml:space="preserve"> </w:t>
      </w:r>
      <w:proofErr w:type="spellStart"/>
      <w:r w:rsidRPr="003221C6">
        <w:t>Ibid</w:t>
      </w:r>
      <w:proofErr w:type="spellEnd"/>
      <w:r w:rsidRPr="003221C6">
        <w:t>, 37</w:t>
      </w:r>
      <w:r w:rsidRPr="003221C6">
        <w:rPr>
          <w:lang w:val="uk-UA"/>
        </w:rPr>
        <w:t xml:space="preserve">. </w:t>
      </w:r>
    </w:p>
  </w:endnote>
  <w:endnote w:id="26">
    <w:p w14:paraId="0FDEB48B" w14:textId="77777777" w:rsidR="00CD1FAD" w:rsidRPr="003221C6" w:rsidRDefault="00CD1FAD" w:rsidP="007D0598">
      <w:pPr>
        <w:rPr>
          <w:rFonts w:ascii="Gill Sans MT" w:eastAsia="Times New Roman" w:hAnsi="Gill Sans MT" w:cs="Gill Sans"/>
          <w:sz w:val="18"/>
          <w:szCs w:val="18"/>
        </w:rPr>
      </w:pPr>
      <w:r w:rsidRPr="003221C6">
        <w:rPr>
          <w:rFonts w:ascii="Gill Sans MT" w:hAnsi="Gill Sans MT" w:cs="Gill Sans"/>
          <w:color w:val="222222"/>
          <w:sz w:val="18"/>
          <w:szCs w:val="18"/>
          <w:vertAlign w:val="superscript"/>
        </w:rPr>
        <w:endnoteRef/>
      </w:r>
      <w:r w:rsidRPr="003221C6">
        <w:rPr>
          <w:rFonts w:ascii="Gill Sans MT" w:hAnsi="Gill Sans MT" w:cs="Gill Sans"/>
          <w:color w:val="222222"/>
          <w:sz w:val="18"/>
          <w:szCs w:val="18"/>
        </w:rPr>
        <w:t xml:space="preserve"> See text of the decision at http://bit.ly/2iw7HPY.</w:t>
      </w:r>
    </w:p>
  </w:endnote>
  <w:endnote w:id="27">
    <w:p w14:paraId="7E4C8CA8" w14:textId="531BF8B2" w:rsidR="00CD1FAD" w:rsidRPr="00163080" w:rsidRDefault="00CD1FAD" w:rsidP="008D05DF">
      <w:pPr>
        <w:rPr>
          <w:rFonts w:ascii="Gill Sans MT" w:eastAsia="Times New Roman" w:hAnsi="Gill Sans MT"/>
          <w:color w:val="000000" w:themeColor="text1"/>
          <w:sz w:val="18"/>
          <w:szCs w:val="18"/>
        </w:rPr>
      </w:pPr>
      <w:r w:rsidRPr="003221C6">
        <w:rPr>
          <w:rFonts w:ascii="Gill Sans MT" w:hAnsi="Gill Sans MT"/>
          <w:sz w:val="18"/>
          <w:szCs w:val="18"/>
        </w:rPr>
        <w:endnoteRef/>
      </w:r>
      <w:r w:rsidRPr="003221C6">
        <w:rPr>
          <w:rFonts w:ascii="Gill Sans MT" w:hAnsi="Gill Sans MT" w:cs="Gill Sans"/>
          <w:color w:val="222222"/>
          <w:sz w:val="18"/>
          <w:szCs w:val="18"/>
        </w:rPr>
        <w:t xml:space="preserve"> </w:t>
      </w:r>
      <w:r w:rsidRPr="003221C6">
        <w:rPr>
          <w:rFonts w:ascii="Gill Sans MT" w:hAnsi="Gill Sans MT" w:cs="Gill Sans"/>
          <w:sz w:val="18"/>
          <w:szCs w:val="18"/>
        </w:rPr>
        <w:t xml:space="preserve">Written interview with </w:t>
      </w:r>
      <w:proofErr w:type="spellStart"/>
      <w:r w:rsidRPr="003221C6">
        <w:rPr>
          <w:rFonts w:ascii="Gill Sans MT" w:hAnsi="Gill Sans MT" w:cs="Gill Sans"/>
          <w:sz w:val="18"/>
          <w:szCs w:val="18"/>
        </w:rPr>
        <w:t>Andriy</w:t>
      </w:r>
      <w:proofErr w:type="spellEnd"/>
      <w:r w:rsidRPr="003221C6">
        <w:rPr>
          <w:rFonts w:ascii="Gill Sans MT" w:hAnsi="Gill Sans MT" w:cs="Gill Sans"/>
          <w:sz w:val="18"/>
          <w:szCs w:val="18"/>
        </w:rPr>
        <w:t xml:space="preserve"> </w:t>
      </w:r>
      <w:proofErr w:type="spellStart"/>
      <w:r w:rsidRPr="003221C6">
        <w:rPr>
          <w:rFonts w:ascii="Gill Sans MT" w:hAnsi="Gill Sans MT" w:cs="Gill Sans"/>
          <w:sz w:val="18"/>
          <w:szCs w:val="18"/>
        </w:rPr>
        <w:t>Kohut</w:t>
      </w:r>
      <w:proofErr w:type="spellEnd"/>
      <w:r w:rsidRPr="003221C6">
        <w:rPr>
          <w:rFonts w:ascii="Gill Sans MT" w:hAnsi="Gill Sans MT" w:cs="Gill Sans"/>
          <w:sz w:val="18"/>
          <w:szCs w:val="18"/>
        </w:rPr>
        <w:t xml:space="preserve">, head of the </w:t>
      </w:r>
      <w:proofErr w:type="spellStart"/>
      <w:r w:rsidRPr="003221C6">
        <w:rPr>
          <w:rFonts w:ascii="Gill Sans MT" w:hAnsi="Gill Sans MT" w:cs="Gill Sans"/>
          <w:sz w:val="18"/>
          <w:szCs w:val="18"/>
        </w:rPr>
        <w:t>specialised</w:t>
      </w:r>
      <w:proofErr w:type="spellEnd"/>
      <w:r w:rsidRPr="003221C6">
        <w:rPr>
          <w:rFonts w:ascii="Gill Sans MT" w:hAnsi="Gill Sans MT" w:cs="Gill Sans"/>
          <w:sz w:val="18"/>
          <w:szCs w:val="18"/>
        </w:rPr>
        <w:t xml:space="preserve"> archive of the Security Service of Ukraine. </w:t>
      </w:r>
      <w:r w:rsidRPr="003221C6">
        <w:rPr>
          <w:rFonts w:ascii="Gill Sans MT" w:hAnsi="Gill Sans MT" w:cs="Gill Sans"/>
          <w:color w:val="222222"/>
          <w:sz w:val="18"/>
          <w:szCs w:val="18"/>
        </w:rPr>
        <w:t xml:space="preserve">See also reports and analytics on the access to archives following adoption of the Law: </w:t>
      </w:r>
      <w:hyperlink r:id="rId5" w:history="1">
        <w:r w:rsidRPr="003221C6">
          <w:rPr>
            <w:rStyle w:val="Hyperlink"/>
            <w:rFonts w:ascii="Gill Sans MT" w:eastAsia="Times New Roman" w:hAnsi="Gill Sans MT" w:cs="Gill Sans"/>
            <w:sz w:val="18"/>
            <w:szCs w:val="18"/>
          </w:rPr>
          <w:t>http://bit.ly/2nw0nUg</w:t>
        </w:r>
      </w:hyperlink>
      <w:r w:rsidRPr="003221C6">
        <w:rPr>
          <w:rFonts w:ascii="Gill Sans MT" w:eastAsia="Times New Roman" w:hAnsi="Gill Sans MT" w:cs="Gill Sans"/>
          <w:sz w:val="18"/>
          <w:szCs w:val="18"/>
        </w:rPr>
        <w:t xml:space="preserve">, </w:t>
      </w:r>
      <w:hyperlink r:id="rId6" w:history="1">
        <w:r w:rsidRPr="003221C6">
          <w:rPr>
            <w:rStyle w:val="Hyperlink"/>
            <w:rFonts w:ascii="Gill Sans MT" w:eastAsia="Times New Roman" w:hAnsi="Gill Sans MT" w:cs="Gill Sans"/>
            <w:sz w:val="18"/>
            <w:szCs w:val="18"/>
          </w:rPr>
          <w:t>http://bit.ly/2nhlp7u</w:t>
        </w:r>
      </w:hyperlink>
      <w:r w:rsidRPr="003221C6">
        <w:rPr>
          <w:rFonts w:ascii="Gill Sans MT" w:eastAsia="Times New Roman" w:hAnsi="Gill Sans MT" w:cs="Gill Sans"/>
          <w:sz w:val="18"/>
          <w:szCs w:val="18"/>
        </w:rPr>
        <w:t xml:space="preserve">, </w:t>
      </w:r>
      <w:r w:rsidRPr="00163080">
        <w:rPr>
          <w:rFonts w:ascii="Gill Sans MT" w:eastAsia="Times New Roman" w:hAnsi="Gill Sans MT" w:cs="Gill Sans"/>
          <w:color w:val="000000" w:themeColor="text1"/>
          <w:sz w:val="18"/>
          <w:szCs w:val="18"/>
        </w:rPr>
        <w:t>http://bit.ly/2nMFOVP</w:t>
      </w:r>
      <w:r w:rsidRPr="00163080">
        <w:rPr>
          <w:rFonts w:ascii="Gill Sans MT" w:hAnsi="Gill Sans MT" w:cs="Gill Sans"/>
          <w:color w:val="000000" w:themeColor="text1"/>
          <w:sz w:val="18"/>
          <w:szCs w:val="18"/>
        </w:rPr>
        <w:t>.</w:t>
      </w:r>
      <w:r w:rsidRPr="00163080">
        <w:rPr>
          <w:rFonts w:ascii="Gill Sans MT" w:eastAsia="Times New Roman" w:hAnsi="Gill Sans MT" w:cs="Gill Sans"/>
          <w:color w:val="000000" w:themeColor="text1"/>
          <w:sz w:val="18"/>
          <w:szCs w:val="18"/>
        </w:rPr>
        <w:t xml:space="preserve"> </w:t>
      </w:r>
    </w:p>
  </w:endnote>
  <w:endnote w:id="28">
    <w:p w14:paraId="471C8F7B" w14:textId="5326EE4A" w:rsidR="00CD1FAD" w:rsidRPr="003221C6" w:rsidRDefault="00CD1FAD" w:rsidP="003221C6">
      <w:pPr>
        <w:rPr>
          <w:rFonts w:ascii="Gill Sans MT" w:eastAsia="Times New Roman" w:hAnsi="Gill Sans MT"/>
          <w:sz w:val="18"/>
          <w:szCs w:val="18"/>
        </w:rPr>
      </w:pPr>
      <w:r w:rsidRPr="003221C6">
        <w:rPr>
          <w:rStyle w:val="EndnoteReference"/>
          <w:rFonts w:ascii="Gill Sans MT" w:hAnsi="Gill Sans MT"/>
          <w:sz w:val="18"/>
          <w:szCs w:val="18"/>
        </w:rPr>
        <w:endnoteRef/>
      </w:r>
      <w:r w:rsidRPr="003221C6">
        <w:rPr>
          <w:rFonts w:ascii="Gill Sans MT" w:hAnsi="Gill Sans MT"/>
          <w:sz w:val="18"/>
          <w:szCs w:val="18"/>
        </w:rPr>
        <w:t xml:space="preserve"> Ukraine Crisis Media Center, Open Access to Archives Allows Citizens to Learn about their Families, </w:t>
      </w:r>
      <w:r>
        <w:rPr>
          <w:rFonts w:ascii="Gill Sans MT" w:hAnsi="Gill Sans MT"/>
          <w:sz w:val="18"/>
          <w:szCs w:val="18"/>
        </w:rPr>
        <w:t xml:space="preserve">20 </w:t>
      </w:r>
      <w:r w:rsidRPr="003221C6">
        <w:rPr>
          <w:rFonts w:ascii="Gill Sans MT" w:hAnsi="Gill Sans MT"/>
          <w:sz w:val="18"/>
          <w:szCs w:val="18"/>
        </w:rPr>
        <w:t>April 2016</w:t>
      </w:r>
      <w:r>
        <w:rPr>
          <w:rFonts w:ascii="Gill Sans MT" w:hAnsi="Gill Sans MT"/>
          <w:sz w:val="18"/>
          <w:szCs w:val="18"/>
        </w:rPr>
        <w:t>,</w:t>
      </w:r>
      <w:r w:rsidRPr="003221C6">
        <w:rPr>
          <w:rFonts w:ascii="Gill Sans MT" w:hAnsi="Gill Sans MT"/>
          <w:sz w:val="18"/>
          <w:szCs w:val="18"/>
        </w:rPr>
        <w:t xml:space="preserve">  </w:t>
      </w:r>
      <w:hyperlink r:id="rId7" w:tgtFrame="_blank" w:history="1">
        <w:r w:rsidRPr="003221C6">
          <w:rPr>
            <w:rStyle w:val="Hyperlink"/>
            <w:rFonts w:ascii="Gill Sans MT" w:eastAsia="Times New Roman" w:hAnsi="Gill Sans MT" w:cs="Arial"/>
            <w:color w:val="263238"/>
            <w:sz w:val="18"/>
            <w:szCs w:val="18"/>
          </w:rPr>
          <w:t>http://uacrisis.org/ua/42323-dostup-do-arhiviv</w:t>
        </w:r>
      </w:hyperlink>
      <w:r>
        <w:rPr>
          <w:rStyle w:val="Hyperlink"/>
          <w:rFonts w:ascii="Gill Sans MT" w:eastAsia="Times New Roman" w:hAnsi="Gill Sans MT" w:cs="Arial"/>
          <w:color w:val="263238"/>
          <w:sz w:val="18"/>
          <w:szCs w:val="18"/>
        </w:rPr>
        <w:t>.</w:t>
      </w:r>
    </w:p>
  </w:endnote>
  <w:endnote w:id="29">
    <w:p w14:paraId="1DA9E763" w14:textId="153D6062" w:rsidR="00CD1FAD" w:rsidRPr="008D05DF" w:rsidRDefault="00CD1FAD" w:rsidP="006319F4">
      <w:pPr>
        <w:pStyle w:val="EndnoteText"/>
        <w:rPr>
          <w:lang w:val="en-US"/>
        </w:rPr>
      </w:pPr>
      <w:r w:rsidRPr="003221C6">
        <w:rPr>
          <w:rStyle w:val="EndnoteReference"/>
          <w:rFonts w:ascii="Gill Sans MT" w:hAnsi="Gill Sans MT"/>
          <w:szCs w:val="18"/>
        </w:rPr>
        <w:endnoteRef/>
      </w:r>
      <w:r w:rsidRPr="003221C6">
        <w:t xml:space="preserve"> </w:t>
      </w:r>
      <w:proofErr w:type="spellStart"/>
      <w:r w:rsidRPr="003221C6">
        <w:t>Written</w:t>
      </w:r>
      <w:proofErr w:type="spellEnd"/>
      <w:r w:rsidRPr="003221C6">
        <w:t xml:space="preserve"> </w:t>
      </w:r>
      <w:proofErr w:type="spellStart"/>
      <w:r w:rsidRPr="003221C6">
        <w:t>interview</w:t>
      </w:r>
      <w:proofErr w:type="spellEnd"/>
      <w:r w:rsidRPr="003221C6">
        <w:t xml:space="preserve"> </w:t>
      </w:r>
      <w:proofErr w:type="spellStart"/>
      <w:r w:rsidRPr="003221C6">
        <w:t>with</w:t>
      </w:r>
      <w:proofErr w:type="spellEnd"/>
      <w:r w:rsidRPr="003221C6">
        <w:t xml:space="preserve"> </w:t>
      </w:r>
      <w:proofErr w:type="spellStart"/>
      <w:r w:rsidRPr="003221C6">
        <w:t>Andriy</w:t>
      </w:r>
      <w:proofErr w:type="spellEnd"/>
      <w:r w:rsidRPr="003221C6">
        <w:t xml:space="preserve"> </w:t>
      </w:r>
      <w:proofErr w:type="spellStart"/>
      <w:r w:rsidRPr="003221C6">
        <w:t>Kohut</w:t>
      </w:r>
      <w:proofErr w:type="spellEnd"/>
      <w:r w:rsidRPr="003221C6">
        <w:t>.</w:t>
      </w:r>
      <w:r>
        <w:t xml:space="preserve"> </w:t>
      </w:r>
    </w:p>
  </w:endnote>
  <w:endnote w:id="30">
    <w:p w14:paraId="716C8118" w14:textId="77777777" w:rsidR="00CD1FAD" w:rsidRPr="00D2440E" w:rsidRDefault="00CD1FAD" w:rsidP="006319F4">
      <w:pPr>
        <w:pStyle w:val="EndnoteText"/>
      </w:pPr>
      <w:r w:rsidRPr="00D2440E">
        <w:rPr>
          <w:rStyle w:val="EndnoteReference"/>
          <w:szCs w:val="18"/>
        </w:rPr>
        <w:endnoteRef/>
      </w:r>
      <w:r w:rsidRPr="00D2440E">
        <w:t xml:space="preserve"> </w:t>
      </w:r>
      <w:r w:rsidRPr="00D2440E">
        <w:t>http://bit.ly/1LvuQWk</w:t>
      </w:r>
      <w:r w:rsidRPr="00D2440E">
        <w:rPr>
          <w:noProof/>
        </w:rPr>
        <w:t xml:space="preserve">. </w:t>
      </w:r>
    </w:p>
  </w:endnote>
  <w:endnote w:id="31">
    <w:p w14:paraId="6AA178EA" w14:textId="1C457BEA"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38-39.</w:t>
      </w:r>
    </w:p>
  </w:endnote>
  <w:endnote w:id="32">
    <w:p w14:paraId="035F2A8F" w14:textId="0219785E" w:rsidR="00CD1FAD" w:rsidRPr="00D2440E" w:rsidRDefault="00CD1FAD">
      <w:pPr>
        <w:pStyle w:val="EndnoteText"/>
      </w:pPr>
      <w:r w:rsidRPr="00D2440E">
        <w:rPr>
          <w:rStyle w:val="EndnoteReference"/>
          <w:szCs w:val="18"/>
        </w:rPr>
        <w:endnoteRef/>
      </w:r>
      <w:r w:rsidRPr="00D2440E">
        <w:t xml:space="preserve"> </w:t>
      </w:r>
      <w:proofErr w:type="spellStart"/>
      <w:r w:rsidRPr="00D2440E">
        <w:t>See</w:t>
      </w:r>
      <w:proofErr w:type="spellEnd"/>
      <w:r>
        <w:t>,</w:t>
      </w:r>
      <w:r w:rsidRPr="00D2440E">
        <w:t xml:space="preserve"> </w:t>
      </w:r>
      <w:proofErr w:type="spellStart"/>
      <w:r w:rsidRPr="00D2440E">
        <w:t>for</w:t>
      </w:r>
      <w:proofErr w:type="spellEnd"/>
      <w:r w:rsidRPr="00D2440E">
        <w:t xml:space="preserve"> </w:t>
      </w:r>
      <w:proofErr w:type="spellStart"/>
      <w:r w:rsidRPr="00D2440E">
        <w:t>example</w:t>
      </w:r>
      <w:proofErr w:type="spellEnd"/>
      <w:r w:rsidRPr="00D2440E">
        <w:t xml:space="preserve">, </w:t>
      </w:r>
      <w:proofErr w:type="spellStart"/>
      <w:r w:rsidRPr="00D2440E">
        <w:t>Article</w:t>
      </w:r>
      <w:proofErr w:type="spellEnd"/>
      <w:r w:rsidRPr="00D2440E">
        <w:t xml:space="preserve"> 19 </w:t>
      </w:r>
      <w:proofErr w:type="spellStart"/>
      <w:r w:rsidRPr="00D2440E">
        <w:t>of</w:t>
      </w:r>
      <w:proofErr w:type="spellEnd"/>
      <w:r w:rsidRPr="00D2440E">
        <w:t xml:space="preserve"> </w:t>
      </w:r>
      <w:proofErr w:type="spellStart"/>
      <w:r w:rsidRPr="00D2440E">
        <w:t>the</w:t>
      </w:r>
      <w:proofErr w:type="spellEnd"/>
      <w:r w:rsidRPr="00D2440E">
        <w:t xml:space="preserve"> </w:t>
      </w:r>
      <w:proofErr w:type="spellStart"/>
      <w:r w:rsidRPr="00D2440E">
        <w:t>Model</w:t>
      </w:r>
      <w:proofErr w:type="spellEnd"/>
      <w:r w:rsidRPr="00D2440E">
        <w:t xml:space="preserve"> </w:t>
      </w:r>
      <w:proofErr w:type="spellStart"/>
      <w:r w:rsidRPr="00D2440E">
        <w:t>Freedom</w:t>
      </w:r>
      <w:proofErr w:type="spellEnd"/>
      <w:r w:rsidRPr="00D2440E">
        <w:t xml:space="preserve"> </w:t>
      </w:r>
      <w:proofErr w:type="spellStart"/>
      <w:r w:rsidRPr="00D2440E">
        <w:t>of</w:t>
      </w:r>
      <w:proofErr w:type="spellEnd"/>
      <w:r w:rsidRPr="00D2440E">
        <w:t xml:space="preserve"> </w:t>
      </w:r>
      <w:proofErr w:type="spellStart"/>
      <w:r w:rsidRPr="00D2440E">
        <w:t>Information</w:t>
      </w:r>
      <w:proofErr w:type="spellEnd"/>
      <w:r w:rsidRPr="00D2440E">
        <w:t xml:space="preserve"> </w:t>
      </w:r>
      <w:proofErr w:type="spellStart"/>
      <w:r w:rsidRPr="00D2440E">
        <w:t>Law</w:t>
      </w:r>
      <w:proofErr w:type="spellEnd"/>
      <w:r w:rsidRPr="00D2440E">
        <w:t xml:space="preserve">, </w:t>
      </w:r>
      <w:proofErr w:type="spellStart"/>
      <w:r w:rsidRPr="00D2440E">
        <w:t>the</w:t>
      </w:r>
      <w:proofErr w:type="spellEnd"/>
      <w:r w:rsidRPr="00D2440E">
        <w:t xml:space="preserve"> </w:t>
      </w:r>
      <w:proofErr w:type="spellStart"/>
      <w:r w:rsidRPr="00D2440E">
        <w:t>Council</w:t>
      </w:r>
      <w:proofErr w:type="spellEnd"/>
      <w:r w:rsidRPr="00D2440E">
        <w:t xml:space="preserve"> </w:t>
      </w:r>
      <w:proofErr w:type="spellStart"/>
      <w:r w:rsidRPr="00D2440E">
        <w:t>of</w:t>
      </w:r>
      <w:proofErr w:type="spellEnd"/>
      <w:r w:rsidRPr="00D2440E">
        <w:t xml:space="preserve"> </w:t>
      </w:r>
      <w:proofErr w:type="spellStart"/>
      <w:r w:rsidRPr="00D2440E">
        <w:t>Europe</w:t>
      </w:r>
      <w:proofErr w:type="spellEnd"/>
      <w:r w:rsidRPr="00D2440E">
        <w:t xml:space="preserve"> </w:t>
      </w:r>
      <w:proofErr w:type="spellStart"/>
      <w:r w:rsidRPr="00D2440E">
        <w:t>Convention</w:t>
      </w:r>
      <w:proofErr w:type="spellEnd"/>
      <w:r w:rsidRPr="00D2440E">
        <w:t xml:space="preserve"> </w:t>
      </w:r>
      <w:proofErr w:type="spellStart"/>
      <w:r w:rsidRPr="00D2440E">
        <w:t>on</w:t>
      </w:r>
      <w:proofErr w:type="spellEnd"/>
      <w:r w:rsidRPr="00D2440E">
        <w:t xml:space="preserve"> Access to </w:t>
      </w:r>
      <w:proofErr w:type="spellStart"/>
      <w:r w:rsidRPr="00D2440E">
        <w:t>Official</w:t>
      </w:r>
      <w:proofErr w:type="spellEnd"/>
      <w:r w:rsidRPr="00D2440E">
        <w:t xml:space="preserve"> Documents, </w:t>
      </w:r>
      <w:proofErr w:type="spellStart"/>
      <w:r w:rsidRPr="00D2440E">
        <w:t>and</w:t>
      </w:r>
      <w:proofErr w:type="spellEnd"/>
      <w:r w:rsidRPr="00D2440E">
        <w:t xml:space="preserve"> </w:t>
      </w:r>
      <w:proofErr w:type="spellStart"/>
      <w:r w:rsidRPr="00D2440E">
        <w:t>the</w:t>
      </w:r>
      <w:proofErr w:type="spellEnd"/>
      <w:r w:rsidRPr="00D2440E">
        <w:t xml:space="preserve"> </w:t>
      </w:r>
      <w:proofErr w:type="spellStart"/>
      <w:r w:rsidRPr="00D2440E">
        <w:t>Right</w:t>
      </w:r>
      <w:proofErr w:type="spellEnd"/>
      <w:r w:rsidRPr="00D2440E">
        <w:t xml:space="preserve"> to </w:t>
      </w:r>
      <w:proofErr w:type="spellStart"/>
      <w:r w:rsidRPr="00D2440E">
        <w:t>Information</w:t>
      </w:r>
      <w:proofErr w:type="spellEnd"/>
      <w:r w:rsidRPr="00D2440E">
        <w:t xml:space="preserve"> </w:t>
      </w:r>
      <w:proofErr w:type="spellStart"/>
      <w:r w:rsidRPr="00D2440E">
        <w:t>Global</w:t>
      </w:r>
      <w:proofErr w:type="spellEnd"/>
      <w:r w:rsidRPr="00D2440E">
        <w:t xml:space="preserve"> </w:t>
      </w:r>
      <w:proofErr w:type="spellStart"/>
      <w:r w:rsidRPr="00D2440E">
        <w:t>Rating</w:t>
      </w:r>
      <w:proofErr w:type="spellEnd"/>
      <w:r w:rsidRPr="00D2440E">
        <w:t xml:space="preserve"> </w:t>
      </w:r>
      <w:proofErr w:type="spellStart"/>
      <w:r w:rsidRPr="00D2440E">
        <w:t>Indicators</w:t>
      </w:r>
      <w:proofErr w:type="spellEnd"/>
      <w:r w:rsidRPr="00D2440E">
        <w:t>.</w:t>
      </w:r>
    </w:p>
  </w:endnote>
  <w:endnote w:id="33">
    <w:p w14:paraId="2DAC4E69" w14:textId="5580F2A2"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39.</w:t>
      </w:r>
    </w:p>
  </w:endnote>
  <w:endnote w:id="34">
    <w:p w14:paraId="4FA8AB4F" w14:textId="77777777" w:rsidR="00CD1FAD" w:rsidRPr="00693BC1" w:rsidRDefault="00CD1FAD">
      <w:pPr>
        <w:pStyle w:val="EndnoteText"/>
      </w:pPr>
      <w:r w:rsidRPr="00D2440E">
        <w:rPr>
          <w:rStyle w:val="EndnoteReference"/>
          <w:szCs w:val="18"/>
        </w:rPr>
        <w:endnoteRef/>
      </w:r>
      <w:r w:rsidRPr="00D2440E">
        <w:t xml:space="preserve"> </w:t>
      </w:r>
      <w:r w:rsidRPr="00D2440E">
        <w:t>http://bit.ly/1jy74C7</w:t>
      </w:r>
      <w:r w:rsidRPr="00D2440E">
        <w:rPr>
          <w:color w:val="000090"/>
        </w:rPr>
        <w:t xml:space="preserve">. </w:t>
      </w:r>
    </w:p>
  </w:endnote>
  <w:endnote w:id="35">
    <w:p w14:paraId="7522A46E" w14:textId="49B220E1" w:rsidR="00CD1FAD" w:rsidRPr="00984DCC" w:rsidRDefault="00CD1FAD">
      <w:pPr>
        <w:pStyle w:val="EndnoteText"/>
      </w:pPr>
      <w:r w:rsidRPr="00D2440E">
        <w:rPr>
          <w:rStyle w:val="EndnoteReference"/>
          <w:szCs w:val="18"/>
        </w:rPr>
        <w:endnoteRef/>
      </w:r>
      <w:r w:rsidRPr="00D2440E">
        <w:t xml:space="preserve"> </w:t>
      </w:r>
      <w:r w:rsidRPr="00D2440E">
        <w:t>https://eiti.org/ukraine.</w:t>
      </w:r>
    </w:p>
  </w:endnote>
  <w:endnote w:id="36">
    <w:p w14:paraId="230D8BEB" w14:textId="77777777" w:rsidR="00CD1FAD" w:rsidRPr="00D2440E" w:rsidRDefault="00CD1FAD">
      <w:pPr>
        <w:pStyle w:val="EndnoteText"/>
      </w:pPr>
      <w:r w:rsidRPr="00D2440E">
        <w:rPr>
          <w:rStyle w:val="EndnoteReference"/>
          <w:szCs w:val="18"/>
        </w:rPr>
        <w:endnoteRef/>
      </w:r>
      <w:r w:rsidRPr="00D2440E">
        <w:t xml:space="preserve"> </w:t>
      </w:r>
      <w:r w:rsidRPr="00D2440E">
        <w:t>http://bit.ly/1ODYqyS</w:t>
      </w:r>
      <w:r w:rsidRPr="00D2440E">
        <w:rPr>
          <w:noProof/>
        </w:rPr>
        <w:t xml:space="preserve">.  </w:t>
      </w:r>
    </w:p>
  </w:endnote>
  <w:endnote w:id="37">
    <w:p w14:paraId="2A2DF84A" w14:textId="77777777" w:rsidR="00CD1FAD" w:rsidRPr="00984DCC" w:rsidRDefault="00CD1FAD">
      <w:pPr>
        <w:pStyle w:val="EndnoteText"/>
      </w:pPr>
      <w:r w:rsidRPr="00D2440E">
        <w:rPr>
          <w:rStyle w:val="EndnoteReference"/>
          <w:szCs w:val="18"/>
        </w:rPr>
        <w:endnoteRef/>
      </w:r>
      <w:r w:rsidRPr="00984DCC">
        <w:t xml:space="preserve"> </w:t>
      </w:r>
      <w:r w:rsidRPr="00D2440E">
        <w:t>http://bit.ly/1jQx6jZ</w:t>
      </w:r>
      <w:r w:rsidRPr="00984DCC">
        <w:t xml:space="preserve">. </w:t>
      </w:r>
    </w:p>
  </w:endnote>
  <w:endnote w:id="38">
    <w:p w14:paraId="6528A292" w14:textId="5DB37551"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xml:space="preserve">, 42. </w:t>
      </w:r>
    </w:p>
  </w:endnote>
  <w:endnote w:id="39">
    <w:p w14:paraId="6A828C48" w14:textId="48A882E9" w:rsidR="00CD1FAD" w:rsidRPr="00254401" w:rsidRDefault="00CD1FAD">
      <w:pPr>
        <w:pStyle w:val="EndnoteText"/>
        <w:rPr>
          <w:lang w:val="es-MX"/>
        </w:rPr>
      </w:pPr>
      <w:r w:rsidRPr="00D2440E">
        <w:rPr>
          <w:rStyle w:val="EndnoteReference"/>
          <w:szCs w:val="18"/>
        </w:rPr>
        <w:endnoteRef/>
      </w:r>
      <w:r w:rsidRPr="00254401">
        <w:rPr>
          <w:lang w:val="es-MX"/>
        </w:rPr>
        <w:t xml:space="preserve"> </w:t>
      </w:r>
      <w:proofErr w:type="spellStart"/>
      <w:r w:rsidRPr="00D2440E">
        <w:t>Ibid</w:t>
      </w:r>
      <w:proofErr w:type="spellEnd"/>
      <w:r w:rsidRPr="00D2440E">
        <w:t>, 42-43</w:t>
      </w:r>
      <w:r w:rsidRPr="00254401">
        <w:rPr>
          <w:lang w:val="es-MX"/>
        </w:rPr>
        <w:t xml:space="preserve">. </w:t>
      </w:r>
    </w:p>
  </w:endnote>
  <w:endnote w:id="40">
    <w:p w14:paraId="235F2A1A" w14:textId="68B15BD5" w:rsidR="00CD1FAD" w:rsidRPr="00D2440E" w:rsidRDefault="00CD1FAD">
      <w:pPr>
        <w:pStyle w:val="EndnoteText"/>
        <w:rPr>
          <w:lang w:val="uk-UA"/>
        </w:rPr>
      </w:pPr>
      <w:r w:rsidRPr="00D2440E">
        <w:rPr>
          <w:rStyle w:val="EndnoteReference"/>
          <w:szCs w:val="18"/>
        </w:rPr>
        <w:endnoteRef/>
      </w:r>
      <w:r w:rsidRPr="00D2440E">
        <w:t xml:space="preserve"> </w:t>
      </w:r>
      <w:r w:rsidRPr="00D2440E">
        <w:t xml:space="preserve">https://eiti.org/ukraine. </w:t>
      </w:r>
    </w:p>
  </w:endnote>
  <w:endnote w:id="41">
    <w:p w14:paraId="1DA13A28" w14:textId="7479C493" w:rsidR="00CD1FAD" w:rsidRPr="00163080" w:rsidRDefault="00CD1FAD">
      <w:pPr>
        <w:pStyle w:val="EndnoteText"/>
        <w:rPr>
          <w:color w:val="000000" w:themeColor="text1"/>
        </w:rPr>
      </w:pPr>
      <w:r>
        <w:rPr>
          <w:rStyle w:val="EndnoteReference"/>
        </w:rPr>
        <w:endnoteRef/>
      </w:r>
      <w:r>
        <w:t xml:space="preserve"> </w:t>
      </w:r>
      <w:proofErr w:type="spellStart"/>
      <w:r w:rsidRPr="00C76765">
        <w:t>Text</w:t>
      </w:r>
      <w:proofErr w:type="spellEnd"/>
      <w:r w:rsidRPr="00C76765">
        <w:t xml:space="preserve"> </w:t>
      </w:r>
      <w:proofErr w:type="spellStart"/>
      <w:r w:rsidRPr="00C76765">
        <w:t>of</w:t>
      </w:r>
      <w:proofErr w:type="spellEnd"/>
      <w:r w:rsidRPr="00C76765">
        <w:t xml:space="preserve"> </w:t>
      </w:r>
      <w:proofErr w:type="spellStart"/>
      <w:r w:rsidRPr="00C76765">
        <w:t>the</w:t>
      </w:r>
      <w:proofErr w:type="spellEnd"/>
      <w:r w:rsidRPr="00C76765">
        <w:t xml:space="preserve"> </w:t>
      </w:r>
      <w:proofErr w:type="spellStart"/>
      <w:r w:rsidRPr="00C76765">
        <w:t>report</w:t>
      </w:r>
      <w:proofErr w:type="spellEnd"/>
      <w:r w:rsidRPr="00C76765">
        <w:t xml:space="preserve"> </w:t>
      </w:r>
      <w:proofErr w:type="spellStart"/>
      <w:r w:rsidRPr="00C76765">
        <w:t>available</w:t>
      </w:r>
      <w:proofErr w:type="spellEnd"/>
      <w:r w:rsidRPr="00C76765">
        <w:t xml:space="preserve"> </w:t>
      </w:r>
      <w:proofErr w:type="spellStart"/>
      <w:r w:rsidRPr="00C76765">
        <w:t>at</w:t>
      </w:r>
      <w:proofErr w:type="spellEnd"/>
      <w:r w:rsidRPr="00C76765">
        <w:t xml:space="preserve"> </w:t>
      </w:r>
      <w:r w:rsidRPr="00163080">
        <w:rPr>
          <w:rFonts w:eastAsia="Times New Roman"/>
          <w:color w:val="000000" w:themeColor="text1"/>
        </w:rPr>
        <w:t>http://bit.ly/2nAPbaw.</w:t>
      </w:r>
    </w:p>
  </w:endnote>
  <w:endnote w:id="42">
    <w:p w14:paraId="333DC44B" w14:textId="1EEDE772" w:rsidR="00CD1FAD" w:rsidRPr="001C6F26" w:rsidRDefault="00CD1FAD">
      <w:pPr>
        <w:pStyle w:val="EndnoteText"/>
      </w:pPr>
      <w:r>
        <w:rPr>
          <w:rStyle w:val="EndnoteReference"/>
        </w:rPr>
        <w:endnoteRef/>
      </w:r>
      <w:r>
        <w:t xml:space="preserve"> </w:t>
      </w:r>
      <w:proofErr w:type="spellStart"/>
      <w:r>
        <w:t>Main</w:t>
      </w:r>
      <w:proofErr w:type="spellEnd"/>
      <w:r>
        <w:t xml:space="preserve"> UA EITI </w:t>
      </w:r>
      <w:proofErr w:type="spellStart"/>
      <w:r>
        <w:t>Work</w:t>
      </w:r>
      <w:proofErr w:type="spellEnd"/>
      <w:r>
        <w:t xml:space="preserve"> </w:t>
      </w:r>
      <w:proofErr w:type="spellStart"/>
      <w:r>
        <w:t>Plan</w:t>
      </w:r>
      <w:proofErr w:type="spellEnd"/>
      <w:r>
        <w:t xml:space="preserve"> 2015-2016 </w:t>
      </w:r>
      <w:r w:rsidRPr="001C6F26">
        <w:t>https://eiti.org/sites/default/files/documents/2015_ukraine_work_plan.pdf</w:t>
      </w:r>
      <w:r>
        <w:t>.</w:t>
      </w:r>
    </w:p>
  </w:endnote>
  <w:endnote w:id="43">
    <w:p w14:paraId="6986136A" w14:textId="72A43F7F" w:rsidR="00CD1FAD" w:rsidRPr="00D43211" w:rsidRDefault="00CD1FAD">
      <w:pPr>
        <w:pStyle w:val="EndnoteText"/>
        <w:rPr>
          <w:lang w:val="en-US"/>
        </w:rPr>
      </w:pPr>
      <w:r>
        <w:rPr>
          <w:rStyle w:val="EndnoteReference"/>
        </w:rPr>
        <w:endnoteRef/>
      </w:r>
      <w:r>
        <w:t xml:space="preserve"> </w:t>
      </w:r>
      <w:proofErr w:type="spellStart"/>
      <w:r>
        <w:t>Institute</w:t>
      </w:r>
      <w:proofErr w:type="spellEnd"/>
      <w:r>
        <w:t xml:space="preserve"> </w:t>
      </w:r>
      <w:proofErr w:type="spellStart"/>
      <w:r>
        <w:t>for</w:t>
      </w:r>
      <w:proofErr w:type="spellEnd"/>
      <w:r>
        <w:t xml:space="preserve"> </w:t>
      </w:r>
      <w:proofErr w:type="spellStart"/>
      <w:r>
        <w:t>Budgetary</w:t>
      </w:r>
      <w:proofErr w:type="spellEnd"/>
      <w:r>
        <w:t xml:space="preserve"> </w:t>
      </w:r>
      <w:proofErr w:type="spellStart"/>
      <w:r>
        <w:t>and</w:t>
      </w:r>
      <w:proofErr w:type="spellEnd"/>
      <w:r>
        <w:t xml:space="preserve"> </w:t>
      </w:r>
      <w:proofErr w:type="spellStart"/>
      <w:r>
        <w:t>Socio-economic</w:t>
      </w:r>
      <w:proofErr w:type="spellEnd"/>
      <w:r>
        <w:t xml:space="preserve"> </w:t>
      </w:r>
      <w:proofErr w:type="spellStart"/>
      <w:r>
        <w:t>Research</w:t>
      </w:r>
      <w:proofErr w:type="spellEnd"/>
      <w:r>
        <w:t xml:space="preserve">, 16 </w:t>
      </w:r>
      <w:proofErr w:type="spellStart"/>
      <w:r>
        <w:t>November</w:t>
      </w:r>
      <w:proofErr w:type="spellEnd"/>
      <w:r>
        <w:t xml:space="preserve"> 2016, </w:t>
      </w:r>
      <w:r w:rsidRPr="00911C6C">
        <w:t>http://www.ibser.org.ua/en/news/msg-meeting-covering-operational-results-ukraines-extractive-industries-2014-2015</w:t>
      </w:r>
      <w:r>
        <w:t>.</w:t>
      </w:r>
    </w:p>
  </w:endnote>
  <w:endnote w:id="44">
    <w:p w14:paraId="04A0B548" w14:textId="77777777" w:rsidR="00CD1FAD" w:rsidRPr="00D2440E" w:rsidRDefault="00CD1FAD">
      <w:pPr>
        <w:pStyle w:val="EndnoteText"/>
        <w:rPr>
          <w:lang w:val="uk-UA"/>
        </w:rPr>
      </w:pPr>
      <w:r w:rsidRPr="00D2440E">
        <w:rPr>
          <w:rStyle w:val="EndnoteReference"/>
          <w:szCs w:val="18"/>
        </w:rPr>
        <w:endnoteRef/>
      </w:r>
      <w:r w:rsidRPr="00D2440E">
        <w:t xml:space="preserve"> </w:t>
      </w:r>
      <w:r w:rsidRPr="00D2440E">
        <w:t xml:space="preserve">http://bit.ly/1LvuQWk. </w:t>
      </w:r>
    </w:p>
  </w:endnote>
  <w:endnote w:id="45">
    <w:p w14:paraId="11A9FBE1" w14:textId="7D0EFE3B"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xml:space="preserve">, 44-45. </w:t>
      </w:r>
    </w:p>
  </w:endnote>
  <w:endnote w:id="46">
    <w:p w14:paraId="78F3AE1C" w14:textId="70CBD01B"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46-47.</w:t>
      </w:r>
    </w:p>
  </w:endnote>
  <w:endnote w:id="47">
    <w:p w14:paraId="07FBCD0A" w14:textId="55FB84DB" w:rsidR="00CD1FAD" w:rsidRPr="00D2440E" w:rsidRDefault="00CD1FAD">
      <w:pPr>
        <w:pStyle w:val="EndnoteText"/>
        <w:rPr>
          <w:lang w:val="uk-UA"/>
        </w:rPr>
      </w:pPr>
      <w:r w:rsidRPr="00D2440E">
        <w:rPr>
          <w:rStyle w:val="EndnoteReference"/>
          <w:szCs w:val="18"/>
        </w:rPr>
        <w:endnoteRef/>
      </w:r>
      <w:r w:rsidRPr="00D2440E">
        <w:t xml:space="preserve"> </w:t>
      </w:r>
      <w:proofErr w:type="spellStart"/>
      <w:r w:rsidRPr="00D2440E">
        <w:t>Ibid</w:t>
      </w:r>
      <w:proofErr w:type="spellEnd"/>
      <w:r w:rsidRPr="00D2440E">
        <w:t>, 47.</w:t>
      </w:r>
    </w:p>
  </w:endnote>
  <w:endnote w:id="48">
    <w:p w14:paraId="26D9D98C" w14:textId="77777777" w:rsidR="00CD1FAD" w:rsidRPr="00D2440E" w:rsidRDefault="00CD1FAD">
      <w:pPr>
        <w:pStyle w:val="EndnoteText"/>
      </w:pPr>
      <w:r w:rsidRPr="00D2440E">
        <w:rPr>
          <w:rStyle w:val="EndnoteReference"/>
          <w:szCs w:val="18"/>
        </w:rPr>
        <w:endnoteRef/>
      </w:r>
      <w:r w:rsidRPr="00D2440E">
        <w:t xml:space="preserve"> </w:t>
      </w:r>
      <w:r w:rsidRPr="00D2440E">
        <w:t xml:space="preserve">http://bit.ly/1KhE3pn. </w:t>
      </w:r>
    </w:p>
  </w:endnote>
  <w:endnote w:id="49">
    <w:p w14:paraId="2530E8D2" w14:textId="77777777" w:rsidR="00CD1FAD" w:rsidRPr="00D2440E" w:rsidRDefault="00CD1FAD">
      <w:pPr>
        <w:pStyle w:val="EndnoteText"/>
        <w:rPr>
          <w:lang w:val="en-US"/>
        </w:rPr>
      </w:pPr>
      <w:r w:rsidRPr="00D2440E">
        <w:rPr>
          <w:rStyle w:val="EndnoteReference"/>
          <w:szCs w:val="18"/>
        </w:rPr>
        <w:endnoteRef/>
      </w:r>
      <w:r w:rsidRPr="00D2440E">
        <w:t xml:space="preserve"> </w:t>
      </w:r>
      <w:r w:rsidRPr="00D2440E">
        <w:t xml:space="preserve">http://bit.ly/1ZZEEld. </w:t>
      </w:r>
    </w:p>
  </w:endnote>
  <w:endnote w:id="50">
    <w:p w14:paraId="31F3FD2B" w14:textId="74D531C1"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48-49.</w:t>
      </w:r>
    </w:p>
  </w:endnote>
  <w:endnote w:id="51">
    <w:p w14:paraId="6060782F" w14:textId="77777777" w:rsidR="00CD1FAD" w:rsidRPr="00D2440E" w:rsidRDefault="00CD1FAD">
      <w:pPr>
        <w:pStyle w:val="EndnoteText"/>
        <w:rPr>
          <w:lang w:val="en-US"/>
        </w:rPr>
      </w:pPr>
      <w:r w:rsidRPr="00D2440E">
        <w:rPr>
          <w:rStyle w:val="EndnoteReference"/>
          <w:szCs w:val="18"/>
        </w:rPr>
        <w:endnoteRef/>
      </w:r>
      <w:r w:rsidRPr="00D2440E">
        <w:rPr>
          <w:lang w:val="en-US"/>
        </w:rPr>
        <w:t xml:space="preserve"> </w:t>
      </w:r>
      <w:r w:rsidRPr="00D2440E">
        <w:t>http://bit.ly/1W5Xu5r</w:t>
      </w:r>
      <w:r w:rsidRPr="00D2440E">
        <w:rPr>
          <w:lang w:val="en-US"/>
        </w:rPr>
        <w:t xml:space="preserve">. </w:t>
      </w:r>
    </w:p>
  </w:endnote>
  <w:endnote w:id="52">
    <w:p w14:paraId="3BA5B6C3" w14:textId="5ED88D9B"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49.</w:t>
      </w:r>
    </w:p>
  </w:endnote>
  <w:endnote w:id="53">
    <w:p w14:paraId="0D3FB242" w14:textId="26550531" w:rsidR="00CD1FAD" w:rsidRPr="001A6A10" w:rsidRDefault="00CD1FAD" w:rsidP="00CC6504">
      <w:pPr>
        <w:rPr>
          <w:rFonts w:ascii="Gill Sans" w:eastAsia="Times New Roman" w:hAnsi="Gill Sans" w:cs="Gill Sans"/>
          <w:sz w:val="18"/>
          <w:szCs w:val="18"/>
          <w:lang w:val="lv-LV"/>
        </w:rPr>
      </w:pPr>
      <w:r w:rsidRPr="00D2440E">
        <w:rPr>
          <w:rFonts w:ascii="Gill Sans" w:hAnsi="Gill Sans" w:cs="Gill Sans"/>
          <w:color w:val="222222"/>
          <w:sz w:val="18"/>
          <w:szCs w:val="18"/>
          <w:vertAlign w:val="superscript"/>
        </w:rPr>
        <w:endnoteRef/>
      </w:r>
      <w:r w:rsidRPr="001A6A10">
        <w:rPr>
          <w:rFonts w:ascii="Gill Sans" w:hAnsi="Gill Sans" w:cs="Gill Sans"/>
          <w:color w:val="222222"/>
          <w:sz w:val="18"/>
          <w:szCs w:val="18"/>
          <w:lang w:val="lv-LV"/>
        </w:rPr>
        <w:t xml:space="preserve"> </w:t>
      </w:r>
      <w:hyperlink r:id="rId8" w:history="1">
        <w:r w:rsidRPr="001A6A10">
          <w:rPr>
            <w:rFonts w:ascii="Gill Sans" w:hAnsi="Gill Sans" w:cs="Gill Sans"/>
            <w:color w:val="222222"/>
            <w:sz w:val="18"/>
            <w:szCs w:val="18"/>
            <w:lang w:val="lv-LV"/>
          </w:rPr>
          <w:t>http://bit.ly/2hOdtLs</w:t>
        </w:r>
      </w:hyperlink>
      <w:r w:rsidRPr="001A6A10">
        <w:rPr>
          <w:rFonts w:ascii="Gill Sans" w:hAnsi="Gill Sans" w:cs="Gill Sans"/>
          <w:color w:val="222222"/>
          <w:sz w:val="18"/>
          <w:szCs w:val="18"/>
          <w:lang w:val="lv-LV"/>
        </w:rPr>
        <w:t>.</w:t>
      </w:r>
      <w:r w:rsidRPr="001A6A10">
        <w:rPr>
          <w:rFonts w:ascii="Gill Sans" w:eastAsia="Times New Roman" w:hAnsi="Gill Sans" w:cs="Gill Sans"/>
          <w:color w:val="A3AAAE"/>
          <w:sz w:val="18"/>
          <w:szCs w:val="18"/>
          <w:lang w:val="lv-LV"/>
        </w:rPr>
        <w:t xml:space="preserve"> </w:t>
      </w:r>
    </w:p>
  </w:endnote>
  <w:endnote w:id="54">
    <w:p w14:paraId="6CA0864D" w14:textId="5ECF82F6" w:rsidR="00CD1FAD" w:rsidRPr="001A6A10" w:rsidRDefault="00CD1FAD" w:rsidP="00F0643E">
      <w:pPr>
        <w:rPr>
          <w:rFonts w:ascii="Gill Sans" w:eastAsia="Times New Roman" w:hAnsi="Gill Sans" w:cs="Gill Sans"/>
          <w:sz w:val="18"/>
          <w:szCs w:val="18"/>
          <w:lang w:val="lv-LV"/>
        </w:rPr>
      </w:pPr>
      <w:r w:rsidRPr="00D2440E">
        <w:rPr>
          <w:rFonts w:ascii="Gill Sans" w:hAnsi="Gill Sans" w:cs="Gill Sans"/>
          <w:color w:val="222222"/>
          <w:sz w:val="18"/>
          <w:szCs w:val="18"/>
          <w:vertAlign w:val="superscript"/>
        </w:rPr>
        <w:endnoteRef/>
      </w:r>
      <w:r w:rsidRPr="001A6A10">
        <w:rPr>
          <w:rFonts w:ascii="Gill Sans" w:hAnsi="Gill Sans" w:cs="Gill Sans"/>
          <w:color w:val="222222"/>
          <w:sz w:val="18"/>
          <w:szCs w:val="18"/>
          <w:lang w:val="lv-LV"/>
        </w:rPr>
        <w:t xml:space="preserve"> </w:t>
      </w:r>
      <w:hyperlink r:id="rId9" w:history="1">
        <w:r w:rsidRPr="001A6A10">
          <w:rPr>
            <w:rFonts w:ascii="Gill Sans" w:hAnsi="Gill Sans" w:cs="Gill Sans"/>
            <w:color w:val="222222"/>
            <w:sz w:val="18"/>
            <w:szCs w:val="18"/>
            <w:lang w:val="lv-LV"/>
          </w:rPr>
          <w:t>http://bit.ly/2i5QzNy</w:t>
        </w:r>
      </w:hyperlink>
      <w:r w:rsidRPr="001A6A10">
        <w:rPr>
          <w:rFonts w:ascii="Gill Sans" w:hAnsi="Gill Sans" w:cs="Gill Sans"/>
          <w:color w:val="222222"/>
          <w:sz w:val="18"/>
          <w:szCs w:val="18"/>
          <w:lang w:val="lv-LV"/>
        </w:rPr>
        <w:t xml:space="preserve">, </w:t>
      </w:r>
      <w:hyperlink r:id="rId10" w:history="1">
        <w:r w:rsidRPr="001A6A10">
          <w:rPr>
            <w:rFonts w:ascii="Gill Sans" w:hAnsi="Gill Sans" w:cs="Gill Sans"/>
            <w:color w:val="222222"/>
            <w:sz w:val="18"/>
            <w:szCs w:val="18"/>
            <w:lang w:val="lv-LV"/>
          </w:rPr>
          <w:t>http://bit.ly/2iz59y0</w:t>
        </w:r>
      </w:hyperlink>
      <w:r w:rsidRPr="001A6A10">
        <w:rPr>
          <w:rFonts w:ascii="Gill Sans" w:hAnsi="Gill Sans" w:cs="Gill Sans"/>
          <w:color w:val="222222"/>
          <w:sz w:val="18"/>
          <w:szCs w:val="18"/>
          <w:lang w:val="lv-LV"/>
        </w:rPr>
        <w:t>.</w:t>
      </w:r>
      <w:r w:rsidRPr="001A6A10">
        <w:rPr>
          <w:rFonts w:ascii="Gill Sans" w:eastAsia="Times New Roman" w:hAnsi="Gill Sans" w:cs="Gill Sans"/>
          <w:sz w:val="18"/>
          <w:szCs w:val="18"/>
          <w:lang w:val="lv-LV"/>
        </w:rPr>
        <w:t xml:space="preserve"> </w:t>
      </w:r>
      <w:r w:rsidRPr="001A6A10">
        <w:rPr>
          <w:rFonts w:ascii="Gill Sans" w:eastAsia="Times New Roman" w:hAnsi="Gill Sans" w:cs="Gill Sans"/>
          <w:color w:val="A3AAAE"/>
          <w:sz w:val="18"/>
          <w:szCs w:val="18"/>
          <w:lang w:val="lv-LV"/>
        </w:rPr>
        <w:t xml:space="preserve"> </w:t>
      </w:r>
    </w:p>
  </w:endnote>
  <w:endnote w:id="55">
    <w:p w14:paraId="07F7603E" w14:textId="77777777" w:rsidR="00CD1FAD" w:rsidRPr="00D2440E" w:rsidRDefault="00CD1FAD" w:rsidP="006319F4">
      <w:pPr>
        <w:pStyle w:val="EndnoteText"/>
      </w:pPr>
      <w:r w:rsidRPr="00D2440E">
        <w:rPr>
          <w:rStyle w:val="EndnoteReference"/>
          <w:szCs w:val="18"/>
        </w:rPr>
        <w:endnoteRef/>
      </w:r>
      <w:r w:rsidRPr="00D2440E">
        <w:t xml:space="preserve"> </w:t>
      </w:r>
      <w:r w:rsidRPr="00D2440E">
        <w:t>http://bit.ly/1KhE3pn</w:t>
      </w:r>
      <w:r w:rsidRPr="00D2440E">
        <w:rPr>
          <w:noProof/>
        </w:rPr>
        <w:t xml:space="preserve">. </w:t>
      </w:r>
    </w:p>
  </w:endnote>
  <w:endnote w:id="56">
    <w:p w14:paraId="62BC5058" w14:textId="60BDB483"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50-51.</w:t>
      </w:r>
    </w:p>
  </w:endnote>
  <w:endnote w:id="57">
    <w:p w14:paraId="4D485314" w14:textId="68C2FDEC" w:rsidR="00CD1FAD" w:rsidRPr="00D2440E" w:rsidRDefault="00CD1FAD">
      <w:pPr>
        <w:pStyle w:val="EndnoteText"/>
      </w:pPr>
      <w:r w:rsidRPr="00D2440E">
        <w:rPr>
          <w:rStyle w:val="EndnoteReference"/>
          <w:szCs w:val="18"/>
        </w:rPr>
        <w:endnoteRef/>
      </w:r>
      <w:r w:rsidRPr="00D2440E">
        <w:t xml:space="preserve"> </w:t>
      </w:r>
      <w:proofErr w:type="spellStart"/>
      <w:r w:rsidRPr="00D2440E">
        <w:t>Ibid</w:t>
      </w:r>
      <w:proofErr w:type="spellEnd"/>
      <w:r w:rsidRPr="00D2440E">
        <w:t>, 51.</w:t>
      </w:r>
    </w:p>
  </w:endnote>
  <w:endnote w:id="58">
    <w:p w14:paraId="1D2175FC" w14:textId="1B943C00" w:rsidR="00CD1FAD" w:rsidRPr="00D2440E" w:rsidRDefault="00CD1FAD">
      <w:pPr>
        <w:pStyle w:val="EndnoteText"/>
      </w:pPr>
      <w:r w:rsidRPr="00D2440E">
        <w:rPr>
          <w:rStyle w:val="EndnoteReference"/>
          <w:szCs w:val="18"/>
        </w:rPr>
        <w:endnoteRef/>
      </w:r>
      <w:r w:rsidRPr="00D2440E">
        <w:t xml:space="preserve"> </w:t>
      </w:r>
      <w:proofErr w:type="spellStart"/>
      <w:r w:rsidRPr="00D2440E">
        <w:t>Ibid</w:t>
      </w:r>
      <w:proofErr w:type="spellEnd"/>
      <w:r w:rsidRPr="00D2440E">
        <w:t>,</w:t>
      </w:r>
      <w:r>
        <w:t xml:space="preserve"> </w:t>
      </w:r>
      <w:r w:rsidRPr="00D2440E">
        <w:t>51.</w:t>
      </w:r>
    </w:p>
  </w:endnote>
  <w:endnote w:id="59">
    <w:p w14:paraId="32AB693C" w14:textId="2E870B47" w:rsidR="00CD1FAD" w:rsidRPr="00D2440E" w:rsidRDefault="00CD1FAD" w:rsidP="00446CAF">
      <w:pPr>
        <w:rPr>
          <w:rFonts w:ascii="Gill Sans" w:hAnsi="Gill Sans" w:cs="Gill Sans"/>
          <w:color w:val="222222"/>
          <w:sz w:val="18"/>
          <w:szCs w:val="18"/>
        </w:rPr>
      </w:pPr>
      <w:r w:rsidRPr="00D2440E">
        <w:rPr>
          <w:rFonts w:ascii="Gill Sans" w:hAnsi="Gill Sans" w:cs="Gill Sans"/>
          <w:color w:val="222222"/>
          <w:sz w:val="18"/>
          <w:szCs w:val="18"/>
          <w:vertAlign w:val="superscript"/>
        </w:rPr>
        <w:endnoteRef/>
      </w:r>
      <w:r w:rsidRPr="00D2440E">
        <w:rPr>
          <w:rFonts w:ascii="Gill Sans" w:hAnsi="Gill Sans" w:cs="Gill Sans"/>
          <w:color w:val="222222"/>
          <w:sz w:val="18"/>
          <w:szCs w:val="18"/>
        </w:rPr>
        <w:t xml:space="preserve"> See, among others</w:t>
      </w:r>
      <w:r>
        <w:rPr>
          <w:rFonts w:ascii="Gill Sans" w:hAnsi="Gill Sans" w:cs="Gill Sans"/>
          <w:color w:val="222222"/>
          <w:sz w:val="18"/>
          <w:szCs w:val="18"/>
        </w:rPr>
        <w:t>,</w:t>
      </w:r>
      <w:r w:rsidRPr="00D2440E">
        <w:rPr>
          <w:rFonts w:ascii="Gill Sans" w:hAnsi="Gill Sans" w:cs="Gill Sans"/>
          <w:color w:val="222222"/>
          <w:sz w:val="18"/>
          <w:szCs w:val="18"/>
        </w:rPr>
        <w:t xml:space="preserve"> </w:t>
      </w:r>
      <w:hyperlink r:id="rId11" w:history="1">
        <w:r w:rsidRPr="00D2440E">
          <w:rPr>
            <w:rFonts w:ascii="Gill Sans" w:hAnsi="Gill Sans" w:cs="Gill Sans"/>
            <w:color w:val="222222"/>
            <w:sz w:val="18"/>
            <w:szCs w:val="18"/>
          </w:rPr>
          <w:t>http://bit.ly/2f65C9J</w:t>
        </w:r>
      </w:hyperlink>
      <w:r w:rsidRPr="00D2440E">
        <w:rPr>
          <w:rFonts w:ascii="Gill Sans" w:hAnsi="Gill Sans" w:cs="Gill Sans"/>
          <w:color w:val="222222"/>
          <w:sz w:val="18"/>
          <w:szCs w:val="18"/>
        </w:rPr>
        <w:t xml:space="preserve">, </w:t>
      </w:r>
      <w:hyperlink r:id="rId12" w:history="1">
        <w:r w:rsidRPr="00D2440E">
          <w:rPr>
            <w:rFonts w:ascii="Gill Sans" w:hAnsi="Gill Sans" w:cs="Gill Sans"/>
            <w:color w:val="222222"/>
            <w:sz w:val="18"/>
            <w:szCs w:val="18"/>
          </w:rPr>
          <w:t>http://dailym.ai/2hNQtxN</w:t>
        </w:r>
      </w:hyperlink>
      <w:r w:rsidRPr="00D2440E">
        <w:rPr>
          <w:rFonts w:ascii="Gill Sans" w:hAnsi="Gill Sans" w:cs="Gill Sans"/>
          <w:color w:val="222222"/>
          <w:sz w:val="18"/>
          <w:szCs w:val="18"/>
        </w:rPr>
        <w:t xml:space="preserve">, </w:t>
      </w:r>
      <w:hyperlink r:id="rId13" w:history="1">
        <w:r w:rsidRPr="00D2440E">
          <w:rPr>
            <w:rFonts w:ascii="Gill Sans" w:hAnsi="Gill Sans" w:cs="Gill Sans"/>
            <w:color w:val="222222"/>
            <w:sz w:val="18"/>
            <w:szCs w:val="18"/>
          </w:rPr>
          <w:t>http://reut.rs/2dVY6QQ</w:t>
        </w:r>
      </w:hyperlink>
      <w:r w:rsidRPr="00D2440E">
        <w:rPr>
          <w:rFonts w:ascii="Gill Sans" w:hAnsi="Gill Sans" w:cs="Gill Sans"/>
          <w:color w:val="222222"/>
          <w:sz w:val="18"/>
          <w:szCs w:val="18"/>
        </w:rPr>
        <w:t xml:space="preserve">, </w:t>
      </w:r>
      <w:hyperlink r:id="rId14" w:history="1">
        <w:r w:rsidRPr="00D2440E">
          <w:rPr>
            <w:rFonts w:ascii="Gill Sans" w:hAnsi="Gill Sans" w:cs="Gill Sans"/>
            <w:color w:val="222222"/>
            <w:sz w:val="18"/>
            <w:szCs w:val="18"/>
          </w:rPr>
          <w:t>http://bit.ly/2iXzRQe</w:t>
        </w:r>
      </w:hyperlink>
      <w:r w:rsidRPr="00D2440E">
        <w:rPr>
          <w:rFonts w:ascii="Gill Sans" w:hAnsi="Gill Sans" w:cs="Gill Sans"/>
          <w:color w:val="222222"/>
          <w:sz w:val="18"/>
          <w:szCs w:val="18"/>
        </w:rPr>
        <w:t xml:space="preserve">, </w:t>
      </w:r>
      <w:hyperlink r:id="rId15" w:history="1">
        <w:r w:rsidRPr="00D2440E">
          <w:rPr>
            <w:rFonts w:ascii="Gill Sans" w:hAnsi="Gill Sans" w:cs="Gill Sans"/>
            <w:color w:val="222222"/>
            <w:sz w:val="18"/>
            <w:szCs w:val="18"/>
          </w:rPr>
          <w:t>http://bit.ly/2fWzyc2</w:t>
        </w:r>
      </w:hyperlink>
      <w:r w:rsidRPr="00D2440E">
        <w:rPr>
          <w:rFonts w:ascii="Gill Sans" w:hAnsi="Gill Sans" w:cs="Gill Sans"/>
          <w:color w:val="222222"/>
          <w:sz w:val="18"/>
          <w:szCs w:val="18"/>
        </w:rPr>
        <w:t xml:space="preserve">, </w:t>
      </w:r>
      <w:hyperlink r:id="rId16" w:history="1">
        <w:r w:rsidRPr="00D2440E">
          <w:rPr>
            <w:rFonts w:ascii="Gill Sans" w:hAnsi="Gill Sans" w:cs="Gill Sans"/>
            <w:color w:val="222222"/>
            <w:sz w:val="18"/>
            <w:szCs w:val="18"/>
          </w:rPr>
          <w:t>http://bit.ly/2eeftvo</w:t>
        </w:r>
      </w:hyperlink>
      <w:r w:rsidRPr="00D2440E">
        <w:rPr>
          <w:rFonts w:ascii="Gill Sans" w:hAnsi="Gill Sans" w:cs="Gill Sans"/>
          <w:color w:val="222222"/>
          <w:sz w:val="18"/>
          <w:szCs w:val="18"/>
        </w:rPr>
        <w:t xml:space="preserve">, </w:t>
      </w:r>
      <w:hyperlink r:id="rId17" w:history="1">
        <w:r w:rsidRPr="00D2440E">
          <w:rPr>
            <w:rFonts w:ascii="Gill Sans" w:hAnsi="Gill Sans" w:cs="Gill Sans"/>
            <w:color w:val="222222"/>
            <w:sz w:val="18"/>
            <w:szCs w:val="18"/>
          </w:rPr>
          <w:t>http://bit.ly/2j16P6o</w:t>
        </w:r>
      </w:hyperlink>
      <w:r>
        <w:rPr>
          <w:rFonts w:ascii="Gill Sans" w:hAnsi="Gill Sans" w:cs="Gill Sans"/>
          <w:color w:val="222222"/>
          <w:sz w:val="18"/>
          <w:szCs w:val="18"/>
        </w:rPr>
        <w:t>.</w:t>
      </w:r>
      <w:r w:rsidRPr="00D2440E">
        <w:rPr>
          <w:rFonts w:ascii="Gill Sans" w:hAnsi="Gill Sans" w:cs="Gill Sans"/>
          <w:color w:val="222222"/>
          <w:sz w:val="18"/>
          <w:szCs w:val="18"/>
        </w:rPr>
        <w:t xml:space="preserve"> </w:t>
      </w:r>
    </w:p>
  </w:endnote>
  <w:endnote w:id="60">
    <w:p w14:paraId="67E4AAF0" w14:textId="1A2C01BA" w:rsidR="00CD1FAD" w:rsidRPr="00D43211" w:rsidRDefault="00CD1FAD" w:rsidP="006319F4">
      <w:pPr>
        <w:pStyle w:val="EndnoteText"/>
      </w:pPr>
      <w:r>
        <w:rPr>
          <w:rStyle w:val="EndnoteReference"/>
        </w:rPr>
        <w:endnoteRef/>
      </w:r>
      <w:r>
        <w:t xml:space="preserve"> </w:t>
      </w:r>
      <w:proofErr w:type="spellStart"/>
      <w:r>
        <w:t>Ukrainian</w:t>
      </w:r>
      <w:proofErr w:type="spellEnd"/>
      <w:r>
        <w:t xml:space="preserve"> </w:t>
      </w:r>
      <w:proofErr w:type="spellStart"/>
      <w:r>
        <w:t>Parliament</w:t>
      </w:r>
      <w:proofErr w:type="spellEnd"/>
      <w:r>
        <w:t xml:space="preserve">: </w:t>
      </w:r>
      <w:proofErr w:type="spellStart"/>
      <w:r>
        <w:t>Corruption</w:t>
      </w:r>
      <w:proofErr w:type="spellEnd"/>
      <w:r>
        <w:t xml:space="preserve"> </w:t>
      </w:r>
      <w:proofErr w:type="spellStart"/>
      <w:r>
        <w:t>Prevention</w:t>
      </w:r>
      <w:proofErr w:type="spellEnd"/>
      <w:r>
        <w:t xml:space="preserve"> </w:t>
      </w:r>
      <w:proofErr w:type="spellStart"/>
      <w:r>
        <w:t>Law</w:t>
      </w:r>
      <w:proofErr w:type="spellEnd"/>
      <w:r>
        <w:t xml:space="preserve"> (</w:t>
      </w:r>
      <w:proofErr w:type="spellStart"/>
      <w:r>
        <w:t>Article</w:t>
      </w:r>
      <w:proofErr w:type="spellEnd"/>
      <w:r>
        <w:t xml:space="preserve"> 50)</w:t>
      </w:r>
      <w:r w:rsidRPr="00F0778F">
        <w:t xml:space="preserve"> http://zakon2.rada.gov.ua/laws/show/1700-18/print1486668593628465</w:t>
      </w:r>
      <w:r>
        <w:t>.</w:t>
      </w:r>
    </w:p>
  </w:endnote>
  <w:endnote w:id="61">
    <w:p w14:paraId="4A7EB558" w14:textId="77777777" w:rsidR="00CD1FAD" w:rsidRPr="00D43211" w:rsidRDefault="00CD1FAD">
      <w:pPr>
        <w:pStyle w:val="EndnoteText"/>
        <w:rPr>
          <w:lang w:val="en-US"/>
        </w:rPr>
      </w:pPr>
      <w:r>
        <w:rPr>
          <w:rStyle w:val="EndnoteReference"/>
        </w:rPr>
        <w:endnoteRef/>
      </w:r>
      <w:r>
        <w:t xml:space="preserve"> </w:t>
      </w:r>
      <w:proofErr w:type="spellStart"/>
      <w:r>
        <w:t>Criminal</w:t>
      </w:r>
      <w:proofErr w:type="spellEnd"/>
      <w:r>
        <w:t xml:space="preserve"> </w:t>
      </w:r>
      <w:proofErr w:type="spellStart"/>
      <w:r>
        <w:t>Procedure</w:t>
      </w:r>
      <w:proofErr w:type="spellEnd"/>
      <w:r>
        <w:t xml:space="preserve"> Code, </w:t>
      </w:r>
      <w:proofErr w:type="spellStart"/>
      <w:r>
        <w:t>Article</w:t>
      </w:r>
      <w:proofErr w:type="spellEnd"/>
      <w:r>
        <w:t xml:space="preserve"> 214: </w:t>
      </w:r>
      <w:r w:rsidRPr="00F62BC2">
        <w:t>http://zakon2.rada.gov.ua/laws/show/4651-17/print1486668593628465</w:t>
      </w:r>
    </w:p>
  </w:endnote>
  <w:endnote w:id="62">
    <w:p w14:paraId="1EE306C6" w14:textId="3EEACAF9" w:rsidR="00CD1FAD" w:rsidRPr="00D2440E" w:rsidRDefault="00CD1FAD" w:rsidP="00184DAA">
      <w:pPr>
        <w:rPr>
          <w:rFonts w:ascii="Gill Sans" w:hAnsi="Gill Sans" w:cs="Gill Sans"/>
          <w:color w:val="222222"/>
          <w:sz w:val="18"/>
          <w:szCs w:val="18"/>
        </w:rPr>
      </w:pPr>
      <w:r w:rsidRPr="00D2440E">
        <w:rPr>
          <w:rFonts w:ascii="Gill Sans" w:hAnsi="Gill Sans" w:cs="Gill Sans"/>
          <w:color w:val="222222"/>
          <w:sz w:val="18"/>
          <w:szCs w:val="18"/>
          <w:vertAlign w:val="superscript"/>
        </w:rPr>
        <w:endnoteRef/>
      </w:r>
      <w:r w:rsidRPr="00D2440E">
        <w:rPr>
          <w:rFonts w:ascii="Gill Sans" w:hAnsi="Gill Sans" w:cs="Gill Sans"/>
          <w:color w:val="222222"/>
          <w:sz w:val="18"/>
          <w:szCs w:val="18"/>
        </w:rPr>
        <w:t xml:space="preserve"> </w:t>
      </w:r>
      <w:hyperlink r:id="rId18" w:history="1">
        <w:r w:rsidRPr="00D2440E">
          <w:rPr>
            <w:rFonts w:ascii="Gill Sans" w:hAnsi="Gill Sans" w:cs="Gill Sans"/>
            <w:color w:val="222222"/>
            <w:sz w:val="18"/>
            <w:szCs w:val="18"/>
          </w:rPr>
          <w:t>http://bit.ly/2grkaPw</w:t>
        </w:r>
      </w:hyperlink>
      <w:r w:rsidRPr="00D2440E">
        <w:rPr>
          <w:rFonts w:ascii="Gill Sans" w:hAnsi="Gill Sans" w:cs="Gill Sans"/>
          <w:color w:val="222222"/>
          <w:sz w:val="18"/>
          <w:szCs w:val="18"/>
        </w:rPr>
        <w:t xml:space="preserve">. </w:t>
      </w:r>
    </w:p>
  </w:endnote>
  <w:endnote w:id="63">
    <w:p w14:paraId="6953B9B6" w14:textId="0DC860B0" w:rsidR="00CD1FAD" w:rsidRPr="00D2440E" w:rsidRDefault="00CD1FAD" w:rsidP="00446CAF">
      <w:pPr>
        <w:rPr>
          <w:rFonts w:ascii="Gill Sans" w:eastAsia="Times New Roman" w:hAnsi="Gill Sans" w:cs="Gill Sans"/>
          <w:sz w:val="18"/>
          <w:szCs w:val="18"/>
        </w:rPr>
      </w:pPr>
      <w:r w:rsidRPr="00D2440E">
        <w:rPr>
          <w:rFonts w:ascii="Gill Sans" w:hAnsi="Gill Sans" w:cs="Gill Sans"/>
          <w:color w:val="222222"/>
          <w:sz w:val="18"/>
          <w:szCs w:val="18"/>
          <w:vertAlign w:val="superscript"/>
        </w:rPr>
        <w:endnoteRef/>
      </w:r>
      <w:r w:rsidRPr="00D2440E">
        <w:rPr>
          <w:rFonts w:ascii="Gill Sans" w:hAnsi="Gill Sans" w:cs="Gill Sans"/>
          <w:color w:val="222222"/>
          <w:sz w:val="18"/>
          <w:szCs w:val="18"/>
        </w:rPr>
        <w:t xml:space="preserve"> See, among others</w:t>
      </w:r>
      <w:r>
        <w:rPr>
          <w:rFonts w:ascii="Gill Sans" w:hAnsi="Gill Sans" w:cs="Gill Sans"/>
          <w:color w:val="222222"/>
          <w:sz w:val="18"/>
          <w:szCs w:val="18"/>
        </w:rPr>
        <w:t>,</w:t>
      </w:r>
      <w:r w:rsidRPr="00D2440E">
        <w:rPr>
          <w:rFonts w:ascii="Gill Sans" w:hAnsi="Gill Sans" w:cs="Gill Sans"/>
          <w:color w:val="222222"/>
          <w:sz w:val="18"/>
          <w:szCs w:val="18"/>
        </w:rPr>
        <w:t xml:space="preserve"> </w:t>
      </w:r>
      <w:hyperlink r:id="rId19" w:history="1">
        <w:r w:rsidRPr="00D2440E">
          <w:rPr>
            <w:rFonts w:ascii="Gill Sans" w:hAnsi="Gill Sans" w:cs="Gill Sans"/>
            <w:color w:val="222222"/>
            <w:sz w:val="18"/>
            <w:szCs w:val="18"/>
          </w:rPr>
          <w:t>http://bit.ly/2fysVZJ</w:t>
        </w:r>
      </w:hyperlink>
      <w:r w:rsidRPr="00D2440E">
        <w:rPr>
          <w:rFonts w:ascii="Gill Sans" w:hAnsi="Gill Sans" w:cs="Gill Sans"/>
          <w:color w:val="222222"/>
          <w:sz w:val="18"/>
          <w:szCs w:val="18"/>
        </w:rPr>
        <w:t xml:space="preserve">, </w:t>
      </w:r>
      <w:hyperlink r:id="rId20" w:history="1">
        <w:r w:rsidRPr="00D2440E">
          <w:rPr>
            <w:rFonts w:ascii="Gill Sans" w:hAnsi="Gill Sans" w:cs="Gill Sans"/>
            <w:color w:val="222222"/>
            <w:sz w:val="18"/>
            <w:szCs w:val="18"/>
          </w:rPr>
          <w:t>http://bit.ly/2i3aHQg</w:t>
        </w:r>
      </w:hyperlink>
      <w:r w:rsidRPr="00D2440E">
        <w:rPr>
          <w:rFonts w:ascii="Gill Sans" w:hAnsi="Gill Sans" w:cs="Gill Sans"/>
          <w:color w:val="222222"/>
          <w:sz w:val="18"/>
          <w:szCs w:val="18"/>
        </w:rPr>
        <w:t xml:space="preserve">, </w:t>
      </w:r>
      <w:hyperlink r:id="rId21" w:history="1">
        <w:r w:rsidRPr="00D2440E">
          <w:rPr>
            <w:rFonts w:ascii="Gill Sans" w:hAnsi="Gill Sans" w:cs="Gill Sans"/>
            <w:color w:val="222222"/>
            <w:sz w:val="18"/>
            <w:szCs w:val="18"/>
          </w:rPr>
          <w:t>http://bit.ly/2irbCwJ</w:t>
        </w:r>
      </w:hyperlink>
      <w:r w:rsidRPr="00D2440E">
        <w:rPr>
          <w:rFonts w:ascii="Gill Sans" w:hAnsi="Gill Sans" w:cs="Gill Sans"/>
          <w:color w:val="222222"/>
          <w:sz w:val="18"/>
          <w:szCs w:val="18"/>
        </w:rPr>
        <w:t>, http://bit.ly/2irosLt.</w:t>
      </w:r>
      <w:r w:rsidRPr="00D2440E">
        <w:rPr>
          <w:rFonts w:ascii="Gill Sans" w:eastAsia="Times New Roman" w:hAnsi="Gill Sans" w:cs="Gill Sans"/>
          <w:sz w:val="18"/>
          <w:szCs w:val="18"/>
        </w:rPr>
        <w:t xml:space="preserve"> </w:t>
      </w:r>
    </w:p>
  </w:endnote>
  <w:endnote w:id="64">
    <w:p w14:paraId="75E09587" w14:textId="4A06EA14" w:rsidR="00CD1FAD" w:rsidRPr="00D2440E" w:rsidRDefault="00CD1FAD" w:rsidP="006672B2">
      <w:pPr>
        <w:rPr>
          <w:rFonts w:ascii="Gill Sans" w:eastAsia="Times New Roman" w:hAnsi="Gill Sans" w:cs="Gill Sans"/>
          <w:sz w:val="18"/>
          <w:szCs w:val="18"/>
        </w:rPr>
      </w:pPr>
      <w:r w:rsidRPr="00D2440E">
        <w:rPr>
          <w:rFonts w:ascii="Gill Sans" w:hAnsi="Gill Sans" w:cs="Gill Sans"/>
          <w:color w:val="222222"/>
          <w:sz w:val="18"/>
          <w:szCs w:val="18"/>
          <w:vertAlign w:val="superscript"/>
        </w:rPr>
        <w:endnoteRef/>
      </w:r>
      <w:r w:rsidRPr="00D2440E">
        <w:rPr>
          <w:rFonts w:ascii="Gill Sans" w:hAnsi="Gill Sans" w:cs="Gill Sans"/>
          <w:color w:val="222222"/>
          <w:sz w:val="18"/>
          <w:szCs w:val="18"/>
        </w:rPr>
        <w:t xml:space="preserve"> </w:t>
      </w:r>
      <w:hyperlink r:id="rId22" w:history="1">
        <w:r w:rsidRPr="00D2440E">
          <w:rPr>
            <w:rFonts w:ascii="Gill Sans" w:hAnsi="Gill Sans" w:cs="Gill Sans"/>
            <w:color w:val="222222"/>
            <w:sz w:val="18"/>
            <w:szCs w:val="18"/>
          </w:rPr>
          <w:t>http://bit.ly/2hIb0Poю</w:t>
        </w:r>
      </w:hyperlink>
      <w:r>
        <w:rPr>
          <w:rFonts w:ascii="Gill Sans" w:hAnsi="Gill Sans" w:cs="Gill Sans"/>
          <w:color w:val="222222"/>
          <w:sz w:val="18"/>
          <w:szCs w:val="18"/>
        </w:rPr>
        <w:t>.</w:t>
      </w:r>
      <w:r w:rsidRPr="00D2440E">
        <w:rPr>
          <w:rFonts w:ascii="Gill Sans" w:eastAsia="Times New Roman" w:hAnsi="Gill Sans" w:cs="Gill Sans"/>
          <w:color w:val="A3AAAE"/>
          <w:sz w:val="18"/>
          <w:szCs w:val="18"/>
        </w:rPr>
        <w:t xml:space="preserve"> </w:t>
      </w:r>
    </w:p>
  </w:endnote>
  <w:endnote w:id="65">
    <w:p w14:paraId="4F1D9494" w14:textId="770550DE" w:rsidR="003C61C9" w:rsidRPr="003C61C9" w:rsidRDefault="003C61C9">
      <w:pPr>
        <w:pStyle w:val="EndnoteText"/>
      </w:pPr>
      <w:r>
        <w:rPr>
          <w:rStyle w:val="EndnoteReference"/>
        </w:rPr>
        <w:endnoteRef/>
      </w:r>
      <w:r>
        <w:t xml:space="preserve"> </w:t>
      </w:r>
      <w:proofErr w:type="spellStart"/>
      <w:r>
        <w:t>Istanbul</w:t>
      </w:r>
      <w:proofErr w:type="spellEnd"/>
      <w:r>
        <w:t xml:space="preserve"> </w:t>
      </w:r>
      <w:proofErr w:type="spellStart"/>
      <w:r>
        <w:t>Action</w:t>
      </w:r>
      <w:proofErr w:type="spellEnd"/>
      <w:r>
        <w:t xml:space="preserve"> </w:t>
      </w:r>
      <w:proofErr w:type="spellStart"/>
      <w:r>
        <w:t>Plan</w:t>
      </w:r>
      <w:proofErr w:type="spellEnd"/>
      <w:r>
        <w:t xml:space="preserve">, </w:t>
      </w:r>
      <w:bookmarkStart w:id="5" w:name="_GoBack"/>
      <w:r w:rsidRPr="00D021F2">
        <w:t>http://www.oecd.org/corruption/acn/istanbulactionplan/</w:t>
      </w:r>
      <w:bookmarkEnd w:id="5"/>
    </w:p>
  </w:endnote>
  <w:endnote w:id="66">
    <w:p w14:paraId="517A6179" w14:textId="3711454D" w:rsidR="00CD1FAD" w:rsidRPr="00D2440E" w:rsidRDefault="00CD1FAD" w:rsidP="006319F4">
      <w:pPr>
        <w:pStyle w:val="EndnoteText"/>
      </w:pPr>
      <w:r w:rsidRPr="00D2440E">
        <w:rPr>
          <w:rStyle w:val="EndnoteReference"/>
          <w:szCs w:val="18"/>
        </w:rPr>
        <w:endnoteRef/>
      </w:r>
      <w:r w:rsidRPr="00D2440E">
        <w:t xml:space="preserve"> </w:t>
      </w:r>
      <w:proofErr w:type="spellStart"/>
      <w:r w:rsidRPr="00D2440E">
        <w:t>See</w:t>
      </w:r>
      <w:proofErr w:type="spellEnd"/>
      <w:r w:rsidRPr="00D2440E">
        <w:t xml:space="preserve"> </w:t>
      </w:r>
      <w:hyperlink r:id="rId23" w:history="1">
        <w:r w:rsidRPr="00EC2C5B">
          <w:rPr>
            <w:rStyle w:val="Hyperlink"/>
          </w:rPr>
          <w:t>http://bit.ly/1MTDPVZ</w:t>
        </w:r>
      </w:hyperlink>
      <w:r>
        <w:t xml:space="preserve">, </w:t>
      </w:r>
      <w:r w:rsidRPr="00D2440E">
        <w:rPr>
          <w:noProof/>
        </w:rPr>
        <w:t>http://bit.ly/1PAC9lL</w:t>
      </w:r>
      <w:r w:rsidRPr="00D2440E">
        <w:t>.</w:t>
      </w:r>
    </w:p>
  </w:endnote>
  <w:endnote w:id="67">
    <w:p w14:paraId="444745E8" w14:textId="0634F956" w:rsidR="00CD1FAD" w:rsidRPr="00F43B39" w:rsidRDefault="00CD1FAD">
      <w:pPr>
        <w:pStyle w:val="EndnoteText"/>
      </w:pPr>
      <w:r w:rsidRPr="00E8083B">
        <w:rPr>
          <w:rStyle w:val="EndnoteReference"/>
          <w:szCs w:val="18"/>
        </w:rPr>
        <w:endnoteRef/>
      </w:r>
      <w:r w:rsidRPr="00E8083B">
        <w:t xml:space="preserve"> </w:t>
      </w:r>
      <w:r w:rsidRPr="00F43B39">
        <w:rPr>
          <w:noProof/>
        </w:rPr>
        <w:t xml:space="preserve">Law on the Anti-Corruption Strategy of Ukraine for 2014-2017 (adopted in 2014), Government’s Plan of Urgent Measures to Eradicate Corruption (adopted in July 2014). See: </w:t>
      </w:r>
      <w:hyperlink r:id="rId24" w:history="1">
        <w:r w:rsidRPr="00AA1D76">
          <w:rPr>
            <w:rStyle w:val="Hyperlink"/>
            <w:szCs w:val="18"/>
          </w:rPr>
          <w:t>http://bit.ly/1XcMgyv</w:t>
        </w:r>
      </w:hyperlink>
      <w:r w:rsidRPr="00E8083B">
        <w:t xml:space="preserve">, </w:t>
      </w:r>
      <w:r w:rsidRPr="00AA1D76">
        <w:t>http://bit.ly/1Lo4l7y</w:t>
      </w:r>
      <w:r w:rsidRPr="00F43B39">
        <w:t xml:space="preserve">. </w:t>
      </w:r>
    </w:p>
  </w:endnote>
  <w:endnote w:id="68">
    <w:p w14:paraId="4268BF16" w14:textId="2687B8DB"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53-54.</w:t>
      </w:r>
    </w:p>
  </w:endnote>
  <w:endnote w:id="69">
    <w:p w14:paraId="051B1CBA" w14:textId="3FCB5F22" w:rsidR="00CD1FAD" w:rsidRPr="00D2440E" w:rsidRDefault="00CD1FAD">
      <w:pPr>
        <w:pStyle w:val="EndnoteText"/>
      </w:pPr>
      <w:r w:rsidRPr="00D2440E">
        <w:rPr>
          <w:rStyle w:val="EndnoteReference"/>
          <w:szCs w:val="18"/>
        </w:rPr>
        <w:endnoteRef/>
      </w:r>
      <w:r w:rsidRPr="00D2440E">
        <w:t xml:space="preserve"> </w:t>
      </w:r>
      <w:proofErr w:type="spellStart"/>
      <w:r w:rsidRPr="00D2440E">
        <w:t>Ibid</w:t>
      </w:r>
      <w:proofErr w:type="spellEnd"/>
      <w:r w:rsidRPr="00D2440E">
        <w:t>, 54.</w:t>
      </w:r>
    </w:p>
  </w:endnote>
  <w:endnote w:id="70">
    <w:p w14:paraId="2B66808F" w14:textId="77777777" w:rsidR="00CD1FAD" w:rsidRPr="00254401" w:rsidRDefault="00CD1FAD">
      <w:pPr>
        <w:pStyle w:val="EndnoteText"/>
        <w:rPr>
          <w:lang w:val="es-MX"/>
        </w:rPr>
      </w:pPr>
      <w:r w:rsidRPr="00D2440E">
        <w:rPr>
          <w:rStyle w:val="EndnoteReference"/>
          <w:szCs w:val="18"/>
        </w:rPr>
        <w:endnoteRef/>
      </w:r>
      <w:r w:rsidRPr="00D2440E">
        <w:t xml:space="preserve"> </w:t>
      </w:r>
      <w:r w:rsidRPr="00D2440E">
        <w:t>http://bit.ly/1OUX0yJ</w:t>
      </w:r>
      <w:r w:rsidRPr="00254401">
        <w:rPr>
          <w:lang w:val="es-MX"/>
        </w:rPr>
        <w:t xml:space="preserve">. </w:t>
      </w:r>
    </w:p>
  </w:endnote>
  <w:endnote w:id="71">
    <w:p w14:paraId="50E1E4AB" w14:textId="369AD2E1"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56.</w:t>
      </w:r>
    </w:p>
  </w:endnote>
  <w:endnote w:id="72">
    <w:p w14:paraId="6CC12C8D" w14:textId="6C98DA87" w:rsidR="00CD1FAD" w:rsidRPr="00D2440E" w:rsidRDefault="00CD1FAD">
      <w:pPr>
        <w:pStyle w:val="EndnoteText"/>
      </w:pPr>
      <w:r w:rsidRPr="00D2440E">
        <w:rPr>
          <w:rStyle w:val="EndnoteReference"/>
          <w:szCs w:val="18"/>
        </w:rPr>
        <w:endnoteRef/>
      </w:r>
      <w:r w:rsidRPr="00D2440E">
        <w:t xml:space="preserve"> </w:t>
      </w:r>
      <w:proofErr w:type="spellStart"/>
      <w:r w:rsidRPr="00D2440E">
        <w:t>Ibid</w:t>
      </w:r>
      <w:proofErr w:type="spellEnd"/>
      <w:r w:rsidRPr="00D2440E">
        <w:t>, 56.</w:t>
      </w:r>
    </w:p>
  </w:endnote>
  <w:endnote w:id="73">
    <w:p w14:paraId="148466BD" w14:textId="23876D9C"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57.</w:t>
      </w:r>
    </w:p>
  </w:endnote>
  <w:endnote w:id="74">
    <w:p w14:paraId="36662BBD" w14:textId="77777777" w:rsidR="00CD1FAD" w:rsidRPr="00570CA1" w:rsidRDefault="00CD1FAD">
      <w:pPr>
        <w:pStyle w:val="EndnoteText"/>
      </w:pPr>
      <w:r>
        <w:rPr>
          <w:rStyle w:val="EndnoteReference"/>
        </w:rPr>
        <w:endnoteRef/>
      </w:r>
      <w:r>
        <w:t xml:space="preserve"> </w:t>
      </w:r>
      <w:proofErr w:type="spellStart"/>
      <w:r>
        <w:t>Interview</w:t>
      </w:r>
      <w:proofErr w:type="spellEnd"/>
      <w:r>
        <w:t xml:space="preserve"> </w:t>
      </w:r>
      <w:proofErr w:type="spellStart"/>
      <w:r>
        <w:t>with</w:t>
      </w:r>
      <w:proofErr w:type="spellEnd"/>
      <w:r>
        <w:t xml:space="preserve"> Viktor </w:t>
      </w:r>
      <w:proofErr w:type="spellStart"/>
      <w:r>
        <w:t>Tymoshchuk</w:t>
      </w:r>
      <w:proofErr w:type="spellEnd"/>
      <w:r>
        <w:t xml:space="preserve">, NGO </w:t>
      </w:r>
      <w:proofErr w:type="spellStart"/>
      <w:r>
        <w:t>Centre</w:t>
      </w:r>
      <w:proofErr w:type="spellEnd"/>
      <w:r>
        <w:t xml:space="preserve"> </w:t>
      </w:r>
      <w:proofErr w:type="spellStart"/>
      <w:r>
        <w:t>for</w:t>
      </w:r>
      <w:proofErr w:type="spellEnd"/>
      <w:r>
        <w:t xml:space="preserve"> </w:t>
      </w:r>
      <w:proofErr w:type="spellStart"/>
      <w:r>
        <w:t>Political</w:t>
      </w:r>
      <w:proofErr w:type="spellEnd"/>
      <w:r>
        <w:t xml:space="preserve"> </w:t>
      </w:r>
      <w:proofErr w:type="spellStart"/>
      <w:r>
        <w:t>and</w:t>
      </w:r>
      <w:proofErr w:type="spellEnd"/>
      <w:r>
        <w:t xml:space="preserve"> Legal </w:t>
      </w:r>
      <w:proofErr w:type="spellStart"/>
      <w:r>
        <w:t>Reforms</w:t>
      </w:r>
      <w:proofErr w:type="spellEnd"/>
      <w:r>
        <w:t>.</w:t>
      </w:r>
    </w:p>
  </w:endnote>
  <w:endnote w:id="75">
    <w:p w14:paraId="055F53D2" w14:textId="092C575D" w:rsidR="00CD1FAD" w:rsidRPr="00835DF5" w:rsidRDefault="00CD1FAD">
      <w:pPr>
        <w:pStyle w:val="EndnoteText"/>
      </w:pPr>
      <w:r w:rsidRPr="00835DF5">
        <w:rPr>
          <w:rStyle w:val="EndnoteReference"/>
          <w:szCs w:val="18"/>
        </w:rPr>
        <w:endnoteRef/>
      </w:r>
      <w:r w:rsidRPr="00835DF5">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835DF5">
        <w:t>, 56-57</w:t>
      </w:r>
      <w:r>
        <w:t>.</w:t>
      </w:r>
    </w:p>
  </w:endnote>
  <w:endnote w:id="76">
    <w:p w14:paraId="46F462B4" w14:textId="4CFEF2C8" w:rsidR="00CD1FAD" w:rsidRPr="0012584B" w:rsidRDefault="00CD1FAD">
      <w:pPr>
        <w:pStyle w:val="EndnoteText"/>
        <w:rPr>
          <w:lang w:val="en-US"/>
        </w:rPr>
      </w:pPr>
      <w:r w:rsidRPr="00835DF5">
        <w:rPr>
          <w:rStyle w:val="EndnoteReference"/>
          <w:szCs w:val="18"/>
        </w:rPr>
        <w:endnoteRef/>
      </w:r>
      <w:r w:rsidRPr="00835DF5">
        <w:t xml:space="preserve"> </w:t>
      </w:r>
      <w:r w:rsidRPr="000F26C0">
        <w:t xml:space="preserve">#2982 </w:t>
      </w:r>
      <w:r w:rsidRPr="000F26C0">
        <w:rPr>
          <w:noProof/>
        </w:rPr>
        <w:t xml:space="preserve">on state registration of property rights to real estate and their liens; </w:t>
      </w:r>
      <w:r w:rsidRPr="000F26C0">
        <w:t xml:space="preserve">#2983 </w:t>
      </w:r>
      <w:r w:rsidRPr="000F26C0">
        <w:rPr>
          <w:noProof/>
        </w:rPr>
        <w:t xml:space="preserve">on state registration of legal persons, individual entrepreneurs, and civic formations;  #2984 on delegating functions of registration of place of residence, receiving information from the State Land Cadastre. </w:t>
      </w:r>
    </w:p>
  </w:endnote>
  <w:endnote w:id="77">
    <w:p w14:paraId="3C03B184" w14:textId="05204456" w:rsidR="00CD1FAD" w:rsidRPr="000F26C0" w:rsidRDefault="00CD1FAD" w:rsidP="00D632BF">
      <w:pPr>
        <w:rPr>
          <w:noProof/>
          <w:sz w:val="22"/>
          <w:szCs w:val="22"/>
          <w:lang w:val="en-GB"/>
        </w:rPr>
      </w:pPr>
      <w:r w:rsidRPr="000F26C0">
        <w:rPr>
          <w:rStyle w:val="EndnoteReference"/>
          <w:rFonts w:ascii="Gill Sans" w:hAnsi="Gill Sans" w:cs="Gill Sans"/>
          <w:sz w:val="18"/>
          <w:szCs w:val="18"/>
        </w:rPr>
        <w:endnoteRef/>
      </w:r>
      <w:r w:rsidRPr="000F26C0">
        <w:rPr>
          <w:rFonts w:ascii="Gill Sans" w:hAnsi="Gill Sans" w:cs="Gill Sans"/>
          <w:noProof/>
          <w:sz w:val="18"/>
          <w:szCs w:val="18"/>
          <w:lang w:val="en-GB"/>
        </w:rPr>
        <w:t xml:space="preserve"> Draft law #2567 on service centres of the Ministry of Interior. It provided for the establishment of separate service provision centres under the ministry and stipulated decentralisation of the relevant function only starting from 2018</w:t>
      </w:r>
      <w:r w:rsidRPr="000F26C0">
        <w:rPr>
          <w:rFonts w:ascii="Gill Sans" w:hAnsi="Gill Sans" w:cs="Gill Sans"/>
          <w:sz w:val="18"/>
          <w:szCs w:val="18"/>
        </w:rPr>
        <w:t>.</w:t>
      </w:r>
      <w:r w:rsidRPr="00D2440E">
        <w:t xml:space="preserve"> </w:t>
      </w:r>
    </w:p>
  </w:endnote>
  <w:endnote w:id="78">
    <w:p w14:paraId="18359C5E" w14:textId="31517DFE" w:rsidR="00CD1FAD" w:rsidRPr="000F26C0" w:rsidRDefault="00CD1FAD" w:rsidP="006319F4">
      <w:pPr>
        <w:pStyle w:val="EndnoteText"/>
      </w:pPr>
      <w:r>
        <w:rPr>
          <w:rStyle w:val="EndnoteReference"/>
        </w:rPr>
        <w:endnoteRef/>
      </w:r>
      <w:r>
        <w:t xml:space="preserve"> </w:t>
      </w:r>
      <w:proofErr w:type="spellStart"/>
      <w:r>
        <w:t>Interview</w:t>
      </w:r>
      <w:proofErr w:type="spellEnd"/>
      <w:r>
        <w:t xml:space="preserve"> </w:t>
      </w:r>
      <w:proofErr w:type="spellStart"/>
      <w:r>
        <w:t>with</w:t>
      </w:r>
      <w:proofErr w:type="spellEnd"/>
      <w:r>
        <w:t xml:space="preserve"> Viktor </w:t>
      </w:r>
      <w:proofErr w:type="spellStart"/>
      <w:r>
        <w:t>Tymoshchuk</w:t>
      </w:r>
      <w:proofErr w:type="spellEnd"/>
      <w:r>
        <w:t xml:space="preserve">, NGO </w:t>
      </w:r>
      <w:proofErr w:type="spellStart"/>
      <w:r>
        <w:t>Centre</w:t>
      </w:r>
      <w:proofErr w:type="spellEnd"/>
      <w:r>
        <w:t xml:space="preserve"> </w:t>
      </w:r>
      <w:proofErr w:type="spellStart"/>
      <w:r>
        <w:t>for</w:t>
      </w:r>
      <w:proofErr w:type="spellEnd"/>
      <w:r>
        <w:t xml:space="preserve"> </w:t>
      </w:r>
      <w:proofErr w:type="spellStart"/>
      <w:r>
        <w:t>Political</w:t>
      </w:r>
      <w:proofErr w:type="spellEnd"/>
      <w:r>
        <w:t xml:space="preserve"> </w:t>
      </w:r>
      <w:proofErr w:type="spellStart"/>
      <w:r>
        <w:t>and</w:t>
      </w:r>
      <w:proofErr w:type="spellEnd"/>
      <w:r>
        <w:t xml:space="preserve"> Legal </w:t>
      </w:r>
      <w:proofErr w:type="spellStart"/>
      <w:r>
        <w:t>Reforms</w:t>
      </w:r>
      <w:proofErr w:type="spellEnd"/>
      <w:r>
        <w:t>.</w:t>
      </w:r>
    </w:p>
  </w:endnote>
  <w:endnote w:id="79">
    <w:p w14:paraId="31E71AF9" w14:textId="5161679F" w:rsidR="00CD1FAD" w:rsidRPr="00D2440E" w:rsidRDefault="00CD1FAD" w:rsidP="006319F4">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xml:space="preserve">, 59-60. </w:t>
      </w:r>
    </w:p>
  </w:endnote>
  <w:endnote w:id="80">
    <w:p w14:paraId="1AD57A20" w14:textId="77777777" w:rsidR="00CD1FAD" w:rsidRPr="00D2440E" w:rsidRDefault="00CD1FAD" w:rsidP="006319F4">
      <w:pPr>
        <w:pStyle w:val="EndnoteText"/>
        <w:rPr>
          <w:lang w:val="en-US"/>
        </w:rPr>
      </w:pPr>
      <w:r w:rsidRPr="00D2440E">
        <w:rPr>
          <w:rStyle w:val="EndnoteReference"/>
          <w:szCs w:val="18"/>
        </w:rPr>
        <w:endnoteRef/>
      </w:r>
      <w:r w:rsidRPr="00D2440E">
        <w:rPr>
          <w:lang w:val="en-US"/>
        </w:rPr>
        <w:t xml:space="preserve"> </w:t>
      </w:r>
      <w:r w:rsidRPr="00D2440E">
        <w:t>http://bit.ly/1PFyZxa</w:t>
      </w:r>
      <w:r w:rsidRPr="00D2440E">
        <w:rPr>
          <w:lang w:val="en-US"/>
        </w:rPr>
        <w:t xml:space="preserve">. </w:t>
      </w:r>
    </w:p>
  </w:endnote>
  <w:endnote w:id="81">
    <w:p w14:paraId="58A2FC92" w14:textId="13783D4A"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61-62.</w:t>
      </w:r>
    </w:p>
  </w:endnote>
  <w:endnote w:id="82">
    <w:p w14:paraId="7EE39BBE" w14:textId="77777777" w:rsidR="00CD1FAD" w:rsidRPr="00D2440E" w:rsidRDefault="00CD1FAD">
      <w:pPr>
        <w:pStyle w:val="EndnoteText"/>
      </w:pPr>
      <w:r w:rsidRPr="00D2440E">
        <w:rPr>
          <w:rStyle w:val="EndnoteReference"/>
          <w:szCs w:val="18"/>
        </w:rPr>
        <w:endnoteRef/>
      </w:r>
      <w:r w:rsidRPr="00D2440E">
        <w:t xml:space="preserve"> </w:t>
      </w:r>
      <w:r w:rsidRPr="00D2440E">
        <w:t>“</w:t>
      </w:r>
      <w:proofErr w:type="spellStart"/>
      <w:r w:rsidRPr="00D2440E">
        <w:t>Draft</w:t>
      </w:r>
      <w:proofErr w:type="spellEnd"/>
      <w:r w:rsidRPr="00D2440E">
        <w:t xml:space="preserve"> </w:t>
      </w:r>
      <w:proofErr w:type="spellStart"/>
      <w:r w:rsidRPr="00D2440E">
        <w:t>law</w:t>
      </w:r>
      <w:proofErr w:type="spellEnd"/>
      <w:r w:rsidRPr="00D2440E">
        <w:t xml:space="preserve"> #2544a,” 31 August 2015, http://bit.ly/1JSndaS. </w:t>
      </w:r>
    </w:p>
  </w:endnote>
  <w:endnote w:id="83">
    <w:p w14:paraId="7CDACB85" w14:textId="77777777" w:rsidR="00CD1FAD" w:rsidRPr="00D2440E" w:rsidRDefault="00CD1FAD">
      <w:pPr>
        <w:pStyle w:val="EndnoteText"/>
        <w:rPr>
          <w:lang w:val="en-US"/>
        </w:rPr>
      </w:pPr>
      <w:r w:rsidRPr="00D2440E">
        <w:rPr>
          <w:rStyle w:val="EndnoteReference"/>
          <w:szCs w:val="18"/>
        </w:rPr>
        <w:endnoteRef/>
      </w:r>
      <w:r w:rsidRPr="00D2440E">
        <w:t xml:space="preserve"> </w:t>
      </w:r>
      <w:proofErr w:type="spellStart"/>
      <w:r w:rsidRPr="00D2440E">
        <w:t>Ibid</w:t>
      </w:r>
      <w:proofErr w:type="spellEnd"/>
      <w:r w:rsidRPr="00D2440E">
        <w:t>.</w:t>
      </w:r>
    </w:p>
  </w:endnote>
  <w:endnote w:id="84">
    <w:p w14:paraId="515CAF87" w14:textId="0CEF594E"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64.</w:t>
      </w:r>
    </w:p>
  </w:endnote>
  <w:endnote w:id="85">
    <w:p w14:paraId="3108307D" w14:textId="77777777" w:rsidR="00CD1FAD" w:rsidRPr="00280389" w:rsidRDefault="00CD1FAD">
      <w:pPr>
        <w:pStyle w:val="EndnoteText"/>
      </w:pPr>
      <w:r>
        <w:rPr>
          <w:rStyle w:val="EndnoteReference"/>
        </w:rPr>
        <w:endnoteRef/>
      </w:r>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signatures</w:t>
      </w:r>
      <w:proofErr w:type="spellEnd"/>
      <w:r>
        <w:t xml:space="preserve"> </w:t>
      </w:r>
      <w:proofErr w:type="spellStart"/>
      <w:r>
        <w:t>required</w:t>
      </w:r>
      <w:proofErr w:type="spellEnd"/>
      <w:r>
        <w:t xml:space="preserve"> varies </w:t>
      </w:r>
      <w:proofErr w:type="spellStart"/>
      <w:r>
        <w:t>depending</w:t>
      </w:r>
      <w:proofErr w:type="spellEnd"/>
      <w:r>
        <w:t xml:space="preserve"> </w:t>
      </w:r>
      <w:proofErr w:type="spellStart"/>
      <w:r>
        <w:t>on</w:t>
      </w:r>
      <w:proofErr w:type="spellEnd"/>
      <w:r>
        <w:t xml:space="preserve"> </w:t>
      </w:r>
      <w:proofErr w:type="spellStart"/>
      <w:r>
        <w:t>the</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authority</w:t>
      </w:r>
      <w:proofErr w:type="spellEnd"/>
      <w:r>
        <w:t xml:space="preserve"> </w:t>
      </w:r>
      <w:proofErr w:type="spellStart"/>
      <w:r>
        <w:t>is</w:t>
      </w:r>
      <w:proofErr w:type="spellEnd"/>
      <w:r>
        <w:t xml:space="preserve"> </w:t>
      </w:r>
      <w:proofErr w:type="spellStart"/>
      <w:r>
        <w:t>local</w:t>
      </w:r>
      <w:proofErr w:type="spellEnd"/>
      <w:r>
        <w:t xml:space="preserve"> </w:t>
      </w:r>
      <w:proofErr w:type="spellStart"/>
      <w:r>
        <w:t>or</w:t>
      </w:r>
      <w:proofErr w:type="spellEnd"/>
      <w:r>
        <w:t xml:space="preserve"> </w:t>
      </w:r>
      <w:proofErr w:type="spellStart"/>
      <w:r>
        <w:t>national</w:t>
      </w:r>
      <w:proofErr w:type="spellEnd"/>
      <w:r>
        <w:t>.</w:t>
      </w:r>
    </w:p>
  </w:endnote>
  <w:endnote w:id="86">
    <w:p w14:paraId="6D13B836" w14:textId="5541ACAC"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xml:space="preserve">, 64. </w:t>
      </w:r>
    </w:p>
  </w:endnote>
  <w:endnote w:id="87">
    <w:p w14:paraId="5671E803" w14:textId="538A2A2F" w:rsidR="00CD1FAD" w:rsidRPr="00D2440E" w:rsidRDefault="00CD1FAD">
      <w:pPr>
        <w:pStyle w:val="EndnoteText"/>
      </w:pPr>
      <w:r w:rsidRPr="00D2440E">
        <w:rPr>
          <w:rStyle w:val="EndnoteReference"/>
          <w:szCs w:val="18"/>
        </w:rPr>
        <w:endnoteRef/>
      </w:r>
      <w:r w:rsidRPr="00D2440E">
        <w:t xml:space="preserve"> </w:t>
      </w:r>
      <w:proofErr w:type="spellStart"/>
      <w:r w:rsidRPr="00D2440E">
        <w:t>Ibid</w:t>
      </w:r>
      <w:proofErr w:type="spellEnd"/>
      <w:r w:rsidRPr="00D2440E">
        <w:t xml:space="preserve">, 65. </w:t>
      </w:r>
    </w:p>
  </w:endnote>
  <w:endnote w:id="88">
    <w:p w14:paraId="50FDC34B" w14:textId="76BAFF2D" w:rsidR="00CD1FAD" w:rsidRPr="00D2440E" w:rsidRDefault="00CD1FAD" w:rsidP="003F15B1">
      <w:pPr>
        <w:rPr>
          <w:rFonts w:ascii="Gill Sans" w:eastAsia="Times New Roman" w:hAnsi="Gill Sans" w:cs="Gill Sans"/>
          <w:sz w:val="18"/>
          <w:szCs w:val="18"/>
        </w:rPr>
      </w:pPr>
      <w:r w:rsidRPr="00D2440E">
        <w:rPr>
          <w:rFonts w:ascii="Gill Sans" w:hAnsi="Gill Sans" w:cs="Gill Sans"/>
          <w:color w:val="222222"/>
          <w:sz w:val="18"/>
          <w:szCs w:val="18"/>
          <w:vertAlign w:val="superscript"/>
        </w:rPr>
        <w:endnoteRef/>
      </w:r>
      <w:r w:rsidRPr="00D2440E">
        <w:rPr>
          <w:rFonts w:ascii="Gill Sans" w:hAnsi="Gill Sans" w:cs="Gill Sans"/>
          <w:color w:val="222222"/>
          <w:sz w:val="18"/>
          <w:szCs w:val="18"/>
        </w:rPr>
        <w:t xml:space="preserve"> </w:t>
      </w:r>
      <w:hyperlink r:id="rId25" w:history="1">
        <w:r w:rsidRPr="00D2440E">
          <w:rPr>
            <w:rFonts w:ascii="Gill Sans" w:hAnsi="Gill Sans" w:cs="Gill Sans"/>
            <w:color w:val="222222"/>
            <w:sz w:val="18"/>
            <w:szCs w:val="18"/>
          </w:rPr>
          <w:t>http://bit.ly/2iPCCUr</w:t>
        </w:r>
      </w:hyperlink>
      <w:r w:rsidRPr="00D2440E">
        <w:rPr>
          <w:rFonts w:ascii="Gill Sans" w:hAnsi="Gill Sans" w:cs="Gill Sans"/>
          <w:color w:val="222222"/>
          <w:sz w:val="18"/>
          <w:szCs w:val="18"/>
        </w:rPr>
        <w:t>.</w:t>
      </w:r>
      <w:r w:rsidRPr="00D2440E">
        <w:rPr>
          <w:rFonts w:ascii="Gill Sans" w:eastAsia="Times New Roman" w:hAnsi="Gill Sans" w:cs="Gill Sans"/>
          <w:color w:val="A3AAAE"/>
          <w:sz w:val="18"/>
          <w:szCs w:val="18"/>
        </w:rPr>
        <w:t xml:space="preserve"> </w:t>
      </w:r>
    </w:p>
  </w:endnote>
  <w:endnote w:id="89">
    <w:p w14:paraId="6876FF69" w14:textId="3B5ECC50" w:rsidR="00CD1FAD" w:rsidRPr="00D2440E" w:rsidRDefault="00CD1FAD" w:rsidP="00042F7B">
      <w:pPr>
        <w:rPr>
          <w:rFonts w:ascii="Gill Sans" w:hAnsi="Gill Sans" w:cs="Gill Sans"/>
          <w:color w:val="222222"/>
          <w:sz w:val="18"/>
          <w:szCs w:val="18"/>
        </w:rPr>
      </w:pPr>
      <w:r w:rsidRPr="00D2440E">
        <w:rPr>
          <w:rFonts w:ascii="Gill Sans" w:hAnsi="Gill Sans" w:cs="Gill Sans"/>
          <w:color w:val="222222"/>
          <w:sz w:val="18"/>
          <w:szCs w:val="18"/>
          <w:vertAlign w:val="superscript"/>
        </w:rPr>
        <w:endnoteRef/>
      </w:r>
      <w:r w:rsidRPr="00D2440E">
        <w:rPr>
          <w:rFonts w:ascii="Gill Sans" w:hAnsi="Gill Sans" w:cs="Gill Sans"/>
          <w:color w:val="222222"/>
          <w:sz w:val="18"/>
          <w:szCs w:val="18"/>
        </w:rPr>
        <w:t xml:space="preserve"> </w:t>
      </w:r>
      <w:hyperlink r:id="rId26" w:history="1">
        <w:r w:rsidRPr="00D2440E">
          <w:rPr>
            <w:rFonts w:ascii="Gill Sans" w:hAnsi="Gill Sans" w:cs="Gill Sans"/>
            <w:color w:val="222222"/>
            <w:sz w:val="18"/>
            <w:szCs w:val="18"/>
          </w:rPr>
          <w:t>http://bit.ly/2iAomBB</w:t>
        </w:r>
      </w:hyperlink>
      <w:r w:rsidRPr="00D2440E">
        <w:rPr>
          <w:rFonts w:ascii="Gill Sans" w:hAnsi="Gill Sans" w:cs="Gill Sans"/>
          <w:color w:val="222222"/>
          <w:sz w:val="18"/>
          <w:szCs w:val="18"/>
        </w:rPr>
        <w:t xml:space="preserve">. </w:t>
      </w:r>
    </w:p>
  </w:endnote>
  <w:endnote w:id="90">
    <w:p w14:paraId="359ACE5C" w14:textId="1E6905BF" w:rsidR="00CD1FAD" w:rsidRPr="00D2440E" w:rsidRDefault="00CD1FAD" w:rsidP="00CD4549">
      <w:pPr>
        <w:rPr>
          <w:rFonts w:ascii="Gill Sans" w:hAnsi="Gill Sans" w:cs="Gill Sans"/>
          <w:color w:val="222222"/>
          <w:sz w:val="18"/>
          <w:szCs w:val="18"/>
        </w:rPr>
      </w:pPr>
      <w:r w:rsidRPr="00D2440E">
        <w:rPr>
          <w:rFonts w:ascii="Gill Sans" w:hAnsi="Gill Sans" w:cs="Gill Sans"/>
          <w:color w:val="222222"/>
          <w:sz w:val="18"/>
          <w:szCs w:val="18"/>
          <w:vertAlign w:val="superscript"/>
        </w:rPr>
        <w:endnoteRef/>
      </w:r>
      <w:r w:rsidRPr="00D2440E">
        <w:rPr>
          <w:rFonts w:ascii="Gill Sans" w:hAnsi="Gill Sans" w:cs="Gill Sans"/>
          <w:color w:val="222222"/>
          <w:sz w:val="18"/>
          <w:szCs w:val="18"/>
        </w:rPr>
        <w:t xml:space="preserve"> </w:t>
      </w:r>
      <w:hyperlink r:id="rId27" w:history="1">
        <w:r w:rsidRPr="00D2440E">
          <w:rPr>
            <w:rFonts w:ascii="Gill Sans" w:hAnsi="Gill Sans" w:cs="Gill Sans"/>
            <w:color w:val="222222"/>
            <w:sz w:val="18"/>
            <w:szCs w:val="18"/>
          </w:rPr>
          <w:t>http://bit.ly/2iAgMqw</w:t>
        </w:r>
      </w:hyperlink>
      <w:r w:rsidRPr="00D2440E">
        <w:rPr>
          <w:rFonts w:ascii="Gill Sans" w:hAnsi="Gill Sans" w:cs="Gill Sans"/>
          <w:color w:val="222222"/>
          <w:sz w:val="18"/>
          <w:szCs w:val="18"/>
        </w:rPr>
        <w:t xml:space="preserve">, </w:t>
      </w:r>
      <w:hyperlink r:id="rId28" w:history="1">
        <w:r w:rsidRPr="00D2440E">
          <w:rPr>
            <w:rFonts w:ascii="Gill Sans" w:hAnsi="Gill Sans" w:cs="Gill Sans"/>
            <w:color w:val="222222"/>
            <w:sz w:val="18"/>
            <w:szCs w:val="18"/>
          </w:rPr>
          <w:t>http://bit.ly/2j4GTmr</w:t>
        </w:r>
      </w:hyperlink>
      <w:r w:rsidRPr="00D2440E">
        <w:rPr>
          <w:rFonts w:ascii="Gill Sans" w:hAnsi="Gill Sans" w:cs="Gill Sans"/>
          <w:color w:val="222222"/>
          <w:sz w:val="18"/>
          <w:szCs w:val="18"/>
        </w:rPr>
        <w:t xml:space="preserve">. </w:t>
      </w:r>
    </w:p>
  </w:endnote>
  <w:endnote w:id="91">
    <w:p w14:paraId="745E2178" w14:textId="768135E5" w:rsidR="00CD1FAD" w:rsidRPr="00D2440E" w:rsidRDefault="00CD1FAD" w:rsidP="00042F7B">
      <w:pPr>
        <w:rPr>
          <w:rFonts w:ascii="Gill Sans" w:eastAsia="Times New Roman" w:hAnsi="Gill Sans" w:cs="Gill Sans"/>
          <w:sz w:val="18"/>
          <w:szCs w:val="18"/>
        </w:rPr>
      </w:pPr>
      <w:r w:rsidRPr="00D2440E">
        <w:rPr>
          <w:rFonts w:ascii="Gill Sans" w:hAnsi="Gill Sans" w:cs="Gill Sans"/>
          <w:color w:val="222222"/>
          <w:sz w:val="18"/>
          <w:szCs w:val="18"/>
          <w:vertAlign w:val="superscript"/>
        </w:rPr>
        <w:endnoteRef/>
      </w:r>
      <w:r w:rsidRPr="00D2440E">
        <w:rPr>
          <w:rFonts w:ascii="Gill Sans" w:hAnsi="Gill Sans" w:cs="Gill Sans"/>
          <w:color w:val="222222"/>
          <w:sz w:val="18"/>
          <w:szCs w:val="18"/>
        </w:rPr>
        <w:t xml:space="preserve"> See</w:t>
      </w:r>
      <w:r>
        <w:rPr>
          <w:rFonts w:ascii="Gill Sans" w:hAnsi="Gill Sans" w:cs="Gill Sans"/>
          <w:color w:val="222222"/>
          <w:sz w:val="18"/>
          <w:szCs w:val="18"/>
        </w:rPr>
        <w:t>,</w:t>
      </w:r>
      <w:r w:rsidRPr="00D2440E">
        <w:rPr>
          <w:rFonts w:ascii="Gill Sans" w:hAnsi="Gill Sans" w:cs="Gill Sans"/>
          <w:color w:val="222222"/>
          <w:sz w:val="18"/>
          <w:szCs w:val="18"/>
        </w:rPr>
        <w:t xml:space="preserve"> </w:t>
      </w:r>
      <w:r>
        <w:rPr>
          <w:rFonts w:ascii="Gill Sans" w:hAnsi="Gill Sans" w:cs="Gill Sans"/>
          <w:color w:val="222222"/>
          <w:sz w:val="18"/>
          <w:szCs w:val="18"/>
        </w:rPr>
        <w:t>for example,</w:t>
      </w:r>
      <w:r w:rsidRPr="00D2440E">
        <w:rPr>
          <w:rFonts w:ascii="Gill Sans" w:hAnsi="Gill Sans" w:cs="Gill Sans"/>
          <w:color w:val="222222"/>
          <w:sz w:val="18"/>
          <w:szCs w:val="18"/>
        </w:rPr>
        <w:t xml:space="preserve"> regulations approved by the Kyiv city council </w:t>
      </w:r>
      <w:hyperlink r:id="rId29" w:history="1">
        <w:r w:rsidRPr="00D2440E">
          <w:rPr>
            <w:rFonts w:ascii="Gill Sans" w:hAnsi="Gill Sans" w:cs="Gill Sans"/>
            <w:color w:val="222222"/>
            <w:sz w:val="18"/>
            <w:szCs w:val="18"/>
          </w:rPr>
          <w:t>http://bit.ly/2j4BGLr</w:t>
        </w:r>
      </w:hyperlink>
      <w:r w:rsidRPr="00D2440E">
        <w:rPr>
          <w:rFonts w:ascii="Gill Sans" w:hAnsi="Gill Sans" w:cs="Gill Sans"/>
          <w:color w:val="222222"/>
          <w:sz w:val="18"/>
          <w:szCs w:val="18"/>
        </w:rPr>
        <w:t>.</w:t>
      </w:r>
      <w:r w:rsidRPr="00D2440E">
        <w:rPr>
          <w:rFonts w:ascii="Gill Sans" w:eastAsia="Times New Roman" w:hAnsi="Gill Sans" w:cs="Gill Sans"/>
          <w:color w:val="A3AAAE"/>
          <w:sz w:val="18"/>
          <w:szCs w:val="18"/>
        </w:rPr>
        <w:t xml:space="preserve"> </w:t>
      </w:r>
    </w:p>
  </w:endnote>
  <w:endnote w:id="92">
    <w:p w14:paraId="5871E460" w14:textId="77777777" w:rsidR="00CD1FAD" w:rsidRPr="00D2440E" w:rsidRDefault="00CD1FAD" w:rsidP="008E1065">
      <w:pPr>
        <w:rPr>
          <w:rFonts w:ascii="Gill Sans" w:hAnsi="Gill Sans" w:cs="Gill Sans"/>
          <w:color w:val="222222"/>
          <w:sz w:val="18"/>
          <w:szCs w:val="18"/>
        </w:rPr>
      </w:pPr>
      <w:r w:rsidRPr="00D2440E">
        <w:rPr>
          <w:rFonts w:ascii="Gill Sans" w:hAnsi="Gill Sans" w:cs="Gill Sans"/>
          <w:color w:val="222222"/>
          <w:sz w:val="18"/>
          <w:szCs w:val="18"/>
          <w:vertAlign w:val="superscript"/>
        </w:rPr>
        <w:endnoteRef/>
      </w:r>
      <w:r w:rsidRPr="00D2440E">
        <w:rPr>
          <w:rFonts w:ascii="Gill Sans" w:hAnsi="Gill Sans" w:cs="Gill Sans"/>
          <w:color w:val="222222"/>
          <w:sz w:val="18"/>
          <w:szCs w:val="18"/>
        </w:rPr>
        <w:t xml:space="preserve"> </w:t>
      </w:r>
      <w:hyperlink r:id="rId30" w:history="1">
        <w:r w:rsidRPr="00D2440E">
          <w:rPr>
            <w:rFonts w:ascii="Gill Sans" w:hAnsi="Gill Sans" w:cs="Gill Sans"/>
            <w:color w:val="222222"/>
            <w:sz w:val="18"/>
            <w:szCs w:val="18"/>
          </w:rPr>
          <w:t>http://bit.ly/2j9mGA1</w:t>
        </w:r>
      </w:hyperlink>
      <w:r w:rsidRPr="00D2440E">
        <w:rPr>
          <w:rFonts w:ascii="Gill Sans" w:hAnsi="Gill Sans" w:cs="Gill Sans"/>
          <w:color w:val="222222"/>
          <w:sz w:val="18"/>
          <w:szCs w:val="18"/>
        </w:rPr>
        <w:t xml:space="preserve">. </w:t>
      </w:r>
    </w:p>
  </w:endnote>
  <w:endnote w:id="93">
    <w:p w14:paraId="16F7A184" w14:textId="5D565451" w:rsidR="00CD1FAD" w:rsidRPr="00D2440E" w:rsidRDefault="00CD1FAD" w:rsidP="006319F4">
      <w:pPr>
        <w:pStyle w:val="EndnoteText"/>
      </w:pPr>
      <w:r w:rsidRPr="00D2440E">
        <w:rPr>
          <w:vertAlign w:val="superscript"/>
        </w:rPr>
        <w:endnoteRef/>
      </w:r>
      <w:r w:rsidRPr="00D2440E">
        <w:t xml:space="preserve"> </w:t>
      </w:r>
      <w:hyperlink r:id="rId31" w:history="1">
        <w:r w:rsidRPr="00D2440E">
          <w:t>https://petition.president.gov.ua</w:t>
        </w:r>
      </w:hyperlink>
      <w:r w:rsidRPr="00D2440E">
        <w:t xml:space="preserve">. </w:t>
      </w:r>
    </w:p>
  </w:endnote>
  <w:endnote w:id="94">
    <w:p w14:paraId="4D0F320E" w14:textId="77777777" w:rsidR="00CD1FAD" w:rsidRPr="00D2440E" w:rsidRDefault="00CD1FAD" w:rsidP="006319F4">
      <w:pPr>
        <w:pStyle w:val="EndnoteText"/>
        <w:rPr>
          <w:lang w:val="uk-UA"/>
        </w:rPr>
      </w:pPr>
      <w:r w:rsidRPr="00D2440E">
        <w:rPr>
          <w:rStyle w:val="EndnoteReference"/>
          <w:szCs w:val="18"/>
        </w:rPr>
        <w:endnoteRef/>
      </w:r>
      <w:r w:rsidRPr="00D2440E">
        <w:t xml:space="preserve"> </w:t>
      </w:r>
      <w:r w:rsidRPr="00D2440E">
        <w:t xml:space="preserve">http://bit.ly/1KtKyzG.  </w:t>
      </w:r>
    </w:p>
  </w:endnote>
  <w:endnote w:id="95">
    <w:p w14:paraId="5B0020E5" w14:textId="7C8F96E1" w:rsidR="00CD1FAD" w:rsidRPr="00D2440E" w:rsidRDefault="00CD1FAD">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t xml:space="preserve">, </w:t>
      </w:r>
      <w:r w:rsidRPr="00D2440E">
        <w:t>66-67.</w:t>
      </w:r>
    </w:p>
  </w:endnote>
  <w:endnote w:id="96">
    <w:p w14:paraId="475813D6" w14:textId="2B9C3677" w:rsidR="00CD1FAD" w:rsidRPr="00D2440E" w:rsidRDefault="00CD1FAD">
      <w:pPr>
        <w:pStyle w:val="EndnoteText"/>
      </w:pPr>
      <w:r w:rsidRPr="00D2440E">
        <w:rPr>
          <w:rStyle w:val="EndnoteReference"/>
          <w:szCs w:val="18"/>
        </w:rPr>
        <w:endnoteRef/>
      </w:r>
      <w:r w:rsidRPr="00D2440E">
        <w:t xml:space="preserve"> </w:t>
      </w:r>
      <w:proofErr w:type="spellStart"/>
      <w:r w:rsidRPr="00D2440E">
        <w:t>Ibid</w:t>
      </w:r>
      <w:proofErr w:type="spellEnd"/>
      <w:r w:rsidRPr="00D2440E">
        <w:t>, 66.</w:t>
      </w:r>
    </w:p>
  </w:endnote>
  <w:endnote w:id="97">
    <w:p w14:paraId="762FC92A" w14:textId="77777777" w:rsidR="00CD1FAD" w:rsidRPr="00254401" w:rsidRDefault="00CD1FAD">
      <w:pPr>
        <w:pStyle w:val="EndnoteText"/>
        <w:rPr>
          <w:lang w:val="es-MX"/>
        </w:rPr>
      </w:pPr>
      <w:r w:rsidRPr="00D2440E">
        <w:rPr>
          <w:rStyle w:val="EndnoteReference"/>
          <w:szCs w:val="18"/>
        </w:rPr>
        <w:endnoteRef/>
      </w:r>
      <w:r w:rsidRPr="00254401">
        <w:rPr>
          <w:lang w:val="es-MX"/>
        </w:rPr>
        <w:t xml:space="preserve"> </w:t>
      </w:r>
      <w:r w:rsidRPr="00D2440E">
        <w:t>http://bit.ly/1MwZ63f</w:t>
      </w:r>
      <w:r w:rsidRPr="00254401">
        <w:rPr>
          <w:lang w:val="es-MX"/>
        </w:rPr>
        <w:t xml:space="preserve">. </w:t>
      </w:r>
    </w:p>
  </w:endnote>
  <w:endnote w:id="98">
    <w:p w14:paraId="1A8FFD31" w14:textId="22E24F78" w:rsidR="00CD1FAD" w:rsidRPr="00D2440E" w:rsidRDefault="00CD1FAD">
      <w:pPr>
        <w:pStyle w:val="EndnoteText"/>
      </w:pPr>
      <w:r w:rsidRPr="00D2440E">
        <w:rPr>
          <w:rStyle w:val="EndnoteReference"/>
          <w:szCs w:val="18"/>
        </w:rPr>
        <w:endnoteRef/>
      </w:r>
      <w:r w:rsidRPr="00D2440E">
        <w:t xml:space="preserve"> </w:t>
      </w:r>
      <w:proofErr w:type="spellStart"/>
      <w:r w:rsidRPr="00D2440E">
        <w:t>Ibid</w:t>
      </w:r>
      <w:proofErr w:type="spellEnd"/>
      <w:r w:rsidRPr="00D2440E">
        <w:t>, 68.</w:t>
      </w:r>
    </w:p>
  </w:endnote>
  <w:endnote w:id="99">
    <w:p w14:paraId="033DCD1A" w14:textId="28B2BD45" w:rsidR="00CD1FAD" w:rsidRPr="00254401" w:rsidRDefault="00CD1FAD" w:rsidP="00DB3278">
      <w:pPr>
        <w:rPr>
          <w:rFonts w:ascii="Gill Sans" w:hAnsi="Gill Sans" w:cs="Gill Sans"/>
          <w:color w:val="222222"/>
          <w:sz w:val="18"/>
          <w:szCs w:val="18"/>
          <w:lang w:val="es-MX"/>
        </w:rPr>
      </w:pPr>
      <w:r w:rsidRPr="00D2440E">
        <w:rPr>
          <w:rFonts w:ascii="Gill Sans" w:hAnsi="Gill Sans" w:cs="Gill Sans"/>
          <w:color w:val="222222"/>
          <w:sz w:val="18"/>
          <w:szCs w:val="18"/>
          <w:vertAlign w:val="superscript"/>
        </w:rPr>
        <w:endnoteRef/>
      </w:r>
      <w:r w:rsidRPr="00254401">
        <w:rPr>
          <w:rFonts w:ascii="Gill Sans" w:hAnsi="Gill Sans" w:cs="Gill Sans"/>
          <w:color w:val="222222"/>
          <w:sz w:val="18"/>
          <w:szCs w:val="18"/>
          <w:lang w:val="es-MX"/>
        </w:rPr>
        <w:t xml:space="preserve"> </w:t>
      </w:r>
      <w:hyperlink r:id="rId32" w:history="1">
        <w:r w:rsidRPr="00254401">
          <w:rPr>
            <w:rFonts w:ascii="Gill Sans" w:hAnsi="Gill Sans" w:cs="Gill Sans"/>
            <w:color w:val="222222"/>
            <w:sz w:val="18"/>
            <w:szCs w:val="18"/>
            <w:lang w:val="es-MX"/>
          </w:rPr>
          <w:t>http://bit.ly/2jadLON</w:t>
        </w:r>
      </w:hyperlink>
      <w:r w:rsidRPr="00254401">
        <w:rPr>
          <w:rFonts w:ascii="Gill Sans" w:hAnsi="Gill Sans" w:cs="Gill Sans"/>
          <w:color w:val="222222"/>
          <w:sz w:val="18"/>
          <w:szCs w:val="18"/>
          <w:lang w:val="es-MX"/>
        </w:rPr>
        <w:t xml:space="preserve">. </w:t>
      </w:r>
    </w:p>
  </w:endnote>
  <w:endnote w:id="100">
    <w:p w14:paraId="7042A86D" w14:textId="0B88C5EF" w:rsidR="00CD1FAD" w:rsidRPr="00254401" w:rsidRDefault="00CD1FAD" w:rsidP="00DB3278">
      <w:pPr>
        <w:rPr>
          <w:rFonts w:ascii="Gill Sans" w:hAnsi="Gill Sans" w:cs="Gill Sans"/>
          <w:color w:val="222222"/>
          <w:sz w:val="18"/>
          <w:szCs w:val="18"/>
          <w:lang w:val="es-MX"/>
        </w:rPr>
      </w:pPr>
      <w:r w:rsidRPr="00D2440E">
        <w:rPr>
          <w:rFonts w:ascii="Gill Sans" w:hAnsi="Gill Sans" w:cs="Gill Sans"/>
          <w:color w:val="222222"/>
          <w:sz w:val="18"/>
          <w:szCs w:val="18"/>
          <w:vertAlign w:val="superscript"/>
        </w:rPr>
        <w:endnoteRef/>
      </w:r>
      <w:r w:rsidRPr="00254401">
        <w:rPr>
          <w:rFonts w:ascii="Gill Sans" w:hAnsi="Gill Sans" w:cs="Gill Sans"/>
          <w:color w:val="222222"/>
          <w:sz w:val="18"/>
          <w:szCs w:val="18"/>
          <w:lang w:val="es-MX"/>
        </w:rPr>
        <w:t xml:space="preserve"> </w:t>
      </w:r>
      <w:hyperlink r:id="rId33" w:history="1">
        <w:r w:rsidRPr="00254401">
          <w:rPr>
            <w:rFonts w:ascii="Gill Sans" w:hAnsi="Gill Sans" w:cs="Gill Sans"/>
            <w:color w:val="222222"/>
            <w:sz w:val="18"/>
            <w:szCs w:val="18"/>
            <w:lang w:val="es-MX"/>
          </w:rPr>
          <w:t>http://bit.ly/2iEA9g8</w:t>
        </w:r>
      </w:hyperlink>
      <w:r w:rsidRPr="00254401">
        <w:rPr>
          <w:rFonts w:ascii="Gill Sans" w:hAnsi="Gill Sans" w:cs="Gill Sans"/>
          <w:color w:val="222222"/>
          <w:sz w:val="18"/>
          <w:szCs w:val="18"/>
          <w:lang w:val="es-MX"/>
        </w:rPr>
        <w:t xml:space="preserve">. </w:t>
      </w:r>
    </w:p>
  </w:endnote>
  <w:endnote w:id="101">
    <w:p w14:paraId="472DBF8A" w14:textId="165E6889" w:rsidR="00CD1FAD" w:rsidRPr="00254401" w:rsidRDefault="00CD1FAD" w:rsidP="00272BF0">
      <w:pPr>
        <w:rPr>
          <w:rFonts w:ascii="Gill Sans" w:hAnsi="Gill Sans" w:cs="Gill Sans"/>
          <w:color w:val="222222"/>
          <w:sz w:val="18"/>
          <w:szCs w:val="18"/>
          <w:lang w:val="es-MX"/>
        </w:rPr>
      </w:pPr>
      <w:r w:rsidRPr="00D2440E">
        <w:rPr>
          <w:rFonts w:ascii="Gill Sans" w:hAnsi="Gill Sans" w:cs="Gill Sans"/>
          <w:color w:val="222222"/>
          <w:sz w:val="18"/>
          <w:szCs w:val="18"/>
          <w:vertAlign w:val="superscript"/>
        </w:rPr>
        <w:endnoteRef/>
      </w:r>
      <w:r w:rsidRPr="00254401">
        <w:rPr>
          <w:rFonts w:ascii="Gill Sans" w:hAnsi="Gill Sans" w:cs="Gill Sans"/>
          <w:color w:val="222222"/>
          <w:sz w:val="18"/>
          <w:szCs w:val="18"/>
          <w:lang w:val="es-MX"/>
        </w:rPr>
        <w:t xml:space="preserve"> </w:t>
      </w:r>
      <w:hyperlink r:id="rId34" w:history="1">
        <w:r w:rsidRPr="00254401">
          <w:rPr>
            <w:rFonts w:ascii="Gill Sans" w:hAnsi="Gill Sans" w:cs="Gill Sans"/>
            <w:color w:val="222222"/>
            <w:sz w:val="18"/>
            <w:szCs w:val="18"/>
            <w:lang w:val="es-MX"/>
          </w:rPr>
          <w:t>http://bit.ly/1XnhtPa</w:t>
        </w:r>
      </w:hyperlink>
      <w:r w:rsidRPr="00254401">
        <w:rPr>
          <w:rFonts w:ascii="Gill Sans" w:hAnsi="Gill Sans" w:cs="Gill Sans"/>
          <w:color w:val="222222"/>
          <w:sz w:val="18"/>
          <w:szCs w:val="18"/>
          <w:lang w:val="es-MX"/>
        </w:rPr>
        <w:t xml:space="preserve">. </w:t>
      </w:r>
    </w:p>
  </w:endnote>
  <w:endnote w:id="102">
    <w:p w14:paraId="46601E83" w14:textId="68600D22" w:rsidR="00CD1FAD" w:rsidRPr="00280389" w:rsidRDefault="00CD1FAD" w:rsidP="006319F4">
      <w:pPr>
        <w:pStyle w:val="EndnoteText"/>
      </w:pPr>
      <w:r>
        <w:rPr>
          <w:rStyle w:val="EndnoteReference"/>
        </w:rPr>
        <w:endnoteRef/>
      </w:r>
      <w:r>
        <w:t xml:space="preserve"> </w:t>
      </w:r>
      <w:r>
        <w:t xml:space="preserve">Data.gov.ua. </w:t>
      </w:r>
    </w:p>
  </w:endnote>
  <w:endnote w:id="103">
    <w:p w14:paraId="3E864E6E" w14:textId="138D5135" w:rsidR="00CD1FAD" w:rsidRPr="00D2440E" w:rsidRDefault="00CD1FAD">
      <w:pPr>
        <w:pStyle w:val="EndnoteText"/>
      </w:pPr>
      <w:r w:rsidRPr="00D2440E">
        <w:rPr>
          <w:vertAlign w:val="superscript"/>
        </w:rPr>
        <w:endnoteRef/>
      </w:r>
      <w:r w:rsidRPr="00D2440E">
        <w:t xml:space="preserve"> </w:t>
      </w:r>
      <w:hyperlink r:id="rId35" w:history="1">
        <w:r w:rsidRPr="00D2440E">
          <w:t>http://bit.ly/2hTrLux</w:t>
        </w:r>
      </w:hyperlink>
      <w:r w:rsidRPr="00D2440E">
        <w:t>.</w:t>
      </w:r>
    </w:p>
  </w:endnote>
  <w:endnote w:id="104">
    <w:p w14:paraId="1AB89660" w14:textId="4041D826" w:rsidR="00CD1FAD" w:rsidRPr="00254401" w:rsidRDefault="00CD1FAD" w:rsidP="008F7DA7">
      <w:pPr>
        <w:rPr>
          <w:rFonts w:ascii="Gill Sans" w:hAnsi="Gill Sans" w:cs="Gill Sans"/>
          <w:color w:val="222222"/>
          <w:sz w:val="18"/>
          <w:szCs w:val="18"/>
          <w:lang w:val="lv-LV"/>
        </w:rPr>
      </w:pPr>
      <w:r w:rsidRPr="00D2440E">
        <w:rPr>
          <w:rFonts w:ascii="Gill Sans" w:hAnsi="Gill Sans" w:cs="Gill Sans"/>
          <w:color w:val="222222"/>
          <w:sz w:val="18"/>
          <w:szCs w:val="18"/>
          <w:vertAlign w:val="superscript"/>
        </w:rPr>
        <w:endnoteRef/>
      </w:r>
      <w:r w:rsidRPr="00254401">
        <w:rPr>
          <w:rFonts w:ascii="Gill Sans" w:hAnsi="Gill Sans" w:cs="Gill Sans"/>
          <w:color w:val="222222"/>
          <w:sz w:val="18"/>
          <w:szCs w:val="18"/>
          <w:lang w:val="lv-LV"/>
        </w:rPr>
        <w:t xml:space="preserve"> </w:t>
      </w:r>
      <w:hyperlink r:id="rId36" w:history="1">
        <w:r w:rsidRPr="00254401">
          <w:rPr>
            <w:rFonts w:ascii="Gill Sans" w:hAnsi="Gill Sans" w:cs="Gill Sans"/>
            <w:color w:val="222222"/>
            <w:sz w:val="18"/>
            <w:szCs w:val="18"/>
            <w:lang w:val="lv-LV"/>
          </w:rPr>
          <w:t>http://bit.ly/2j5vzqg</w:t>
        </w:r>
      </w:hyperlink>
      <w:r w:rsidRPr="00254401">
        <w:rPr>
          <w:rFonts w:ascii="Gill Sans" w:hAnsi="Gill Sans" w:cs="Gill Sans"/>
          <w:color w:val="222222"/>
          <w:sz w:val="18"/>
          <w:szCs w:val="18"/>
          <w:lang w:val="lv-LV"/>
        </w:rPr>
        <w:t xml:space="preserve">. </w:t>
      </w:r>
    </w:p>
  </w:endnote>
  <w:endnote w:id="105">
    <w:p w14:paraId="784EC760" w14:textId="54BC465E" w:rsidR="00CD1FAD" w:rsidRPr="00254401" w:rsidRDefault="00CD1FAD" w:rsidP="007A1164">
      <w:pPr>
        <w:rPr>
          <w:rFonts w:ascii="Gill Sans" w:eastAsia="Times New Roman" w:hAnsi="Gill Sans" w:cs="Gill Sans"/>
          <w:sz w:val="18"/>
          <w:szCs w:val="18"/>
          <w:lang w:val="lv-LV"/>
        </w:rPr>
      </w:pPr>
      <w:r w:rsidRPr="00D2440E">
        <w:rPr>
          <w:rFonts w:ascii="Gill Sans" w:hAnsi="Gill Sans" w:cs="Gill Sans"/>
          <w:color w:val="222222"/>
          <w:sz w:val="18"/>
          <w:szCs w:val="18"/>
          <w:vertAlign w:val="superscript"/>
        </w:rPr>
        <w:endnoteRef/>
      </w:r>
      <w:r w:rsidRPr="00254401">
        <w:rPr>
          <w:rFonts w:ascii="Gill Sans" w:hAnsi="Gill Sans" w:cs="Gill Sans"/>
          <w:color w:val="222222"/>
          <w:sz w:val="18"/>
          <w:szCs w:val="18"/>
          <w:lang w:val="lv-LV"/>
        </w:rPr>
        <w:t xml:space="preserve"> </w:t>
      </w:r>
      <w:hyperlink r:id="rId37" w:history="1">
        <w:r w:rsidRPr="00254401">
          <w:rPr>
            <w:rFonts w:ascii="Gill Sans" w:hAnsi="Gill Sans" w:cs="Gill Sans"/>
            <w:color w:val="222222"/>
            <w:sz w:val="18"/>
            <w:szCs w:val="18"/>
            <w:lang w:val="lv-LV"/>
          </w:rPr>
          <w:t>http://bit.ly/2iJ8qgz</w:t>
        </w:r>
      </w:hyperlink>
      <w:r w:rsidRPr="00254401">
        <w:rPr>
          <w:rFonts w:ascii="Gill Sans" w:hAnsi="Gill Sans" w:cs="Gill Sans"/>
          <w:color w:val="222222"/>
          <w:sz w:val="18"/>
          <w:szCs w:val="18"/>
          <w:lang w:val="lv-LV"/>
        </w:rPr>
        <w:t xml:space="preserve">. </w:t>
      </w:r>
    </w:p>
  </w:endnote>
  <w:endnote w:id="106">
    <w:p w14:paraId="422C14C7" w14:textId="77777777" w:rsidR="00CD1FAD" w:rsidRPr="001718B6" w:rsidRDefault="00CD1FAD" w:rsidP="006319F4">
      <w:pPr>
        <w:pStyle w:val="EndnoteText"/>
        <w:rPr>
          <w:szCs w:val="22"/>
          <w:lang w:val="en-US"/>
        </w:rPr>
      </w:pPr>
      <w:r w:rsidRPr="001718B6">
        <w:rPr>
          <w:rStyle w:val="EndnoteReference"/>
          <w:szCs w:val="22"/>
        </w:rPr>
        <w:endnoteRef/>
      </w:r>
      <w:r w:rsidRPr="001718B6">
        <w:rPr>
          <w:szCs w:val="22"/>
          <w:lang w:val="en-US"/>
        </w:rPr>
        <w:t xml:space="preserve"> </w:t>
      </w:r>
      <w:r w:rsidRPr="001718B6">
        <w:t>http://bit.ly/1jYVTlV</w:t>
      </w:r>
      <w:r w:rsidRPr="001718B6">
        <w:rPr>
          <w:szCs w:val="22"/>
          <w:lang w:val="en-US"/>
        </w:rPr>
        <w:t xml:space="preserve">. </w:t>
      </w:r>
    </w:p>
  </w:endnote>
  <w:endnote w:id="107">
    <w:p w14:paraId="3EBBD9EF" w14:textId="6FA49681" w:rsidR="00CD1FAD" w:rsidRPr="001718B6" w:rsidRDefault="00CD1FAD">
      <w:pPr>
        <w:pStyle w:val="EndnoteText"/>
      </w:pPr>
      <w:r w:rsidRPr="001718B6">
        <w:rPr>
          <w:rStyle w:val="EndnoteReference"/>
        </w:rPr>
        <w:endnoteRef/>
      </w:r>
      <w:r w:rsidRPr="001718B6">
        <w:t xml:space="preserve"> </w:t>
      </w:r>
      <w:proofErr w:type="spellStart"/>
      <w:r w:rsidRPr="001718B6">
        <w:t>Independent</w:t>
      </w:r>
      <w:proofErr w:type="spellEnd"/>
      <w:r w:rsidRPr="001718B6">
        <w:t xml:space="preserve"> </w:t>
      </w:r>
      <w:proofErr w:type="spellStart"/>
      <w:r w:rsidRPr="001718B6">
        <w:t>Reporting</w:t>
      </w:r>
      <w:proofErr w:type="spellEnd"/>
      <w:r w:rsidRPr="001718B6">
        <w:t xml:space="preserve"> </w:t>
      </w:r>
      <w:proofErr w:type="spellStart"/>
      <w:r w:rsidRPr="001718B6">
        <w:t>Mechanism</w:t>
      </w:r>
      <w:proofErr w:type="spellEnd"/>
      <w:r w:rsidRPr="001718B6">
        <w:t xml:space="preserve"> (IRM) Progress </w:t>
      </w:r>
      <w:proofErr w:type="spellStart"/>
      <w:r w:rsidRPr="001718B6">
        <w:t>Report</w:t>
      </w:r>
      <w:proofErr w:type="spellEnd"/>
      <w:r w:rsidRPr="001718B6">
        <w:t xml:space="preserve"> 2014</w:t>
      </w:r>
      <w:r>
        <w:t>-</w:t>
      </w:r>
      <w:r w:rsidRPr="001718B6">
        <w:t xml:space="preserve">15: </w:t>
      </w:r>
      <w:proofErr w:type="spellStart"/>
      <w:r w:rsidRPr="001718B6">
        <w:t>Ukraine</w:t>
      </w:r>
      <w:proofErr w:type="spellEnd"/>
      <w:r w:rsidRPr="001718B6">
        <w:t>, 73.</w:t>
      </w:r>
    </w:p>
  </w:endnote>
  <w:endnote w:id="108">
    <w:p w14:paraId="0ABEF5A3" w14:textId="6E42CF96" w:rsidR="00CD1FAD" w:rsidRPr="001718B6" w:rsidRDefault="00CD1FAD">
      <w:pPr>
        <w:pStyle w:val="EndnoteText"/>
      </w:pPr>
      <w:r w:rsidRPr="001718B6">
        <w:rPr>
          <w:rStyle w:val="EndnoteReference"/>
        </w:rPr>
        <w:endnoteRef/>
      </w:r>
      <w:r w:rsidRPr="001718B6">
        <w:t xml:space="preserve"> </w:t>
      </w:r>
      <w:proofErr w:type="spellStart"/>
      <w:r w:rsidRPr="001718B6">
        <w:t>Ibid</w:t>
      </w:r>
      <w:proofErr w:type="spellEnd"/>
      <w:r w:rsidRPr="001718B6">
        <w:t>, p. 73.</w:t>
      </w:r>
    </w:p>
  </w:endnote>
  <w:endnote w:id="109">
    <w:p w14:paraId="555C5F33" w14:textId="72E37990" w:rsidR="00CD1FAD" w:rsidRPr="00254401" w:rsidRDefault="00CD1FAD" w:rsidP="007919CD">
      <w:pPr>
        <w:rPr>
          <w:rFonts w:ascii="Gill Sans" w:eastAsia="Times New Roman" w:hAnsi="Gill Sans" w:cs="Gill Sans"/>
          <w:lang w:val="es-MX"/>
        </w:rPr>
      </w:pPr>
      <w:r w:rsidRPr="001718B6">
        <w:rPr>
          <w:rFonts w:ascii="Gill Sans" w:hAnsi="Gill Sans" w:cs="Gill Sans"/>
          <w:color w:val="222222"/>
          <w:sz w:val="18"/>
          <w:szCs w:val="18"/>
          <w:vertAlign w:val="superscript"/>
        </w:rPr>
        <w:endnoteRef/>
      </w:r>
      <w:r w:rsidRPr="00254401">
        <w:rPr>
          <w:rFonts w:ascii="Gill Sans" w:hAnsi="Gill Sans" w:cs="Gill Sans"/>
          <w:color w:val="222222"/>
          <w:sz w:val="18"/>
          <w:szCs w:val="18"/>
          <w:lang w:val="es-MX"/>
        </w:rPr>
        <w:t xml:space="preserve"> </w:t>
      </w:r>
      <w:hyperlink r:id="rId38" w:history="1">
        <w:r w:rsidRPr="00254401">
          <w:rPr>
            <w:rFonts w:ascii="Gill Sans" w:hAnsi="Gill Sans" w:cs="Gill Sans"/>
            <w:color w:val="222222"/>
            <w:sz w:val="18"/>
            <w:szCs w:val="18"/>
            <w:lang w:val="es-MX"/>
          </w:rPr>
          <w:t>http://bit.ly/2ifuWKH</w:t>
        </w:r>
      </w:hyperlink>
      <w:r w:rsidRPr="00254401">
        <w:rPr>
          <w:rFonts w:ascii="Gill Sans" w:hAnsi="Gill Sans" w:cs="Gill Sans"/>
          <w:color w:val="222222"/>
          <w:sz w:val="18"/>
          <w:szCs w:val="18"/>
          <w:lang w:val="es-MX"/>
        </w:rPr>
        <w:t>.</w:t>
      </w:r>
      <w:r w:rsidRPr="00254401">
        <w:rPr>
          <w:rFonts w:ascii="Gill Sans" w:eastAsia="Times New Roman" w:hAnsi="Gill Sans" w:cs="Gill Sans"/>
          <w:color w:val="A3AAAE"/>
          <w:sz w:val="23"/>
          <w:szCs w:val="23"/>
          <w:lang w:val="es-MX"/>
        </w:rPr>
        <w:t xml:space="preserve"> </w:t>
      </w:r>
    </w:p>
  </w:endnote>
  <w:endnote w:id="110">
    <w:p w14:paraId="42A2AA42" w14:textId="57726433" w:rsidR="00CD1FAD" w:rsidRPr="00D2440E" w:rsidRDefault="00CD1FAD" w:rsidP="006319F4">
      <w:pPr>
        <w:pStyle w:val="EndnoteText"/>
      </w:pPr>
      <w:r w:rsidRPr="00D2440E">
        <w:rPr>
          <w:rStyle w:val="EndnoteReference"/>
          <w:szCs w:val="18"/>
        </w:rPr>
        <w:endnoteRef/>
      </w:r>
      <w:r w:rsidRPr="00D2440E">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69.</w:t>
      </w:r>
    </w:p>
  </w:endnote>
  <w:endnote w:id="111">
    <w:p w14:paraId="1EF6FA05" w14:textId="5A7AE3AC" w:rsidR="00CD1FAD" w:rsidRPr="00D2440E" w:rsidRDefault="00CD1FAD">
      <w:pPr>
        <w:pStyle w:val="EndnoteText"/>
      </w:pPr>
      <w:r w:rsidRPr="00D2440E">
        <w:rPr>
          <w:rStyle w:val="EndnoteReference"/>
          <w:szCs w:val="18"/>
        </w:rPr>
        <w:endnoteRef/>
      </w:r>
      <w:r w:rsidRPr="00D2440E">
        <w:t xml:space="preserve"> </w:t>
      </w:r>
      <w:proofErr w:type="spellStart"/>
      <w:r w:rsidRPr="00D2440E">
        <w:t>Ibid</w:t>
      </w:r>
      <w:proofErr w:type="spellEnd"/>
      <w:r w:rsidRPr="00D2440E">
        <w:t>, 69.</w:t>
      </w:r>
    </w:p>
  </w:endnote>
  <w:endnote w:id="112">
    <w:p w14:paraId="4577E0F9" w14:textId="77777777" w:rsidR="00CD1FAD" w:rsidRPr="00D2440E" w:rsidRDefault="00CD1FAD" w:rsidP="00163080">
      <w:pPr>
        <w:rPr>
          <w:rFonts w:ascii="Gill Sans" w:hAnsi="Gill Sans" w:cs="Gill Sans"/>
          <w:sz w:val="18"/>
          <w:szCs w:val="18"/>
          <w:lang w:val="uk-UA"/>
        </w:rPr>
      </w:pPr>
      <w:r w:rsidRPr="00D2440E">
        <w:rPr>
          <w:rStyle w:val="EndnoteReference"/>
          <w:rFonts w:ascii="Gill Sans" w:hAnsi="Gill Sans" w:cs="Gill Sans"/>
          <w:sz w:val="18"/>
          <w:szCs w:val="18"/>
        </w:rPr>
        <w:endnoteRef/>
      </w:r>
      <w:r w:rsidRPr="00D2440E">
        <w:rPr>
          <w:rFonts w:ascii="Gill Sans" w:hAnsi="Gill Sans" w:cs="Gill Sans"/>
          <w:sz w:val="18"/>
          <w:szCs w:val="18"/>
        </w:rPr>
        <w:t xml:space="preserve"> Instruction of 14 September 2015 #</w:t>
      </w:r>
      <w:r w:rsidRPr="00D2440E">
        <w:rPr>
          <w:rFonts w:ascii="Gill Sans" w:hAnsi="Gill Sans" w:cs="Gill Sans"/>
          <w:sz w:val="18"/>
          <w:szCs w:val="18"/>
          <w:lang w:val="uk-UA"/>
        </w:rPr>
        <w:t xml:space="preserve">911 </w:t>
      </w:r>
      <w:proofErr w:type="spellStart"/>
      <w:r w:rsidRPr="00D2440E">
        <w:rPr>
          <w:rFonts w:ascii="Gill Sans" w:hAnsi="Gill Sans" w:cs="Gill Sans"/>
          <w:sz w:val="18"/>
          <w:szCs w:val="18"/>
          <w:lang w:val="uk-UA"/>
        </w:rPr>
        <w:t>on</w:t>
      </w:r>
      <w:proofErr w:type="spellEnd"/>
      <w:r w:rsidRPr="00D2440E">
        <w:rPr>
          <w:rFonts w:ascii="Gill Sans" w:hAnsi="Gill Sans" w:cs="Gill Sans"/>
          <w:sz w:val="18"/>
          <w:szCs w:val="18"/>
          <w:lang w:val="uk-UA"/>
        </w:rPr>
        <w:t xml:space="preserve"> </w:t>
      </w:r>
      <w:r w:rsidRPr="00D2440E">
        <w:rPr>
          <w:rFonts w:ascii="Gill Sans" w:hAnsi="Gill Sans" w:cs="Gill Sans"/>
          <w:sz w:val="18"/>
          <w:szCs w:val="18"/>
        </w:rPr>
        <w:t xml:space="preserve">the </w:t>
      </w:r>
      <w:proofErr w:type="spellStart"/>
      <w:r w:rsidRPr="00D2440E">
        <w:rPr>
          <w:rFonts w:ascii="Gill Sans" w:hAnsi="Gill Sans" w:cs="Gill Sans"/>
          <w:sz w:val="18"/>
          <w:szCs w:val="18"/>
          <w:lang w:val="uk-UA"/>
        </w:rPr>
        <w:t>set</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up</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and</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functioning</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of</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the</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single</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web</w:t>
      </w:r>
      <w:proofErr w:type="spellEnd"/>
      <w:r w:rsidRPr="00D2440E">
        <w:rPr>
          <w:rFonts w:ascii="Gill Sans" w:hAnsi="Gill Sans" w:cs="Gill Sans"/>
          <w:sz w:val="18"/>
          <w:szCs w:val="18"/>
        </w:rPr>
        <w:t xml:space="preserve"> </w:t>
      </w:r>
      <w:proofErr w:type="spellStart"/>
      <w:r w:rsidRPr="00D2440E">
        <w:rPr>
          <w:rFonts w:ascii="Gill Sans" w:hAnsi="Gill Sans" w:cs="Gill Sans"/>
          <w:sz w:val="18"/>
          <w:szCs w:val="18"/>
          <w:lang w:val="uk-UA"/>
        </w:rPr>
        <w:t>portal</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on</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public</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money</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use</w:t>
      </w:r>
      <w:proofErr w:type="spellEnd"/>
      <w:r w:rsidRPr="00D2440E">
        <w:rPr>
          <w:rFonts w:ascii="Gill Sans" w:hAnsi="Gill Sans" w:cs="Gill Sans"/>
          <w:sz w:val="18"/>
          <w:szCs w:val="18"/>
        </w:rPr>
        <w:t>, http://bit.ly/1KQGltn;</w:t>
      </w:r>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Resolution</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of</w:t>
      </w:r>
      <w:proofErr w:type="spellEnd"/>
      <w:r w:rsidRPr="00D2440E">
        <w:rPr>
          <w:rFonts w:ascii="Gill Sans" w:hAnsi="Gill Sans" w:cs="Gill Sans"/>
          <w:sz w:val="18"/>
          <w:szCs w:val="18"/>
          <w:lang w:val="uk-UA"/>
        </w:rPr>
        <w:t xml:space="preserve"> </w:t>
      </w:r>
      <w:r w:rsidRPr="00D2440E">
        <w:rPr>
          <w:rFonts w:ascii="Gill Sans" w:hAnsi="Gill Sans" w:cs="Gill Sans"/>
          <w:sz w:val="18"/>
          <w:szCs w:val="18"/>
        </w:rPr>
        <w:t>14 September 2015 #</w:t>
      </w:r>
      <w:r w:rsidRPr="00D2440E">
        <w:rPr>
          <w:rFonts w:ascii="Gill Sans" w:hAnsi="Gill Sans" w:cs="Gill Sans"/>
          <w:sz w:val="18"/>
          <w:szCs w:val="18"/>
          <w:lang w:val="uk-UA"/>
        </w:rPr>
        <w:t xml:space="preserve">694 </w:t>
      </w:r>
      <w:proofErr w:type="spellStart"/>
      <w:r w:rsidRPr="00D2440E">
        <w:rPr>
          <w:rFonts w:ascii="Gill Sans" w:hAnsi="Gill Sans" w:cs="Gill Sans"/>
          <w:sz w:val="18"/>
          <w:szCs w:val="18"/>
          <w:lang w:val="uk-UA"/>
        </w:rPr>
        <w:t>on</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the</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procedure</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for</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administering</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the</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single</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web</w:t>
      </w:r>
      <w:proofErr w:type="spellEnd"/>
      <w:r w:rsidRPr="00D2440E">
        <w:rPr>
          <w:rFonts w:ascii="Gill Sans" w:hAnsi="Gill Sans" w:cs="Gill Sans"/>
          <w:sz w:val="18"/>
          <w:szCs w:val="18"/>
        </w:rPr>
        <w:t xml:space="preserve"> </w:t>
      </w:r>
      <w:proofErr w:type="spellStart"/>
      <w:r w:rsidRPr="00D2440E">
        <w:rPr>
          <w:rFonts w:ascii="Gill Sans" w:hAnsi="Gill Sans" w:cs="Gill Sans"/>
          <w:sz w:val="18"/>
          <w:szCs w:val="18"/>
          <w:lang w:val="uk-UA"/>
        </w:rPr>
        <w:t>portal</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on</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public</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money</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use</w:t>
      </w:r>
      <w:proofErr w:type="spellEnd"/>
      <w:r w:rsidRPr="00D2440E">
        <w:rPr>
          <w:rFonts w:ascii="Gill Sans" w:hAnsi="Gill Sans" w:cs="Gill Sans"/>
          <w:sz w:val="18"/>
          <w:szCs w:val="18"/>
        </w:rPr>
        <w:t>,</w:t>
      </w:r>
      <w:r w:rsidRPr="00D2440E">
        <w:rPr>
          <w:rFonts w:ascii="Gill Sans" w:hAnsi="Gill Sans" w:cs="Gill Sans"/>
          <w:sz w:val="18"/>
          <w:szCs w:val="18"/>
          <w:lang w:val="uk-UA"/>
        </w:rPr>
        <w:t xml:space="preserve"> </w:t>
      </w:r>
      <w:r w:rsidRPr="00D2440E">
        <w:rPr>
          <w:rFonts w:ascii="Gill Sans" w:hAnsi="Gill Sans" w:cs="Gill Sans"/>
          <w:sz w:val="18"/>
          <w:szCs w:val="18"/>
        </w:rPr>
        <w:t>http://bit.ly/1hfJBE4;</w:t>
      </w:r>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and</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Resolution</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of</w:t>
      </w:r>
      <w:proofErr w:type="spellEnd"/>
      <w:r w:rsidRPr="00D2440E">
        <w:rPr>
          <w:rFonts w:ascii="Gill Sans" w:hAnsi="Gill Sans" w:cs="Gill Sans"/>
          <w:sz w:val="18"/>
          <w:szCs w:val="18"/>
          <w:lang w:val="uk-UA"/>
        </w:rPr>
        <w:t xml:space="preserve"> </w:t>
      </w:r>
      <w:r w:rsidRPr="00D2440E">
        <w:rPr>
          <w:rFonts w:ascii="Gill Sans" w:hAnsi="Gill Sans" w:cs="Gill Sans"/>
          <w:sz w:val="18"/>
          <w:szCs w:val="18"/>
        </w:rPr>
        <w:t xml:space="preserve">14 September 2015 #676 on the procedure for publication on the </w:t>
      </w:r>
      <w:proofErr w:type="spellStart"/>
      <w:r w:rsidRPr="00D2440E">
        <w:rPr>
          <w:rFonts w:ascii="Gill Sans" w:hAnsi="Gill Sans" w:cs="Gill Sans"/>
          <w:sz w:val="18"/>
          <w:szCs w:val="18"/>
          <w:lang w:val="uk-UA"/>
        </w:rPr>
        <w:t>single</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web</w:t>
      </w:r>
      <w:proofErr w:type="spellEnd"/>
      <w:r w:rsidRPr="00D2440E">
        <w:rPr>
          <w:rFonts w:ascii="Gill Sans" w:hAnsi="Gill Sans" w:cs="Gill Sans"/>
          <w:sz w:val="18"/>
          <w:szCs w:val="18"/>
        </w:rPr>
        <w:t xml:space="preserve"> </w:t>
      </w:r>
      <w:proofErr w:type="spellStart"/>
      <w:r w:rsidRPr="00D2440E">
        <w:rPr>
          <w:rFonts w:ascii="Gill Sans" w:hAnsi="Gill Sans" w:cs="Gill Sans"/>
          <w:sz w:val="18"/>
          <w:szCs w:val="18"/>
          <w:lang w:val="uk-UA"/>
        </w:rPr>
        <w:t>portal</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on</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public</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money</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use</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of</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information</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on</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payment</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transactions</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of</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the</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treasury</w:t>
      </w:r>
      <w:proofErr w:type="spellEnd"/>
      <w:r w:rsidRPr="00D2440E">
        <w:rPr>
          <w:rFonts w:ascii="Gill Sans" w:hAnsi="Gill Sans" w:cs="Gill Sans"/>
          <w:sz w:val="18"/>
          <w:szCs w:val="18"/>
          <w:lang w:val="uk-UA"/>
        </w:rPr>
        <w:t xml:space="preserve"> </w:t>
      </w:r>
      <w:proofErr w:type="spellStart"/>
      <w:r w:rsidRPr="00D2440E">
        <w:rPr>
          <w:rFonts w:ascii="Gill Sans" w:hAnsi="Gill Sans" w:cs="Gill Sans"/>
          <w:sz w:val="18"/>
          <w:szCs w:val="18"/>
          <w:lang w:val="uk-UA"/>
        </w:rPr>
        <w:t>account</w:t>
      </w:r>
      <w:proofErr w:type="spellEnd"/>
      <w:r w:rsidRPr="00D2440E">
        <w:rPr>
          <w:rFonts w:ascii="Gill Sans" w:hAnsi="Gill Sans" w:cs="Gill Sans"/>
          <w:sz w:val="18"/>
          <w:szCs w:val="18"/>
        </w:rPr>
        <w:t>,</w:t>
      </w:r>
      <w:r w:rsidRPr="00D2440E">
        <w:rPr>
          <w:rFonts w:ascii="Gill Sans" w:hAnsi="Gill Sans" w:cs="Gill Sans"/>
          <w:sz w:val="18"/>
          <w:szCs w:val="18"/>
          <w:lang w:val="uk-UA"/>
        </w:rPr>
        <w:t xml:space="preserve"> </w:t>
      </w:r>
      <w:r w:rsidRPr="00D2440E">
        <w:rPr>
          <w:rFonts w:ascii="Gill Sans" w:hAnsi="Gill Sans" w:cs="Gill Sans"/>
          <w:sz w:val="18"/>
          <w:szCs w:val="18"/>
        </w:rPr>
        <w:t>http://bit.ly/1Ocw9zf</w:t>
      </w:r>
      <w:r w:rsidRPr="00D2440E">
        <w:rPr>
          <w:rFonts w:ascii="Gill Sans" w:hAnsi="Gill Sans" w:cs="Gill Sans"/>
          <w:sz w:val="18"/>
          <w:szCs w:val="18"/>
          <w:lang w:val="uk-UA"/>
        </w:rPr>
        <w:t>.</w:t>
      </w:r>
    </w:p>
  </w:endnote>
  <w:endnote w:id="113">
    <w:p w14:paraId="22FE9A1C" w14:textId="77777777" w:rsidR="00CD1FAD" w:rsidRPr="00D2440E" w:rsidRDefault="00CD1FAD" w:rsidP="006319F4">
      <w:pPr>
        <w:pStyle w:val="EndnoteText"/>
      </w:pPr>
      <w:r w:rsidRPr="00D2440E">
        <w:rPr>
          <w:rStyle w:val="EndnoteReference"/>
          <w:szCs w:val="18"/>
        </w:rPr>
        <w:endnoteRef/>
      </w:r>
      <w:r w:rsidRPr="00D2440E">
        <w:t xml:space="preserve"> </w:t>
      </w:r>
      <w:proofErr w:type="spellStart"/>
      <w:r w:rsidRPr="00D2440E">
        <w:t>See</w:t>
      </w:r>
      <w:proofErr w:type="spellEnd"/>
      <w:r w:rsidRPr="00D2440E">
        <w:t xml:space="preserve"> </w:t>
      </w:r>
      <w:proofErr w:type="spellStart"/>
      <w:r w:rsidRPr="00D2440E">
        <w:t>official</w:t>
      </w:r>
      <w:proofErr w:type="spellEnd"/>
      <w:r w:rsidRPr="00D2440E">
        <w:t xml:space="preserve"> </w:t>
      </w:r>
      <w:proofErr w:type="spellStart"/>
      <w:r w:rsidRPr="00D2440E">
        <w:t>announcement</w:t>
      </w:r>
      <w:proofErr w:type="spellEnd"/>
      <w:r w:rsidRPr="00D2440E">
        <w:t xml:space="preserve"> </w:t>
      </w:r>
      <w:proofErr w:type="spellStart"/>
      <w:r w:rsidRPr="00D2440E">
        <w:t>about</w:t>
      </w:r>
      <w:proofErr w:type="spellEnd"/>
      <w:r w:rsidRPr="00D2440E">
        <w:t xml:space="preserve"> </w:t>
      </w:r>
      <w:proofErr w:type="spellStart"/>
      <w:r w:rsidRPr="00D2440E">
        <w:t>the</w:t>
      </w:r>
      <w:proofErr w:type="spellEnd"/>
      <w:r w:rsidRPr="00D2440E">
        <w:t xml:space="preserve"> </w:t>
      </w:r>
      <w:proofErr w:type="spellStart"/>
      <w:r w:rsidRPr="00D2440E">
        <w:t>launch</w:t>
      </w:r>
      <w:proofErr w:type="spellEnd"/>
      <w:r w:rsidRPr="00D2440E">
        <w:t xml:space="preserve"> </w:t>
      </w:r>
      <w:proofErr w:type="spellStart"/>
      <w:r w:rsidRPr="00D2440E">
        <w:t>of</w:t>
      </w:r>
      <w:proofErr w:type="spellEnd"/>
      <w:r w:rsidRPr="00D2440E">
        <w:t xml:space="preserve"> </w:t>
      </w:r>
      <w:proofErr w:type="spellStart"/>
      <w:r w:rsidRPr="00D2440E">
        <w:t>the</w:t>
      </w:r>
      <w:proofErr w:type="spellEnd"/>
      <w:r w:rsidRPr="00D2440E">
        <w:t xml:space="preserve"> </w:t>
      </w:r>
      <w:proofErr w:type="spellStart"/>
      <w:r w:rsidRPr="00D2440E">
        <w:t>portal</w:t>
      </w:r>
      <w:proofErr w:type="spellEnd"/>
      <w:r w:rsidRPr="00D2440E">
        <w:t xml:space="preserve"> </w:t>
      </w:r>
      <w:proofErr w:type="spellStart"/>
      <w:r w:rsidRPr="00D2440E">
        <w:t>at</w:t>
      </w:r>
      <w:proofErr w:type="spellEnd"/>
      <w:r w:rsidRPr="00D2440E">
        <w:rPr>
          <w:lang w:val="en-US"/>
        </w:rPr>
        <w:t>:</w:t>
      </w:r>
      <w:r w:rsidRPr="00D2440E">
        <w:t xml:space="preserve"> http://bit.ly/1YucqYM. </w:t>
      </w:r>
    </w:p>
  </w:endnote>
  <w:endnote w:id="114">
    <w:p w14:paraId="2F5BC7CC" w14:textId="273CA6DF" w:rsidR="00CD1FAD" w:rsidRPr="00552270" w:rsidRDefault="00CD1FAD">
      <w:pPr>
        <w:pStyle w:val="EndnoteText"/>
        <w:rPr>
          <w:lang w:val="uk-UA"/>
        </w:rPr>
      </w:pPr>
      <w:r>
        <w:rPr>
          <w:rStyle w:val="EndnoteReference"/>
        </w:rPr>
        <w:endnoteRef/>
      </w:r>
      <w:r>
        <w:t xml:space="preserve"> </w:t>
      </w:r>
      <w:r w:rsidRPr="00552270">
        <w:t>http://openbudget.in.ua/?locale=uk</w:t>
      </w:r>
      <w:r>
        <w:t>.</w:t>
      </w:r>
    </w:p>
  </w:endnote>
  <w:endnote w:id="115">
    <w:p w14:paraId="6F672BA0" w14:textId="77777777" w:rsidR="00CD1FAD" w:rsidRPr="004652C3" w:rsidRDefault="00CD1FAD">
      <w:pPr>
        <w:pStyle w:val="EndnoteText"/>
      </w:pPr>
      <w:r>
        <w:rPr>
          <w:rStyle w:val="EndnoteReference"/>
        </w:rPr>
        <w:endnoteRef/>
      </w:r>
      <w:r>
        <w:t xml:space="preserve"> </w:t>
      </w:r>
      <w:proofErr w:type="spellStart"/>
      <w:r>
        <w:t>Interview</w:t>
      </w:r>
      <w:proofErr w:type="spellEnd"/>
      <w:r>
        <w:t xml:space="preserve"> </w:t>
      </w:r>
      <w:proofErr w:type="spellStart"/>
      <w:r>
        <w:t>with</w:t>
      </w:r>
      <w:proofErr w:type="spellEnd"/>
      <w:r>
        <w:t xml:space="preserve"> </w:t>
      </w:r>
      <w:proofErr w:type="spellStart"/>
      <w:r>
        <w:t>Volodymyr</w:t>
      </w:r>
      <w:proofErr w:type="spellEnd"/>
      <w:r>
        <w:t xml:space="preserve"> </w:t>
      </w:r>
      <w:proofErr w:type="spellStart"/>
      <w:r>
        <w:t>Tarnay</w:t>
      </w:r>
      <w:proofErr w:type="spellEnd"/>
      <w:r>
        <w:t xml:space="preserve">, </w:t>
      </w:r>
      <w:proofErr w:type="spellStart"/>
      <w:r>
        <w:t>Centre</w:t>
      </w:r>
      <w:proofErr w:type="spellEnd"/>
      <w:r>
        <w:t xml:space="preserve"> </w:t>
      </w:r>
      <w:proofErr w:type="spellStart"/>
      <w:r>
        <w:t>for</w:t>
      </w:r>
      <w:proofErr w:type="spellEnd"/>
      <w:r>
        <w:t xml:space="preserve"> </w:t>
      </w:r>
      <w:proofErr w:type="spellStart"/>
      <w:r>
        <w:t>Political</w:t>
      </w:r>
      <w:proofErr w:type="spellEnd"/>
      <w:r>
        <w:t xml:space="preserve"> </w:t>
      </w:r>
      <w:proofErr w:type="spellStart"/>
      <w:r>
        <w:t>Studies</w:t>
      </w:r>
      <w:proofErr w:type="spellEnd"/>
      <w:r>
        <w:t xml:space="preserve"> </w:t>
      </w:r>
      <w:proofErr w:type="spellStart"/>
      <w:r>
        <w:t>and</w:t>
      </w:r>
      <w:proofErr w:type="spellEnd"/>
      <w:r>
        <w:t xml:space="preserve"> </w:t>
      </w:r>
      <w:proofErr w:type="spellStart"/>
      <w:r>
        <w:t>Analytics</w:t>
      </w:r>
      <w:proofErr w:type="spellEnd"/>
      <w:r>
        <w:t xml:space="preserve"> </w:t>
      </w:r>
      <w:proofErr w:type="spellStart"/>
      <w:r>
        <w:t>Eidos</w:t>
      </w:r>
      <w:proofErr w:type="spellEnd"/>
      <w:r>
        <w:t xml:space="preserve">, 20 </w:t>
      </w:r>
      <w:proofErr w:type="spellStart"/>
      <w:r>
        <w:t>June</w:t>
      </w:r>
      <w:proofErr w:type="spellEnd"/>
      <w:r>
        <w:t xml:space="preserve"> 2017.</w:t>
      </w:r>
    </w:p>
  </w:endnote>
  <w:endnote w:id="116">
    <w:p w14:paraId="79650C1A" w14:textId="64C052E4" w:rsidR="00CD1FAD" w:rsidRPr="00A9435C" w:rsidRDefault="00CD1FAD">
      <w:pPr>
        <w:pStyle w:val="EndnoteText"/>
      </w:pPr>
      <w:r>
        <w:rPr>
          <w:rStyle w:val="EndnoteReference"/>
        </w:rPr>
        <w:endnoteRef/>
      </w:r>
      <w:r>
        <w:t xml:space="preserve"> </w:t>
      </w:r>
      <w:proofErr w:type="spellStart"/>
      <w:r>
        <w:t>Ibid</w:t>
      </w:r>
      <w:proofErr w:type="spellEnd"/>
      <w:r>
        <w:t>.</w:t>
      </w:r>
    </w:p>
  </w:endnote>
  <w:endnote w:id="117">
    <w:p w14:paraId="244B7EA8" w14:textId="54432646" w:rsidR="00CD1FAD" w:rsidRPr="00D54FC1" w:rsidRDefault="00CD1FAD">
      <w:pPr>
        <w:pStyle w:val="EndnoteText"/>
      </w:pPr>
      <w:r>
        <w:rPr>
          <w:rStyle w:val="EndnoteReference"/>
        </w:rPr>
        <w:endnoteRef/>
      </w:r>
      <w:r>
        <w:t xml:space="preserve"> </w:t>
      </w:r>
      <w:proofErr w:type="spellStart"/>
      <w:r w:rsidRPr="00D2440E">
        <w:t>Independent</w:t>
      </w:r>
      <w:proofErr w:type="spellEnd"/>
      <w:r w:rsidRPr="00D2440E">
        <w:t xml:space="preserve"> </w:t>
      </w:r>
      <w:proofErr w:type="spellStart"/>
      <w:r w:rsidRPr="00D2440E">
        <w:t>Reporting</w:t>
      </w:r>
      <w:proofErr w:type="spellEnd"/>
      <w:r w:rsidRPr="00D2440E">
        <w:t xml:space="preserve"> </w:t>
      </w:r>
      <w:proofErr w:type="spellStart"/>
      <w:r w:rsidRPr="00D2440E">
        <w:t>Mechanism</w:t>
      </w:r>
      <w:proofErr w:type="spellEnd"/>
      <w:r w:rsidRPr="00D2440E">
        <w:t xml:space="preserve"> (IRM) Progress </w:t>
      </w:r>
      <w:proofErr w:type="spellStart"/>
      <w:r w:rsidRPr="00D2440E">
        <w:t>Report</w:t>
      </w:r>
      <w:proofErr w:type="spellEnd"/>
      <w:r w:rsidRPr="00D2440E">
        <w:t xml:space="preserve"> 2014</w:t>
      </w:r>
      <w:r>
        <w:t>-</w:t>
      </w:r>
      <w:r w:rsidRPr="00D2440E">
        <w:t xml:space="preserve">15: </w:t>
      </w:r>
      <w:proofErr w:type="spellStart"/>
      <w:r w:rsidRPr="00D2440E">
        <w:t>Ukraine</w:t>
      </w:r>
      <w:proofErr w:type="spellEnd"/>
      <w:r w:rsidRPr="00D2440E">
        <w:t xml:space="preserve">, </w:t>
      </w:r>
      <w:r>
        <w:t>78.</w:t>
      </w:r>
    </w:p>
  </w:endnote>
  <w:endnote w:id="118">
    <w:p w14:paraId="0EEDD116" w14:textId="2F2035AE" w:rsidR="00CD1FAD" w:rsidRPr="005826BA" w:rsidRDefault="00CD1FAD">
      <w:pPr>
        <w:pStyle w:val="EndnoteText"/>
        <w:rPr>
          <w:lang w:val="en-US"/>
        </w:rPr>
      </w:pPr>
      <w:r>
        <w:rPr>
          <w:rStyle w:val="EndnoteReference"/>
        </w:rPr>
        <w:endnoteRef/>
      </w:r>
      <w:r>
        <w:t xml:space="preserve"> </w:t>
      </w:r>
      <w:proofErr w:type="spellStart"/>
      <w:r>
        <w:t>Ibid</w:t>
      </w:r>
      <w:proofErr w:type="spellEnd"/>
      <w:r>
        <w:t>, 78-79.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00"/>
    <w:family w:val="swiss"/>
    <w:pitch w:val="variable"/>
    <w:sig w:usb0="80000267" w:usb1="00000000" w:usb2="00000000" w:usb3="00000000" w:csb0="000001F7"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Adobe Caslon Pro">
    <w:altName w:val="Times New Roman"/>
    <w:charset w:val="00"/>
    <w:family w:val="auto"/>
    <w:pitch w:val="default"/>
  </w:font>
  <w:font w:name="Gill Sans SemiBold">
    <w:panose1 w:val="020B0702020104020203"/>
    <w:charset w:val="00"/>
    <w:family w:val="swiss"/>
    <w:pitch w:val="variable"/>
    <w:sig w:usb0="8000026F" w:usb1="5000004A" w:usb2="00000000" w:usb3="00000000" w:csb0="00000005" w:csb1="00000000"/>
  </w:font>
  <w:font w:name="Times">
    <w:panose1 w:val="02000500000000000000"/>
    <w:charset w:val="00"/>
    <w:family w:val="roman"/>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Menlo Bold">
    <w:altName w:val="Menlo"/>
    <w:charset w:val="00"/>
    <w:family w:val="auto"/>
    <w:pitch w:val="variable"/>
    <w:sig w:usb0="E60022FF" w:usb1="D000F1FB" w:usb2="00000028" w:usb3="00000000" w:csb0="000001DF" w:csb1="00000000"/>
  </w:font>
  <w:font w:name="Gill Sans MT">
    <w:panose1 w:val="020B0502020104020203"/>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0C446" w14:textId="77777777" w:rsidR="00CD1FAD" w:rsidRDefault="00CD1FAD" w:rsidP="00926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66BCC" w14:textId="77777777" w:rsidR="00CD1FAD" w:rsidRDefault="00CD1FAD" w:rsidP="00D763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F1CF9" w14:textId="6223F5F8" w:rsidR="00CD1FAD" w:rsidRDefault="00CD1FAD" w:rsidP="00926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21F2">
      <w:rPr>
        <w:rStyle w:val="PageNumber"/>
        <w:noProof/>
      </w:rPr>
      <w:t>7</w:t>
    </w:r>
    <w:r>
      <w:rPr>
        <w:rStyle w:val="PageNumber"/>
      </w:rPr>
      <w:fldChar w:fldCharType="end"/>
    </w:r>
  </w:p>
  <w:p w14:paraId="0DF746DD" w14:textId="77777777" w:rsidR="00CD1FAD" w:rsidRDefault="00CD1FAD" w:rsidP="00D7637D">
    <w:pPr>
      <w:pStyle w:val="Footer"/>
      <w:ind w:right="360"/>
    </w:pPr>
  </w:p>
  <w:p w14:paraId="62664DEC" w14:textId="77777777" w:rsidR="00CD1FAD" w:rsidRDefault="00CD1FA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8A228" w14:textId="3EE8F0FF" w:rsidR="00CD1FAD" w:rsidRPr="0067272C" w:rsidRDefault="00CD1FAD" w:rsidP="006023C3">
    <w:pPr>
      <w:pStyle w:val="Normalrglronly"/>
      <w:spacing w:before="100" w:beforeAutospacing="1" w:after="480"/>
      <w:rPr>
        <w:color w:val="1F497D" w:themeColor="text2"/>
      </w:rPr>
    </w:pPr>
    <w:proofErr w:type="spellStart"/>
    <w:r w:rsidRPr="00302F1F">
      <w:t>This</w:t>
    </w:r>
    <w:proofErr w:type="spellEnd"/>
    <w:r w:rsidRPr="00302F1F">
      <w:t xml:space="preserve"> </w:t>
    </w:r>
    <w:proofErr w:type="spellStart"/>
    <w:r w:rsidRPr="00302F1F">
      <w:t>report</w:t>
    </w:r>
    <w:proofErr w:type="spellEnd"/>
    <w:r w:rsidRPr="00302F1F">
      <w:t xml:space="preserve"> </w:t>
    </w:r>
    <w:proofErr w:type="spellStart"/>
    <w:r w:rsidRPr="00302F1F">
      <w:t>was</w:t>
    </w:r>
    <w:proofErr w:type="spellEnd"/>
    <w:r w:rsidRPr="00302F1F">
      <w:t xml:space="preserve"> </w:t>
    </w:r>
    <w:proofErr w:type="spellStart"/>
    <w:r w:rsidRPr="00302F1F">
      <w:t>prepared</w:t>
    </w:r>
    <w:proofErr w:type="spellEnd"/>
    <w:r w:rsidRPr="00302F1F">
      <w:t xml:space="preserve"> </w:t>
    </w:r>
    <w:proofErr w:type="spellStart"/>
    <w:r w:rsidRPr="00302F1F">
      <w:t>by</w:t>
    </w:r>
    <w:proofErr w:type="spellEnd"/>
    <w:r w:rsidRPr="00302F1F">
      <w:t xml:space="preserve"> </w:t>
    </w:r>
    <w:proofErr w:type="spellStart"/>
    <w:r>
      <w:t>Dmytro</w:t>
    </w:r>
    <w:proofErr w:type="spellEnd"/>
    <w:r>
      <w:t xml:space="preserve"> </w:t>
    </w:r>
    <w:proofErr w:type="spellStart"/>
    <w:r>
      <w:t>Kotlyar</w:t>
    </w:r>
    <w:proofErr w:type="spellEnd"/>
    <w:r>
      <w:t xml:space="preserve">, </w:t>
    </w:r>
    <w:proofErr w:type="spellStart"/>
    <w:r>
      <w:t>an</w:t>
    </w:r>
    <w:proofErr w:type="spellEnd"/>
    <w:r>
      <w:t xml:space="preserve"> </w:t>
    </w:r>
    <w:proofErr w:type="spellStart"/>
    <w:r>
      <w:t>independent</w:t>
    </w:r>
    <w:proofErr w:type="spellEnd"/>
    <w:r>
      <w:t xml:space="preserve"> </w:t>
    </w:r>
    <w:proofErr w:type="spellStart"/>
    <w:r>
      <w:t>researcher</w:t>
    </w:r>
    <w:proofErr w:type="spellEnd"/>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27E68" w14:textId="66761BAE" w:rsidR="00CD1FAD" w:rsidRPr="0067272C" w:rsidRDefault="00CD1FAD" w:rsidP="006023C3">
    <w:pPr>
      <w:pStyle w:val="Normalrglronly"/>
      <w:spacing w:before="100" w:beforeAutospacing="1" w:after="480"/>
      <w:rPr>
        <w:color w:val="1F497D" w:themeColor="text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A7BF1" w14:textId="77777777" w:rsidR="00006330" w:rsidRDefault="00006330" w:rsidP="008F072B">
      <w:r>
        <w:separator/>
      </w:r>
    </w:p>
  </w:footnote>
  <w:footnote w:type="continuationSeparator" w:id="0">
    <w:p w14:paraId="08F4F6D5" w14:textId="77777777" w:rsidR="00006330" w:rsidRDefault="00006330" w:rsidP="008F072B">
      <w:r>
        <w:continuationSeparator/>
      </w:r>
    </w:p>
  </w:footnote>
  <w:footnote w:type="continuationNotice" w:id="1">
    <w:p w14:paraId="07203FD8" w14:textId="77777777" w:rsidR="00006330" w:rsidRDefault="0000633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C44AB" w14:textId="77777777" w:rsidR="00CD1FAD" w:rsidRDefault="00CD1FAD" w:rsidP="003D53E1">
    <w:pPr>
      <w:pStyle w:val="Normalrglronly"/>
    </w:pPr>
  </w:p>
  <w:p w14:paraId="68C214D4" w14:textId="5B25476E" w:rsidR="00CD1FAD" w:rsidRDefault="00CD1FAD" w:rsidP="003D53E1">
    <w:pPr>
      <w:pStyle w:val="Normalrglronly"/>
    </w:pPr>
    <w:r>
      <w:t>VERSION FOR PUBLIC COMMENT ONLY: DO NOT CITE</w:t>
    </w:r>
  </w:p>
  <w:p w14:paraId="73BCBE86" w14:textId="77777777" w:rsidR="00CD1FAD" w:rsidRDefault="00CD1FA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21A3A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C30E22"/>
    <w:multiLevelType w:val="hybridMultilevel"/>
    <w:tmpl w:val="B172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8226B"/>
    <w:multiLevelType w:val="hybridMultilevel"/>
    <w:tmpl w:val="8BD615DE"/>
    <w:lvl w:ilvl="0" w:tplc="58ECB5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817CEE"/>
    <w:multiLevelType w:val="hybridMultilevel"/>
    <w:tmpl w:val="F364039A"/>
    <w:lvl w:ilvl="0" w:tplc="DAC2F97E">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82FC4"/>
    <w:multiLevelType w:val="hybridMultilevel"/>
    <w:tmpl w:val="3446C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2B4585"/>
    <w:multiLevelType w:val="hybridMultilevel"/>
    <w:tmpl w:val="7D36DF74"/>
    <w:lvl w:ilvl="0" w:tplc="CCF66D2C">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422BBF"/>
    <w:multiLevelType w:val="hybridMultilevel"/>
    <w:tmpl w:val="EBAC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56E33"/>
    <w:multiLevelType w:val="hybridMultilevel"/>
    <w:tmpl w:val="D99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21308"/>
    <w:multiLevelType w:val="hybridMultilevel"/>
    <w:tmpl w:val="ADBA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55E55"/>
    <w:multiLevelType w:val="hybridMultilevel"/>
    <w:tmpl w:val="37A4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124EA"/>
    <w:multiLevelType w:val="hybridMultilevel"/>
    <w:tmpl w:val="65549E50"/>
    <w:lvl w:ilvl="0" w:tplc="36CA626C">
      <w:start w:val="16"/>
      <w:numFmt w:val="bullet"/>
      <w:lvlText w:val="-"/>
      <w:lvlJc w:val="left"/>
      <w:pPr>
        <w:ind w:left="720" w:hanging="360"/>
      </w:pPr>
      <w:rPr>
        <w:rFonts w:ascii="Gill Sans" w:eastAsiaTheme="minorEastAsia"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BF4C63"/>
    <w:multiLevelType w:val="hybridMultilevel"/>
    <w:tmpl w:val="4C7239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5055A4B"/>
    <w:multiLevelType w:val="multilevel"/>
    <w:tmpl w:val="14FC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FF5DBF"/>
    <w:multiLevelType w:val="hybridMultilevel"/>
    <w:tmpl w:val="5944E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A0B44"/>
    <w:multiLevelType w:val="hybridMultilevel"/>
    <w:tmpl w:val="CBFC1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96BBF"/>
    <w:multiLevelType w:val="hybridMultilevel"/>
    <w:tmpl w:val="9796D5BA"/>
    <w:lvl w:ilvl="0" w:tplc="9F84280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F62F3"/>
    <w:multiLevelType w:val="hybridMultilevel"/>
    <w:tmpl w:val="BC04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7243A"/>
    <w:multiLevelType w:val="hybridMultilevel"/>
    <w:tmpl w:val="F9FAB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D570C4"/>
    <w:multiLevelType w:val="hybridMultilevel"/>
    <w:tmpl w:val="D6D8D056"/>
    <w:lvl w:ilvl="0" w:tplc="10C835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5F2821"/>
    <w:multiLevelType w:val="hybridMultilevel"/>
    <w:tmpl w:val="8C88C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27B4D85"/>
    <w:multiLevelType w:val="hybridMultilevel"/>
    <w:tmpl w:val="35B4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FB7460"/>
    <w:multiLevelType w:val="hybridMultilevel"/>
    <w:tmpl w:val="CFF0DE9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44D25AF"/>
    <w:multiLevelType w:val="hybridMultilevel"/>
    <w:tmpl w:val="7012B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3C69DA"/>
    <w:multiLevelType w:val="hybridMultilevel"/>
    <w:tmpl w:val="E864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511F2F"/>
    <w:multiLevelType w:val="multilevel"/>
    <w:tmpl w:val="A3EAE3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977144"/>
    <w:multiLevelType w:val="hybridMultilevel"/>
    <w:tmpl w:val="CF6A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99385F"/>
    <w:multiLevelType w:val="hybridMultilevel"/>
    <w:tmpl w:val="862226A0"/>
    <w:lvl w:ilvl="0" w:tplc="53322A2E">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3BEE6A1F"/>
    <w:multiLevelType w:val="hybridMultilevel"/>
    <w:tmpl w:val="CCDC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3E62EB"/>
    <w:multiLevelType w:val="hybridMultilevel"/>
    <w:tmpl w:val="926CC3DE"/>
    <w:lvl w:ilvl="0" w:tplc="CCF66D2C">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0E4442"/>
    <w:multiLevelType w:val="hybridMultilevel"/>
    <w:tmpl w:val="D858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96770C"/>
    <w:multiLevelType w:val="hybridMultilevel"/>
    <w:tmpl w:val="94C2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A1716C"/>
    <w:multiLevelType w:val="hybridMultilevel"/>
    <w:tmpl w:val="9326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660858"/>
    <w:multiLevelType w:val="hybridMultilevel"/>
    <w:tmpl w:val="22C07832"/>
    <w:lvl w:ilvl="0" w:tplc="DAC2F97E">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6C179F"/>
    <w:multiLevelType w:val="hybridMultilevel"/>
    <w:tmpl w:val="182CCD04"/>
    <w:lvl w:ilvl="0" w:tplc="B14405F4">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D32CC1"/>
    <w:multiLevelType w:val="hybridMultilevel"/>
    <w:tmpl w:val="4E82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D778AA"/>
    <w:multiLevelType w:val="hybridMultilevel"/>
    <w:tmpl w:val="DEFE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766DAB"/>
    <w:multiLevelType w:val="hybridMultilevel"/>
    <w:tmpl w:val="2A6C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A340CC"/>
    <w:multiLevelType w:val="hybridMultilevel"/>
    <w:tmpl w:val="2A44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1775F2"/>
    <w:multiLevelType w:val="hybridMultilevel"/>
    <w:tmpl w:val="0D2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A37867"/>
    <w:multiLevelType w:val="hybridMultilevel"/>
    <w:tmpl w:val="35F462E4"/>
    <w:lvl w:ilvl="0" w:tplc="9FB0A1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DC1DE1"/>
    <w:multiLevelType w:val="multilevel"/>
    <w:tmpl w:val="14FC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25"/>
  </w:num>
  <w:num w:numId="4">
    <w:abstractNumId w:val="29"/>
  </w:num>
  <w:num w:numId="5">
    <w:abstractNumId w:val="37"/>
  </w:num>
  <w:num w:numId="6">
    <w:abstractNumId w:val="8"/>
  </w:num>
  <w:num w:numId="7">
    <w:abstractNumId w:val="15"/>
  </w:num>
  <w:num w:numId="8">
    <w:abstractNumId w:val="14"/>
  </w:num>
  <w:num w:numId="9">
    <w:abstractNumId w:val="39"/>
  </w:num>
  <w:num w:numId="10">
    <w:abstractNumId w:val="11"/>
  </w:num>
  <w:num w:numId="11">
    <w:abstractNumId w:val="28"/>
  </w:num>
  <w:num w:numId="12">
    <w:abstractNumId w:val="16"/>
  </w:num>
  <w:num w:numId="13">
    <w:abstractNumId w:val="1"/>
  </w:num>
  <w:num w:numId="14">
    <w:abstractNumId w:val="5"/>
  </w:num>
  <w:num w:numId="15">
    <w:abstractNumId w:val="13"/>
  </w:num>
  <w:num w:numId="16">
    <w:abstractNumId w:val="2"/>
  </w:num>
  <w:num w:numId="17">
    <w:abstractNumId w:val="0"/>
  </w:num>
  <w:num w:numId="18">
    <w:abstractNumId w:val="32"/>
  </w:num>
  <w:num w:numId="19">
    <w:abstractNumId w:val="3"/>
  </w:num>
  <w:num w:numId="20">
    <w:abstractNumId w:val="21"/>
  </w:num>
  <w:num w:numId="21">
    <w:abstractNumId w:val="6"/>
  </w:num>
  <w:num w:numId="22">
    <w:abstractNumId w:val="19"/>
  </w:num>
  <w:num w:numId="23">
    <w:abstractNumId w:val="35"/>
  </w:num>
  <w:num w:numId="24">
    <w:abstractNumId w:val="31"/>
  </w:num>
  <w:num w:numId="25">
    <w:abstractNumId w:val="20"/>
  </w:num>
  <w:num w:numId="26">
    <w:abstractNumId w:val="30"/>
  </w:num>
  <w:num w:numId="27">
    <w:abstractNumId w:val="27"/>
  </w:num>
  <w:num w:numId="28">
    <w:abstractNumId w:val="7"/>
  </w:num>
  <w:num w:numId="29">
    <w:abstractNumId w:val="18"/>
  </w:num>
  <w:num w:numId="30">
    <w:abstractNumId w:val="18"/>
  </w:num>
  <w:num w:numId="31">
    <w:abstractNumId w:val="34"/>
  </w:num>
  <w:num w:numId="32">
    <w:abstractNumId w:val="36"/>
  </w:num>
  <w:num w:numId="33">
    <w:abstractNumId w:val="9"/>
  </w:num>
  <w:num w:numId="34">
    <w:abstractNumId w:val="33"/>
  </w:num>
  <w:num w:numId="35">
    <w:abstractNumId w:val="40"/>
    <w:lvlOverride w:ilvl="0">
      <w:lvl w:ilvl="0">
        <w:numFmt w:val="lowerLetter"/>
        <w:lvlText w:val="%1."/>
        <w:lvlJc w:val="left"/>
      </w:lvl>
    </w:lvlOverride>
  </w:num>
  <w:num w:numId="36">
    <w:abstractNumId w:val="12"/>
  </w:num>
  <w:num w:numId="37">
    <w:abstractNumId w:val="24"/>
  </w:num>
  <w:num w:numId="38">
    <w:abstractNumId w:val="26"/>
  </w:num>
  <w:num w:numId="39">
    <w:abstractNumId w:val="23"/>
  </w:num>
  <w:num w:numId="40">
    <w:abstractNumId w:val="10"/>
  </w:num>
  <w:num w:numId="41">
    <w:abstractNumId w:val="38"/>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6" w:nlCheck="1" w:checkStyle="0"/>
  <w:activeWritingStyle w:appName="MSWord" w:lang="en-US" w:vendorID="64" w:dllVersion="6" w:nlCheck="1" w:checkStyle="0"/>
  <w:activeWritingStyle w:appName="MSWord" w:lang="en-ZA" w:vendorID="64" w:dllVersion="6" w:nlCheck="1" w:checkStyle="1"/>
  <w:activeWritingStyle w:appName="MSWord" w:lang="es-ES" w:vendorID="64" w:dllVersion="6" w:nlCheck="1" w:checkStyle="0"/>
  <w:activeWritingStyle w:appName="MSWord" w:lang="ru-RU"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pos w:val="sectEnd"/>
    <w:numFmt w:val="decimal"/>
    <w:numRestart w:val="eachSect"/>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37"/>
    <w:rsid w:val="000003DC"/>
    <w:rsid w:val="00000FA4"/>
    <w:rsid w:val="00006330"/>
    <w:rsid w:val="00007CDF"/>
    <w:rsid w:val="000102DA"/>
    <w:rsid w:val="00010A68"/>
    <w:rsid w:val="00010BB6"/>
    <w:rsid w:val="00012280"/>
    <w:rsid w:val="000147E8"/>
    <w:rsid w:val="0001504A"/>
    <w:rsid w:val="00015671"/>
    <w:rsid w:val="00016DB2"/>
    <w:rsid w:val="00020C75"/>
    <w:rsid w:val="0002188F"/>
    <w:rsid w:val="00023A0B"/>
    <w:rsid w:val="00024103"/>
    <w:rsid w:val="000242C8"/>
    <w:rsid w:val="00024A0A"/>
    <w:rsid w:val="00024A5F"/>
    <w:rsid w:val="00025289"/>
    <w:rsid w:val="00026E02"/>
    <w:rsid w:val="000318B7"/>
    <w:rsid w:val="00032660"/>
    <w:rsid w:val="00032CB3"/>
    <w:rsid w:val="00035E36"/>
    <w:rsid w:val="0003760A"/>
    <w:rsid w:val="00042580"/>
    <w:rsid w:val="00042F7B"/>
    <w:rsid w:val="00043ABD"/>
    <w:rsid w:val="00043CC2"/>
    <w:rsid w:val="00045756"/>
    <w:rsid w:val="00046277"/>
    <w:rsid w:val="000477EF"/>
    <w:rsid w:val="00050333"/>
    <w:rsid w:val="0005197F"/>
    <w:rsid w:val="00051D19"/>
    <w:rsid w:val="00052692"/>
    <w:rsid w:val="00052B72"/>
    <w:rsid w:val="00054FE0"/>
    <w:rsid w:val="000550BE"/>
    <w:rsid w:val="00061D8E"/>
    <w:rsid w:val="00061FED"/>
    <w:rsid w:val="000623D1"/>
    <w:rsid w:val="000635FA"/>
    <w:rsid w:val="00063F75"/>
    <w:rsid w:val="00064131"/>
    <w:rsid w:val="00064B44"/>
    <w:rsid w:val="00066027"/>
    <w:rsid w:val="000678EC"/>
    <w:rsid w:val="000707DB"/>
    <w:rsid w:val="00071776"/>
    <w:rsid w:val="000718A4"/>
    <w:rsid w:val="00071CD7"/>
    <w:rsid w:val="000720A5"/>
    <w:rsid w:val="00073400"/>
    <w:rsid w:val="0007621A"/>
    <w:rsid w:val="000772E8"/>
    <w:rsid w:val="000801E8"/>
    <w:rsid w:val="0008128B"/>
    <w:rsid w:val="0008409D"/>
    <w:rsid w:val="00084120"/>
    <w:rsid w:val="00084369"/>
    <w:rsid w:val="0008527B"/>
    <w:rsid w:val="000859D4"/>
    <w:rsid w:val="00086868"/>
    <w:rsid w:val="00087069"/>
    <w:rsid w:val="00087565"/>
    <w:rsid w:val="00087B9A"/>
    <w:rsid w:val="0009052D"/>
    <w:rsid w:val="00090F51"/>
    <w:rsid w:val="000912E0"/>
    <w:rsid w:val="00091A27"/>
    <w:rsid w:val="00093C9C"/>
    <w:rsid w:val="00093DAF"/>
    <w:rsid w:val="0009609A"/>
    <w:rsid w:val="00096BAB"/>
    <w:rsid w:val="000971D3"/>
    <w:rsid w:val="000A00F3"/>
    <w:rsid w:val="000A3909"/>
    <w:rsid w:val="000A525F"/>
    <w:rsid w:val="000A5901"/>
    <w:rsid w:val="000A7124"/>
    <w:rsid w:val="000B05DD"/>
    <w:rsid w:val="000B2002"/>
    <w:rsid w:val="000B2CCA"/>
    <w:rsid w:val="000B387D"/>
    <w:rsid w:val="000B4543"/>
    <w:rsid w:val="000B6396"/>
    <w:rsid w:val="000B7073"/>
    <w:rsid w:val="000C03DB"/>
    <w:rsid w:val="000C08D4"/>
    <w:rsid w:val="000C1B93"/>
    <w:rsid w:val="000C24B2"/>
    <w:rsid w:val="000C25AD"/>
    <w:rsid w:val="000C286E"/>
    <w:rsid w:val="000C3803"/>
    <w:rsid w:val="000C495D"/>
    <w:rsid w:val="000C5643"/>
    <w:rsid w:val="000D03F6"/>
    <w:rsid w:val="000D151E"/>
    <w:rsid w:val="000D183E"/>
    <w:rsid w:val="000D2041"/>
    <w:rsid w:val="000D214B"/>
    <w:rsid w:val="000D22CC"/>
    <w:rsid w:val="000D2EE2"/>
    <w:rsid w:val="000D3029"/>
    <w:rsid w:val="000D4261"/>
    <w:rsid w:val="000D5B27"/>
    <w:rsid w:val="000D794F"/>
    <w:rsid w:val="000D7BDC"/>
    <w:rsid w:val="000E060B"/>
    <w:rsid w:val="000E0613"/>
    <w:rsid w:val="000E0B9A"/>
    <w:rsid w:val="000E113A"/>
    <w:rsid w:val="000E129F"/>
    <w:rsid w:val="000E2003"/>
    <w:rsid w:val="000E2615"/>
    <w:rsid w:val="000E3922"/>
    <w:rsid w:val="000E4530"/>
    <w:rsid w:val="000F02E8"/>
    <w:rsid w:val="000F1F37"/>
    <w:rsid w:val="000F26C0"/>
    <w:rsid w:val="000F26DC"/>
    <w:rsid w:val="000F2DB1"/>
    <w:rsid w:val="000F51C3"/>
    <w:rsid w:val="000F67B6"/>
    <w:rsid w:val="000F72FC"/>
    <w:rsid w:val="00100239"/>
    <w:rsid w:val="00100A27"/>
    <w:rsid w:val="00101E17"/>
    <w:rsid w:val="00102223"/>
    <w:rsid w:val="0010265E"/>
    <w:rsid w:val="00106ABE"/>
    <w:rsid w:val="00107C28"/>
    <w:rsid w:val="0011009A"/>
    <w:rsid w:val="00110C02"/>
    <w:rsid w:val="0011133D"/>
    <w:rsid w:val="00111B59"/>
    <w:rsid w:val="00112881"/>
    <w:rsid w:val="00113A3A"/>
    <w:rsid w:val="00113C68"/>
    <w:rsid w:val="00113F13"/>
    <w:rsid w:val="00114719"/>
    <w:rsid w:val="00114B88"/>
    <w:rsid w:val="0011609C"/>
    <w:rsid w:val="001176C7"/>
    <w:rsid w:val="001178AF"/>
    <w:rsid w:val="00117B86"/>
    <w:rsid w:val="00120BB3"/>
    <w:rsid w:val="0012261D"/>
    <w:rsid w:val="00122D79"/>
    <w:rsid w:val="00123113"/>
    <w:rsid w:val="0012404D"/>
    <w:rsid w:val="00124C9B"/>
    <w:rsid w:val="0012584B"/>
    <w:rsid w:val="001261D5"/>
    <w:rsid w:val="00126B16"/>
    <w:rsid w:val="00126D8E"/>
    <w:rsid w:val="0012769B"/>
    <w:rsid w:val="00127DE4"/>
    <w:rsid w:val="00131C34"/>
    <w:rsid w:val="0013364E"/>
    <w:rsid w:val="00133B10"/>
    <w:rsid w:val="001344F1"/>
    <w:rsid w:val="001353EB"/>
    <w:rsid w:val="00136DE2"/>
    <w:rsid w:val="00140D0F"/>
    <w:rsid w:val="0014384C"/>
    <w:rsid w:val="001441EA"/>
    <w:rsid w:val="00144B1E"/>
    <w:rsid w:val="0014593C"/>
    <w:rsid w:val="00146EB3"/>
    <w:rsid w:val="001472DB"/>
    <w:rsid w:val="0015071D"/>
    <w:rsid w:val="00151D5E"/>
    <w:rsid w:val="00152E14"/>
    <w:rsid w:val="00152FB2"/>
    <w:rsid w:val="00153171"/>
    <w:rsid w:val="001534F4"/>
    <w:rsid w:val="001538FA"/>
    <w:rsid w:val="00155367"/>
    <w:rsid w:val="00156BB9"/>
    <w:rsid w:val="00157262"/>
    <w:rsid w:val="00160167"/>
    <w:rsid w:val="00161626"/>
    <w:rsid w:val="00161CF6"/>
    <w:rsid w:val="00163080"/>
    <w:rsid w:val="00164941"/>
    <w:rsid w:val="0016542B"/>
    <w:rsid w:val="00166676"/>
    <w:rsid w:val="00166B05"/>
    <w:rsid w:val="00167546"/>
    <w:rsid w:val="00171735"/>
    <w:rsid w:val="001718B6"/>
    <w:rsid w:val="00171EEE"/>
    <w:rsid w:val="001722EE"/>
    <w:rsid w:val="00172433"/>
    <w:rsid w:val="00174931"/>
    <w:rsid w:val="00174A6F"/>
    <w:rsid w:val="0017541C"/>
    <w:rsid w:val="00177699"/>
    <w:rsid w:val="00180227"/>
    <w:rsid w:val="001811D5"/>
    <w:rsid w:val="00181CBF"/>
    <w:rsid w:val="00184D0F"/>
    <w:rsid w:val="00184DAA"/>
    <w:rsid w:val="00184EA5"/>
    <w:rsid w:val="00185DD2"/>
    <w:rsid w:val="001868A3"/>
    <w:rsid w:val="00191326"/>
    <w:rsid w:val="00191565"/>
    <w:rsid w:val="00191A2B"/>
    <w:rsid w:val="00194F26"/>
    <w:rsid w:val="00196161"/>
    <w:rsid w:val="00196AC8"/>
    <w:rsid w:val="001974D4"/>
    <w:rsid w:val="001A07DF"/>
    <w:rsid w:val="001A1108"/>
    <w:rsid w:val="001A17A5"/>
    <w:rsid w:val="001A2854"/>
    <w:rsid w:val="001A3454"/>
    <w:rsid w:val="001A6A10"/>
    <w:rsid w:val="001A6B8B"/>
    <w:rsid w:val="001A79FC"/>
    <w:rsid w:val="001B091D"/>
    <w:rsid w:val="001B3B21"/>
    <w:rsid w:val="001B4152"/>
    <w:rsid w:val="001B53C1"/>
    <w:rsid w:val="001B5498"/>
    <w:rsid w:val="001B54FD"/>
    <w:rsid w:val="001B5C76"/>
    <w:rsid w:val="001B5CE7"/>
    <w:rsid w:val="001B5DF3"/>
    <w:rsid w:val="001B61E6"/>
    <w:rsid w:val="001B6779"/>
    <w:rsid w:val="001B7080"/>
    <w:rsid w:val="001B7C15"/>
    <w:rsid w:val="001C2BF8"/>
    <w:rsid w:val="001C347E"/>
    <w:rsid w:val="001C573A"/>
    <w:rsid w:val="001C6AD8"/>
    <w:rsid w:val="001C6DAC"/>
    <w:rsid w:val="001D0999"/>
    <w:rsid w:val="001D0DE3"/>
    <w:rsid w:val="001D183B"/>
    <w:rsid w:val="001D3FB6"/>
    <w:rsid w:val="001D6BC3"/>
    <w:rsid w:val="001D701A"/>
    <w:rsid w:val="001D7A7E"/>
    <w:rsid w:val="001E1BA1"/>
    <w:rsid w:val="001E2FFD"/>
    <w:rsid w:val="001E390F"/>
    <w:rsid w:val="001E48D4"/>
    <w:rsid w:val="001F1FA3"/>
    <w:rsid w:val="001F2D6C"/>
    <w:rsid w:val="001F38C4"/>
    <w:rsid w:val="001F4062"/>
    <w:rsid w:val="001F5271"/>
    <w:rsid w:val="001F5810"/>
    <w:rsid w:val="001F70BE"/>
    <w:rsid w:val="00202168"/>
    <w:rsid w:val="002025B9"/>
    <w:rsid w:val="00203D7D"/>
    <w:rsid w:val="00204D0E"/>
    <w:rsid w:val="00205A72"/>
    <w:rsid w:val="0020660D"/>
    <w:rsid w:val="00207DBD"/>
    <w:rsid w:val="00211269"/>
    <w:rsid w:val="00211B28"/>
    <w:rsid w:val="00211C78"/>
    <w:rsid w:val="00211D1B"/>
    <w:rsid w:val="0021228F"/>
    <w:rsid w:val="00212333"/>
    <w:rsid w:val="00213091"/>
    <w:rsid w:val="002167AE"/>
    <w:rsid w:val="00217AB0"/>
    <w:rsid w:val="0022077F"/>
    <w:rsid w:val="00221040"/>
    <w:rsid w:val="002210EF"/>
    <w:rsid w:val="00221638"/>
    <w:rsid w:val="002223ED"/>
    <w:rsid w:val="00224647"/>
    <w:rsid w:val="002263D0"/>
    <w:rsid w:val="0023126A"/>
    <w:rsid w:val="002312E4"/>
    <w:rsid w:val="002350DF"/>
    <w:rsid w:val="002358E3"/>
    <w:rsid w:val="00237824"/>
    <w:rsid w:val="00237C20"/>
    <w:rsid w:val="0024010F"/>
    <w:rsid w:val="002427C1"/>
    <w:rsid w:val="00242DE3"/>
    <w:rsid w:val="00244C06"/>
    <w:rsid w:val="002505C7"/>
    <w:rsid w:val="002532DF"/>
    <w:rsid w:val="00254401"/>
    <w:rsid w:val="002547D0"/>
    <w:rsid w:val="0025485D"/>
    <w:rsid w:val="002551D4"/>
    <w:rsid w:val="00257845"/>
    <w:rsid w:val="00257C98"/>
    <w:rsid w:val="00257E70"/>
    <w:rsid w:val="00260559"/>
    <w:rsid w:val="002605F4"/>
    <w:rsid w:val="00260FDE"/>
    <w:rsid w:val="00262F72"/>
    <w:rsid w:val="00263898"/>
    <w:rsid w:val="002641CA"/>
    <w:rsid w:val="00264604"/>
    <w:rsid w:val="002646AE"/>
    <w:rsid w:val="00264977"/>
    <w:rsid w:val="002666A0"/>
    <w:rsid w:val="00266A17"/>
    <w:rsid w:val="00270652"/>
    <w:rsid w:val="00270C53"/>
    <w:rsid w:val="00270E2E"/>
    <w:rsid w:val="002710FB"/>
    <w:rsid w:val="002718EC"/>
    <w:rsid w:val="00272577"/>
    <w:rsid w:val="00272703"/>
    <w:rsid w:val="00272BF0"/>
    <w:rsid w:val="00276291"/>
    <w:rsid w:val="00276F43"/>
    <w:rsid w:val="00277150"/>
    <w:rsid w:val="00280389"/>
    <w:rsid w:val="00280581"/>
    <w:rsid w:val="00280A1B"/>
    <w:rsid w:val="002836BB"/>
    <w:rsid w:val="002851F0"/>
    <w:rsid w:val="002857F4"/>
    <w:rsid w:val="00285D2F"/>
    <w:rsid w:val="00286E42"/>
    <w:rsid w:val="002912B8"/>
    <w:rsid w:val="002917FA"/>
    <w:rsid w:val="00292B8D"/>
    <w:rsid w:val="002932FC"/>
    <w:rsid w:val="0029335F"/>
    <w:rsid w:val="0029384B"/>
    <w:rsid w:val="00297770"/>
    <w:rsid w:val="002A0749"/>
    <w:rsid w:val="002A2966"/>
    <w:rsid w:val="002A5063"/>
    <w:rsid w:val="002A5B11"/>
    <w:rsid w:val="002A67DE"/>
    <w:rsid w:val="002A7DDA"/>
    <w:rsid w:val="002B01BE"/>
    <w:rsid w:val="002B24F6"/>
    <w:rsid w:val="002B2A60"/>
    <w:rsid w:val="002B4D5B"/>
    <w:rsid w:val="002B734D"/>
    <w:rsid w:val="002B7CA4"/>
    <w:rsid w:val="002C0523"/>
    <w:rsid w:val="002C42E4"/>
    <w:rsid w:val="002C456D"/>
    <w:rsid w:val="002C4A92"/>
    <w:rsid w:val="002C59D7"/>
    <w:rsid w:val="002C5FF4"/>
    <w:rsid w:val="002C6325"/>
    <w:rsid w:val="002C6674"/>
    <w:rsid w:val="002C7E50"/>
    <w:rsid w:val="002C7ECA"/>
    <w:rsid w:val="002D0824"/>
    <w:rsid w:val="002D1882"/>
    <w:rsid w:val="002D18BF"/>
    <w:rsid w:val="002D2CC2"/>
    <w:rsid w:val="002D3389"/>
    <w:rsid w:val="002D36A9"/>
    <w:rsid w:val="002D4649"/>
    <w:rsid w:val="002D64E2"/>
    <w:rsid w:val="002D693D"/>
    <w:rsid w:val="002D6D9A"/>
    <w:rsid w:val="002D7E98"/>
    <w:rsid w:val="002D7FD2"/>
    <w:rsid w:val="002E0362"/>
    <w:rsid w:val="002E09DC"/>
    <w:rsid w:val="002E1018"/>
    <w:rsid w:val="002E33B8"/>
    <w:rsid w:val="002E3AF9"/>
    <w:rsid w:val="002E3B0F"/>
    <w:rsid w:val="002E44D7"/>
    <w:rsid w:val="002E495E"/>
    <w:rsid w:val="002E4ABB"/>
    <w:rsid w:val="002E62BE"/>
    <w:rsid w:val="002E7D42"/>
    <w:rsid w:val="002F0BB5"/>
    <w:rsid w:val="002F10C2"/>
    <w:rsid w:val="002F11FA"/>
    <w:rsid w:val="002F137A"/>
    <w:rsid w:val="002F3975"/>
    <w:rsid w:val="002F45B2"/>
    <w:rsid w:val="002F4B2C"/>
    <w:rsid w:val="002F53FE"/>
    <w:rsid w:val="002F7133"/>
    <w:rsid w:val="002F73A2"/>
    <w:rsid w:val="00300BBE"/>
    <w:rsid w:val="0030173D"/>
    <w:rsid w:val="00301EB0"/>
    <w:rsid w:val="003025A4"/>
    <w:rsid w:val="00302F1F"/>
    <w:rsid w:val="00305B5C"/>
    <w:rsid w:val="00305B82"/>
    <w:rsid w:val="00305DEA"/>
    <w:rsid w:val="003072CE"/>
    <w:rsid w:val="00307994"/>
    <w:rsid w:val="00307BCB"/>
    <w:rsid w:val="00311D1A"/>
    <w:rsid w:val="00311E61"/>
    <w:rsid w:val="00314AB4"/>
    <w:rsid w:val="0031506A"/>
    <w:rsid w:val="003154C0"/>
    <w:rsid w:val="00316E04"/>
    <w:rsid w:val="00317048"/>
    <w:rsid w:val="003178D9"/>
    <w:rsid w:val="00317CB0"/>
    <w:rsid w:val="00317D08"/>
    <w:rsid w:val="00320A56"/>
    <w:rsid w:val="003221C6"/>
    <w:rsid w:val="003223C0"/>
    <w:rsid w:val="0032277F"/>
    <w:rsid w:val="003258C7"/>
    <w:rsid w:val="00326248"/>
    <w:rsid w:val="003264DD"/>
    <w:rsid w:val="0032654A"/>
    <w:rsid w:val="00330A98"/>
    <w:rsid w:val="003311FC"/>
    <w:rsid w:val="0033158A"/>
    <w:rsid w:val="0033166D"/>
    <w:rsid w:val="00333E6A"/>
    <w:rsid w:val="00334725"/>
    <w:rsid w:val="00335E25"/>
    <w:rsid w:val="00336F1F"/>
    <w:rsid w:val="0033718A"/>
    <w:rsid w:val="003374AE"/>
    <w:rsid w:val="0034069F"/>
    <w:rsid w:val="003419BE"/>
    <w:rsid w:val="00342258"/>
    <w:rsid w:val="00342B5B"/>
    <w:rsid w:val="00347F05"/>
    <w:rsid w:val="00350131"/>
    <w:rsid w:val="00352098"/>
    <w:rsid w:val="003520FC"/>
    <w:rsid w:val="00352741"/>
    <w:rsid w:val="0035571F"/>
    <w:rsid w:val="00356BC2"/>
    <w:rsid w:val="003602E2"/>
    <w:rsid w:val="00360740"/>
    <w:rsid w:val="003609DF"/>
    <w:rsid w:val="003615A9"/>
    <w:rsid w:val="00362F02"/>
    <w:rsid w:val="00363BA9"/>
    <w:rsid w:val="00364293"/>
    <w:rsid w:val="003650A3"/>
    <w:rsid w:val="00365B0F"/>
    <w:rsid w:val="00365B88"/>
    <w:rsid w:val="00370592"/>
    <w:rsid w:val="00370768"/>
    <w:rsid w:val="00370B5B"/>
    <w:rsid w:val="003718C5"/>
    <w:rsid w:val="003726D7"/>
    <w:rsid w:val="00373F37"/>
    <w:rsid w:val="003744CC"/>
    <w:rsid w:val="00374D64"/>
    <w:rsid w:val="003762AD"/>
    <w:rsid w:val="003767C6"/>
    <w:rsid w:val="00377C78"/>
    <w:rsid w:val="0038165E"/>
    <w:rsid w:val="00381D13"/>
    <w:rsid w:val="00381EA9"/>
    <w:rsid w:val="00382C96"/>
    <w:rsid w:val="0038432F"/>
    <w:rsid w:val="003855EF"/>
    <w:rsid w:val="00385828"/>
    <w:rsid w:val="0038739C"/>
    <w:rsid w:val="0038791B"/>
    <w:rsid w:val="003904AA"/>
    <w:rsid w:val="00390930"/>
    <w:rsid w:val="00390DC9"/>
    <w:rsid w:val="00390FEF"/>
    <w:rsid w:val="003912FF"/>
    <w:rsid w:val="003925E5"/>
    <w:rsid w:val="00392E63"/>
    <w:rsid w:val="00393DAD"/>
    <w:rsid w:val="00396CFF"/>
    <w:rsid w:val="00397CBB"/>
    <w:rsid w:val="003A0B01"/>
    <w:rsid w:val="003A1449"/>
    <w:rsid w:val="003A6622"/>
    <w:rsid w:val="003A7441"/>
    <w:rsid w:val="003A784B"/>
    <w:rsid w:val="003B0C45"/>
    <w:rsid w:val="003B1E8D"/>
    <w:rsid w:val="003B2494"/>
    <w:rsid w:val="003B4138"/>
    <w:rsid w:val="003B41F1"/>
    <w:rsid w:val="003B619F"/>
    <w:rsid w:val="003B6751"/>
    <w:rsid w:val="003B6CC9"/>
    <w:rsid w:val="003B756C"/>
    <w:rsid w:val="003B7E7C"/>
    <w:rsid w:val="003C0FFD"/>
    <w:rsid w:val="003C1534"/>
    <w:rsid w:val="003C45B4"/>
    <w:rsid w:val="003C61C9"/>
    <w:rsid w:val="003C6809"/>
    <w:rsid w:val="003C6D0A"/>
    <w:rsid w:val="003C72D9"/>
    <w:rsid w:val="003D19BD"/>
    <w:rsid w:val="003D1EC8"/>
    <w:rsid w:val="003D2358"/>
    <w:rsid w:val="003D2BAA"/>
    <w:rsid w:val="003D2DBA"/>
    <w:rsid w:val="003D2E83"/>
    <w:rsid w:val="003D46F1"/>
    <w:rsid w:val="003D4CC5"/>
    <w:rsid w:val="003D53E1"/>
    <w:rsid w:val="003D55F9"/>
    <w:rsid w:val="003D69EC"/>
    <w:rsid w:val="003D7A6B"/>
    <w:rsid w:val="003E1F34"/>
    <w:rsid w:val="003E2313"/>
    <w:rsid w:val="003E42BF"/>
    <w:rsid w:val="003E4D3E"/>
    <w:rsid w:val="003E5265"/>
    <w:rsid w:val="003E6215"/>
    <w:rsid w:val="003F1309"/>
    <w:rsid w:val="003F15B1"/>
    <w:rsid w:val="003F47A0"/>
    <w:rsid w:val="003F57AE"/>
    <w:rsid w:val="0040091A"/>
    <w:rsid w:val="00401503"/>
    <w:rsid w:val="004030C6"/>
    <w:rsid w:val="0040377E"/>
    <w:rsid w:val="00404880"/>
    <w:rsid w:val="004075C3"/>
    <w:rsid w:val="004078AA"/>
    <w:rsid w:val="00410557"/>
    <w:rsid w:val="00411BB0"/>
    <w:rsid w:val="00415A7F"/>
    <w:rsid w:val="0041665B"/>
    <w:rsid w:val="00416E6C"/>
    <w:rsid w:val="004220D0"/>
    <w:rsid w:val="004229A6"/>
    <w:rsid w:val="00423ED9"/>
    <w:rsid w:val="00423F59"/>
    <w:rsid w:val="00424263"/>
    <w:rsid w:val="00424A79"/>
    <w:rsid w:val="00425CF2"/>
    <w:rsid w:val="004261CE"/>
    <w:rsid w:val="00426663"/>
    <w:rsid w:val="004312AA"/>
    <w:rsid w:val="004312F1"/>
    <w:rsid w:val="004333D6"/>
    <w:rsid w:val="00434A64"/>
    <w:rsid w:val="004404A8"/>
    <w:rsid w:val="0044065F"/>
    <w:rsid w:val="0044146F"/>
    <w:rsid w:val="00443B52"/>
    <w:rsid w:val="004450D4"/>
    <w:rsid w:val="00446CAF"/>
    <w:rsid w:val="004476E1"/>
    <w:rsid w:val="0044773A"/>
    <w:rsid w:val="0044786C"/>
    <w:rsid w:val="00451DF5"/>
    <w:rsid w:val="00451F20"/>
    <w:rsid w:val="00452531"/>
    <w:rsid w:val="00452DA3"/>
    <w:rsid w:val="00453D39"/>
    <w:rsid w:val="00454D43"/>
    <w:rsid w:val="004550CC"/>
    <w:rsid w:val="00455340"/>
    <w:rsid w:val="00455886"/>
    <w:rsid w:val="00455F9E"/>
    <w:rsid w:val="00456B1E"/>
    <w:rsid w:val="00457B86"/>
    <w:rsid w:val="00460638"/>
    <w:rsid w:val="00461B88"/>
    <w:rsid w:val="00463183"/>
    <w:rsid w:val="004633BC"/>
    <w:rsid w:val="00463938"/>
    <w:rsid w:val="004662A8"/>
    <w:rsid w:val="00466E44"/>
    <w:rsid w:val="00470D73"/>
    <w:rsid w:val="004736F7"/>
    <w:rsid w:val="00474326"/>
    <w:rsid w:val="00474959"/>
    <w:rsid w:val="00475B46"/>
    <w:rsid w:val="00475D8F"/>
    <w:rsid w:val="00475DC6"/>
    <w:rsid w:val="0048026D"/>
    <w:rsid w:val="00480BD7"/>
    <w:rsid w:val="00481E04"/>
    <w:rsid w:val="004825BE"/>
    <w:rsid w:val="004839BB"/>
    <w:rsid w:val="00483E88"/>
    <w:rsid w:val="00483E8F"/>
    <w:rsid w:val="00484A62"/>
    <w:rsid w:val="004875C1"/>
    <w:rsid w:val="00487944"/>
    <w:rsid w:val="00490301"/>
    <w:rsid w:val="004922C5"/>
    <w:rsid w:val="00493011"/>
    <w:rsid w:val="0049340A"/>
    <w:rsid w:val="00495465"/>
    <w:rsid w:val="004A0263"/>
    <w:rsid w:val="004A0579"/>
    <w:rsid w:val="004A05A0"/>
    <w:rsid w:val="004A094E"/>
    <w:rsid w:val="004A0A32"/>
    <w:rsid w:val="004A1149"/>
    <w:rsid w:val="004A3EF7"/>
    <w:rsid w:val="004A5D3F"/>
    <w:rsid w:val="004A5D5D"/>
    <w:rsid w:val="004A5E8D"/>
    <w:rsid w:val="004A6AFE"/>
    <w:rsid w:val="004A78B1"/>
    <w:rsid w:val="004B092F"/>
    <w:rsid w:val="004B1162"/>
    <w:rsid w:val="004B12C4"/>
    <w:rsid w:val="004B2DEC"/>
    <w:rsid w:val="004B3FB1"/>
    <w:rsid w:val="004B4698"/>
    <w:rsid w:val="004B46F3"/>
    <w:rsid w:val="004B53DD"/>
    <w:rsid w:val="004B5AE3"/>
    <w:rsid w:val="004B5F80"/>
    <w:rsid w:val="004B7760"/>
    <w:rsid w:val="004B799A"/>
    <w:rsid w:val="004C071C"/>
    <w:rsid w:val="004C1716"/>
    <w:rsid w:val="004C351A"/>
    <w:rsid w:val="004C3DA6"/>
    <w:rsid w:val="004C3FFA"/>
    <w:rsid w:val="004C435A"/>
    <w:rsid w:val="004C7E1A"/>
    <w:rsid w:val="004D01E5"/>
    <w:rsid w:val="004D20D6"/>
    <w:rsid w:val="004D22A5"/>
    <w:rsid w:val="004D30C7"/>
    <w:rsid w:val="004D5BC4"/>
    <w:rsid w:val="004D62D1"/>
    <w:rsid w:val="004D6882"/>
    <w:rsid w:val="004D6ACC"/>
    <w:rsid w:val="004D6C58"/>
    <w:rsid w:val="004D6F87"/>
    <w:rsid w:val="004D73F8"/>
    <w:rsid w:val="004D775D"/>
    <w:rsid w:val="004E0DA3"/>
    <w:rsid w:val="004E29BE"/>
    <w:rsid w:val="004E32BD"/>
    <w:rsid w:val="004E33DE"/>
    <w:rsid w:val="004E47D1"/>
    <w:rsid w:val="004E7645"/>
    <w:rsid w:val="004F0A80"/>
    <w:rsid w:val="004F13A5"/>
    <w:rsid w:val="004F15D8"/>
    <w:rsid w:val="004F160E"/>
    <w:rsid w:val="004F2BFE"/>
    <w:rsid w:val="004F2F5D"/>
    <w:rsid w:val="004F4DC0"/>
    <w:rsid w:val="004F7F95"/>
    <w:rsid w:val="00500276"/>
    <w:rsid w:val="0050151E"/>
    <w:rsid w:val="005018B2"/>
    <w:rsid w:val="00501FE2"/>
    <w:rsid w:val="00503192"/>
    <w:rsid w:val="00503F0F"/>
    <w:rsid w:val="00504217"/>
    <w:rsid w:val="00504C91"/>
    <w:rsid w:val="005059F5"/>
    <w:rsid w:val="00506A7B"/>
    <w:rsid w:val="00507F2E"/>
    <w:rsid w:val="005103E3"/>
    <w:rsid w:val="00510D0F"/>
    <w:rsid w:val="00511702"/>
    <w:rsid w:val="00511ECB"/>
    <w:rsid w:val="005141FC"/>
    <w:rsid w:val="00514E9C"/>
    <w:rsid w:val="00516A70"/>
    <w:rsid w:val="00516D07"/>
    <w:rsid w:val="005170CE"/>
    <w:rsid w:val="00517546"/>
    <w:rsid w:val="00517871"/>
    <w:rsid w:val="00517E72"/>
    <w:rsid w:val="00520EC5"/>
    <w:rsid w:val="00521DA5"/>
    <w:rsid w:val="005229D9"/>
    <w:rsid w:val="00524885"/>
    <w:rsid w:val="00524F26"/>
    <w:rsid w:val="0052798E"/>
    <w:rsid w:val="00531117"/>
    <w:rsid w:val="00531827"/>
    <w:rsid w:val="00532790"/>
    <w:rsid w:val="00533665"/>
    <w:rsid w:val="005345F1"/>
    <w:rsid w:val="005353AA"/>
    <w:rsid w:val="00535E96"/>
    <w:rsid w:val="00536A96"/>
    <w:rsid w:val="00536DEE"/>
    <w:rsid w:val="00540420"/>
    <w:rsid w:val="00540836"/>
    <w:rsid w:val="00541E0E"/>
    <w:rsid w:val="00542C2B"/>
    <w:rsid w:val="00542C9C"/>
    <w:rsid w:val="00542CD1"/>
    <w:rsid w:val="00545649"/>
    <w:rsid w:val="00545B73"/>
    <w:rsid w:val="00546C25"/>
    <w:rsid w:val="00547677"/>
    <w:rsid w:val="00550AFF"/>
    <w:rsid w:val="00552270"/>
    <w:rsid w:val="00552781"/>
    <w:rsid w:val="00553F2E"/>
    <w:rsid w:val="0055450A"/>
    <w:rsid w:val="00554EA9"/>
    <w:rsid w:val="00556FED"/>
    <w:rsid w:val="00560451"/>
    <w:rsid w:val="00561192"/>
    <w:rsid w:val="00561217"/>
    <w:rsid w:val="0056253F"/>
    <w:rsid w:val="005649AB"/>
    <w:rsid w:val="005661AD"/>
    <w:rsid w:val="00566D19"/>
    <w:rsid w:val="00567927"/>
    <w:rsid w:val="005703E0"/>
    <w:rsid w:val="00570CA1"/>
    <w:rsid w:val="00571A41"/>
    <w:rsid w:val="005724D8"/>
    <w:rsid w:val="005725FA"/>
    <w:rsid w:val="005733AE"/>
    <w:rsid w:val="00573F5D"/>
    <w:rsid w:val="0057420B"/>
    <w:rsid w:val="0057543F"/>
    <w:rsid w:val="0057663C"/>
    <w:rsid w:val="00581D4D"/>
    <w:rsid w:val="005826BA"/>
    <w:rsid w:val="00583C5A"/>
    <w:rsid w:val="0059050B"/>
    <w:rsid w:val="00590F01"/>
    <w:rsid w:val="005925E7"/>
    <w:rsid w:val="005931AD"/>
    <w:rsid w:val="0059432B"/>
    <w:rsid w:val="00594E87"/>
    <w:rsid w:val="0059737B"/>
    <w:rsid w:val="005973CA"/>
    <w:rsid w:val="0059786B"/>
    <w:rsid w:val="00597BD6"/>
    <w:rsid w:val="00597DE6"/>
    <w:rsid w:val="005A0E5C"/>
    <w:rsid w:val="005A1DEB"/>
    <w:rsid w:val="005A2415"/>
    <w:rsid w:val="005A356A"/>
    <w:rsid w:val="005A447C"/>
    <w:rsid w:val="005A5CB1"/>
    <w:rsid w:val="005A6C06"/>
    <w:rsid w:val="005A7183"/>
    <w:rsid w:val="005A74D6"/>
    <w:rsid w:val="005A75BE"/>
    <w:rsid w:val="005B031B"/>
    <w:rsid w:val="005B1009"/>
    <w:rsid w:val="005B3A16"/>
    <w:rsid w:val="005B6F2C"/>
    <w:rsid w:val="005B76F6"/>
    <w:rsid w:val="005C0A0F"/>
    <w:rsid w:val="005C5814"/>
    <w:rsid w:val="005C6455"/>
    <w:rsid w:val="005D0F4B"/>
    <w:rsid w:val="005D1E7A"/>
    <w:rsid w:val="005D2307"/>
    <w:rsid w:val="005D29EF"/>
    <w:rsid w:val="005D40FB"/>
    <w:rsid w:val="005D5C8C"/>
    <w:rsid w:val="005D6F8E"/>
    <w:rsid w:val="005D7BC5"/>
    <w:rsid w:val="005D7EC5"/>
    <w:rsid w:val="005E18D1"/>
    <w:rsid w:val="005E2226"/>
    <w:rsid w:val="005E2608"/>
    <w:rsid w:val="005E2E10"/>
    <w:rsid w:val="005E3924"/>
    <w:rsid w:val="005E4151"/>
    <w:rsid w:val="005E490A"/>
    <w:rsid w:val="005E62C0"/>
    <w:rsid w:val="005E68D4"/>
    <w:rsid w:val="005E7A57"/>
    <w:rsid w:val="005F10C0"/>
    <w:rsid w:val="005F30C8"/>
    <w:rsid w:val="005F407C"/>
    <w:rsid w:val="005F4973"/>
    <w:rsid w:val="005F49F7"/>
    <w:rsid w:val="005F7337"/>
    <w:rsid w:val="005F759F"/>
    <w:rsid w:val="005F76E4"/>
    <w:rsid w:val="006003C2"/>
    <w:rsid w:val="006017D8"/>
    <w:rsid w:val="006023C3"/>
    <w:rsid w:val="00602910"/>
    <w:rsid w:val="00602F9D"/>
    <w:rsid w:val="0060422D"/>
    <w:rsid w:val="00604BCB"/>
    <w:rsid w:val="006060A5"/>
    <w:rsid w:val="006072DA"/>
    <w:rsid w:val="00607FDD"/>
    <w:rsid w:val="00614049"/>
    <w:rsid w:val="00615734"/>
    <w:rsid w:val="00615CCC"/>
    <w:rsid w:val="006221B8"/>
    <w:rsid w:val="0062301F"/>
    <w:rsid w:val="006234F0"/>
    <w:rsid w:val="0062372B"/>
    <w:rsid w:val="00624961"/>
    <w:rsid w:val="006309C6"/>
    <w:rsid w:val="00630FA4"/>
    <w:rsid w:val="00631489"/>
    <w:rsid w:val="0063171A"/>
    <w:rsid w:val="006319F4"/>
    <w:rsid w:val="00632CAF"/>
    <w:rsid w:val="0063406B"/>
    <w:rsid w:val="006347ED"/>
    <w:rsid w:val="00634A37"/>
    <w:rsid w:val="006355FC"/>
    <w:rsid w:val="0063563B"/>
    <w:rsid w:val="00635B53"/>
    <w:rsid w:val="00636545"/>
    <w:rsid w:val="00636754"/>
    <w:rsid w:val="00636AD1"/>
    <w:rsid w:val="00636BDA"/>
    <w:rsid w:val="006428AB"/>
    <w:rsid w:val="00644744"/>
    <w:rsid w:val="00644A22"/>
    <w:rsid w:val="00646A67"/>
    <w:rsid w:val="00651709"/>
    <w:rsid w:val="006523AD"/>
    <w:rsid w:val="00652C7D"/>
    <w:rsid w:val="00652CF4"/>
    <w:rsid w:val="006558BF"/>
    <w:rsid w:val="00657403"/>
    <w:rsid w:val="00657F30"/>
    <w:rsid w:val="00661831"/>
    <w:rsid w:val="0066253C"/>
    <w:rsid w:val="00662C6C"/>
    <w:rsid w:val="00664000"/>
    <w:rsid w:val="006643AD"/>
    <w:rsid w:val="00666768"/>
    <w:rsid w:val="006672B2"/>
    <w:rsid w:val="006677A3"/>
    <w:rsid w:val="00667E37"/>
    <w:rsid w:val="0067061B"/>
    <w:rsid w:val="0067272C"/>
    <w:rsid w:val="00672BD9"/>
    <w:rsid w:val="00674930"/>
    <w:rsid w:val="00675A8A"/>
    <w:rsid w:val="00675D43"/>
    <w:rsid w:val="006769EA"/>
    <w:rsid w:val="00677BA9"/>
    <w:rsid w:val="00680934"/>
    <w:rsid w:val="0068163B"/>
    <w:rsid w:val="0068256B"/>
    <w:rsid w:val="006826C6"/>
    <w:rsid w:val="00682E4E"/>
    <w:rsid w:val="0068332A"/>
    <w:rsid w:val="00683F1F"/>
    <w:rsid w:val="006863E2"/>
    <w:rsid w:val="006868D8"/>
    <w:rsid w:val="00686C42"/>
    <w:rsid w:val="00686DB0"/>
    <w:rsid w:val="0068746A"/>
    <w:rsid w:val="00690340"/>
    <w:rsid w:val="006910C1"/>
    <w:rsid w:val="00691342"/>
    <w:rsid w:val="00693BC1"/>
    <w:rsid w:val="006946D2"/>
    <w:rsid w:val="006947D4"/>
    <w:rsid w:val="00694E8C"/>
    <w:rsid w:val="00697460"/>
    <w:rsid w:val="006A0EE8"/>
    <w:rsid w:val="006A19F1"/>
    <w:rsid w:val="006A3084"/>
    <w:rsid w:val="006A4117"/>
    <w:rsid w:val="006A5BC3"/>
    <w:rsid w:val="006A658B"/>
    <w:rsid w:val="006B092E"/>
    <w:rsid w:val="006B11FD"/>
    <w:rsid w:val="006B1F1A"/>
    <w:rsid w:val="006B25C6"/>
    <w:rsid w:val="006B2E9F"/>
    <w:rsid w:val="006B3553"/>
    <w:rsid w:val="006B35A6"/>
    <w:rsid w:val="006B4829"/>
    <w:rsid w:val="006B61C7"/>
    <w:rsid w:val="006B668C"/>
    <w:rsid w:val="006C0E09"/>
    <w:rsid w:val="006C1A36"/>
    <w:rsid w:val="006C2138"/>
    <w:rsid w:val="006C480F"/>
    <w:rsid w:val="006C4D0E"/>
    <w:rsid w:val="006C6193"/>
    <w:rsid w:val="006C6EF0"/>
    <w:rsid w:val="006C7855"/>
    <w:rsid w:val="006C7BC7"/>
    <w:rsid w:val="006D0A3D"/>
    <w:rsid w:val="006D2ECF"/>
    <w:rsid w:val="006D365D"/>
    <w:rsid w:val="006D4193"/>
    <w:rsid w:val="006D5E20"/>
    <w:rsid w:val="006D697C"/>
    <w:rsid w:val="006D6D42"/>
    <w:rsid w:val="006D7331"/>
    <w:rsid w:val="006E083E"/>
    <w:rsid w:val="006E2E3D"/>
    <w:rsid w:val="006E4939"/>
    <w:rsid w:val="006E4D79"/>
    <w:rsid w:val="006E53C7"/>
    <w:rsid w:val="006E6C92"/>
    <w:rsid w:val="006E6EE3"/>
    <w:rsid w:val="006E7F60"/>
    <w:rsid w:val="006F2DC6"/>
    <w:rsid w:val="006F5C1E"/>
    <w:rsid w:val="006F6688"/>
    <w:rsid w:val="006F7EBD"/>
    <w:rsid w:val="0070147B"/>
    <w:rsid w:val="00701520"/>
    <w:rsid w:val="007025DE"/>
    <w:rsid w:val="007029FD"/>
    <w:rsid w:val="00702BCB"/>
    <w:rsid w:val="00704448"/>
    <w:rsid w:val="0070554B"/>
    <w:rsid w:val="007068F6"/>
    <w:rsid w:val="00707EC6"/>
    <w:rsid w:val="007105F1"/>
    <w:rsid w:val="00710783"/>
    <w:rsid w:val="00711ADE"/>
    <w:rsid w:val="00712EE0"/>
    <w:rsid w:val="007135A4"/>
    <w:rsid w:val="00713F4C"/>
    <w:rsid w:val="0071580A"/>
    <w:rsid w:val="00716638"/>
    <w:rsid w:val="007177A0"/>
    <w:rsid w:val="007178D9"/>
    <w:rsid w:val="00717D04"/>
    <w:rsid w:val="00720421"/>
    <w:rsid w:val="00720601"/>
    <w:rsid w:val="0072068D"/>
    <w:rsid w:val="00721416"/>
    <w:rsid w:val="007229C4"/>
    <w:rsid w:val="007232E6"/>
    <w:rsid w:val="00724C9F"/>
    <w:rsid w:val="00724DF5"/>
    <w:rsid w:val="00725BF3"/>
    <w:rsid w:val="0073097B"/>
    <w:rsid w:val="00731BFB"/>
    <w:rsid w:val="007324F8"/>
    <w:rsid w:val="0073255E"/>
    <w:rsid w:val="00732908"/>
    <w:rsid w:val="00734D5B"/>
    <w:rsid w:val="007379CE"/>
    <w:rsid w:val="00740D13"/>
    <w:rsid w:val="00741FBB"/>
    <w:rsid w:val="00742000"/>
    <w:rsid w:val="00742184"/>
    <w:rsid w:val="00743622"/>
    <w:rsid w:val="00743B72"/>
    <w:rsid w:val="00744206"/>
    <w:rsid w:val="00744B3C"/>
    <w:rsid w:val="00745022"/>
    <w:rsid w:val="00745F11"/>
    <w:rsid w:val="0074761B"/>
    <w:rsid w:val="00747956"/>
    <w:rsid w:val="0075010E"/>
    <w:rsid w:val="0075058A"/>
    <w:rsid w:val="00750ADF"/>
    <w:rsid w:val="00750C42"/>
    <w:rsid w:val="00752DC4"/>
    <w:rsid w:val="00754469"/>
    <w:rsid w:val="0075597F"/>
    <w:rsid w:val="00756597"/>
    <w:rsid w:val="00756FDE"/>
    <w:rsid w:val="00757189"/>
    <w:rsid w:val="0075756E"/>
    <w:rsid w:val="00761247"/>
    <w:rsid w:val="00762CD3"/>
    <w:rsid w:val="00763D4C"/>
    <w:rsid w:val="007641EA"/>
    <w:rsid w:val="007644BC"/>
    <w:rsid w:val="00765622"/>
    <w:rsid w:val="0076591E"/>
    <w:rsid w:val="00766490"/>
    <w:rsid w:val="00767D4A"/>
    <w:rsid w:val="0077027D"/>
    <w:rsid w:val="007710B3"/>
    <w:rsid w:val="00771DA6"/>
    <w:rsid w:val="007729D3"/>
    <w:rsid w:val="007737FE"/>
    <w:rsid w:val="00774FB2"/>
    <w:rsid w:val="00775CFB"/>
    <w:rsid w:val="00775D48"/>
    <w:rsid w:val="00777EFE"/>
    <w:rsid w:val="0078025E"/>
    <w:rsid w:val="007809BA"/>
    <w:rsid w:val="00780E9E"/>
    <w:rsid w:val="00780EC4"/>
    <w:rsid w:val="007811C1"/>
    <w:rsid w:val="00782911"/>
    <w:rsid w:val="00783083"/>
    <w:rsid w:val="00783498"/>
    <w:rsid w:val="00783D09"/>
    <w:rsid w:val="00785535"/>
    <w:rsid w:val="00785D88"/>
    <w:rsid w:val="00785E28"/>
    <w:rsid w:val="00787ACB"/>
    <w:rsid w:val="00790B3C"/>
    <w:rsid w:val="007913CC"/>
    <w:rsid w:val="007917B7"/>
    <w:rsid w:val="007919CD"/>
    <w:rsid w:val="00791B5A"/>
    <w:rsid w:val="0079235E"/>
    <w:rsid w:val="00795A54"/>
    <w:rsid w:val="00795C24"/>
    <w:rsid w:val="00797D1E"/>
    <w:rsid w:val="007A008B"/>
    <w:rsid w:val="007A0139"/>
    <w:rsid w:val="007A1164"/>
    <w:rsid w:val="007A145B"/>
    <w:rsid w:val="007A2763"/>
    <w:rsid w:val="007A3449"/>
    <w:rsid w:val="007A5AC9"/>
    <w:rsid w:val="007A6F93"/>
    <w:rsid w:val="007A7581"/>
    <w:rsid w:val="007A7DB9"/>
    <w:rsid w:val="007B02FB"/>
    <w:rsid w:val="007B32BA"/>
    <w:rsid w:val="007B363A"/>
    <w:rsid w:val="007B36C7"/>
    <w:rsid w:val="007B3BF3"/>
    <w:rsid w:val="007B45C2"/>
    <w:rsid w:val="007B52FA"/>
    <w:rsid w:val="007B67B6"/>
    <w:rsid w:val="007B6EE3"/>
    <w:rsid w:val="007B784E"/>
    <w:rsid w:val="007C2BC9"/>
    <w:rsid w:val="007C3171"/>
    <w:rsid w:val="007C33CF"/>
    <w:rsid w:val="007C46F8"/>
    <w:rsid w:val="007C4F60"/>
    <w:rsid w:val="007C5980"/>
    <w:rsid w:val="007C5F29"/>
    <w:rsid w:val="007C72A9"/>
    <w:rsid w:val="007D0598"/>
    <w:rsid w:val="007D1FC3"/>
    <w:rsid w:val="007D34E0"/>
    <w:rsid w:val="007D4C6B"/>
    <w:rsid w:val="007D5D8C"/>
    <w:rsid w:val="007D6E90"/>
    <w:rsid w:val="007D7F32"/>
    <w:rsid w:val="007E1877"/>
    <w:rsid w:val="007E39CE"/>
    <w:rsid w:val="007E3CED"/>
    <w:rsid w:val="007E3EC4"/>
    <w:rsid w:val="007E43FE"/>
    <w:rsid w:val="007E4BDB"/>
    <w:rsid w:val="007E5B17"/>
    <w:rsid w:val="007E7A5B"/>
    <w:rsid w:val="007F0619"/>
    <w:rsid w:val="007F1029"/>
    <w:rsid w:val="007F14ED"/>
    <w:rsid w:val="007F17B8"/>
    <w:rsid w:val="007F27E3"/>
    <w:rsid w:val="007F299B"/>
    <w:rsid w:val="007F2AE7"/>
    <w:rsid w:val="007F3EC8"/>
    <w:rsid w:val="007F46E3"/>
    <w:rsid w:val="007F4A89"/>
    <w:rsid w:val="007F586E"/>
    <w:rsid w:val="00800B09"/>
    <w:rsid w:val="00801B16"/>
    <w:rsid w:val="00801EBA"/>
    <w:rsid w:val="0080256A"/>
    <w:rsid w:val="008038F3"/>
    <w:rsid w:val="00803FFD"/>
    <w:rsid w:val="008046A9"/>
    <w:rsid w:val="008056A5"/>
    <w:rsid w:val="00805C82"/>
    <w:rsid w:val="00806455"/>
    <w:rsid w:val="0080692A"/>
    <w:rsid w:val="008102C2"/>
    <w:rsid w:val="0081038B"/>
    <w:rsid w:val="00811EA9"/>
    <w:rsid w:val="00812D09"/>
    <w:rsid w:val="00812F60"/>
    <w:rsid w:val="0081353E"/>
    <w:rsid w:val="00814043"/>
    <w:rsid w:val="00814437"/>
    <w:rsid w:val="00814A4F"/>
    <w:rsid w:val="00814CE9"/>
    <w:rsid w:val="00815467"/>
    <w:rsid w:val="00815825"/>
    <w:rsid w:val="00816324"/>
    <w:rsid w:val="00816751"/>
    <w:rsid w:val="00817695"/>
    <w:rsid w:val="008215A9"/>
    <w:rsid w:val="00823329"/>
    <w:rsid w:val="0082374E"/>
    <w:rsid w:val="00823F56"/>
    <w:rsid w:val="00824279"/>
    <w:rsid w:val="00826463"/>
    <w:rsid w:val="00826902"/>
    <w:rsid w:val="0082698A"/>
    <w:rsid w:val="00827C83"/>
    <w:rsid w:val="00830381"/>
    <w:rsid w:val="008303F6"/>
    <w:rsid w:val="00832C51"/>
    <w:rsid w:val="00833335"/>
    <w:rsid w:val="0083394E"/>
    <w:rsid w:val="008345B9"/>
    <w:rsid w:val="008347DF"/>
    <w:rsid w:val="00835100"/>
    <w:rsid w:val="00835DF5"/>
    <w:rsid w:val="00836E3E"/>
    <w:rsid w:val="00836F8E"/>
    <w:rsid w:val="00840A8B"/>
    <w:rsid w:val="00840D87"/>
    <w:rsid w:val="0084266A"/>
    <w:rsid w:val="0084354E"/>
    <w:rsid w:val="00843EE3"/>
    <w:rsid w:val="008450A2"/>
    <w:rsid w:val="008463F3"/>
    <w:rsid w:val="00846DF1"/>
    <w:rsid w:val="00847382"/>
    <w:rsid w:val="008477B9"/>
    <w:rsid w:val="0084793B"/>
    <w:rsid w:val="0085066D"/>
    <w:rsid w:val="0085068A"/>
    <w:rsid w:val="00850E8C"/>
    <w:rsid w:val="008513FD"/>
    <w:rsid w:val="008557A7"/>
    <w:rsid w:val="00856548"/>
    <w:rsid w:val="00862CFA"/>
    <w:rsid w:val="008655DA"/>
    <w:rsid w:val="00865F75"/>
    <w:rsid w:val="00866AFC"/>
    <w:rsid w:val="00872869"/>
    <w:rsid w:val="00873777"/>
    <w:rsid w:val="00874D39"/>
    <w:rsid w:val="00875931"/>
    <w:rsid w:val="00876474"/>
    <w:rsid w:val="00877177"/>
    <w:rsid w:val="00877DD9"/>
    <w:rsid w:val="00880F3A"/>
    <w:rsid w:val="0088180D"/>
    <w:rsid w:val="00881A53"/>
    <w:rsid w:val="008825DC"/>
    <w:rsid w:val="0088274A"/>
    <w:rsid w:val="00885AA5"/>
    <w:rsid w:val="00886546"/>
    <w:rsid w:val="00886740"/>
    <w:rsid w:val="00886A11"/>
    <w:rsid w:val="00886C4B"/>
    <w:rsid w:val="00887142"/>
    <w:rsid w:val="008875D1"/>
    <w:rsid w:val="0089268C"/>
    <w:rsid w:val="0089407F"/>
    <w:rsid w:val="0089439A"/>
    <w:rsid w:val="00896933"/>
    <w:rsid w:val="0089761F"/>
    <w:rsid w:val="008A0B05"/>
    <w:rsid w:val="008A12DB"/>
    <w:rsid w:val="008A2804"/>
    <w:rsid w:val="008A4907"/>
    <w:rsid w:val="008A5E7B"/>
    <w:rsid w:val="008B0747"/>
    <w:rsid w:val="008B160D"/>
    <w:rsid w:val="008B17C4"/>
    <w:rsid w:val="008B47D0"/>
    <w:rsid w:val="008B4FE2"/>
    <w:rsid w:val="008B69F8"/>
    <w:rsid w:val="008B7D2F"/>
    <w:rsid w:val="008C01FB"/>
    <w:rsid w:val="008C0CE1"/>
    <w:rsid w:val="008C1C4C"/>
    <w:rsid w:val="008C582A"/>
    <w:rsid w:val="008C7C81"/>
    <w:rsid w:val="008D05DF"/>
    <w:rsid w:val="008D0B74"/>
    <w:rsid w:val="008D11B7"/>
    <w:rsid w:val="008D22C8"/>
    <w:rsid w:val="008D253D"/>
    <w:rsid w:val="008D2EFF"/>
    <w:rsid w:val="008D523C"/>
    <w:rsid w:val="008D5724"/>
    <w:rsid w:val="008D61FD"/>
    <w:rsid w:val="008D67DF"/>
    <w:rsid w:val="008D71CB"/>
    <w:rsid w:val="008E1065"/>
    <w:rsid w:val="008E1A57"/>
    <w:rsid w:val="008E2D1E"/>
    <w:rsid w:val="008E304D"/>
    <w:rsid w:val="008E3268"/>
    <w:rsid w:val="008E4851"/>
    <w:rsid w:val="008E5355"/>
    <w:rsid w:val="008E5F4F"/>
    <w:rsid w:val="008E615B"/>
    <w:rsid w:val="008E62D9"/>
    <w:rsid w:val="008E6340"/>
    <w:rsid w:val="008E67F6"/>
    <w:rsid w:val="008E78AD"/>
    <w:rsid w:val="008F0197"/>
    <w:rsid w:val="008F072B"/>
    <w:rsid w:val="008F0888"/>
    <w:rsid w:val="008F0901"/>
    <w:rsid w:val="008F1352"/>
    <w:rsid w:val="008F3B0D"/>
    <w:rsid w:val="008F3B7C"/>
    <w:rsid w:val="008F3E5F"/>
    <w:rsid w:val="008F5C41"/>
    <w:rsid w:val="008F5E4E"/>
    <w:rsid w:val="008F605D"/>
    <w:rsid w:val="008F66F8"/>
    <w:rsid w:val="008F7445"/>
    <w:rsid w:val="008F7DA7"/>
    <w:rsid w:val="0090119B"/>
    <w:rsid w:val="00902B00"/>
    <w:rsid w:val="00904323"/>
    <w:rsid w:val="00907349"/>
    <w:rsid w:val="009077AB"/>
    <w:rsid w:val="0091168D"/>
    <w:rsid w:val="00911C6C"/>
    <w:rsid w:val="00912AC9"/>
    <w:rsid w:val="00916127"/>
    <w:rsid w:val="00916838"/>
    <w:rsid w:val="00917392"/>
    <w:rsid w:val="00920580"/>
    <w:rsid w:val="009223FC"/>
    <w:rsid w:val="00923E3E"/>
    <w:rsid w:val="009251C8"/>
    <w:rsid w:val="009253E6"/>
    <w:rsid w:val="009265F0"/>
    <w:rsid w:val="00926A15"/>
    <w:rsid w:val="00926A82"/>
    <w:rsid w:val="00926DAC"/>
    <w:rsid w:val="009323E2"/>
    <w:rsid w:val="0093245E"/>
    <w:rsid w:val="00933FC2"/>
    <w:rsid w:val="0093493E"/>
    <w:rsid w:val="0093541F"/>
    <w:rsid w:val="00936E1A"/>
    <w:rsid w:val="009400F9"/>
    <w:rsid w:val="00940D13"/>
    <w:rsid w:val="009426F7"/>
    <w:rsid w:val="009468DB"/>
    <w:rsid w:val="00947598"/>
    <w:rsid w:val="009475AA"/>
    <w:rsid w:val="00947A71"/>
    <w:rsid w:val="00950E1A"/>
    <w:rsid w:val="00953FDE"/>
    <w:rsid w:val="00956856"/>
    <w:rsid w:val="00956FBC"/>
    <w:rsid w:val="00957E7B"/>
    <w:rsid w:val="00957EF5"/>
    <w:rsid w:val="00963D75"/>
    <w:rsid w:val="009647BD"/>
    <w:rsid w:val="00964B0E"/>
    <w:rsid w:val="009651AC"/>
    <w:rsid w:val="0096535B"/>
    <w:rsid w:val="009674D5"/>
    <w:rsid w:val="00970925"/>
    <w:rsid w:val="00970B99"/>
    <w:rsid w:val="00971EF6"/>
    <w:rsid w:val="009721DC"/>
    <w:rsid w:val="00973433"/>
    <w:rsid w:val="009747BA"/>
    <w:rsid w:val="009754F4"/>
    <w:rsid w:val="009801C2"/>
    <w:rsid w:val="0098154A"/>
    <w:rsid w:val="00982B4B"/>
    <w:rsid w:val="00984348"/>
    <w:rsid w:val="0098437B"/>
    <w:rsid w:val="0098456D"/>
    <w:rsid w:val="00984DCC"/>
    <w:rsid w:val="009851AA"/>
    <w:rsid w:val="00987BC2"/>
    <w:rsid w:val="0099025F"/>
    <w:rsid w:val="0099260C"/>
    <w:rsid w:val="0099274C"/>
    <w:rsid w:val="00992F18"/>
    <w:rsid w:val="0099332A"/>
    <w:rsid w:val="009933D9"/>
    <w:rsid w:val="009935F6"/>
    <w:rsid w:val="00995DE7"/>
    <w:rsid w:val="00996711"/>
    <w:rsid w:val="00997A17"/>
    <w:rsid w:val="009A03AA"/>
    <w:rsid w:val="009A0527"/>
    <w:rsid w:val="009A078F"/>
    <w:rsid w:val="009A0BC2"/>
    <w:rsid w:val="009A0F8A"/>
    <w:rsid w:val="009A3E64"/>
    <w:rsid w:val="009A494C"/>
    <w:rsid w:val="009A7706"/>
    <w:rsid w:val="009B0529"/>
    <w:rsid w:val="009B0A47"/>
    <w:rsid w:val="009B1671"/>
    <w:rsid w:val="009B2249"/>
    <w:rsid w:val="009B5E77"/>
    <w:rsid w:val="009B5FF2"/>
    <w:rsid w:val="009B622D"/>
    <w:rsid w:val="009C03DA"/>
    <w:rsid w:val="009C09B8"/>
    <w:rsid w:val="009C0C84"/>
    <w:rsid w:val="009C26B3"/>
    <w:rsid w:val="009C277D"/>
    <w:rsid w:val="009C2870"/>
    <w:rsid w:val="009C3B90"/>
    <w:rsid w:val="009C4AC1"/>
    <w:rsid w:val="009C572B"/>
    <w:rsid w:val="009C62CF"/>
    <w:rsid w:val="009C69E6"/>
    <w:rsid w:val="009D0131"/>
    <w:rsid w:val="009D1AF6"/>
    <w:rsid w:val="009D2268"/>
    <w:rsid w:val="009D22B2"/>
    <w:rsid w:val="009D2770"/>
    <w:rsid w:val="009D2C1F"/>
    <w:rsid w:val="009D3CAB"/>
    <w:rsid w:val="009D3EC0"/>
    <w:rsid w:val="009D451A"/>
    <w:rsid w:val="009D75DB"/>
    <w:rsid w:val="009D7EA8"/>
    <w:rsid w:val="009E4DFD"/>
    <w:rsid w:val="009E5302"/>
    <w:rsid w:val="009E5431"/>
    <w:rsid w:val="009E5861"/>
    <w:rsid w:val="009E6AEA"/>
    <w:rsid w:val="009E7AC2"/>
    <w:rsid w:val="009F0B5C"/>
    <w:rsid w:val="009F2503"/>
    <w:rsid w:val="009F2BA9"/>
    <w:rsid w:val="009F3200"/>
    <w:rsid w:val="009F42FA"/>
    <w:rsid w:val="009F43C4"/>
    <w:rsid w:val="009F58CD"/>
    <w:rsid w:val="009F5B98"/>
    <w:rsid w:val="009F72E1"/>
    <w:rsid w:val="009F73E0"/>
    <w:rsid w:val="00A000D2"/>
    <w:rsid w:val="00A0032F"/>
    <w:rsid w:val="00A00494"/>
    <w:rsid w:val="00A0129D"/>
    <w:rsid w:val="00A0202C"/>
    <w:rsid w:val="00A032B1"/>
    <w:rsid w:val="00A03328"/>
    <w:rsid w:val="00A042A2"/>
    <w:rsid w:val="00A0515D"/>
    <w:rsid w:val="00A05429"/>
    <w:rsid w:val="00A05DC7"/>
    <w:rsid w:val="00A11978"/>
    <w:rsid w:val="00A1285F"/>
    <w:rsid w:val="00A135B4"/>
    <w:rsid w:val="00A13D92"/>
    <w:rsid w:val="00A140F4"/>
    <w:rsid w:val="00A141EF"/>
    <w:rsid w:val="00A20245"/>
    <w:rsid w:val="00A203B2"/>
    <w:rsid w:val="00A2079F"/>
    <w:rsid w:val="00A21274"/>
    <w:rsid w:val="00A21709"/>
    <w:rsid w:val="00A2568C"/>
    <w:rsid w:val="00A30CF2"/>
    <w:rsid w:val="00A30DC3"/>
    <w:rsid w:val="00A31CEC"/>
    <w:rsid w:val="00A34F16"/>
    <w:rsid w:val="00A36702"/>
    <w:rsid w:val="00A40457"/>
    <w:rsid w:val="00A409A6"/>
    <w:rsid w:val="00A4101C"/>
    <w:rsid w:val="00A41060"/>
    <w:rsid w:val="00A4369E"/>
    <w:rsid w:val="00A4390F"/>
    <w:rsid w:val="00A43CF7"/>
    <w:rsid w:val="00A4455C"/>
    <w:rsid w:val="00A44CB4"/>
    <w:rsid w:val="00A468FE"/>
    <w:rsid w:val="00A4737E"/>
    <w:rsid w:val="00A47BBF"/>
    <w:rsid w:val="00A519F1"/>
    <w:rsid w:val="00A526D9"/>
    <w:rsid w:val="00A55930"/>
    <w:rsid w:val="00A55DCA"/>
    <w:rsid w:val="00A61C94"/>
    <w:rsid w:val="00A61FBC"/>
    <w:rsid w:val="00A62EEB"/>
    <w:rsid w:val="00A640BB"/>
    <w:rsid w:val="00A6453A"/>
    <w:rsid w:val="00A66CEC"/>
    <w:rsid w:val="00A66E89"/>
    <w:rsid w:val="00A674A6"/>
    <w:rsid w:val="00A67E03"/>
    <w:rsid w:val="00A71534"/>
    <w:rsid w:val="00A71C82"/>
    <w:rsid w:val="00A72F53"/>
    <w:rsid w:val="00A73BBB"/>
    <w:rsid w:val="00A74A04"/>
    <w:rsid w:val="00A75580"/>
    <w:rsid w:val="00A75F1D"/>
    <w:rsid w:val="00A7667F"/>
    <w:rsid w:val="00A81E0D"/>
    <w:rsid w:val="00A8292C"/>
    <w:rsid w:val="00A8407E"/>
    <w:rsid w:val="00A85732"/>
    <w:rsid w:val="00A857EA"/>
    <w:rsid w:val="00A85F0B"/>
    <w:rsid w:val="00A8653F"/>
    <w:rsid w:val="00A869F0"/>
    <w:rsid w:val="00A86D51"/>
    <w:rsid w:val="00A8723B"/>
    <w:rsid w:val="00A877B4"/>
    <w:rsid w:val="00A9036B"/>
    <w:rsid w:val="00A909C6"/>
    <w:rsid w:val="00A90CE1"/>
    <w:rsid w:val="00A91979"/>
    <w:rsid w:val="00A919B5"/>
    <w:rsid w:val="00A91AD5"/>
    <w:rsid w:val="00A92C4E"/>
    <w:rsid w:val="00A9435C"/>
    <w:rsid w:val="00A94A4C"/>
    <w:rsid w:val="00A97FC1"/>
    <w:rsid w:val="00AA056B"/>
    <w:rsid w:val="00AA1D76"/>
    <w:rsid w:val="00AA2264"/>
    <w:rsid w:val="00AA2579"/>
    <w:rsid w:val="00AA4602"/>
    <w:rsid w:val="00AA4BDF"/>
    <w:rsid w:val="00AA4E55"/>
    <w:rsid w:val="00AA59D0"/>
    <w:rsid w:val="00AB3865"/>
    <w:rsid w:val="00AB43F9"/>
    <w:rsid w:val="00AB48F2"/>
    <w:rsid w:val="00AB4920"/>
    <w:rsid w:val="00AB4F41"/>
    <w:rsid w:val="00AB5600"/>
    <w:rsid w:val="00AC09A6"/>
    <w:rsid w:val="00AC0EC9"/>
    <w:rsid w:val="00AC1BA8"/>
    <w:rsid w:val="00AC32A1"/>
    <w:rsid w:val="00AC3461"/>
    <w:rsid w:val="00AC4D16"/>
    <w:rsid w:val="00AC4E3B"/>
    <w:rsid w:val="00AC7092"/>
    <w:rsid w:val="00AC7E21"/>
    <w:rsid w:val="00AD6B67"/>
    <w:rsid w:val="00AD7248"/>
    <w:rsid w:val="00AD76A6"/>
    <w:rsid w:val="00AE00BA"/>
    <w:rsid w:val="00AE0AA4"/>
    <w:rsid w:val="00AE14A4"/>
    <w:rsid w:val="00AE1E6C"/>
    <w:rsid w:val="00AE24E7"/>
    <w:rsid w:val="00AE29B5"/>
    <w:rsid w:val="00AE3081"/>
    <w:rsid w:val="00AE360A"/>
    <w:rsid w:val="00AE3CC5"/>
    <w:rsid w:val="00AE68C1"/>
    <w:rsid w:val="00AE7AA6"/>
    <w:rsid w:val="00AF177D"/>
    <w:rsid w:val="00AF1785"/>
    <w:rsid w:val="00AF18C5"/>
    <w:rsid w:val="00AF439B"/>
    <w:rsid w:val="00AF49E7"/>
    <w:rsid w:val="00AF5F83"/>
    <w:rsid w:val="00AF6109"/>
    <w:rsid w:val="00AF67AC"/>
    <w:rsid w:val="00B0042E"/>
    <w:rsid w:val="00B0058C"/>
    <w:rsid w:val="00B0176E"/>
    <w:rsid w:val="00B017F8"/>
    <w:rsid w:val="00B02855"/>
    <w:rsid w:val="00B0359B"/>
    <w:rsid w:val="00B0395A"/>
    <w:rsid w:val="00B03C7C"/>
    <w:rsid w:val="00B04060"/>
    <w:rsid w:val="00B05374"/>
    <w:rsid w:val="00B076B6"/>
    <w:rsid w:val="00B07B7D"/>
    <w:rsid w:val="00B10537"/>
    <w:rsid w:val="00B10C03"/>
    <w:rsid w:val="00B126F0"/>
    <w:rsid w:val="00B127A6"/>
    <w:rsid w:val="00B14BA8"/>
    <w:rsid w:val="00B14E17"/>
    <w:rsid w:val="00B17648"/>
    <w:rsid w:val="00B21040"/>
    <w:rsid w:val="00B2115C"/>
    <w:rsid w:val="00B21B14"/>
    <w:rsid w:val="00B223BA"/>
    <w:rsid w:val="00B22A8E"/>
    <w:rsid w:val="00B23480"/>
    <w:rsid w:val="00B2462D"/>
    <w:rsid w:val="00B247EC"/>
    <w:rsid w:val="00B249F8"/>
    <w:rsid w:val="00B260AC"/>
    <w:rsid w:val="00B26DB4"/>
    <w:rsid w:val="00B272DD"/>
    <w:rsid w:val="00B33ACA"/>
    <w:rsid w:val="00B33D38"/>
    <w:rsid w:val="00B33DA8"/>
    <w:rsid w:val="00B34F30"/>
    <w:rsid w:val="00B35151"/>
    <w:rsid w:val="00B35347"/>
    <w:rsid w:val="00B355AB"/>
    <w:rsid w:val="00B35AD4"/>
    <w:rsid w:val="00B35DC1"/>
    <w:rsid w:val="00B36036"/>
    <w:rsid w:val="00B36A11"/>
    <w:rsid w:val="00B379E6"/>
    <w:rsid w:val="00B406F8"/>
    <w:rsid w:val="00B40B26"/>
    <w:rsid w:val="00B41251"/>
    <w:rsid w:val="00B43200"/>
    <w:rsid w:val="00B435D8"/>
    <w:rsid w:val="00B4455C"/>
    <w:rsid w:val="00B44A1A"/>
    <w:rsid w:val="00B45448"/>
    <w:rsid w:val="00B45535"/>
    <w:rsid w:val="00B468F8"/>
    <w:rsid w:val="00B4788A"/>
    <w:rsid w:val="00B500ED"/>
    <w:rsid w:val="00B506C7"/>
    <w:rsid w:val="00B50825"/>
    <w:rsid w:val="00B51958"/>
    <w:rsid w:val="00B51E3A"/>
    <w:rsid w:val="00B53941"/>
    <w:rsid w:val="00B53A14"/>
    <w:rsid w:val="00B5403B"/>
    <w:rsid w:val="00B56D1F"/>
    <w:rsid w:val="00B62F9B"/>
    <w:rsid w:val="00B6343E"/>
    <w:rsid w:val="00B647AD"/>
    <w:rsid w:val="00B673BE"/>
    <w:rsid w:val="00B7154A"/>
    <w:rsid w:val="00B71A71"/>
    <w:rsid w:val="00B72B70"/>
    <w:rsid w:val="00B72D72"/>
    <w:rsid w:val="00B752EB"/>
    <w:rsid w:val="00B80250"/>
    <w:rsid w:val="00B80D8F"/>
    <w:rsid w:val="00B81036"/>
    <w:rsid w:val="00B8217D"/>
    <w:rsid w:val="00B827C2"/>
    <w:rsid w:val="00B832BA"/>
    <w:rsid w:val="00B857AF"/>
    <w:rsid w:val="00B867CC"/>
    <w:rsid w:val="00B902B3"/>
    <w:rsid w:val="00B91BB2"/>
    <w:rsid w:val="00B92604"/>
    <w:rsid w:val="00B938B2"/>
    <w:rsid w:val="00B951EC"/>
    <w:rsid w:val="00B966D5"/>
    <w:rsid w:val="00B97F53"/>
    <w:rsid w:val="00BA033F"/>
    <w:rsid w:val="00BA0D62"/>
    <w:rsid w:val="00BA1065"/>
    <w:rsid w:val="00BA12E0"/>
    <w:rsid w:val="00BA1686"/>
    <w:rsid w:val="00BA2A38"/>
    <w:rsid w:val="00BA4C87"/>
    <w:rsid w:val="00BA4E36"/>
    <w:rsid w:val="00BA4F09"/>
    <w:rsid w:val="00BA5D58"/>
    <w:rsid w:val="00BA78C8"/>
    <w:rsid w:val="00BB1646"/>
    <w:rsid w:val="00BB3451"/>
    <w:rsid w:val="00BB44ED"/>
    <w:rsid w:val="00BB608B"/>
    <w:rsid w:val="00BB72FB"/>
    <w:rsid w:val="00BB79FC"/>
    <w:rsid w:val="00BC01E8"/>
    <w:rsid w:val="00BC1A46"/>
    <w:rsid w:val="00BC258F"/>
    <w:rsid w:val="00BC31D1"/>
    <w:rsid w:val="00BC41B0"/>
    <w:rsid w:val="00BC465B"/>
    <w:rsid w:val="00BC4CF9"/>
    <w:rsid w:val="00BC6242"/>
    <w:rsid w:val="00BD1202"/>
    <w:rsid w:val="00BD3B00"/>
    <w:rsid w:val="00BE0085"/>
    <w:rsid w:val="00BE016B"/>
    <w:rsid w:val="00BE05F8"/>
    <w:rsid w:val="00BE0F65"/>
    <w:rsid w:val="00BE4085"/>
    <w:rsid w:val="00BE4DD0"/>
    <w:rsid w:val="00BE60D4"/>
    <w:rsid w:val="00BE6A28"/>
    <w:rsid w:val="00BE6A3C"/>
    <w:rsid w:val="00BF0CFB"/>
    <w:rsid w:val="00BF0FFB"/>
    <w:rsid w:val="00BF13AA"/>
    <w:rsid w:val="00BF1742"/>
    <w:rsid w:val="00BF17C0"/>
    <w:rsid w:val="00BF1A39"/>
    <w:rsid w:val="00BF277B"/>
    <w:rsid w:val="00BF49AA"/>
    <w:rsid w:val="00BF4AB5"/>
    <w:rsid w:val="00BF6374"/>
    <w:rsid w:val="00BF6819"/>
    <w:rsid w:val="00BF7699"/>
    <w:rsid w:val="00BF7BA2"/>
    <w:rsid w:val="00C00679"/>
    <w:rsid w:val="00C02C67"/>
    <w:rsid w:val="00C04A67"/>
    <w:rsid w:val="00C0578E"/>
    <w:rsid w:val="00C05D07"/>
    <w:rsid w:val="00C06A02"/>
    <w:rsid w:val="00C07423"/>
    <w:rsid w:val="00C1090E"/>
    <w:rsid w:val="00C11620"/>
    <w:rsid w:val="00C11C07"/>
    <w:rsid w:val="00C126F0"/>
    <w:rsid w:val="00C129F8"/>
    <w:rsid w:val="00C135BC"/>
    <w:rsid w:val="00C14BFB"/>
    <w:rsid w:val="00C151AF"/>
    <w:rsid w:val="00C151F2"/>
    <w:rsid w:val="00C15941"/>
    <w:rsid w:val="00C16052"/>
    <w:rsid w:val="00C17206"/>
    <w:rsid w:val="00C17318"/>
    <w:rsid w:val="00C2008B"/>
    <w:rsid w:val="00C23352"/>
    <w:rsid w:val="00C24776"/>
    <w:rsid w:val="00C248D4"/>
    <w:rsid w:val="00C24F89"/>
    <w:rsid w:val="00C25A25"/>
    <w:rsid w:val="00C25C76"/>
    <w:rsid w:val="00C262DE"/>
    <w:rsid w:val="00C2650B"/>
    <w:rsid w:val="00C26548"/>
    <w:rsid w:val="00C265F1"/>
    <w:rsid w:val="00C265FB"/>
    <w:rsid w:val="00C27F7A"/>
    <w:rsid w:val="00C3016D"/>
    <w:rsid w:val="00C33441"/>
    <w:rsid w:val="00C339E6"/>
    <w:rsid w:val="00C3592D"/>
    <w:rsid w:val="00C364DD"/>
    <w:rsid w:val="00C40A6B"/>
    <w:rsid w:val="00C410B1"/>
    <w:rsid w:val="00C41369"/>
    <w:rsid w:val="00C42461"/>
    <w:rsid w:val="00C440BE"/>
    <w:rsid w:val="00C476E2"/>
    <w:rsid w:val="00C47DA9"/>
    <w:rsid w:val="00C47EE1"/>
    <w:rsid w:val="00C500B6"/>
    <w:rsid w:val="00C504FA"/>
    <w:rsid w:val="00C50B0A"/>
    <w:rsid w:val="00C51289"/>
    <w:rsid w:val="00C55FD9"/>
    <w:rsid w:val="00C5711C"/>
    <w:rsid w:val="00C5715A"/>
    <w:rsid w:val="00C613E7"/>
    <w:rsid w:val="00C6390D"/>
    <w:rsid w:val="00C644E9"/>
    <w:rsid w:val="00C64EB3"/>
    <w:rsid w:val="00C65098"/>
    <w:rsid w:val="00C66E24"/>
    <w:rsid w:val="00C701D9"/>
    <w:rsid w:val="00C70FA3"/>
    <w:rsid w:val="00C728FB"/>
    <w:rsid w:val="00C73B44"/>
    <w:rsid w:val="00C74A2F"/>
    <w:rsid w:val="00C74CB8"/>
    <w:rsid w:val="00C7530A"/>
    <w:rsid w:val="00C75B2B"/>
    <w:rsid w:val="00C76E85"/>
    <w:rsid w:val="00C77645"/>
    <w:rsid w:val="00C77E15"/>
    <w:rsid w:val="00C80450"/>
    <w:rsid w:val="00C8205E"/>
    <w:rsid w:val="00C82106"/>
    <w:rsid w:val="00C82814"/>
    <w:rsid w:val="00C82CDF"/>
    <w:rsid w:val="00C8446C"/>
    <w:rsid w:val="00C85D8D"/>
    <w:rsid w:val="00C87A58"/>
    <w:rsid w:val="00C91B8E"/>
    <w:rsid w:val="00C91C39"/>
    <w:rsid w:val="00C96BBB"/>
    <w:rsid w:val="00C96EB4"/>
    <w:rsid w:val="00CA02DC"/>
    <w:rsid w:val="00CA287A"/>
    <w:rsid w:val="00CA2A3D"/>
    <w:rsid w:val="00CA30D5"/>
    <w:rsid w:val="00CA5ED8"/>
    <w:rsid w:val="00CA5EDC"/>
    <w:rsid w:val="00CA62F2"/>
    <w:rsid w:val="00CA7914"/>
    <w:rsid w:val="00CB0000"/>
    <w:rsid w:val="00CB00A7"/>
    <w:rsid w:val="00CB085D"/>
    <w:rsid w:val="00CB0918"/>
    <w:rsid w:val="00CB0A88"/>
    <w:rsid w:val="00CB23FB"/>
    <w:rsid w:val="00CB28BE"/>
    <w:rsid w:val="00CB3284"/>
    <w:rsid w:val="00CB7782"/>
    <w:rsid w:val="00CB791F"/>
    <w:rsid w:val="00CC01FD"/>
    <w:rsid w:val="00CC0265"/>
    <w:rsid w:val="00CC137D"/>
    <w:rsid w:val="00CC14DD"/>
    <w:rsid w:val="00CC495E"/>
    <w:rsid w:val="00CC50A1"/>
    <w:rsid w:val="00CC5109"/>
    <w:rsid w:val="00CC51A7"/>
    <w:rsid w:val="00CC5A5D"/>
    <w:rsid w:val="00CC5FBD"/>
    <w:rsid w:val="00CC6504"/>
    <w:rsid w:val="00CC6D18"/>
    <w:rsid w:val="00CC7446"/>
    <w:rsid w:val="00CC7FE5"/>
    <w:rsid w:val="00CD090D"/>
    <w:rsid w:val="00CD1FAD"/>
    <w:rsid w:val="00CD4549"/>
    <w:rsid w:val="00CD54B0"/>
    <w:rsid w:val="00CD7153"/>
    <w:rsid w:val="00CD7744"/>
    <w:rsid w:val="00CE0A27"/>
    <w:rsid w:val="00CE23C5"/>
    <w:rsid w:val="00CE41DA"/>
    <w:rsid w:val="00CE51AD"/>
    <w:rsid w:val="00CE5296"/>
    <w:rsid w:val="00CE6DD4"/>
    <w:rsid w:val="00CE7362"/>
    <w:rsid w:val="00CE74C8"/>
    <w:rsid w:val="00CE77AD"/>
    <w:rsid w:val="00CE7A88"/>
    <w:rsid w:val="00CE7CB0"/>
    <w:rsid w:val="00CF0DDA"/>
    <w:rsid w:val="00CF5CC8"/>
    <w:rsid w:val="00CF61D3"/>
    <w:rsid w:val="00CF7F2B"/>
    <w:rsid w:val="00D0117B"/>
    <w:rsid w:val="00D021F2"/>
    <w:rsid w:val="00D03DDA"/>
    <w:rsid w:val="00D04B53"/>
    <w:rsid w:val="00D07696"/>
    <w:rsid w:val="00D11694"/>
    <w:rsid w:val="00D1325A"/>
    <w:rsid w:val="00D14476"/>
    <w:rsid w:val="00D1485D"/>
    <w:rsid w:val="00D163B8"/>
    <w:rsid w:val="00D20958"/>
    <w:rsid w:val="00D233B7"/>
    <w:rsid w:val="00D2440E"/>
    <w:rsid w:val="00D251A2"/>
    <w:rsid w:val="00D25B40"/>
    <w:rsid w:val="00D306CE"/>
    <w:rsid w:val="00D31144"/>
    <w:rsid w:val="00D31881"/>
    <w:rsid w:val="00D31AD9"/>
    <w:rsid w:val="00D323BA"/>
    <w:rsid w:val="00D33207"/>
    <w:rsid w:val="00D33739"/>
    <w:rsid w:val="00D339FF"/>
    <w:rsid w:val="00D34629"/>
    <w:rsid w:val="00D34FCA"/>
    <w:rsid w:val="00D37ABC"/>
    <w:rsid w:val="00D40CF8"/>
    <w:rsid w:val="00D41F32"/>
    <w:rsid w:val="00D45E12"/>
    <w:rsid w:val="00D46485"/>
    <w:rsid w:val="00D46A31"/>
    <w:rsid w:val="00D500C1"/>
    <w:rsid w:val="00D50236"/>
    <w:rsid w:val="00D50B0D"/>
    <w:rsid w:val="00D53935"/>
    <w:rsid w:val="00D54FC1"/>
    <w:rsid w:val="00D55B80"/>
    <w:rsid w:val="00D562F6"/>
    <w:rsid w:val="00D5674F"/>
    <w:rsid w:val="00D5701A"/>
    <w:rsid w:val="00D60253"/>
    <w:rsid w:val="00D61BD0"/>
    <w:rsid w:val="00D62334"/>
    <w:rsid w:val="00D62875"/>
    <w:rsid w:val="00D62BC6"/>
    <w:rsid w:val="00D6315E"/>
    <w:rsid w:val="00D632BF"/>
    <w:rsid w:val="00D635BC"/>
    <w:rsid w:val="00D6416D"/>
    <w:rsid w:val="00D6486B"/>
    <w:rsid w:val="00D66747"/>
    <w:rsid w:val="00D6714A"/>
    <w:rsid w:val="00D7251F"/>
    <w:rsid w:val="00D72EF9"/>
    <w:rsid w:val="00D73562"/>
    <w:rsid w:val="00D75268"/>
    <w:rsid w:val="00D75631"/>
    <w:rsid w:val="00D7637D"/>
    <w:rsid w:val="00D76974"/>
    <w:rsid w:val="00D8008F"/>
    <w:rsid w:val="00D807A4"/>
    <w:rsid w:val="00D81323"/>
    <w:rsid w:val="00D814EC"/>
    <w:rsid w:val="00D81EB7"/>
    <w:rsid w:val="00D82076"/>
    <w:rsid w:val="00D835D5"/>
    <w:rsid w:val="00D8453B"/>
    <w:rsid w:val="00D85A15"/>
    <w:rsid w:val="00D85A99"/>
    <w:rsid w:val="00D85EFE"/>
    <w:rsid w:val="00D86648"/>
    <w:rsid w:val="00D87A8C"/>
    <w:rsid w:val="00D906EC"/>
    <w:rsid w:val="00D908CF"/>
    <w:rsid w:val="00D90980"/>
    <w:rsid w:val="00D92B46"/>
    <w:rsid w:val="00D93E48"/>
    <w:rsid w:val="00D94466"/>
    <w:rsid w:val="00D96A02"/>
    <w:rsid w:val="00D96CEF"/>
    <w:rsid w:val="00D970BE"/>
    <w:rsid w:val="00DA14FC"/>
    <w:rsid w:val="00DA1B29"/>
    <w:rsid w:val="00DA4E2A"/>
    <w:rsid w:val="00DA586C"/>
    <w:rsid w:val="00DA6A2A"/>
    <w:rsid w:val="00DA6F3A"/>
    <w:rsid w:val="00DA7F23"/>
    <w:rsid w:val="00DB064D"/>
    <w:rsid w:val="00DB08D8"/>
    <w:rsid w:val="00DB09F9"/>
    <w:rsid w:val="00DB1A15"/>
    <w:rsid w:val="00DB3278"/>
    <w:rsid w:val="00DB3705"/>
    <w:rsid w:val="00DB43DD"/>
    <w:rsid w:val="00DB56F7"/>
    <w:rsid w:val="00DB7BAB"/>
    <w:rsid w:val="00DC04D6"/>
    <w:rsid w:val="00DC1419"/>
    <w:rsid w:val="00DC298C"/>
    <w:rsid w:val="00DC2A12"/>
    <w:rsid w:val="00DC36D9"/>
    <w:rsid w:val="00DD14F9"/>
    <w:rsid w:val="00DD3DDE"/>
    <w:rsid w:val="00DD5DA5"/>
    <w:rsid w:val="00DD5EDA"/>
    <w:rsid w:val="00DE0615"/>
    <w:rsid w:val="00DE12EA"/>
    <w:rsid w:val="00DE1C85"/>
    <w:rsid w:val="00DE33C0"/>
    <w:rsid w:val="00DE39CF"/>
    <w:rsid w:val="00DE4DED"/>
    <w:rsid w:val="00DE6058"/>
    <w:rsid w:val="00DE66DC"/>
    <w:rsid w:val="00DE78A0"/>
    <w:rsid w:val="00DE78B7"/>
    <w:rsid w:val="00DF02D5"/>
    <w:rsid w:val="00DF10FE"/>
    <w:rsid w:val="00DF1741"/>
    <w:rsid w:val="00DF1902"/>
    <w:rsid w:val="00DF4664"/>
    <w:rsid w:val="00DF6D33"/>
    <w:rsid w:val="00E00469"/>
    <w:rsid w:val="00E028AD"/>
    <w:rsid w:val="00E03025"/>
    <w:rsid w:val="00E030BF"/>
    <w:rsid w:val="00E046D7"/>
    <w:rsid w:val="00E04D21"/>
    <w:rsid w:val="00E04E26"/>
    <w:rsid w:val="00E06371"/>
    <w:rsid w:val="00E11C76"/>
    <w:rsid w:val="00E1289A"/>
    <w:rsid w:val="00E13883"/>
    <w:rsid w:val="00E1479C"/>
    <w:rsid w:val="00E15550"/>
    <w:rsid w:val="00E15A83"/>
    <w:rsid w:val="00E179DE"/>
    <w:rsid w:val="00E204C0"/>
    <w:rsid w:val="00E210F8"/>
    <w:rsid w:val="00E21DE3"/>
    <w:rsid w:val="00E25AB9"/>
    <w:rsid w:val="00E25BDD"/>
    <w:rsid w:val="00E26AD5"/>
    <w:rsid w:val="00E26EEA"/>
    <w:rsid w:val="00E270B5"/>
    <w:rsid w:val="00E310A2"/>
    <w:rsid w:val="00E31F38"/>
    <w:rsid w:val="00E32E4A"/>
    <w:rsid w:val="00E347BA"/>
    <w:rsid w:val="00E366DA"/>
    <w:rsid w:val="00E3700C"/>
    <w:rsid w:val="00E378C4"/>
    <w:rsid w:val="00E43B3C"/>
    <w:rsid w:val="00E450BB"/>
    <w:rsid w:val="00E4635F"/>
    <w:rsid w:val="00E50BB1"/>
    <w:rsid w:val="00E50F06"/>
    <w:rsid w:val="00E52A4E"/>
    <w:rsid w:val="00E5405F"/>
    <w:rsid w:val="00E54A22"/>
    <w:rsid w:val="00E60545"/>
    <w:rsid w:val="00E63438"/>
    <w:rsid w:val="00E64B34"/>
    <w:rsid w:val="00E64D50"/>
    <w:rsid w:val="00E6507D"/>
    <w:rsid w:val="00E65430"/>
    <w:rsid w:val="00E65980"/>
    <w:rsid w:val="00E65E10"/>
    <w:rsid w:val="00E66EE2"/>
    <w:rsid w:val="00E67A12"/>
    <w:rsid w:val="00E67EBE"/>
    <w:rsid w:val="00E70DAF"/>
    <w:rsid w:val="00E71A50"/>
    <w:rsid w:val="00E72BB2"/>
    <w:rsid w:val="00E741BB"/>
    <w:rsid w:val="00E74BD5"/>
    <w:rsid w:val="00E759EC"/>
    <w:rsid w:val="00E761D6"/>
    <w:rsid w:val="00E772EB"/>
    <w:rsid w:val="00E77E04"/>
    <w:rsid w:val="00E802E5"/>
    <w:rsid w:val="00E8083B"/>
    <w:rsid w:val="00E80E32"/>
    <w:rsid w:val="00E814F2"/>
    <w:rsid w:val="00E81EF2"/>
    <w:rsid w:val="00E82031"/>
    <w:rsid w:val="00E8214A"/>
    <w:rsid w:val="00E82475"/>
    <w:rsid w:val="00E829D5"/>
    <w:rsid w:val="00E83929"/>
    <w:rsid w:val="00E8417C"/>
    <w:rsid w:val="00E8566F"/>
    <w:rsid w:val="00E85D65"/>
    <w:rsid w:val="00E873DD"/>
    <w:rsid w:val="00E877B6"/>
    <w:rsid w:val="00E921D9"/>
    <w:rsid w:val="00E94E4E"/>
    <w:rsid w:val="00E95763"/>
    <w:rsid w:val="00EA41BF"/>
    <w:rsid w:val="00EA45F3"/>
    <w:rsid w:val="00EA48DB"/>
    <w:rsid w:val="00EA69B3"/>
    <w:rsid w:val="00EB01E0"/>
    <w:rsid w:val="00EB12B5"/>
    <w:rsid w:val="00EB22DF"/>
    <w:rsid w:val="00EB2366"/>
    <w:rsid w:val="00EB2B6B"/>
    <w:rsid w:val="00EB323A"/>
    <w:rsid w:val="00EB42FB"/>
    <w:rsid w:val="00EB47FE"/>
    <w:rsid w:val="00EB580A"/>
    <w:rsid w:val="00EB6361"/>
    <w:rsid w:val="00EC0B53"/>
    <w:rsid w:val="00EC1E92"/>
    <w:rsid w:val="00EC23B4"/>
    <w:rsid w:val="00EC24A3"/>
    <w:rsid w:val="00EC3B12"/>
    <w:rsid w:val="00EC4256"/>
    <w:rsid w:val="00EC4B46"/>
    <w:rsid w:val="00EC59B0"/>
    <w:rsid w:val="00EC5B1F"/>
    <w:rsid w:val="00EC5C54"/>
    <w:rsid w:val="00EC7133"/>
    <w:rsid w:val="00EC7783"/>
    <w:rsid w:val="00EC7B93"/>
    <w:rsid w:val="00ED3D1F"/>
    <w:rsid w:val="00ED4ACB"/>
    <w:rsid w:val="00ED518B"/>
    <w:rsid w:val="00ED608E"/>
    <w:rsid w:val="00ED6F7E"/>
    <w:rsid w:val="00EE07CE"/>
    <w:rsid w:val="00EE0ECC"/>
    <w:rsid w:val="00EE13CB"/>
    <w:rsid w:val="00EE1D94"/>
    <w:rsid w:val="00EE1FF8"/>
    <w:rsid w:val="00EE2481"/>
    <w:rsid w:val="00EE2756"/>
    <w:rsid w:val="00EE2999"/>
    <w:rsid w:val="00EE315F"/>
    <w:rsid w:val="00EE3C3C"/>
    <w:rsid w:val="00EE52DB"/>
    <w:rsid w:val="00EE58D1"/>
    <w:rsid w:val="00EE5A8E"/>
    <w:rsid w:val="00EE6C6A"/>
    <w:rsid w:val="00EE7658"/>
    <w:rsid w:val="00EE7B61"/>
    <w:rsid w:val="00EF0AA4"/>
    <w:rsid w:val="00EF2CFA"/>
    <w:rsid w:val="00EF3D8D"/>
    <w:rsid w:val="00EF4975"/>
    <w:rsid w:val="00EF656B"/>
    <w:rsid w:val="00EF6C68"/>
    <w:rsid w:val="00F00809"/>
    <w:rsid w:val="00F00AC6"/>
    <w:rsid w:val="00F02834"/>
    <w:rsid w:val="00F037CC"/>
    <w:rsid w:val="00F04568"/>
    <w:rsid w:val="00F0643E"/>
    <w:rsid w:val="00F076C2"/>
    <w:rsid w:val="00F10AA4"/>
    <w:rsid w:val="00F1131B"/>
    <w:rsid w:val="00F12A02"/>
    <w:rsid w:val="00F13174"/>
    <w:rsid w:val="00F13978"/>
    <w:rsid w:val="00F13AC0"/>
    <w:rsid w:val="00F145A7"/>
    <w:rsid w:val="00F15695"/>
    <w:rsid w:val="00F157AF"/>
    <w:rsid w:val="00F16FE3"/>
    <w:rsid w:val="00F1772D"/>
    <w:rsid w:val="00F179C2"/>
    <w:rsid w:val="00F20486"/>
    <w:rsid w:val="00F20C57"/>
    <w:rsid w:val="00F22F27"/>
    <w:rsid w:val="00F24065"/>
    <w:rsid w:val="00F24770"/>
    <w:rsid w:val="00F24E4D"/>
    <w:rsid w:val="00F260BA"/>
    <w:rsid w:val="00F26583"/>
    <w:rsid w:val="00F269F6"/>
    <w:rsid w:val="00F26BD5"/>
    <w:rsid w:val="00F32056"/>
    <w:rsid w:val="00F322E5"/>
    <w:rsid w:val="00F330F7"/>
    <w:rsid w:val="00F345D1"/>
    <w:rsid w:val="00F356B7"/>
    <w:rsid w:val="00F37218"/>
    <w:rsid w:val="00F37BC6"/>
    <w:rsid w:val="00F416A9"/>
    <w:rsid w:val="00F428C2"/>
    <w:rsid w:val="00F42CEC"/>
    <w:rsid w:val="00F43B39"/>
    <w:rsid w:val="00F4457B"/>
    <w:rsid w:val="00F4548F"/>
    <w:rsid w:val="00F46F4E"/>
    <w:rsid w:val="00F505CD"/>
    <w:rsid w:val="00F51EB2"/>
    <w:rsid w:val="00F53135"/>
    <w:rsid w:val="00F53648"/>
    <w:rsid w:val="00F548DE"/>
    <w:rsid w:val="00F561B7"/>
    <w:rsid w:val="00F568A4"/>
    <w:rsid w:val="00F56E87"/>
    <w:rsid w:val="00F57139"/>
    <w:rsid w:val="00F57E12"/>
    <w:rsid w:val="00F62F35"/>
    <w:rsid w:val="00F641F0"/>
    <w:rsid w:val="00F645C3"/>
    <w:rsid w:val="00F64900"/>
    <w:rsid w:val="00F66AD5"/>
    <w:rsid w:val="00F673F1"/>
    <w:rsid w:val="00F700BE"/>
    <w:rsid w:val="00F70AC8"/>
    <w:rsid w:val="00F710A3"/>
    <w:rsid w:val="00F71D96"/>
    <w:rsid w:val="00F729C5"/>
    <w:rsid w:val="00F76B1B"/>
    <w:rsid w:val="00F77834"/>
    <w:rsid w:val="00F77BD6"/>
    <w:rsid w:val="00F77E21"/>
    <w:rsid w:val="00F8180C"/>
    <w:rsid w:val="00F83378"/>
    <w:rsid w:val="00F84A58"/>
    <w:rsid w:val="00F84C6F"/>
    <w:rsid w:val="00F856D8"/>
    <w:rsid w:val="00F8595B"/>
    <w:rsid w:val="00F863A5"/>
    <w:rsid w:val="00F8723F"/>
    <w:rsid w:val="00F87693"/>
    <w:rsid w:val="00F90D5C"/>
    <w:rsid w:val="00F92A25"/>
    <w:rsid w:val="00F9362E"/>
    <w:rsid w:val="00F951A2"/>
    <w:rsid w:val="00F9627A"/>
    <w:rsid w:val="00F96F56"/>
    <w:rsid w:val="00F97711"/>
    <w:rsid w:val="00F9789E"/>
    <w:rsid w:val="00FA0720"/>
    <w:rsid w:val="00FA0D0E"/>
    <w:rsid w:val="00FA1DD4"/>
    <w:rsid w:val="00FA217C"/>
    <w:rsid w:val="00FA3A55"/>
    <w:rsid w:val="00FA3AB0"/>
    <w:rsid w:val="00FA3B49"/>
    <w:rsid w:val="00FA6195"/>
    <w:rsid w:val="00FB062D"/>
    <w:rsid w:val="00FB0C31"/>
    <w:rsid w:val="00FB1217"/>
    <w:rsid w:val="00FB4A54"/>
    <w:rsid w:val="00FB5B18"/>
    <w:rsid w:val="00FB603D"/>
    <w:rsid w:val="00FB6FE6"/>
    <w:rsid w:val="00FB7B73"/>
    <w:rsid w:val="00FC0C25"/>
    <w:rsid w:val="00FC0F8B"/>
    <w:rsid w:val="00FC107A"/>
    <w:rsid w:val="00FC315B"/>
    <w:rsid w:val="00FC4455"/>
    <w:rsid w:val="00FC64DE"/>
    <w:rsid w:val="00FC7530"/>
    <w:rsid w:val="00FC75F4"/>
    <w:rsid w:val="00FC7A6C"/>
    <w:rsid w:val="00FD0E92"/>
    <w:rsid w:val="00FD1664"/>
    <w:rsid w:val="00FD1A48"/>
    <w:rsid w:val="00FD1AAC"/>
    <w:rsid w:val="00FD3A70"/>
    <w:rsid w:val="00FD3BCA"/>
    <w:rsid w:val="00FD46D4"/>
    <w:rsid w:val="00FD46D7"/>
    <w:rsid w:val="00FD554C"/>
    <w:rsid w:val="00FD5891"/>
    <w:rsid w:val="00FD644B"/>
    <w:rsid w:val="00FD6C0C"/>
    <w:rsid w:val="00FD6EDE"/>
    <w:rsid w:val="00FE204A"/>
    <w:rsid w:val="00FE3A8F"/>
    <w:rsid w:val="00FE4EAC"/>
    <w:rsid w:val="00FE51CD"/>
    <w:rsid w:val="00FE5493"/>
    <w:rsid w:val="00FE5AE5"/>
    <w:rsid w:val="00FE7595"/>
    <w:rsid w:val="00FF0ECE"/>
    <w:rsid w:val="00FF1B80"/>
    <w:rsid w:val="00FF20A1"/>
    <w:rsid w:val="00FF59DF"/>
    <w:rsid w:val="00FF5C73"/>
    <w:rsid w:val="00FF62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E34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color w:val="222222"/>
        <w:lang w:val="lv-LV"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At a glance text"/>
    <w:qFormat/>
    <w:rsid w:val="00FD6C0C"/>
    <w:rPr>
      <w:rFonts w:ascii="Times New Roman" w:hAnsi="Times New Roman" w:cs="Times New Roman"/>
      <w:color w:val="auto"/>
      <w:sz w:val="24"/>
      <w:szCs w:val="24"/>
      <w:lang w:val="en-US"/>
    </w:rPr>
  </w:style>
  <w:style w:type="paragraph" w:styleId="Heading1">
    <w:name w:val="heading 1"/>
    <w:basedOn w:val="Normal"/>
    <w:next w:val="Normal"/>
    <w:link w:val="Heading1Char"/>
    <w:uiPriority w:val="9"/>
    <w:qFormat/>
    <w:rsid w:val="00392E63"/>
    <w:pPr>
      <w:keepNext/>
      <w:keepLines/>
      <w:tabs>
        <w:tab w:val="right" w:leader="dot" w:pos="2880"/>
      </w:tabs>
      <w:spacing w:before="480"/>
      <w:outlineLvl w:val="0"/>
    </w:pPr>
    <w:rPr>
      <w:rFonts w:ascii="Gill Sans" w:eastAsiaTheme="majorEastAsia" w:hAnsi="Gill Sans" w:cs="Gill Sans"/>
      <w:b/>
      <w:bCs/>
      <w:color w:val="1F497D" w:themeColor="text2"/>
      <w:sz w:val="32"/>
      <w:szCs w:val="32"/>
      <w:lang w:val="lv-LV"/>
    </w:rPr>
  </w:style>
  <w:style w:type="paragraph" w:styleId="Heading2">
    <w:name w:val="heading 2"/>
    <w:basedOn w:val="Normal"/>
    <w:next w:val="Normal"/>
    <w:link w:val="Heading2Char"/>
    <w:uiPriority w:val="9"/>
    <w:unhideWhenUsed/>
    <w:qFormat/>
    <w:rsid w:val="00392E63"/>
    <w:pPr>
      <w:keepNext/>
      <w:keepLines/>
      <w:tabs>
        <w:tab w:val="right" w:leader="dot" w:pos="2880"/>
      </w:tabs>
      <w:spacing w:before="200"/>
      <w:outlineLvl w:val="1"/>
    </w:pPr>
    <w:rPr>
      <w:rFonts w:ascii="Gill Sans" w:eastAsiaTheme="majorEastAsia" w:hAnsi="Gill Sans" w:cs="Gill Sans"/>
      <w:b/>
      <w:bCs/>
      <w:color w:val="1F497D" w:themeColor="text2"/>
      <w:sz w:val="26"/>
      <w:szCs w:val="26"/>
      <w:lang w:val="lv-LV"/>
    </w:rPr>
  </w:style>
  <w:style w:type="paragraph" w:styleId="Heading3">
    <w:name w:val="heading 3"/>
    <w:basedOn w:val="Normal"/>
    <w:next w:val="Normal"/>
    <w:link w:val="Heading3Char"/>
    <w:autoRedefine/>
    <w:uiPriority w:val="9"/>
    <w:unhideWhenUsed/>
    <w:qFormat/>
    <w:rsid w:val="00C2650B"/>
    <w:pPr>
      <w:keepNext/>
      <w:keepLines/>
      <w:tabs>
        <w:tab w:val="right" w:leader="dot" w:pos="2880"/>
      </w:tabs>
      <w:jc w:val="thaiDistribute"/>
      <w:outlineLvl w:val="2"/>
    </w:pPr>
    <w:rPr>
      <w:rFonts w:ascii="Gill Sans" w:eastAsiaTheme="majorEastAsia" w:hAnsi="Gill Sans" w:cs="Gill Sans"/>
      <w:b/>
      <w:bCs/>
      <w:noProof/>
      <w:color w:val="1F497D" w:themeColor="text2"/>
      <w:sz w:val="22"/>
      <w:szCs w:val="20"/>
      <w:lang w:val="en-GB"/>
    </w:rPr>
  </w:style>
  <w:style w:type="paragraph" w:styleId="Heading4">
    <w:name w:val="heading 4"/>
    <w:basedOn w:val="Normal"/>
    <w:next w:val="Normal"/>
    <w:link w:val="Heading4Char"/>
    <w:uiPriority w:val="9"/>
    <w:unhideWhenUsed/>
    <w:qFormat/>
    <w:rsid w:val="00392E63"/>
    <w:pPr>
      <w:keepNext/>
      <w:keepLines/>
      <w:tabs>
        <w:tab w:val="right" w:leader="dot" w:pos="2880"/>
      </w:tabs>
      <w:spacing w:before="200"/>
      <w:outlineLvl w:val="3"/>
    </w:pPr>
    <w:rPr>
      <w:rFonts w:ascii="Gill Sans" w:eastAsiaTheme="majorEastAsia" w:hAnsi="Gill Sans" w:cs="Gill Sans"/>
      <w:b/>
      <w:bCs/>
      <w:i/>
      <w:iCs/>
      <w:color w:val="1F497D" w:themeColor="text2"/>
      <w:sz w:val="22"/>
      <w:szCs w:val="20"/>
      <w:lang w:val="lv-LV"/>
    </w:rPr>
  </w:style>
  <w:style w:type="paragraph" w:styleId="Heading5">
    <w:name w:val="heading 5"/>
    <w:aliases w:val="Table title outside"/>
    <w:basedOn w:val="Normal"/>
    <w:next w:val="Normal"/>
    <w:link w:val="Heading5Char"/>
    <w:uiPriority w:val="9"/>
    <w:semiHidden/>
    <w:unhideWhenUsed/>
    <w:qFormat/>
    <w:rsid w:val="00392E63"/>
    <w:pPr>
      <w:keepNext/>
      <w:keepLines/>
      <w:tabs>
        <w:tab w:val="right" w:leader="dot" w:pos="2880"/>
      </w:tabs>
      <w:spacing w:before="200"/>
      <w:outlineLvl w:val="4"/>
    </w:pPr>
    <w:rPr>
      <w:rFonts w:asciiTheme="majorHAnsi" w:eastAsiaTheme="majorEastAsia" w:hAnsiTheme="majorHAnsi" w:cstheme="majorBidi"/>
      <w:b/>
      <w:color w:val="1F497D" w:themeColor="text2"/>
      <w:sz w:val="22"/>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34"/>
    <w:qFormat/>
    <w:rsid w:val="00CC5109"/>
    <w:pPr>
      <w:numPr>
        <w:numId w:val="34"/>
      </w:numPr>
      <w:spacing w:before="120" w:after="120"/>
      <w:contextualSpacing/>
    </w:pPr>
    <w:rPr>
      <w:rFonts w:ascii="Gill Sans" w:eastAsiaTheme="minorHAnsi" w:hAnsi="Gill Sans" w:cs="Gill Sans"/>
      <w:color w:val="222222"/>
      <w:sz w:val="22"/>
      <w:szCs w:val="20"/>
      <w:lang w:val="en-GB"/>
    </w:rPr>
  </w:style>
  <w:style w:type="paragraph" w:styleId="Title">
    <w:name w:val="Title"/>
    <w:basedOn w:val="Normal"/>
    <w:next w:val="Normal"/>
    <w:link w:val="TitleChar"/>
    <w:uiPriority w:val="10"/>
    <w:qFormat/>
    <w:rsid w:val="00392E63"/>
    <w:pPr>
      <w:pBdr>
        <w:bottom w:val="single" w:sz="8" w:space="1" w:color="1F497D" w:themeColor="text2"/>
      </w:pBdr>
      <w:tabs>
        <w:tab w:val="right" w:leader="dot" w:pos="2880"/>
      </w:tabs>
      <w:spacing w:after="300"/>
      <w:contextualSpacing/>
    </w:pPr>
    <w:rPr>
      <w:rFonts w:ascii="Gill Sans" w:eastAsiaTheme="majorEastAsia" w:hAnsi="Gill Sans" w:cs="Gill Sans"/>
      <w:color w:val="000000" w:themeColor="text1"/>
      <w:spacing w:val="5"/>
      <w:kern w:val="28"/>
      <w:sz w:val="52"/>
      <w:szCs w:val="52"/>
      <w:lang w:val="lv-LV"/>
    </w:rPr>
  </w:style>
  <w:style w:type="character" w:customStyle="1" w:styleId="TitleChar">
    <w:name w:val="Title Char"/>
    <w:basedOn w:val="DefaultParagraphFont"/>
    <w:link w:val="Title"/>
    <w:uiPriority w:val="10"/>
    <w:rsid w:val="00392E63"/>
    <w:rPr>
      <w:rFonts w:ascii="Gill Sans" w:eastAsiaTheme="majorEastAsia" w:hAnsi="Gill Sans" w:cs="Gill Sans"/>
      <w:color w:val="000000" w:themeColor="text1"/>
      <w:spacing w:val="5"/>
      <w:kern w:val="28"/>
      <w:sz w:val="52"/>
      <w:szCs w:val="52"/>
    </w:rPr>
  </w:style>
  <w:style w:type="paragraph" w:styleId="Subtitle">
    <w:name w:val="Subtitle"/>
    <w:basedOn w:val="Normal"/>
    <w:next w:val="Normal"/>
    <w:link w:val="SubtitleChar"/>
    <w:uiPriority w:val="11"/>
    <w:qFormat/>
    <w:rsid w:val="00392E63"/>
    <w:pPr>
      <w:numPr>
        <w:ilvl w:val="1"/>
      </w:numPr>
      <w:tabs>
        <w:tab w:val="right" w:leader="dot" w:pos="2880"/>
      </w:tabs>
      <w:spacing w:after="60"/>
    </w:pPr>
    <w:rPr>
      <w:rFonts w:ascii="Gill Sans" w:eastAsiaTheme="majorEastAsia" w:hAnsi="Gill Sans" w:cs="Gill Sans"/>
      <w:iCs/>
      <w:color w:val="1F497D" w:themeColor="text2"/>
      <w:spacing w:val="15"/>
      <w:sz w:val="36"/>
      <w:szCs w:val="36"/>
      <w:lang w:val="lv-LV"/>
    </w:rPr>
  </w:style>
  <w:style w:type="character" w:customStyle="1" w:styleId="SubtitleChar">
    <w:name w:val="Subtitle Char"/>
    <w:basedOn w:val="DefaultParagraphFont"/>
    <w:link w:val="Subtitle"/>
    <w:uiPriority w:val="11"/>
    <w:rsid w:val="00392E63"/>
    <w:rPr>
      <w:rFonts w:ascii="Gill Sans" w:eastAsiaTheme="majorEastAsia" w:hAnsi="Gill Sans" w:cs="Gill Sans"/>
      <w:iCs/>
      <w:color w:val="1F497D" w:themeColor="text2"/>
      <w:spacing w:val="15"/>
      <w:sz w:val="36"/>
      <w:szCs w:val="36"/>
    </w:rPr>
  </w:style>
  <w:style w:type="character" w:customStyle="1" w:styleId="Heading4Char">
    <w:name w:val="Heading 4 Char"/>
    <w:basedOn w:val="DefaultParagraphFont"/>
    <w:link w:val="Heading4"/>
    <w:uiPriority w:val="9"/>
    <w:rsid w:val="00392E63"/>
    <w:rPr>
      <w:rFonts w:ascii="Gill Sans" w:eastAsiaTheme="majorEastAsia" w:hAnsi="Gill Sans" w:cs="Gill Sans"/>
      <w:b/>
      <w:bCs/>
      <w:i/>
      <w:iCs/>
      <w:color w:val="1F497D" w:themeColor="text2"/>
      <w:sz w:val="22"/>
    </w:rPr>
  </w:style>
  <w:style w:type="character" w:styleId="SubtleReference">
    <w:name w:val="Subtle Reference"/>
    <w:uiPriority w:val="31"/>
    <w:rsid w:val="00EB323A"/>
    <w:rPr>
      <w:b/>
    </w:rPr>
  </w:style>
  <w:style w:type="paragraph" w:styleId="BalloonText">
    <w:name w:val="Balloon Text"/>
    <w:basedOn w:val="Normal"/>
    <w:link w:val="BalloonTextChar"/>
    <w:uiPriority w:val="99"/>
    <w:semiHidden/>
    <w:unhideWhenUsed/>
    <w:rsid w:val="003178D9"/>
    <w:pPr>
      <w:tabs>
        <w:tab w:val="right" w:leader="dot" w:pos="2880"/>
      </w:tabs>
    </w:pPr>
    <w:rPr>
      <w:rFonts w:ascii="Tahoma" w:hAnsi="Tahoma" w:cs="Tahoma"/>
      <w:color w:val="222222"/>
      <w:sz w:val="16"/>
      <w:szCs w:val="16"/>
      <w:lang w:val="lv-LV"/>
    </w:rPr>
  </w:style>
  <w:style w:type="character" w:customStyle="1" w:styleId="BalloonTextChar">
    <w:name w:val="Balloon Text Char"/>
    <w:basedOn w:val="DefaultParagraphFont"/>
    <w:link w:val="BalloonText"/>
    <w:uiPriority w:val="99"/>
    <w:semiHidden/>
    <w:rsid w:val="003178D9"/>
    <w:rPr>
      <w:rFonts w:ascii="Tahoma" w:hAnsi="Tahoma" w:cs="Tahoma"/>
      <w:sz w:val="16"/>
      <w:szCs w:val="16"/>
    </w:rPr>
  </w:style>
  <w:style w:type="paragraph" w:styleId="Header">
    <w:name w:val="header"/>
    <w:basedOn w:val="Normal"/>
    <w:link w:val="HeaderChar"/>
    <w:unhideWhenUsed/>
    <w:rsid w:val="008F072B"/>
    <w:pPr>
      <w:tabs>
        <w:tab w:val="right" w:leader="dot" w:pos="2880"/>
        <w:tab w:val="center" w:pos="4153"/>
        <w:tab w:val="right" w:pos="8306"/>
      </w:tabs>
    </w:pPr>
    <w:rPr>
      <w:rFonts w:ascii="Gill Sans" w:hAnsi="Gill Sans" w:cs="Gill Sans"/>
      <w:color w:val="222222"/>
      <w:sz w:val="22"/>
      <w:szCs w:val="20"/>
      <w:lang w:val="lv-LV"/>
    </w:rPr>
  </w:style>
  <w:style w:type="character" w:customStyle="1" w:styleId="HeaderChar">
    <w:name w:val="Header Char"/>
    <w:basedOn w:val="DefaultParagraphFont"/>
    <w:link w:val="Header"/>
    <w:rsid w:val="008F072B"/>
  </w:style>
  <w:style w:type="paragraph" w:styleId="Footer">
    <w:name w:val="footer"/>
    <w:basedOn w:val="Normal"/>
    <w:link w:val="FooterChar"/>
    <w:uiPriority w:val="99"/>
    <w:unhideWhenUsed/>
    <w:rsid w:val="008F072B"/>
    <w:pPr>
      <w:tabs>
        <w:tab w:val="right" w:leader="dot" w:pos="2880"/>
        <w:tab w:val="center" w:pos="4153"/>
        <w:tab w:val="right" w:pos="8306"/>
      </w:tabs>
    </w:pPr>
    <w:rPr>
      <w:rFonts w:ascii="Gill Sans" w:hAnsi="Gill Sans" w:cs="Gill Sans"/>
      <w:color w:val="222222"/>
      <w:sz w:val="22"/>
      <w:szCs w:val="20"/>
      <w:lang w:val="lv-LV"/>
    </w:rPr>
  </w:style>
  <w:style w:type="character" w:customStyle="1" w:styleId="FooterChar">
    <w:name w:val="Footer Char"/>
    <w:basedOn w:val="DefaultParagraphFont"/>
    <w:link w:val="Footer"/>
    <w:uiPriority w:val="99"/>
    <w:rsid w:val="008F072B"/>
  </w:style>
  <w:style w:type="character" w:customStyle="1" w:styleId="Heading2Char">
    <w:name w:val="Heading 2 Char"/>
    <w:basedOn w:val="DefaultParagraphFont"/>
    <w:link w:val="Heading2"/>
    <w:uiPriority w:val="9"/>
    <w:rsid w:val="00392E63"/>
    <w:rPr>
      <w:rFonts w:ascii="Gill Sans" w:eastAsiaTheme="majorEastAsia" w:hAnsi="Gill Sans" w:cs="Gill Sans"/>
      <w:b/>
      <w:bCs/>
      <w:color w:val="1F497D" w:themeColor="text2"/>
      <w:sz w:val="26"/>
      <w:szCs w:val="26"/>
    </w:rPr>
  </w:style>
  <w:style w:type="character" w:styleId="PageNumber">
    <w:name w:val="page number"/>
    <w:basedOn w:val="DefaultParagraphFont"/>
    <w:uiPriority w:val="99"/>
    <w:semiHidden/>
    <w:unhideWhenUsed/>
    <w:rsid w:val="00D7637D"/>
  </w:style>
  <w:style w:type="character" w:styleId="CommentReference">
    <w:name w:val="annotation reference"/>
    <w:basedOn w:val="DefaultParagraphFont"/>
    <w:uiPriority w:val="99"/>
    <w:unhideWhenUsed/>
    <w:rsid w:val="00926DAC"/>
    <w:rPr>
      <w:sz w:val="18"/>
      <w:szCs w:val="18"/>
    </w:rPr>
  </w:style>
  <w:style w:type="paragraph" w:styleId="CommentText">
    <w:name w:val="annotation text"/>
    <w:basedOn w:val="Normal"/>
    <w:link w:val="CommentTextChar"/>
    <w:uiPriority w:val="99"/>
    <w:unhideWhenUsed/>
    <w:qFormat/>
    <w:rsid w:val="00B832BA"/>
    <w:pPr>
      <w:tabs>
        <w:tab w:val="right" w:leader="dot" w:pos="2880"/>
      </w:tabs>
    </w:pPr>
    <w:rPr>
      <w:rFonts w:ascii="Gill Sans" w:hAnsi="Gill Sans" w:cs="Gill Sans"/>
      <w:color w:val="222222"/>
    </w:rPr>
  </w:style>
  <w:style w:type="character" w:customStyle="1" w:styleId="CommentTextChar">
    <w:name w:val="Comment Text Char"/>
    <w:basedOn w:val="DefaultParagraphFont"/>
    <w:link w:val="CommentText"/>
    <w:uiPriority w:val="99"/>
    <w:qFormat/>
    <w:rsid w:val="00B832BA"/>
    <w:rPr>
      <w:rFonts w:ascii="Gill Sans" w:hAnsi="Gill Sans" w:cs="Gill Sans"/>
      <w:sz w:val="24"/>
      <w:szCs w:val="24"/>
      <w:lang w:val="en-US"/>
    </w:rPr>
  </w:style>
  <w:style w:type="paragraph" w:styleId="CommentSubject">
    <w:name w:val="annotation subject"/>
    <w:basedOn w:val="CommentText"/>
    <w:next w:val="CommentText"/>
    <w:link w:val="CommentSubjectChar"/>
    <w:uiPriority w:val="99"/>
    <w:semiHidden/>
    <w:unhideWhenUsed/>
    <w:rsid w:val="00926DAC"/>
    <w:rPr>
      <w:b/>
      <w:bCs/>
      <w:sz w:val="20"/>
      <w:szCs w:val="20"/>
    </w:rPr>
  </w:style>
  <w:style w:type="character" w:customStyle="1" w:styleId="CommentSubjectChar">
    <w:name w:val="Comment Subject Char"/>
    <w:basedOn w:val="CommentTextChar"/>
    <w:link w:val="CommentSubject"/>
    <w:uiPriority w:val="99"/>
    <w:semiHidden/>
    <w:rsid w:val="00926DAC"/>
    <w:rPr>
      <w:rFonts w:ascii="Gill Sans" w:hAnsi="Gill Sans" w:cs="Gill Sans"/>
      <w:b/>
      <w:bCs/>
      <w:sz w:val="20"/>
      <w:szCs w:val="20"/>
      <w:lang w:val="en-US"/>
    </w:rPr>
  </w:style>
  <w:style w:type="paragraph" w:styleId="FootnoteText">
    <w:name w:val="footnote text"/>
    <w:basedOn w:val="Normal"/>
    <w:link w:val="FootnoteTextChar"/>
    <w:uiPriority w:val="99"/>
    <w:unhideWhenUsed/>
    <w:rsid w:val="00556FED"/>
    <w:pPr>
      <w:tabs>
        <w:tab w:val="right" w:leader="dot" w:pos="2880"/>
      </w:tabs>
    </w:pPr>
    <w:rPr>
      <w:rFonts w:ascii="Gill Sans" w:hAnsi="Gill Sans" w:cs="Gill Sans"/>
      <w:color w:val="222222"/>
      <w:lang w:val="lv-LV"/>
    </w:rPr>
  </w:style>
  <w:style w:type="character" w:customStyle="1" w:styleId="FootnoteTextChar">
    <w:name w:val="Footnote Text Char"/>
    <w:basedOn w:val="DefaultParagraphFont"/>
    <w:link w:val="FootnoteText"/>
    <w:uiPriority w:val="99"/>
    <w:rsid w:val="00556FED"/>
    <w:rPr>
      <w:sz w:val="24"/>
      <w:szCs w:val="24"/>
    </w:rPr>
  </w:style>
  <w:style w:type="character" w:styleId="FootnoteReference">
    <w:name w:val="footnote reference"/>
    <w:aliases w:val="Ref,de nota al pie,4_G,ftref Char Char Char,ftref Car Char Char Char Char, Car Car5 Char Char Car Car Char Char Char Char Char Char,Car Car5 Char Char Car Car Char Char Char Char Char Char"/>
    <w:basedOn w:val="DefaultParagraphFont"/>
    <w:link w:val="ftrefCharChar"/>
    <w:unhideWhenUsed/>
    <w:rsid w:val="00556FED"/>
    <w:rPr>
      <w:vertAlign w:val="superscript"/>
    </w:rPr>
  </w:style>
  <w:style w:type="character" w:customStyle="1" w:styleId="Heading3Char">
    <w:name w:val="Heading 3 Char"/>
    <w:basedOn w:val="DefaultParagraphFont"/>
    <w:link w:val="Heading3"/>
    <w:uiPriority w:val="9"/>
    <w:rsid w:val="00C2650B"/>
    <w:rPr>
      <w:rFonts w:ascii="Gill Sans" w:eastAsiaTheme="majorEastAsia" w:hAnsi="Gill Sans" w:cs="Gill Sans"/>
      <w:b/>
      <w:bCs/>
      <w:noProof/>
      <w:color w:val="1F497D" w:themeColor="text2"/>
      <w:sz w:val="22"/>
      <w:lang w:val="en-GB"/>
    </w:rPr>
  </w:style>
  <w:style w:type="character" w:customStyle="1" w:styleId="apple-converted-space">
    <w:name w:val="apple-converted-space"/>
    <w:basedOn w:val="DefaultParagraphFont"/>
    <w:rsid w:val="005D40FB"/>
  </w:style>
  <w:style w:type="character" w:styleId="IntenseEmphasis">
    <w:name w:val="Intense Emphasis"/>
    <w:basedOn w:val="DefaultParagraphFont"/>
    <w:uiPriority w:val="21"/>
    <w:rsid w:val="00F00AC6"/>
    <w:rPr>
      <w:b/>
      <w:bCs/>
      <w:i/>
      <w:iCs/>
      <w:color w:val="4F81BD" w:themeColor="accent1"/>
    </w:rPr>
  </w:style>
  <w:style w:type="character" w:customStyle="1" w:styleId="Heading1Char">
    <w:name w:val="Heading 1 Char"/>
    <w:basedOn w:val="DefaultParagraphFont"/>
    <w:link w:val="Heading1"/>
    <w:uiPriority w:val="9"/>
    <w:rsid w:val="00392E63"/>
    <w:rPr>
      <w:rFonts w:ascii="Gill Sans" w:eastAsiaTheme="majorEastAsia" w:hAnsi="Gill Sans" w:cs="Gill Sans"/>
      <w:b/>
      <w:bCs/>
      <w:color w:val="1F497D" w:themeColor="text2"/>
      <w:sz w:val="32"/>
      <w:szCs w:val="32"/>
    </w:rPr>
  </w:style>
  <w:style w:type="paragraph" w:customStyle="1" w:styleId="ColorfulList-Accent12">
    <w:name w:val="Colorful List - Accent 12"/>
    <w:basedOn w:val="Normal"/>
    <w:uiPriority w:val="34"/>
    <w:rsid w:val="008E3268"/>
    <w:pPr>
      <w:tabs>
        <w:tab w:val="right" w:leader="dot" w:pos="2880"/>
      </w:tabs>
      <w:spacing w:after="120"/>
      <w:ind w:left="720"/>
      <w:contextualSpacing/>
    </w:pPr>
    <w:rPr>
      <w:rFonts w:ascii="Calibri" w:eastAsia="MS Mincho" w:hAnsi="Calibri"/>
      <w:color w:val="222222"/>
      <w:sz w:val="20"/>
      <w:szCs w:val="20"/>
      <w:lang w:val="en-GB"/>
    </w:rPr>
  </w:style>
  <w:style w:type="paragraph" w:styleId="NoSpacing">
    <w:name w:val="No Spacing"/>
    <w:uiPriority w:val="1"/>
    <w:qFormat/>
    <w:rsid w:val="00F71D96"/>
    <w:pPr>
      <w:tabs>
        <w:tab w:val="right" w:leader="dot" w:pos="2880"/>
      </w:tabs>
    </w:pPr>
    <w:rPr>
      <w:rFonts w:ascii="Gill Sans" w:hAnsi="Gill Sans" w:cs="Gill Sans"/>
      <w:sz w:val="22"/>
    </w:rPr>
  </w:style>
  <w:style w:type="paragraph" w:styleId="EndnoteText">
    <w:name w:val="endnote text"/>
    <w:basedOn w:val="Normal"/>
    <w:link w:val="EndnoteTextChar"/>
    <w:autoRedefine/>
    <w:uiPriority w:val="99"/>
    <w:unhideWhenUsed/>
    <w:qFormat/>
    <w:rsid w:val="00812D09"/>
    <w:pPr>
      <w:tabs>
        <w:tab w:val="right" w:leader="dot" w:pos="2880"/>
      </w:tabs>
    </w:pPr>
    <w:rPr>
      <w:rFonts w:ascii="Gill Sans" w:hAnsi="Gill Sans" w:cs="Gill Sans"/>
      <w:color w:val="222222"/>
      <w:sz w:val="18"/>
      <w:szCs w:val="20"/>
      <w:lang w:val="lv-LV"/>
    </w:rPr>
  </w:style>
  <w:style w:type="character" w:customStyle="1" w:styleId="EndnoteTextChar">
    <w:name w:val="Endnote Text Char"/>
    <w:basedOn w:val="DefaultParagraphFont"/>
    <w:link w:val="EndnoteText"/>
    <w:uiPriority w:val="99"/>
    <w:qFormat/>
    <w:rsid w:val="00812D09"/>
    <w:rPr>
      <w:rFonts w:ascii="Gill Sans" w:hAnsi="Gill Sans" w:cs="Gill Sans"/>
      <w:sz w:val="18"/>
    </w:rPr>
  </w:style>
  <w:style w:type="character" w:styleId="EndnoteReference">
    <w:name w:val="endnote reference"/>
    <w:basedOn w:val="DefaultParagraphFont"/>
    <w:uiPriority w:val="99"/>
    <w:unhideWhenUsed/>
    <w:qFormat/>
    <w:rsid w:val="006C7855"/>
    <w:rPr>
      <w:vertAlign w:val="superscript"/>
    </w:rPr>
  </w:style>
  <w:style w:type="character" w:styleId="Hyperlink">
    <w:name w:val="Hyperlink"/>
    <w:basedOn w:val="DefaultParagraphFont"/>
    <w:unhideWhenUsed/>
    <w:rsid w:val="00D500C1"/>
    <w:rPr>
      <w:color w:val="0000FF"/>
      <w:u w:val="single"/>
    </w:rPr>
  </w:style>
  <w:style w:type="character" w:styleId="FollowedHyperlink">
    <w:name w:val="FollowedHyperlink"/>
    <w:basedOn w:val="DefaultParagraphFont"/>
    <w:uiPriority w:val="99"/>
    <w:semiHidden/>
    <w:unhideWhenUsed/>
    <w:rsid w:val="002641CA"/>
    <w:rPr>
      <w:color w:val="800080" w:themeColor="followedHyperlink"/>
      <w:u w:val="single"/>
    </w:rPr>
  </w:style>
  <w:style w:type="paragraph" w:styleId="Revision">
    <w:name w:val="Revision"/>
    <w:hidden/>
    <w:uiPriority w:val="99"/>
    <w:semiHidden/>
    <w:rsid w:val="00BF7699"/>
  </w:style>
  <w:style w:type="paragraph" w:styleId="ListBullet">
    <w:name w:val="List Bullet"/>
    <w:basedOn w:val="Normal"/>
    <w:uiPriority w:val="99"/>
    <w:unhideWhenUsed/>
    <w:rsid w:val="00D85A99"/>
    <w:pPr>
      <w:numPr>
        <w:numId w:val="17"/>
      </w:numPr>
      <w:tabs>
        <w:tab w:val="right" w:leader="dot" w:pos="2880"/>
      </w:tabs>
      <w:contextualSpacing/>
    </w:pPr>
    <w:rPr>
      <w:rFonts w:ascii="Gill Sans" w:hAnsi="Gill Sans" w:cs="Gill Sans"/>
      <w:color w:val="222222"/>
      <w:sz w:val="22"/>
      <w:szCs w:val="20"/>
      <w:lang w:val="lv-LV"/>
    </w:rPr>
  </w:style>
  <w:style w:type="paragraph" w:styleId="Caption">
    <w:name w:val="caption"/>
    <w:basedOn w:val="Normal"/>
    <w:next w:val="Normal"/>
    <w:uiPriority w:val="35"/>
    <w:unhideWhenUsed/>
    <w:qFormat/>
    <w:rsid w:val="00392E63"/>
    <w:pPr>
      <w:tabs>
        <w:tab w:val="right" w:leader="dot" w:pos="2880"/>
      </w:tabs>
      <w:spacing w:after="200"/>
    </w:pPr>
    <w:rPr>
      <w:rFonts w:ascii="Gill Sans" w:hAnsi="Gill Sans" w:cs="Gill Sans"/>
      <w:b/>
      <w:bCs/>
      <w:color w:val="4F81BD" w:themeColor="accent1"/>
      <w:sz w:val="18"/>
      <w:szCs w:val="18"/>
      <w:lang w:val="lv-LV"/>
    </w:rPr>
  </w:style>
  <w:style w:type="character" w:customStyle="1" w:styleId="EndnoteAnchor">
    <w:name w:val="Endnote Anchor"/>
    <w:rsid w:val="0063171A"/>
    <w:rPr>
      <w:vertAlign w:val="superscript"/>
    </w:rPr>
  </w:style>
  <w:style w:type="paragraph" w:customStyle="1" w:styleId="Nospacefeaturetolerant">
    <w:name w:val="No space (feature tolerant)"/>
    <w:basedOn w:val="Normal"/>
    <w:qFormat/>
    <w:rsid w:val="00392E63"/>
    <w:pPr>
      <w:tabs>
        <w:tab w:val="right" w:leader="dot" w:pos="2880"/>
      </w:tabs>
    </w:pPr>
    <w:rPr>
      <w:rFonts w:ascii="Adobe Caslon Pro" w:hAnsi="Adobe Caslon Pro" w:cs="Gill Sans"/>
      <w:color w:val="222222"/>
      <w:sz w:val="22"/>
      <w:szCs w:val="22"/>
      <w:lang w:val="lv-LV"/>
    </w:rPr>
  </w:style>
  <w:style w:type="paragraph" w:customStyle="1" w:styleId="Normalrglronly">
    <w:name w:val="Normal (rglr only)"/>
    <w:basedOn w:val="Normal"/>
    <w:qFormat/>
    <w:rsid w:val="00392E63"/>
    <w:pPr>
      <w:tabs>
        <w:tab w:val="right" w:leader="dot" w:pos="2880"/>
      </w:tabs>
      <w:spacing w:after="120"/>
    </w:pPr>
    <w:rPr>
      <w:rFonts w:ascii="Gill Sans" w:hAnsi="Gill Sans" w:cs="Gill Sans"/>
      <w:color w:val="222222"/>
      <w:sz w:val="22"/>
      <w:szCs w:val="22"/>
      <w:lang w:val="lv-LV"/>
    </w:rPr>
  </w:style>
  <w:style w:type="paragraph" w:customStyle="1" w:styleId="APQuotefeaturetol">
    <w:name w:val="AP Quote (feature tol)"/>
    <w:basedOn w:val="Normal"/>
    <w:qFormat/>
    <w:rsid w:val="00392E63"/>
    <w:pPr>
      <w:tabs>
        <w:tab w:val="right" w:leader="dot" w:pos="2880"/>
      </w:tabs>
      <w:spacing w:after="120"/>
    </w:pPr>
    <w:rPr>
      <w:rFonts w:ascii="Gill Sans" w:hAnsi="Gill Sans" w:cs="Gill Sans"/>
      <w:i/>
      <w:color w:val="222222"/>
      <w:sz w:val="22"/>
      <w:szCs w:val="22"/>
      <w:lang w:val="lv-LV"/>
    </w:rPr>
  </w:style>
  <w:style w:type="paragraph" w:customStyle="1" w:styleId="Pullquote">
    <w:name w:val="Pull quote"/>
    <w:basedOn w:val="Normal"/>
    <w:next w:val="Normal"/>
    <w:qFormat/>
    <w:rsid w:val="00392E63"/>
    <w:pPr>
      <w:tabs>
        <w:tab w:val="right" w:leader="dot" w:pos="2880"/>
      </w:tabs>
    </w:pPr>
    <w:rPr>
      <w:rFonts w:ascii="Gill Sans" w:hAnsi="Gill Sans" w:cs="Gill Sans"/>
      <w:color w:val="4BACC6" w:themeColor="accent5"/>
      <w:szCs w:val="20"/>
      <w:lang w:val="lv-LV"/>
    </w:rPr>
  </w:style>
  <w:style w:type="paragraph" w:customStyle="1" w:styleId="Tabletitleinside">
    <w:name w:val="Table title inside"/>
    <w:basedOn w:val="Heading5"/>
    <w:qFormat/>
    <w:rsid w:val="00392E63"/>
    <w:pPr>
      <w:spacing w:before="60"/>
    </w:pPr>
    <w:rPr>
      <w:rFonts w:ascii="Gill Sans" w:hAnsi="Gill Sans"/>
    </w:rPr>
  </w:style>
  <w:style w:type="character" w:customStyle="1" w:styleId="Heading5Char">
    <w:name w:val="Heading 5 Char"/>
    <w:aliases w:val="Table title outside Char"/>
    <w:basedOn w:val="DefaultParagraphFont"/>
    <w:link w:val="Heading5"/>
    <w:uiPriority w:val="9"/>
    <w:semiHidden/>
    <w:rsid w:val="00392E63"/>
    <w:rPr>
      <w:rFonts w:asciiTheme="majorHAnsi" w:eastAsiaTheme="majorEastAsia" w:hAnsiTheme="majorHAnsi" w:cstheme="majorBidi"/>
      <w:b/>
      <w:color w:val="1F497D" w:themeColor="text2"/>
      <w:sz w:val="22"/>
    </w:rPr>
  </w:style>
  <w:style w:type="paragraph" w:customStyle="1" w:styleId="Tableheader">
    <w:name w:val="Table header"/>
    <w:basedOn w:val="Normal"/>
    <w:qFormat/>
    <w:rsid w:val="00392E63"/>
    <w:pPr>
      <w:tabs>
        <w:tab w:val="right" w:leader="dot" w:pos="2880"/>
      </w:tabs>
    </w:pPr>
    <w:rPr>
      <w:rFonts w:ascii="Gill Sans SemiBold" w:hAnsi="Gill Sans SemiBold" w:cs="Gill Sans"/>
      <w:color w:val="365F91" w:themeColor="accent1" w:themeShade="BF"/>
      <w:sz w:val="22"/>
      <w:szCs w:val="20"/>
      <w:lang w:val="lv-LV"/>
    </w:rPr>
  </w:style>
  <w:style w:type="paragraph" w:customStyle="1" w:styleId="Rowcolumntitles">
    <w:name w:val="Row/column titles"/>
    <w:basedOn w:val="Normal"/>
    <w:qFormat/>
    <w:rsid w:val="00392E63"/>
    <w:pPr>
      <w:tabs>
        <w:tab w:val="right" w:leader="dot" w:pos="2880"/>
      </w:tabs>
    </w:pPr>
    <w:rPr>
      <w:rFonts w:ascii="Gill Sans" w:hAnsi="Gill Sans" w:cs="Gill Sans"/>
      <w:color w:val="000000" w:themeColor="text1"/>
      <w:sz w:val="22"/>
      <w:szCs w:val="20"/>
      <w:lang w:val="lv-LV"/>
    </w:rPr>
  </w:style>
  <w:style w:type="paragraph" w:customStyle="1" w:styleId="Tablebullet">
    <w:name w:val="Table bullet"/>
    <w:basedOn w:val="ListParagraph"/>
    <w:qFormat/>
    <w:rsid w:val="00392E63"/>
    <w:pPr>
      <w:numPr>
        <w:numId w:val="0"/>
      </w:numPr>
    </w:pPr>
    <w:rPr>
      <w:b/>
    </w:rPr>
  </w:style>
  <w:style w:type="paragraph" w:customStyle="1" w:styleId="Ataglancetitle">
    <w:name w:val="At a glance title"/>
    <w:basedOn w:val="Normal"/>
    <w:qFormat/>
    <w:rsid w:val="00392E63"/>
    <w:pPr>
      <w:tabs>
        <w:tab w:val="right" w:leader="dot" w:pos="2880"/>
      </w:tabs>
    </w:pPr>
    <w:rPr>
      <w:rFonts w:ascii="Gill Sans" w:hAnsi="Gill Sans" w:cs="Gill Sans"/>
      <w:b/>
      <w:color w:val="4F81BD" w:themeColor="accent1"/>
      <w:sz w:val="22"/>
      <w:szCs w:val="20"/>
      <w:lang w:val="lv-LV"/>
    </w:rPr>
  </w:style>
  <w:style w:type="paragraph" w:customStyle="1" w:styleId="Ataglancesubtitle">
    <w:name w:val="At a glance subtitle"/>
    <w:basedOn w:val="Normal"/>
    <w:qFormat/>
    <w:rsid w:val="00392E63"/>
    <w:pPr>
      <w:tabs>
        <w:tab w:val="right" w:leader="dot" w:pos="2880"/>
      </w:tabs>
      <w:spacing w:before="120"/>
    </w:pPr>
    <w:rPr>
      <w:rFonts w:ascii="Gill Sans" w:hAnsi="Gill Sans" w:cs="Gill Sans"/>
      <w:b/>
      <w:i/>
      <w:color w:val="403152" w:themeColor="accent4" w:themeShade="80"/>
      <w:sz w:val="22"/>
      <w:szCs w:val="20"/>
      <w:lang w:val="lv-LV"/>
    </w:rPr>
  </w:style>
  <w:style w:type="paragraph" w:styleId="Quote">
    <w:name w:val="Quote"/>
    <w:aliases w:val="Long quote"/>
    <w:basedOn w:val="Normal"/>
    <w:next w:val="Normal"/>
    <w:link w:val="QuoteChar"/>
    <w:uiPriority w:val="29"/>
    <w:qFormat/>
    <w:rsid w:val="00392E63"/>
    <w:pPr>
      <w:tabs>
        <w:tab w:val="right" w:leader="dot" w:pos="2880"/>
      </w:tabs>
      <w:ind w:left="720"/>
    </w:pPr>
    <w:rPr>
      <w:rFonts w:ascii="Adobe Caslon Pro" w:hAnsi="Adobe Caslon Pro" w:cstheme="minorBidi"/>
      <w:i/>
      <w:iCs/>
      <w:color w:val="000000" w:themeColor="text1"/>
      <w:sz w:val="22"/>
      <w:szCs w:val="20"/>
      <w:lang w:val="lv-LV"/>
    </w:rPr>
  </w:style>
  <w:style w:type="character" w:customStyle="1" w:styleId="QuoteChar">
    <w:name w:val="Quote Char"/>
    <w:aliases w:val="Long quote Char"/>
    <w:basedOn w:val="DefaultParagraphFont"/>
    <w:link w:val="Quote"/>
    <w:uiPriority w:val="29"/>
    <w:rsid w:val="00392E63"/>
    <w:rPr>
      <w:rFonts w:ascii="Adobe Caslon Pro" w:hAnsi="Adobe Caslon Pro"/>
      <w:i/>
      <w:iCs/>
      <w:color w:val="000000" w:themeColor="text1"/>
      <w:sz w:val="22"/>
    </w:rPr>
  </w:style>
  <w:style w:type="paragraph" w:styleId="TOCHeading">
    <w:name w:val="TOC Heading"/>
    <w:basedOn w:val="Heading1"/>
    <w:next w:val="Normal"/>
    <w:uiPriority w:val="39"/>
    <w:semiHidden/>
    <w:unhideWhenUsed/>
    <w:qFormat/>
    <w:rsid w:val="00392E63"/>
    <w:pPr>
      <w:outlineLvl w:val="9"/>
    </w:pPr>
    <w:rPr>
      <w:rFonts w:asciiTheme="majorHAnsi" w:hAnsiTheme="majorHAnsi" w:cstheme="majorBidi"/>
      <w:color w:val="5F497A" w:themeColor="accent4" w:themeShade="BF"/>
    </w:rPr>
  </w:style>
  <w:style w:type="paragraph" w:styleId="NormalWeb">
    <w:name w:val="Normal (Web)"/>
    <w:basedOn w:val="Normal"/>
    <w:uiPriority w:val="99"/>
    <w:unhideWhenUsed/>
    <w:rsid w:val="00E11C76"/>
    <w:pPr>
      <w:spacing w:before="100" w:beforeAutospacing="1" w:after="100" w:afterAutospacing="1"/>
    </w:pPr>
    <w:rPr>
      <w:rFonts w:ascii="Times" w:hAnsi="Times"/>
      <w:szCs w:val="20"/>
      <w:lang w:val="es-ES_tradnl" w:eastAsia="es-ES_tradnl"/>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Footnotes refss"/>
    <w:basedOn w:val="Normal"/>
    <w:link w:val="FootnoteReference"/>
    <w:uiPriority w:val="99"/>
    <w:rsid w:val="00C476E2"/>
    <w:pPr>
      <w:spacing w:before="120" w:after="160" w:line="240" w:lineRule="exact"/>
    </w:pPr>
    <w:rPr>
      <w:rFonts w:ascii="Garamond" w:hAnsi="Garamond" w:cstheme="minorBidi"/>
      <w:color w:val="222222"/>
      <w:sz w:val="20"/>
      <w:szCs w:val="20"/>
      <w:vertAlign w:val="superscript"/>
      <w:lang w:val="lv-LV"/>
    </w:rPr>
  </w:style>
  <w:style w:type="paragraph" w:customStyle="1" w:styleId="p1">
    <w:name w:val="p1"/>
    <w:basedOn w:val="Normal"/>
    <w:rsid w:val="006E083E"/>
    <w:rPr>
      <w:sz w:val="17"/>
      <w:szCs w:val="17"/>
    </w:rPr>
  </w:style>
  <w:style w:type="character" w:styleId="Emphasis">
    <w:name w:val="Emphasis"/>
    <w:basedOn w:val="DefaultParagraphFont"/>
    <w:uiPriority w:val="20"/>
    <w:qFormat/>
    <w:rsid w:val="00DA6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621">
      <w:bodyDiv w:val="1"/>
      <w:marLeft w:val="0"/>
      <w:marRight w:val="0"/>
      <w:marTop w:val="0"/>
      <w:marBottom w:val="0"/>
      <w:divBdr>
        <w:top w:val="none" w:sz="0" w:space="0" w:color="auto"/>
        <w:left w:val="none" w:sz="0" w:space="0" w:color="auto"/>
        <w:bottom w:val="none" w:sz="0" w:space="0" w:color="auto"/>
        <w:right w:val="none" w:sz="0" w:space="0" w:color="auto"/>
      </w:divBdr>
    </w:div>
    <w:div w:id="24447212">
      <w:bodyDiv w:val="1"/>
      <w:marLeft w:val="0"/>
      <w:marRight w:val="0"/>
      <w:marTop w:val="0"/>
      <w:marBottom w:val="0"/>
      <w:divBdr>
        <w:top w:val="none" w:sz="0" w:space="0" w:color="auto"/>
        <w:left w:val="none" w:sz="0" w:space="0" w:color="auto"/>
        <w:bottom w:val="none" w:sz="0" w:space="0" w:color="auto"/>
        <w:right w:val="none" w:sz="0" w:space="0" w:color="auto"/>
      </w:divBdr>
    </w:div>
    <w:div w:id="25494387">
      <w:bodyDiv w:val="1"/>
      <w:marLeft w:val="0"/>
      <w:marRight w:val="0"/>
      <w:marTop w:val="0"/>
      <w:marBottom w:val="0"/>
      <w:divBdr>
        <w:top w:val="none" w:sz="0" w:space="0" w:color="auto"/>
        <w:left w:val="none" w:sz="0" w:space="0" w:color="auto"/>
        <w:bottom w:val="none" w:sz="0" w:space="0" w:color="auto"/>
        <w:right w:val="none" w:sz="0" w:space="0" w:color="auto"/>
      </w:divBdr>
    </w:div>
    <w:div w:id="40592068">
      <w:bodyDiv w:val="1"/>
      <w:marLeft w:val="0"/>
      <w:marRight w:val="0"/>
      <w:marTop w:val="0"/>
      <w:marBottom w:val="0"/>
      <w:divBdr>
        <w:top w:val="none" w:sz="0" w:space="0" w:color="auto"/>
        <w:left w:val="none" w:sz="0" w:space="0" w:color="auto"/>
        <w:bottom w:val="none" w:sz="0" w:space="0" w:color="auto"/>
        <w:right w:val="none" w:sz="0" w:space="0" w:color="auto"/>
      </w:divBdr>
    </w:div>
    <w:div w:id="50227601">
      <w:bodyDiv w:val="1"/>
      <w:marLeft w:val="0"/>
      <w:marRight w:val="0"/>
      <w:marTop w:val="0"/>
      <w:marBottom w:val="0"/>
      <w:divBdr>
        <w:top w:val="none" w:sz="0" w:space="0" w:color="auto"/>
        <w:left w:val="none" w:sz="0" w:space="0" w:color="auto"/>
        <w:bottom w:val="none" w:sz="0" w:space="0" w:color="auto"/>
        <w:right w:val="none" w:sz="0" w:space="0" w:color="auto"/>
      </w:divBdr>
    </w:div>
    <w:div w:id="55588704">
      <w:bodyDiv w:val="1"/>
      <w:marLeft w:val="0"/>
      <w:marRight w:val="0"/>
      <w:marTop w:val="0"/>
      <w:marBottom w:val="0"/>
      <w:divBdr>
        <w:top w:val="none" w:sz="0" w:space="0" w:color="auto"/>
        <w:left w:val="none" w:sz="0" w:space="0" w:color="auto"/>
        <w:bottom w:val="none" w:sz="0" w:space="0" w:color="auto"/>
        <w:right w:val="none" w:sz="0" w:space="0" w:color="auto"/>
      </w:divBdr>
    </w:div>
    <w:div w:id="82070287">
      <w:bodyDiv w:val="1"/>
      <w:marLeft w:val="0"/>
      <w:marRight w:val="0"/>
      <w:marTop w:val="0"/>
      <w:marBottom w:val="0"/>
      <w:divBdr>
        <w:top w:val="none" w:sz="0" w:space="0" w:color="auto"/>
        <w:left w:val="none" w:sz="0" w:space="0" w:color="auto"/>
        <w:bottom w:val="none" w:sz="0" w:space="0" w:color="auto"/>
        <w:right w:val="none" w:sz="0" w:space="0" w:color="auto"/>
      </w:divBdr>
    </w:div>
    <w:div w:id="85469334">
      <w:bodyDiv w:val="1"/>
      <w:marLeft w:val="0"/>
      <w:marRight w:val="0"/>
      <w:marTop w:val="0"/>
      <w:marBottom w:val="0"/>
      <w:divBdr>
        <w:top w:val="none" w:sz="0" w:space="0" w:color="auto"/>
        <w:left w:val="none" w:sz="0" w:space="0" w:color="auto"/>
        <w:bottom w:val="none" w:sz="0" w:space="0" w:color="auto"/>
        <w:right w:val="none" w:sz="0" w:space="0" w:color="auto"/>
      </w:divBdr>
    </w:div>
    <w:div w:id="95249999">
      <w:bodyDiv w:val="1"/>
      <w:marLeft w:val="0"/>
      <w:marRight w:val="0"/>
      <w:marTop w:val="0"/>
      <w:marBottom w:val="0"/>
      <w:divBdr>
        <w:top w:val="none" w:sz="0" w:space="0" w:color="auto"/>
        <w:left w:val="none" w:sz="0" w:space="0" w:color="auto"/>
        <w:bottom w:val="none" w:sz="0" w:space="0" w:color="auto"/>
        <w:right w:val="none" w:sz="0" w:space="0" w:color="auto"/>
      </w:divBdr>
    </w:div>
    <w:div w:id="99373422">
      <w:bodyDiv w:val="1"/>
      <w:marLeft w:val="0"/>
      <w:marRight w:val="0"/>
      <w:marTop w:val="0"/>
      <w:marBottom w:val="0"/>
      <w:divBdr>
        <w:top w:val="none" w:sz="0" w:space="0" w:color="auto"/>
        <w:left w:val="none" w:sz="0" w:space="0" w:color="auto"/>
        <w:bottom w:val="none" w:sz="0" w:space="0" w:color="auto"/>
        <w:right w:val="none" w:sz="0" w:space="0" w:color="auto"/>
      </w:divBdr>
    </w:div>
    <w:div w:id="112941332">
      <w:bodyDiv w:val="1"/>
      <w:marLeft w:val="0"/>
      <w:marRight w:val="0"/>
      <w:marTop w:val="0"/>
      <w:marBottom w:val="0"/>
      <w:divBdr>
        <w:top w:val="none" w:sz="0" w:space="0" w:color="auto"/>
        <w:left w:val="none" w:sz="0" w:space="0" w:color="auto"/>
        <w:bottom w:val="none" w:sz="0" w:space="0" w:color="auto"/>
        <w:right w:val="none" w:sz="0" w:space="0" w:color="auto"/>
      </w:divBdr>
    </w:div>
    <w:div w:id="118184748">
      <w:bodyDiv w:val="1"/>
      <w:marLeft w:val="0"/>
      <w:marRight w:val="0"/>
      <w:marTop w:val="0"/>
      <w:marBottom w:val="0"/>
      <w:divBdr>
        <w:top w:val="none" w:sz="0" w:space="0" w:color="auto"/>
        <w:left w:val="none" w:sz="0" w:space="0" w:color="auto"/>
        <w:bottom w:val="none" w:sz="0" w:space="0" w:color="auto"/>
        <w:right w:val="none" w:sz="0" w:space="0" w:color="auto"/>
      </w:divBdr>
    </w:div>
    <w:div w:id="141195666">
      <w:bodyDiv w:val="1"/>
      <w:marLeft w:val="0"/>
      <w:marRight w:val="0"/>
      <w:marTop w:val="0"/>
      <w:marBottom w:val="0"/>
      <w:divBdr>
        <w:top w:val="none" w:sz="0" w:space="0" w:color="auto"/>
        <w:left w:val="none" w:sz="0" w:space="0" w:color="auto"/>
        <w:bottom w:val="none" w:sz="0" w:space="0" w:color="auto"/>
        <w:right w:val="none" w:sz="0" w:space="0" w:color="auto"/>
      </w:divBdr>
    </w:div>
    <w:div w:id="147946331">
      <w:bodyDiv w:val="1"/>
      <w:marLeft w:val="0"/>
      <w:marRight w:val="0"/>
      <w:marTop w:val="0"/>
      <w:marBottom w:val="0"/>
      <w:divBdr>
        <w:top w:val="none" w:sz="0" w:space="0" w:color="auto"/>
        <w:left w:val="none" w:sz="0" w:space="0" w:color="auto"/>
        <w:bottom w:val="none" w:sz="0" w:space="0" w:color="auto"/>
        <w:right w:val="none" w:sz="0" w:space="0" w:color="auto"/>
      </w:divBdr>
    </w:div>
    <w:div w:id="179242191">
      <w:bodyDiv w:val="1"/>
      <w:marLeft w:val="0"/>
      <w:marRight w:val="0"/>
      <w:marTop w:val="0"/>
      <w:marBottom w:val="0"/>
      <w:divBdr>
        <w:top w:val="none" w:sz="0" w:space="0" w:color="auto"/>
        <w:left w:val="none" w:sz="0" w:space="0" w:color="auto"/>
        <w:bottom w:val="none" w:sz="0" w:space="0" w:color="auto"/>
        <w:right w:val="none" w:sz="0" w:space="0" w:color="auto"/>
      </w:divBdr>
    </w:div>
    <w:div w:id="264922727">
      <w:bodyDiv w:val="1"/>
      <w:marLeft w:val="0"/>
      <w:marRight w:val="0"/>
      <w:marTop w:val="0"/>
      <w:marBottom w:val="0"/>
      <w:divBdr>
        <w:top w:val="none" w:sz="0" w:space="0" w:color="auto"/>
        <w:left w:val="none" w:sz="0" w:space="0" w:color="auto"/>
        <w:bottom w:val="none" w:sz="0" w:space="0" w:color="auto"/>
        <w:right w:val="none" w:sz="0" w:space="0" w:color="auto"/>
      </w:divBdr>
    </w:div>
    <w:div w:id="270356207">
      <w:bodyDiv w:val="1"/>
      <w:marLeft w:val="0"/>
      <w:marRight w:val="0"/>
      <w:marTop w:val="0"/>
      <w:marBottom w:val="0"/>
      <w:divBdr>
        <w:top w:val="none" w:sz="0" w:space="0" w:color="auto"/>
        <w:left w:val="none" w:sz="0" w:space="0" w:color="auto"/>
        <w:bottom w:val="none" w:sz="0" w:space="0" w:color="auto"/>
        <w:right w:val="none" w:sz="0" w:space="0" w:color="auto"/>
      </w:divBdr>
    </w:div>
    <w:div w:id="279118205">
      <w:bodyDiv w:val="1"/>
      <w:marLeft w:val="0"/>
      <w:marRight w:val="0"/>
      <w:marTop w:val="0"/>
      <w:marBottom w:val="0"/>
      <w:divBdr>
        <w:top w:val="none" w:sz="0" w:space="0" w:color="auto"/>
        <w:left w:val="none" w:sz="0" w:space="0" w:color="auto"/>
        <w:bottom w:val="none" w:sz="0" w:space="0" w:color="auto"/>
        <w:right w:val="none" w:sz="0" w:space="0" w:color="auto"/>
      </w:divBdr>
    </w:div>
    <w:div w:id="320275784">
      <w:bodyDiv w:val="1"/>
      <w:marLeft w:val="0"/>
      <w:marRight w:val="0"/>
      <w:marTop w:val="0"/>
      <w:marBottom w:val="0"/>
      <w:divBdr>
        <w:top w:val="none" w:sz="0" w:space="0" w:color="auto"/>
        <w:left w:val="none" w:sz="0" w:space="0" w:color="auto"/>
        <w:bottom w:val="none" w:sz="0" w:space="0" w:color="auto"/>
        <w:right w:val="none" w:sz="0" w:space="0" w:color="auto"/>
      </w:divBdr>
    </w:div>
    <w:div w:id="358623195">
      <w:bodyDiv w:val="1"/>
      <w:marLeft w:val="0"/>
      <w:marRight w:val="0"/>
      <w:marTop w:val="0"/>
      <w:marBottom w:val="0"/>
      <w:divBdr>
        <w:top w:val="none" w:sz="0" w:space="0" w:color="auto"/>
        <w:left w:val="none" w:sz="0" w:space="0" w:color="auto"/>
        <w:bottom w:val="none" w:sz="0" w:space="0" w:color="auto"/>
        <w:right w:val="none" w:sz="0" w:space="0" w:color="auto"/>
      </w:divBdr>
    </w:div>
    <w:div w:id="407655250">
      <w:bodyDiv w:val="1"/>
      <w:marLeft w:val="0"/>
      <w:marRight w:val="0"/>
      <w:marTop w:val="0"/>
      <w:marBottom w:val="0"/>
      <w:divBdr>
        <w:top w:val="none" w:sz="0" w:space="0" w:color="auto"/>
        <w:left w:val="none" w:sz="0" w:space="0" w:color="auto"/>
        <w:bottom w:val="none" w:sz="0" w:space="0" w:color="auto"/>
        <w:right w:val="none" w:sz="0" w:space="0" w:color="auto"/>
      </w:divBdr>
    </w:div>
    <w:div w:id="426652670">
      <w:bodyDiv w:val="1"/>
      <w:marLeft w:val="0"/>
      <w:marRight w:val="0"/>
      <w:marTop w:val="0"/>
      <w:marBottom w:val="0"/>
      <w:divBdr>
        <w:top w:val="none" w:sz="0" w:space="0" w:color="auto"/>
        <w:left w:val="none" w:sz="0" w:space="0" w:color="auto"/>
        <w:bottom w:val="none" w:sz="0" w:space="0" w:color="auto"/>
        <w:right w:val="none" w:sz="0" w:space="0" w:color="auto"/>
      </w:divBdr>
    </w:div>
    <w:div w:id="430200454">
      <w:bodyDiv w:val="1"/>
      <w:marLeft w:val="0"/>
      <w:marRight w:val="0"/>
      <w:marTop w:val="0"/>
      <w:marBottom w:val="0"/>
      <w:divBdr>
        <w:top w:val="none" w:sz="0" w:space="0" w:color="auto"/>
        <w:left w:val="none" w:sz="0" w:space="0" w:color="auto"/>
        <w:bottom w:val="none" w:sz="0" w:space="0" w:color="auto"/>
        <w:right w:val="none" w:sz="0" w:space="0" w:color="auto"/>
      </w:divBdr>
    </w:div>
    <w:div w:id="441653062">
      <w:bodyDiv w:val="1"/>
      <w:marLeft w:val="0"/>
      <w:marRight w:val="0"/>
      <w:marTop w:val="0"/>
      <w:marBottom w:val="0"/>
      <w:divBdr>
        <w:top w:val="none" w:sz="0" w:space="0" w:color="auto"/>
        <w:left w:val="none" w:sz="0" w:space="0" w:color="auto"/>
        <w:bottom w:val="none" w:sz="0" w:space="0" w:color="auto"/>
        <w:right w:val="none" w:sz="0" w:space="0" w:color="auto"/>
      </w:divBdr>
    </w:div>
    <w:div w:id="459305168">
      <w:bodyDiv w:val="1"/>
      <w:marLeft w:val="0"/>
      <w:marRight w:val="0"/>
      <w:marTop w:val="0"/>
      <w:marBottom w:val="0"/>
      <w:divBdr>
        <w:top w:val="none" w:sz="0" w:space="0" w:color="auto"/>
        <w:left w:val="none" w:sz="0" w:space="0" w:color="auto"/>
        <w:bottom w:val="none" w:sz="0" w:space="0" w:color="auto"/>
        <w:right w:val="none" w:sz="0" w:space="0" w:color="auto"/>
      </w:divBdr>
    </w:div>
    <w:div w:id="465390694">
      <w:bodyDiv w:val="1"/>
      <w:marLeft w:val="0"/>
      <w:marRight w:val="0"/>
      <w:marTop w:val="0"/>
      <w:marBottom w:val="0"/>
      <w:divBdr>
        <w:top w:val="none" w:sz="0" w:space="0" w:color="auto"/>
        <w:left w:val="none" w:sz="0" w:space="0" w:color="auto"/>
        <w:bottom w:val="none" w:sz="0" w:space="0" w:color="auto"/>
        <w:right w:val="none" w:sz="0" w:space="0" w:color="auto"/>
      </w:divBdr>
    </w:div>
    <w:div w:id="481965567">
      <w:bodyDiv w:val="1"/>
      <w:marLeft w:val="0"/>
      <w:marRight w:val="0"/>
      <w:marTop w:val="0"/>
      <w:marBottom w:val="0"/>
      <w:divBdr>
        <w:top w:val="none" w:sz="0" w:space="0" w:color="auto"/>
        <w:left w:val="none" w:sz="0" w:space="0" w:color="auto"/>
        <w:bottom w:val="none" w:sz="0" w:space="0" w:color="auto"/>
        <w:right w:val="none" w:sz="0" w:space="0" w:color="auto"/>
      </w:divBdr>
    </w:div>
    <w:div w:id="499463800">
      <w:bodyDiv w:val="1"/>
      <w:marLeft w:val="0"/>
      <w:marRight w:val="0"/>
      <w:marTop w:val="0"/>
      <w:marBottom w:val="0"/>
      <w:divBdr>
        <w:top w:val="none" w:sz="0" w:space="0" w:color="auto"/>
        <w:left w:val="none" w:sz="0" w:space="0" w:color="auto"/>
        <w:bottom w:val="none" w:sz="0" w:space="0" w:color="auto"/>
        <w:right w:val="none" w:sz="0" w:space="0" w:color="auto"/>
      </w:divBdr>
    </w:div>
    <w:div w:id="545484462">
      <w:bodyDiv w:val="1"/>
      <w:marLeft w:val="0"/>
      <w:marRight w:val="0"/>
      <w:marTop w:val="0"/>
      <w:marBottom w:val="0"/>
      <w:divBdr>
        <w:top w:val="none" w:sz="0" w:space="0" w:color="auto"/>
        <w:left w:val="none" w:sz="0" w:space="0" w:color="auto"/>
        <w:bottom w:val="none" w:sz="0" w:space="0" w:color="auto"/>
        <w:right w:val="none" w:sz="0" w:space="0" w:color="auto"/>
      </w:divBdr>
    </w:div>
    <w:div w:id="594704006">
      <w:bodyDiv w:val="1"/>
      <w:marLeft w:val="0"/>
      <w:marRight w:val="0"/>
      <w:marTop w:val="0"/>
      <w:marBottom w:val="0"/>
      <w:divBdr>
        <w:top w:val="none" w:sz="0" w:space="0" w:color="auto"/>
        <w:left w:val="none" w:sz="0" w:space="0" w:color="auto"/>
        <w:bottom w:val="none" w:sz="0" w:space="0" w:color="auto"/>
        <w:right w:val="none" w:sz="0" w:space="0" w:color="auto"/>
      </w:divBdr>
    </w:div>
    <w:div w:id="600770497">
      <w:bodyDiv w:val="1"/>
      <w:marLeft w:val="0"/>
      <w:marRight w:val="0"/>
      <w:marTop w:val="0"/>
      <w:marBottom w:val="0"/>
      <w:divBdr>
        <w:top w:val="none" w:sz="0" w:space="0" w:color="auto"/>
        <w:left w:val="none" w:sz="0" w:space="0" w:color="auto"/>
        <w:bottom w:val="none" w:sz="0" w:space="0" w:color="auto"/>
        <w:right w:val="none" w:sz="0" w:space="0" w:color="auto"/>
      </w:divBdr>
    </w:div>
    <w:div w:id="603999787">
      <w:bodyDiv w:val="1"/>
      <w:marLeft w:val="0"/>
      <w:marRight w:val="0"/>
      <w:marTop w:val="0"/>
      <w:marBottom w:val="0"/>
      <w:divBdr>
        <w:top w:val="none" w:sz="0" w:space="0" w:color="auto"/>
        <w:left w:val="none" w:sz="0" w:space="0" w:color="auto"/>
        <w:bottom w:val="none" w:sz="0" w:space="0" w:color="auto"/>
        <w:right w:val="none" w:sz="0" w:space="0" w:color="auto"/>
      </w:divBdr>
    </w:div>
    <w:div w:id="619921325">
      <w:bodyDiv w:val="1"/>
      <w:marLeft w:val="0"/>
      <w:marRight w:val="0"/>
      <w:marTop w:val="0"/>
      <w:marBottom w:val="0"/>
      <w:divBdr>
        <w:top w:val="none" w:sz="0" w:space="0" w:color="auto"/>
        <w:left w:val="none" w:sz="0" w:space="0" w:color="auto"/>
        <w:bottom w:val="none" w:sz="0" w:space="0" w:color="auto"/>
        <w:right w:val="none" w:sz="0" w:space="0" w:color="auto"/>
      </w:divBdr>
    </w:div>
    <w:div w:id="649215211">
      <w:bodyDiv w:val="1"/>
      <w:marLeft w:val="0"/>
      <w:marRight w:val="0"/>
      <w:marTop w:val="0"/>
      <w:marBottom w:val="0"/>
      <w:divBdr>
        <w:top w:val="none" w:sz="0" w:space="0" w:color="auto"/>
        <w:left w:val="none" w:sz="0" w:space="0" w:color="auto"/>
        <w:bottom w:val="none" w:sz="0" w:space="0" w:color="auto"/>
        <w:right w:val="none" w:sz="0" w:space="0" w:color="auto"/>
      </w:divBdr>
    </w:div>
    <w:div w:id="673144764">
      <w:bodyDiv w:val="1"/>
      <w:marLeft w:val="0"/>
      <w:marRight w:val="0"/>
      <w:marTop w:val="0"/>
      <w:marBottom w:val="0"/>
      <w:divBdr>
        <w:top w:val="none" w:sz="0" w:space="0" w:color="auto"/>
        <w:left w:val="none" w:sz="0" w:space="0" w:color="auto"/>
        <w:bottom w:val="none" w:sz="0" w:space="0" w:color="auto"/>
        <w:right w:val="none" w:sz="0" w:space="0" w:color="auto"/>
      </w:divBdr>
    </w:div>
    <w:div w:id="678197341">
      <w:bodyDiv w:val="1"/>
      <w:marLeft w:val="0"/>
      <w:marRight w:val="0"/>
      <w:marTop w:val="0"/>
      <w:marBottom w:val="0"/>
      <w:divBdr>
        <w:top w:val="none" w:sz="0" w:space="0" w:color="auto"/>
        <w:left w:val="none" w:sz="0" w:space="0" w:color="auto"/>
        <w:bottom w:val="none" w:sz="0" w:space="0" w:color="auto"/>
        <w:right w:val="none" w:sz="0" w:space="0" w:color="auto"/>
      </w:divBdr>
    </w:div>
    <w:div w:id="707411469">
      <w:bodyDiv w:val="1"/>
      <w:marLeft w:val="0"/>
      <w:marRight w:val="0"/>
      <w:marTop w:val="0"/>
      <w:marBottom w:val="0"/>
      <w:divBdr>
        <w:top w:val="none" w:sz="0" w:space="0" w:color="auto"/>
        <w:left w:val="none" w:sz="0" w:space="0" w:color="auto"/>
        <w:bottom w:val="none" w:sz="0" w:space="0" w:color="auto"/>
        <w:right w:val="none" w:sz="0" w:space="0" w:color="auto"/>
      </w:divBdr>
    </w:div>
    <w:div w:id="763381943">
      <w:bodyDiv w:val="1"/>
      <w:marLeft w:val="0"/>
      <w:marRight w:val="0"/>
      <w:marTop w:val="0"/>
      <w:marBottom w:val="0"/>
      <w:divBdr>
        <w:top w:val="none" w:sz="0" w:space="0" w:color="auto"/>
        <w:left w:val="none" w:sz="0" w:space="0" w:color="auto"/>
        <w:bottom w:val="none" w:sz="0" w:space="0" w:color="auto"/>
        <w:right w:val="none" w:sz="0" w:space="0" w:color="auto"/>
      </w:divBdr>
    </w:div>
    <w:div w:id="763646757">
      <w:bodyDiv w:val="1"/>
      <w:marLeft w:val="0"/>
      <w:marRight w:val="0"/>
      <w:marTop w:val="0"/>
      <w:marBottom w:val="0"/>
      <w:divBdr>
        <w:top w:val="none" w:sz="0" w:space="0" w:color="auto"/>
        <w:left w:val="none" w:sz="0" w:space="0" w:color="auto"/>
        <w:bottom w:val="none" w:sz="0" w:space="0" w:color="auto"/>
        <w:right w:val="none" w:sz="0" w:space="0" w:color="auto"/>
      </w:divBdr>
    </w:div>
    <w:div w:id="766003245">
      <w:bodyDiv w:val="1"/>
      <w:marLeft w:val="0"/>
      <w:marRight w:val="0"/>
      <w:marTop w:val="0"/>
      <w:marBottom w:val="0"/>
      <w:divBdr>
        <w:top w:val="none" w:sz="0" w:space="0" w:color="auto"/>
        <w:left w:val="none" w:sz="0" w:space="0" w:color="auto"/>
        <w:bottom w:val="none" w:sz="0" w:space="0" w:color="auto"/>
        <w:right w:val="none" w:sz="0" w:space="0" w:color="auto"/>
      </w:divBdr>
    </w:div>
    <w:div w:id="774832684">
      <w:bodyDiv w:val="1"/>
      <w:marLeft w:val="0"/>
      <w:marRight w:val="0"/>
      <w:marTop w:val="0"/>
      <w:marBottom w:val="0"/>
      <w:divBdr>
        <w:top w:val="none" w:sz="0" w:space="0" w:color="auto"/>
        <w:left w:val="none" w:sz="0" w:space="0" w:color="auto"/>
        <w:bottom w:val="none" w:sz="0" w:space="0" w:color="auto"/>
        <w:right w:val="none" w:sz="0" w:space="0" w:color="auto"/>
      </w:divBdr>
    </w:div>
    <w:div w:id="779446728">
      <w:bodyDiv w:val="1"/>
      <w:marLeft w:val="0"/>
      <w:marRight w:val="0"/>
      <w:marTop w:val="0"/>
      <w:marBottom w:val="0"/>
      <w:divBdr>
        <w:top w:val="none" w:sz="0" w:space="0" w:color="auto"/>
        <w:left w:val="none" w:sz="0" w:space="0" w:color="auto"/>
        <w:bottom w:val="none" w:sz="0" w:space="0" w:color="auto"/>
        <w:right w:val="none" w:sz="0" w:space="0" w:color="auto"/>
      </w:divBdr>
    </w:div>
    <w:div w:id="866479569">
      <w:bodyDiv w:val="1"/>
      <w:marLeft w:val="0"/>
      <w:marRight w:val="0"/>
      <w:marTop w:val="0"/>
      <w:marBottom w:val="0"/>
      <w:divBdr>
        <w:top w:val="none" w:sz="0" w:space="0" w:color="auto"/>
        <w:left w:val="none" w:sz="0" w:space="0" w:color="auto"/>
        <w:bottom w:val="none" w:sz="0" w:space="0" w:color="auto"/>
        <w:right w:val="none" w:sz="0" w:space="0" w:color="auto"/>
      </w:divBdr>
    </w:div>
    <w:div w:id="873425523">
      <w:bodyDiv w:val="1"/>
      <w:marLeft w:val="0"/>
      <w:marRight w:val="0"/>
      <w:marTop w:val="0"/>
      <w:marBottom w:val="0"/>
      <w:divBdr>
        <w:top w:val="none" w:sz="0" w:space="0" w:color="auto"/>
        <w:left w:val="none" w:sz="0" w:space="0" w:color="auto"/>
        <w:bottom w:val="none" w:sz="0" w:space="0" w:color="auto"/>
        <w:right w:val="none" w:sz="0" w:space="0" w:color="auto"/>
      </w:divBdr>
    </w:div>
    <w:div w:id="876814558">
      <w:bodyDiv w:val="1"/>
      <w:marLeft w:val="0"/>
      <w:marRight w:val="0"/>
      <w:marTop w:val="0"/>
      <w:marBottom w:val="0"/>
      <w:divBdr>
        <w:top w:val="none" w:sz="0" w:space="0" w:color="auto"/>
        <w:left w:val="none" w:sz="0" w:space="0" w:color="auto"/>
        <w:bottom w:val="none" w:sz="0" w:space="0" w:color="auto"/>
        <w:right w:val="none" w:sz="0" w:space="0" w:color="auto"/>
      </w:divBdr>
    </w:div>
    <w:div w:id="915625844">
      <w:bodyDiv w:val="1"/>
      <w:marLeft w:val="0"/>
      <w:marRight w:val="0"/>
      <w:marTop w:val="0"/>
      <w:marBottom w:val="0"/>
      <w:divBdr>
        <w:top w:val="none" w:sz="0" w:space="0" w:color="auto"/>
        <w:left w:val="none" w:sz="0" w:space="0" w:color="auto"/>
        <w:bottom w:val="none" w:sz="0" w:space="0" w:color="auto"/>
        <w:right w:val="none" w:sz="0" w:space="0" w:color="auto"/>
      </w:divBdr>
    </w:div>
    <w:div w:id="943422038">
      <w:bodyDiv w:val="1"/>
      <w:marLeft w:val="0"/>
      <w:marRight w:val="0"/>
      <w:marTop w:val="0"/>
      <w:marBottom w:val="0"/>
      <w:divBdr>
        <w:top w:val="none" w:sz="0" w:space="0" w:color="auto"/>
        <w:left w:val="none" w:sz="0" w:space="0" w:color="auto"/>
        <w:bottom w:val="none" w:sz="0" w:space="0" w:color="auto"/>
        <w:right w:val="none" w:sz="0" w:space="0" w:color="auto"/>
      </w:divBdr>
    </w:div>
    <w:div w:id="949094999">
      <w:bodyDiv w:val="1"/>
      <w:marLeft w:val="0"/>
      <w:marRight w:val="0"/>
      <w:marTop w:val="0"/>
      <w:marBottom w:val="0"/>
      <w:divBdr>
        <w:top w:val="none" w:sz="0" w:space="0" w:color="auto"/>
        <w:left w:val="none" w:sz="0" w:space="0" w:color="auto"/>
        <w:bottom w:val="none" w:sz="0" w:space="0" w:color="auto"/>
        <w:right w:val="none" w:sz="0" w:space="0" w:color="auto"/>
      </w:divBdr>
    </w:div>
    <w:div w:id="956376858">
      <w:bodyDiv w:val="1"/>
      <w:marLeft w:val="0"/>
      <w:marRight w:val="0"/>
      <w:marTop w:val="0"/>
      <w:marBottom w:val="0"/>
      <w:divBdr>
        <w:top w:val="none" w:sz="0" w:space="0" w:color="auto"/>
        <w:left w:val="none" w:sz="0" w:space="0" w:color="auto"/>
        <w:bottom w:val="none" w:sz="0" w:space="0" w:color="auto"/>
        <w:right w:val="none" w:sz="0" w:space="0" w:color="auto"/>
      </w:divBdr>
    </w:div>
    <w:div w:id="988824773">
      <w:bodyDiv w:val="1"/>
      <w:marLeft w:val="0"/>
      <w:marRight w:val="0"/>
      <w:marTop w:val="0"/>
      <w:marBottom w:val="0"/>
      <w:divBdr>
        <w:top w:val="none" w:sz="0" w:space="0" w:color="auto"/>
        <w:left w:val="none" w:sz="0" w:space="0" w:color="auto"/>
        <w:bottom w:val="none" w:sz="0" w:space="0" w:color="auto"/>
        <w:right w:val="none" w:sz="0" w:space="0" w:color="auto"/>
      </w:divBdr>
    </w:div>
    <w:div w:id="989093646">
      <w:bodyDiv w:val="1"/>
      <w:marLeft w:val="0"/>
      <w:marRight w:val="0"/>
      <w:marTop w:val="0"/>
      <w:marBottom w:val="0"/>
      <w:divBdr>
        <w:top w:val="none" w:sz="0" w:space="0" w:color="auto"/>
        <w:left w:val="none" w:sz="0" w:space="0" w:color="auto"/>
        <w:bottom w:val="none" w:sz="0" w:space="0" w:color="auto"/>
        <w:right w:val="none" w:sz="0" w:space="0" w:color="auto"/>
      </w:divBdr>
    </w:div>
    <w:div w:id="1007708889">
      <w:bodyDiv w:val="1"/>
      <w:marLeft w:val="0"/>
      <w:marRight w:val="0"/>
      <w:marTop w:val="0"/>
      <w:marBottom w:val="0"/>
      <w:divBdr>
        <w:top w:val="none" w:sz="0" w:space="0" w:color="auto"/>
        <w:left w:val="none" w:sz="0" w:space="0" w:color="auto"/>
        <w:bottom w:val="none" w:sz="0" w:space="0" w:color="auto"/>
        <w:right w:val="none" w:sz="0" w:space="0" w:color="auto"/>
      </w:divBdr>
    </w:div>
    <w:div w:id="1012149495">
      <w:bodyDiv w:val="1"/>
      <w:marLeft w:val="0"/>
      <w:marRight w:val="0"/>
      <w:marTop w:val="0"/>
      <w:marBottom w:val="0"/>
      <w:divBdr>
        <w:top w:val="none" w:sz="0" w:space="0" w:color="auto"/>
        <w:left w:val="none" w:sz="0" w:space="0" w:color="auto"/>
        <w:bottom w:val="none" w:sz="0" w:space="0" w:color="auto"/>
        <w:right w:val="none" w:sz="0" w:space="0" w:color="auto"/>
      </w:divBdr>
    </w:div>
    <w:div w:id="1044014500">
      <w:bodyDiv w:val="1"/>
      <w:marLeft w:val="0"/>
      <w:marRight w:val="0"/>
      <w:marTop w:val="0"/>
      <w:marBottom w:val="0"/>
      <w:divBdr>
        <w:top w:val="none" w:sz="0" w:space="0" w:color="auto"/>
        <w:left w:val="none" w:sz="0" w:space="0" w:color="auto"/>
        <w:bottom w:val="none" w:sz="0" w:space="0" w:color="auto"/>
        <w:right w:val="none" w:sz="0" w:space="0" w:color="auto"/>
      </w:divBdr>
    </w:div>
    <w:div w:id="1101028855">
      <w:bodyDiv w:val="1"/>
      <w:marLeft w:val="0"/>
      <w:marRight w:val="0"/>
      <w:marTop w:val="0"/>
      <w:marBottom w:val="0"/>
      <w:divBdr>
        <w:top w:val="none" w:sz="0" w:space="0" w:color="auto"/>
        <w:left w:val="none" w:sz="0" w:space="0" w:color="auto"/>
        <w:bottom w:val="none" w:sz="0" w:space="0" w:color="auto"/>
        <w:right w:val="none" w:sz="0" w:space="0" w:color="auto"/>
      </w:divBdr>
    </w:div>
    <w:div w:id="1114397578">
      <w:bodyDiv w:val="1"/>
      <w:marLeft w:val="0"/>
      <w:marRight w:val="0"/>
      <w:marTop w:val="0"/>
      <w:marBottom w:val="0"/>
      <w:divBdr>
        <w:top w:val="none" w:sz="0" w:space="0" w:color="auto"/>
        <w:left w:val="none" w:sz="0" w:space="0" w:color="auto"/>
        <w:bottom w:val="none" w:sz="0" w:space="0" w:color="auto"/>
        <w:right w:val="none" w:sz="0" w:space="0" w:color="auto"/>
      </w:divBdr>
    </w:div>
    <w:div w:id="1150055316">
      <w:bodyDiv w:val="1"/>
      <w:marLeft w:val="0"/>
      <w:marRight w:val="0"/>
      <w:marTop w:val="0"/>
      <w:marBottom w:val="0"/>
      <w:divBdr>
        <w:top w:val="none" w:sz="0" w:space="0" w:color="auto"/>
        <w:left w:val="none" w:sz="0" w:space="0" w:color="auto"/>
        <w:bottom w:val="none" w:sz="0" w:space="0" w:color="auto"/>
        <w:right w:val="none" w:sz="0" w:space="0" w:color="auto"/>
      </w:divBdr>
    </w:div>
    <w:div w:id="1161585736">
      <w:bodyDiv w:val="1"/>
      <w:marLeft w:val="0"/>
      <w:marRight w:val="0"/>
      <w:marTop w:val="0"/>
      <w:marBottom w:val="0"/>
      <w:divBdr>
        <w:top w:val="none" w:sz="0" w:space="0" w:color="auto"/>
        <w:left w:val="none" w:sz="0" w:space="0" w:color="auto"/>
        <w:bottom w:val="none" w:sz="0" w:space="0" w:color="auto"/>
        <w:right w:val="none" w:sz="0" w:space="0" w:color="auto"/>
      </w:divBdr>
    </w:div>
    <w:div w:id="1189486264">
      <w:bodyDiv w:val="1"/>
      <w:marLeft w:val="0"/>
      <w:marRight w:val="0"/>
      <w:marTop w:val="0"/>
      <w:marBottom w:val="0"/>
      <w:divBdr>
        <w:top w:val="none" w:sz="0" w:space="0" w:color="auto"/>
        <w:left w:val="none" w:sz="0" w:space="0" w:color="auto"/>
        <w:bottom w:val="none" w:sz="0" w:space="0" w:color="auto"/>
        <w:right w:val="none" w:sz="0" w:space="0" w:color="auto"/>
      </w:divBdr>
    </w:div>
    <w:div w:id="1206143632">
      <w:bodyDiv w:val="1"/>
      <w:marLeft w:val="0"/>
      <w:marRight w:val="0"/>
      <w:marTop w:val="0"/>
      <w:marBottom w:val="0"/>
      <w:divBdr>
        <w:top w:val="none" w:sz="0" w:space="0" w:color="auto"/>
        <w:left w:val="none" w:sz="0" w:space="0" w:color="auto"/>
        <w:bottom w:val="none" w:sz="0" w:space="0" w:color="auto"/>
        <w:right w:val="none" w:sz="0" w:space="0" w:color="auto"/>
      </w:divBdr>
    </w:div>
    <w:div w:id="1269393960">
      <w:bodyDiv w:val="1"/>
      <w:marLeft w:val="0"/>
      <w:marRight w:val="0"/>
      <w:marTop w:val="0"/>
      <w:marBottom w:val="0"/>
      <w:divBdr>
        <w:top w:val="none" w:sz="0" w:space="0" w:color="auto"/>
        <w:left w:val="none" w:sz="0" w:space="0" w:color="auto"/>
        <w:bottom w:val="none" w:sz="0" w:space="0" w:color="auto"/>
        <w:right w:val="none" w:sz="0" w:space="0" w:color="auto"/>
      </w:divBdr>
    </w:div>
    <w:div w:id="1277180844">
      <w:bodyDiv w:val="1"/>
      <w:marLeft w:val="0"/>
      <w:marRight w:val="0"/>
      <w:marTop w:val="0"/>
      <w:marBottom w:val="0"/>
      <w:divBdr>
        <w:top w:val="none" w:sz="0" w:space="0" w:color="auto"/>
        <w:left w:val="none" w:sz="0" w:space="0" w:color="auto"/>
        <w:bottom w:val="none" w:sz="0" w:space="0" w:color="auto"/>
        <w:right w:val="none" w:sz="0" w:space="0" w:color="auto"/>
      </w:divBdr>
    </w:div>
    <w:div w:id="1282761792">
      <w:bodyDiv w:val="1"/>
      <w:marLeft w:val="0"/>
      <w:marRight w:val="0"/>
      <w:marTop w:val="0"/>
      <w:marBottom w:val="0"/>
      <w:divBdr>
        <w:top w:val="none" w:sz="0" w:space="0" w:color="auto"/>
        <w:left w:val="none" w:sz="0" w:space="0" w:color="auto"/>
        <w:bottom w:val="none" w:sz="0" w:space="0" w:color="auto"/>
        <w:right w:val="none" w:sz="0" w:space="0" w:color="auto"/>
      </w:divBdr>
    </w:div>
    <w:div w:id="1308365249">
      <w:bodyDiv w:val="1"/>
      <w:marLeft w:val="0"/>
      <w:marRight w:val="0"/>
      <w:marTop w:val="0"/>
      <w:marBottom w:val="0"/>
      <w:divBdr>
        <w:top w:val="none" w:sz="0" w:space="0" w:color="auto"/>
        <w:left w:val="none" w:sz="0" w:space="0" w:color="auto"/>
        <w:bottom w:val="none" w:sz="0" w:space="0" w:color="auto"/>
        <w:right w:val="none" w:sz="0" w:space="0" w:color="auto"/>
      </w:divBdr>
    </w:div>
    <w:div w:id="1349872511">
      <w:bodyDiv w:val="1"/>
      <w:marLeft w:val="0"/>
      <w:marRight w:val="0"/>
      <w:marTop w:val="0"/>
      <w:marBottom w:val="0"/>
      <w:divBdr>
        <w:top w:val="none" w:sz="0" w:space="0" w:color="auto"/>
        <w:left w:val="none" w:sz="0" w:space="0" w:color="auto"/>
        <w:bottom w:val="none" w:sz="0" w:space="0" w:color="auto"/>
        <w:right w:val="none" w:sz="0" w:space="0" w:color="auto"/>
      </w:divBdr>
    </w:div>
    <w:div w:id="1354308514">
      <w:bodyDiv w:val="1"/>
      <w:marLeft w:val="0"/>
      <w:marRight w:val="0"/>
      <w:marTop w:val="0"/>
      <w:marBottom w:val="0"/>
      <w:divBdr>
        <w:top w:val="none" w:sz="0" w:space="0" w:color="auto"/>
        <w:left w:val="none" w:sz="0" w:space="0" w:color="auto"/>
        <w:bottom w:val="none" w:sz="0" w:space="0" w:color="auto"/>
        <w:right w:val="none" w:sz="0" w:space="0" w:color="auto"/>
      </w:divBdr>
    </w:div>
    <w:div w:id="1389649750">
      <w:bodyDiv w:val="1"/>
      <w:marLeft w:val="0"/>
      <w:marRight w:val="0"/>
      <w:marTop w:val="0"/>
      <w:marBottom w:val="0"/>
      <w:divBdr>
        <w:top w:val="none" w:sz="0" w:space="0" w:color="auto"/>
        <w:left w:val="none" w:sz="0" w:space="0" w:color="auto"/>
        <w:bottom w:val="none" w:sz="0" w:space="0" w:color="auto"/>
        <w:right w:val="none" w:sz="0" w:space="0" w:color="auto"/>
      </w:divBdr>
    </w:div>
    <w:div w:id="1390570461">
      <w:bodyDiv w:val="1"/>
      <w:marLeft w:val="0"/>
      <w:marRight w:val="0"/>
      <w:marTop w:val="0"/>
      <w:marBottom w:val="0"/>
      <w:divBdr>
        <w:top w:val="none" w:sz="0" w:space="0" w:color="auto"/>
        <w:left w:val="none" w:sz="0" w:space="0" w:color="auto"/>
        <w:bottom w:val="none" w:sz="0" w:space="0" w:color="auto"/>
        <w:right w:val="none" w:sz="0" w:space="0" w:color="auto"/>
      </w:divBdr>
    </w:div>
    <w:div w:id="1427650221">
      <w:bodyDiv w:val="1"/>
      <w:marLeft w:val="0"/>
      <w:marRight w:val="0"/>
      <w:marTop w:val="0"/>
      <w:marBottom w:val="0"/>
      <w:divBdr>
        <w:top w:val="none" w:sz="0" w:space="0" w:color="auto"/>
        <w:left w:val="none" w:sz="0" w:space="0" w:color="auto"/>
        <w:bottom w:val="none" w:sz="0" w:space="0" w:color="auto"/>
        <w:right w:val="none" w:sz="0" w:space="0" w:color="auto"/>
      </w:divBdr>
    </w:div>
    <w:div w:id="1443455572">
      <w:bodyDiv w:val="1"/>
      <w:marLeft w:val="0"/>
      <w:marRight w:val="0"/>
      <w:marTop w:val="0"/>
      <w:marBottom w:val="0"/>
      <w:divBdr>
        <w:top w:val="none" w:sz="0" w:space="0" w:color="auto"/>
        <w:left w:val="none" w:sz="0" w:space="0" w:color="auto"/>
        <w:bottom w:val="none" w:sz="0" w:space="0" w:color="auto"/>
        <w:right w:val="none" w:sz="0" w:space="0" w:color="auto"/>
      </w:divBdr>
    </w:div>
    <w:div w:id="1475751999">
      <w:bodyDiv w:val="1"/>
      <w:marLeft w:val="0"/>
      <w:marRight w:val="0"/>
      <w:marTop w:val="0"/>
      <w:marBottom w:val="0"/>
      <w:divBdr>
        <w:top w:val="none" w:sz="0" w:space="0" w:color="auto"/>
        <w:left w:val="none" w:sz="0" w:space="0" w:color="auto"/>
        <w:bottom w:val="none" w:sz="0" w:space="0" w:color="auto"/>
        <w:right w:val="none" w:sz="0" w:space="0" w:color="auto"/>
      </w:divBdr>
    </w:div>
    <w:div w:id="1495294780">
      <w:bodyDiv w:val="1"/>
      <w:marLeft w:val="0"/>
      <w:marRight w:val="0"/>
      <w:marTop w:val="0"/>
      <w:marBottom w:val="0"/>
      <w:divBdr>
        <w:top w:val="none" w:sz="0" w:space="0" w:color="auto"/>
        <w:left w:val="none" w:sz="0" w:space="0" w:color="auto"/>
        <w:bottom w:val="none" w:sz="0" w:space="0" w:color="auto"/>
        <w:right w:val="none" w:sz="0" w:space="0" w:color="auto"/>
      </w:divBdr>
    </w:div>
    <w:div w:id="1513109860">
      <w:bodyDiv w:val="1"/>
      <w:marLeft w:val="0"/>
      <w:marRight w:val="0"/>
      <w:marTop w:val="0"/>
      <w:marBottom w:val="0"/>
      <w:divBdr>
        <w:top w:val="none" w:sz="0" w:space="0" w:color="auto"/>
        <w:left w:val="none" w:sz="0" w:space="0" w:color="auto"/>
        <w:bottom w:val="none" w:sz="0" w:space="0" w:color="auto"/>
        <w:right w:val="none" w:sz="0" w:space="0" w:color="auto"/>
      </w:divBdr>
    </w:div>
    <w:div w:id="1539508126">
      <w:bodyDiv w:val="1"/>
      <w:marLeft w:val="0"/>
      <w:marRight w:val="0"/>
      <w:marTop w:val="0"/>
      <w:marBottom w:val="0"/>
      <w:divBdr>
        <w:top w:val="none" w:sz="0" w:space="0" w:color="auto"/>
        <w:left w:val="none" w:sz="0" w:space="0" w:color="auto"/>
        <w:bottom w:val="none" w:sz="0" w:space="0" w:color="auto"/>
        <w:right w:val="none" w:sz="0" w:space="0" w:color="auto"/>
      </w:divBdr>
    </w:div>
    <w:div w:id="1565794379">
      <w:bodyDiv w:val="1"/>
      <w:marLeft w:val="0"/>
      <w:marRight w:val="0"/>
      <w:marTop w:val="0"/>
      <w:marBottom w:val="0"/>
      <w:divBdr>
        <w:top w:val="none" w:sz="0" w:space="0" w:color="auto"/>
        <w:left w:val="none" w:sz="0" w:space="0" w:color="auto"/>
        <w:bottom w:val="none" w:sz="0" w:space="0" w:color="auto"/>
        <w:right w:val="none" w:sz="0" w:space="0" w:color="auto"/>
      </w:divBdr>
    </w:div>
    <w:div w:id="1638803330">
      <w:bodyDiv w:val="1"/>
      <w:marLeft w:val="0"/>
      <w:marRight w:val="0"/>
      <w:marTop w:val="0"/>
      <w:marBottom w:val="0"/>
      <w:divBdr>
        <w:top w:val="none" w:sz="0" w:space="0" w:color="auto"/>
        <w:left w:val="none" w:sz="0" w:space="0" w:color="auto"/>
        <w:bottom w:val="none" w:sz="0" w:space="0" w:color="auto"/>
        <w:right w:val="none" w:sz="0" w:space="0" w:color="auto"/>
      </w:divBdr>
    </w:div>
    <w:div w:id="1674143407">
      <w:bodyDiv w:val="1"/>
      <w:marLeft w:val="0"/>
      <w:marRight w:val="0"/>
      <w:marTop w:val="0"/>
      <w:marBottom w:val="0"/>
      <w:divBdr>
        <w:top w:val="none" w:sz="0" w:space="0" w:color="auto"/>
        <w:left w:val="none" w:sz="0" w:space="0" w:color="auto"/>
        <w:bottom w:val="none" w:sz="0" w:space="0" w:color="auto"/>
        <w:right w:val="none" w:sz="0" w:space="0" w:color="auto"/>
      </w:divBdr>
    </w:div>
    <w:div w:id="1750302666">
      <w:bodyDiv w:val="1"/>
      <w:marLeft w:val="0"/>
      <w:marRight w:val="0"/>
      <w:marTop w:val="0"/>
      <w:marBottom w:val="0"/>
      <w:divBdr>
        <w:top w:val="none" w:sz="0" w:space="0" w:color="auto"/>
        <w:left w:val="none" w:sz="0" w:space="0" w:color="auto"/>
        <w:bottom w:val="none" w:sz="0" w:space="0" w:color="auto"/>
        <w:right w:val="none" w:sz="0" w:space="0" w:color="auto"/>
      </w:divBdr>
    </w:div>
    <w:div w:id="1778478934">
      <w:bodyDiv w:val="1"/>
      <w:marLeft w:val="0"/>
      <w:marRight w:val="0"/>
      <w:marTop w:val="0"/>
      <w:marBottom w:val="0"/>
      <w:divBdr>
        <w:top w:val="none" w:sz="0" w:space="0" w:color="auto"/>
        <w:left w:val="none" w:sz="0" w:space="0" w:color="auto"/>
        <w:bottom w:val="none" w:sz="0" w:space="0" w:color="auto"/>
        <w:right w:val="none" w:sz="0" w:space="0" w:color="auto"/>
      </w:divBdr>
    </w:div>
    <w:div w:id="1783842581">
      <w:bodyDiv w:val="1"/>
      <w:marLeft w:val="0"/>
      <w:marRight w:val="0"/>
      <w:marTop w:val="0"/>
      <w:marBottom w:val="0"/>
      <w:divBdr>
        <w:top w:val="none" w:sz="0" w:space="0" w:color="auto"/>
        <w:left w:val="none" w:sz="0" w:space="0" w:color="auto"/>
        <w:bottom w:val="none" w:sz="0" w:space="0" w:color="auto"/>
        <w:right w:val="none" w:sz="0" w:space="0" w:color="auto"/>
      </w:divBdr>
    </w:div>
    <w:div w:id="1820732923">
      <w:bodyDiv w:val="1"/>
      <w:marLeft w:val="0"/>
      <w:marRight w:val="0"/>
      <w:marTop w:val="0"/>
      <w:marBottom w:val="0"/>
      <w:divBdr>
        <w:top w:val="none" w:sz="0" w:space="0" w:color="auto"/>
        <w:left w:val="none" w:sz="0" w:space="0" w:color="auto"/>
        <w:bottom w:val="none" w:sz="0" w:space="0" w:color="auto"/>
        <w:right w:val="none" w:sz="0" w:space="0" w:color="auto"/>
      </w:divBdr>
    </w:div>
    <w:div w:id="1841458704">
      <w:bodyDiv w:val="1"/>
      <w:marLeft w:val="0"/>
      <w:marRight w:val="0"/>
      <w:marTop w:val="0"/>
      <w:marBottom w:val="0"/>
      <w:divBdr>
        <w:top w:val="none" w:sz="0" w:space="0" w:color="auto"/>
        <w:left w:val="none" w:sz="0" w:space="0" w:color="auto"/>
        <w:bottom w:val="none" w:sz="0" w:space="0" w:color="auto"/>
        <w:right w:val="none" w:sz="0" w:space="0" w:color="auto"/>
      </w:divBdr>
    </w:div>
    <w:div w:id="1844974658">
      <w:bodyDiv w:val="1"/>
      <w:marLeft w:val="0"/>
      <w:marRight w:val="0"/>
      <w:marTop w:val="0"/>
      <w:marBottom w:val="0"/>
      <w:divBdr>
        <w:top w:val="none" w:sz="0" w:space="0" w:color="auto"/>
        <w:left w:val="none" w:sz="0" w:space="0" w:color="auto"/>
        <w:bottom w:val="none" w:sz="0" w:space="0" w:color="auto"/>
        <w:right w:val="none" w:sz="0" w:space="0" w:color="auto"/>
      </w:divBdr>
    </w:div>
    <w:div w:id="1845316400">
      <w:bodyDiv w:val="1"/>
      <w:marLeft w:val="0"/>
      <w:marRight w:val="0"/>
      <w:marTop w:val="0"/>
      <w:marBottom w:val="0"/>
      <w:divBdr>
        <w:top w:val="none" w:sz="0" w:space="0" w:color="auto"/>
        <w:left w:val="none" w:sz="0" w:space="0" w:color="auto"/>
        <w:bottom w:val="none" w:sz="0" w:space="0" w:color="auto"/>
        <w:right w:val="none" w:sz="0" w:space="0" w:color="auto"/>
      </w:divBdr>
    </w:div>
    <w:div w:id="1860662398">
      <w:bodyDiv w:val="1"/>
      <w:marLeft w:val="0"/>
      <w:marRight w:val="0"/>
      <w:marTop w:val="0"/>
      <w:marBottom w:val="0"/>
      <w:divBdr>
        <w:top w:val="none" w:sz="0" w:space="0" w:color="auto"/>
        <w:left w:val="none" w:sz="0" w:space="0" w:color="auto"/>
        <w:bottom w:val="none" w:sz="0" w:space="0" w:color="auto"/>
        <w:right w:val="none" w:sz="0" w:space="0" w:color="auto"/>
      </w:divBdr>
    </w:div>
    <w:div w:id="1866139144">
      <w:bodyDiv w:val="1"/>
      <w:marLeft w:val="0"/>
      <w:marRight w:val="0"/>
      <w:marTop w:val="0"/>
      <w:marBottom w:val="0"/>
      <w:divBdr>
        <w:top w:val="none" w:sz="0" w:space="0" w:color="auto"/>
        <w:left w:val="none" w:sz="0" w:space="0" w:color="auto"/>
        <w:bottom w:val="none" w:sz="0" w:space="0" w:color="auto"/>
        <w:right w:val="none" w:sz="0" w:space="0" w:color="auto"/>
      </w:divBdr>
    </w:div>
    <w:div w:id="1879007280">
      <w:bodyDiv w:val="1"/>
      <w:marLeft w:val="0"/>
      <w:marRight w:val="0"/>
      <w:marTop w:val="0"/>
      <w:marBottom w:val="0"/>
      <w:divBdr>
        <w:top w:val="none" w:sz="0" w:space="0" w:color="auto"/>
        <w:left w:val="none" w:sz="0" w:space="0" w:color="auto"/>
        <w:bottom w:val="none" w:sz="0" w:space="0" w:color="auto"/>
        <w:right w:val="none" w:sz="0" w:space="0" w:color="auto"/>
      </w:divBdr>
    </w:div>
    <w:div w:id="1902521366">
      <w:bodyDiv w:val="1"/>
      <w:marLeft w:val="0"/>
      <w:marRight w:val="0"/>
      <w:marTop w:val="0"/>
      <w:marBottom w:val="0"/>
      <w:divBdr>
        <w:top w:val="none" w:sz="0" w:space="0" w:color="auto"/>
        <w:left w:val="none" w:sz="0" w:space="0" w:color="auto"/>
        <w:bottom w:val="none" w:sz="0" w:space="0" w:color="auto"/>
        <w:right w:val="none" w:sz="0" w:space="0" w:color="auto"/>
      </w:divBdr>
    </w:div>
    <w:div w:id="1924947935">
      <w:bodyDiv w:val="1"/>
      <w:marLeft w:val="0"/>
      <w:marRight w:val="0"/>
      <w:marTop w:val="0"/>
      <w:marBottom w:val="0"/>
      <w:divBdr>
        <w:top w:val="none" w:sz="0" w:space="0" w:color="auto"/>
        <w:left w:val="none" w:sz="0" w:space="0" w:color="auto"/>
        <w:bottom w:val="none" w:sz="0" w:space="0" w:color="auto"/>
        <w:right w:val="none" w:sz="0" w:space="0" w:color="auto"/>
      </w:divBdr>
    </w:div>
    <w:div w:id="1965503917">
      <w:bodyDiv w:val="1"/>
      <w:marLeft w:val="0"/>
      <w:marRight w:val="0"/>
      <w:marTop w:val="0"/>
      <w:marBottom w:val="0"/>
      <w:divBdr>
        <w:top w:val="none" w:sz="0" w:space="0" w:color="auto"/>
        <w:left w:val="none" w:sz="0" w:space="0" w:color="auto"/>
        <w:bottom w:val="none" w:sz="0" w:space="0" w:color="auto"/>
        <w:right w:val="none" w:sz="0" w:space="0" w:color="auto"/>
      </w:divBdr>
    </w:div>
    <w:div w:id="2013945903">
      <w:bodyDiv w:val="1"/>
      <w:marLeft w:val="0"/>
      <w:marRight w:val="0"/>
      <w:marTop w:val="0"/>
      <w:marBottom w:val="0"/>
      <w:divBdr>
        <w:top w:val="none" w:sz="0" w:space="0" w:color="auto"/>
        <w:left w:val="none" w:sz="0" w:space="0" w:color="auto"/>
        <w:bottom w:val="none" w:sz="0" w:space="0" w:color="auto"/>
        <w:right w:val="none" w:sz="0" w:space="0" w:color="auto"/>
      </w:divBdr>
    </w:div>
    <w:div w:id="2038581439">
      <w:bodyDiv w:val="1"/>
      <w:marLeft w:val="0"/>
      <w:marRight w:val="0"/>
      <w:marTop w:val="0"/>
      <w:marBottom w:val="0"/>
      <w:divBdr>
        <w:top w:val="none" w:sz="0" w:space="0" w:color="auto"/>
        <w:left w:val="none" w:sz="0" w:space="0" w:color="auto"/>
        <w:bottom w:val="none" w:sz="0" w:space="0" w:color="auto"/>
        <w:right w:val="none" w:sz="0" w:space="0" w:color="auto"/>
      </w:divBdr>
    </w:div>
    <w:div w:id="2043245520">
      <w:bodyDiv w:val="1"/>
      <w:marLeft w:val="0"/>
      <w:marRight w:val="0"/>
      <w:marTop w:val="0"/>
      <w:marBottom w:val="0"/>
      <w:divBdr>
        <w:top w:val="none" w:sz="0" w:space="0" w:color="auto"/>
        <w:left w:val="none" w:sz="0" w:space="0" w:color="auto"/>
        <w:bottom w:val="none" w:sz="0" w:space="0" w:color="auto"/>
        <w:right w:val="none" w:sz="0" w:space="0" w:color="auto"/>
      </w:divBdr>
    </w:div>
    <w:div w:id="2112818869">
      <w:bodyDiv w:val="1"/>
      <w:marLeft w:val="0"/>
      <w:marRight w:val="0"/>
      <w:marTop w:val="0"/>
      <w:marBottom w:val="0"/>
      <w:divBdr>
        <w:top w:val="none" w:sz="0" w:space="0" w:color="auto"/>
        <w:left w:val="none" w:sz="0" w:space="0" w:color="auto"/>
        <w:bottom w:val="none" w:sz="0" w:space="0" w:color="auto"/>
        <w:right w:val="none" w:sz="0" w:space="0" w:color="auto"/>
      </w:divBdr>
    </w:div>
    <w:div w:id="21444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openbudget.in.ua" TargetMode="External"/><Relationship Id="rId21" Type="http://schemas.openxmlformats.org/officeDocument/2006/relationships/hyperlink" Target="http://edata.gov.ua" TargetMode="External"/><Relationship Id="rId22" Type="http://schemas.openxmlformats.org/officeDocument/2006/relationships/hyperlink" Target="http://opencity.in.ua" TargetMode="External"/><Relationship Id="rId23" Type="http://schemas.openxmlformats.org/officeDocument/2006/relationships/hyperlink" Target="http://www.openbudget.in.ua)"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yperlink" Target="http://www.opengovpartnership.org/about/about-irm" TargetMode="External"/><Relationship Id="rId16" Type="http://schemas.openxmlformats.org/officeDocument/2006/relationships/hyperlink" Target="http://www.opengovpartnership.org/explorer" TargetMode="External"/><Relationship Id="rId17" Type="http://schemas.openxmlformats.org/officeDocument/2006/relationships/hyperlink" Target="http://poslugy.gov.ua)" TargetMode="External"/><Relationship Id="rId18" Type="http://schemas.openxmlformats.org/officeDocument/2006/relationships/hyperlink" Target="http://poslugy.gov.ua)" TargetMode="External"/><Relationship Id="rId19" Type="http://schemas.openxmlformats.org/officeDocument/2006/relationships/hyperlink" Target="http://data.gov.u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20" Type="http://schemas.openxmlformats.org/officeDocument/2006/relationships/hyperlink" Target="http://bit.ly/2i3aHQg" TargetMode="External"/><Relationship Id="rId21" Type="http://schemas.openxmlformats.org/officeDocument/2006/relationships/hyperlink" Target="http://bit.ly/2irbCwJ" TargetMode="External"/><Relationship Id="rId22" Type="http://schemas.openxmlformats.org/officeDocument/2006/relationships/hyperlink" Target="http://bit.ly/2hIb0Po&#1102;" TargetMode="External"/><Relationship Id="rId23" Type="http://schemas.openxmlformats.org/officeDocument/2006/relationships/hyperlink" Target="http://bit.ly/1MTDPVZ" TargetMode="External"/><Relationship Id="rId24" Type="http://schemas.openxmlformats.org/officeDocument/2006/relationships/hyperlink" Target="http://bit.ly/1XcMgyv" TargetMode="External"/><Relationship Id="rId25" Type="http://schemas.openxmlformats.org/officeDocument/2006/relationships/hyperlink" Target="http://bit.ly/2iPCCUr" TargetMode="External"/><Relationship Id="rId26" Type="http://schemas.openxmlformats.org/officeDocument/2006/relationships/hyperlink" Target="http://bit.ly/2iAomBB" TargetMode="External"/><Relationship Id="rId27" Type="http://schemas.openxmlformats.org/officeDocument/2006/relationships/hyperlink" Target="http://bit.ly/2iAgMqw" TargetMode="External"/><Relationship Id="rId28" Type="http://schemas.openxmlformats.org/officeDocument/2006/relationships/hyperlink" Target="http://bit.ly/2j4GTmr" TargetMode="External"/><Relationship Id="rId29" Type="http://schemas.openxmlformats.org/officeDocument/2006/relationships/hyperlink" Target="http://bit.ly/2j4BGLr" TargetMode="External"/><Relationship Id="rId1" Type="http://schemas.openxmlformats.org/officeDocument/2006/relationships/hyperlink" Target="http://bit.ly/2glgW3s" TargetMode="External"/><Relationship Id="rId2" Type="http://schemas.openxmlformats.org/officeDocument/2006/relationships/hyperlink" Target="http://bit.ly/2hkz6A7" TargetMode="External"/><Relationship Id="rId3" Type="http://schemas.openxmlformats.org/officeDocument/2006/relationships/hyperlink" Target="http://bit.ly/2ily5va" TargetMode="External"/><Relationship Id="rId4" Type="http://schemas.openxmlformats.org/officeDocument/2006/relationships/hyperlink" Target="http://bit.ly/2mSUovN" TargetMode="External"/><Relationship Id="rId5" Type="http://schemas.openxmlformats.org/officeDocument/2006/relationships/hyperlink" Target="http://bit.ly/2nw0nUg" TargetMode="External"/><Relationship Id="rId30" Type="http://schemas.openxmlformats.org/officeDocument/2006/relationships/hyperlink" Target="http://bit.ly/2j9mGA1" TargetMode="External"/><Relationship Id="rId31" Type="http://schemas.openxmlformats.org/officeDocument/2006/relationships/hyperlink" Target="https://petition.president.gov.ua" TargetMode="External"/><Relationship Id="rId32" Type="http://schemas.openxmlformats.org/officeDocument/2006/relationships/hyperlink" Target="http://bit.ly/2jadLON" TargetMode="External"/><Relationship Id="rId9" Type="http://schemas.openxmlformats.org/officeDocument/2006/relationships/hyperlink" Target="http://bit.ly/2i5QzNy" TargetMode="External"/><Relationship Id="rId6" Type="http://schemas.openxmlformats.org/officeDocument/2006/relationships/hyperlink" Target="http://bit.ly/2nhlp7u" TargetMode="External"/><Relationship Id="rId7" Type="http://schemas.openxmlformats.org/officeDocument/2006/relationships/hyperlink" Target="http://www.google.com/url?q=http%3A%2F%2Fuacrisis.org%2Fua%2F42323-dostup-do-arhiviv&amp;sa=D&amp;sntz=1&amp;usg=AFQjCNGraJwxgsWMoytwMvjW-i4J8lbCoQ" TargetMode="External"/><Relationship Id="rId8" Type="http://schemas.openxmlformats.org/officeDocument/2006/relationships/hyperlink" Target="http://bit.ly/2hOdtLs" TargetMode="External"/><Relationship Id="rId33" Type="http://schemas.openxmlformats.org/officeDocument/2006/relationships/hyperlink" Target="http://bit.ly/2iEA9g8" TargetMode="External"/><Relationship Id="rId34" Type="http://schemas.openxmlformats.org/officeDocument/2006/relationships/hyperlink" Target="http://bit.ly/1XnhtPa" TargetMode="External"/><Relationship Id="rId35" Type="http://schemas.openxmlformats.org/officeDocument/2006/relationships/hyperlink" Target="http://bit.ly/2hTrLux" TargetMode="External"/><Relationship Id="rId36" Type="http://schemas.openxmlformats.org/officeDocument/2006/relationships/hyperlink" Target="http://bit.ly/2j5vzqg" TargetMode="External"/><Relationship Id="rId10" Type="http://schemas.openxmlformats.org/officeDocument/2006/relationships/hyperlink" Target="http://bit.ly/2iz59y0" TargetMode="External"/><Relationship Id="rId11" Type="http://schemas.openxmlformats.org/officeDocument/2006/relationships/hyperlink" Target="http://bit.ly/2f65C9J" TargetMode="External"/><Relationship Id="rId12" Type="http://schemas.openxmlformats.org/officeDocument/2006/relationships/hyperlink" Target="http://dailym.ai/2hNQtxN" TargetMode="External"/><Relationship Id="rId13" Type="http://schemas.openxmlformats.org/officeDocument/2006/relationships/hyperlink" Target="http://reut.rs/2dVY6QQ" TargetMode="External"/><Relationship Id="rId14" Type="http://schemas.openxmlformats.org/officeDocument/2006/relationships/hyperlink" Target="http://bit.ly/2iXzRQe" TargetMode="External"/><Relationship Id="rId15" Type="http://schemas.openxmlformats.org/officeDocument/2006/relationships/hyperlink" Target="http://bit.ly/2fWzyc2" TargetMode="External"/><Relationship Id="rId16" Type="http://schemas.openxmlformats.org/officeDocument/2006/relationships/hyperlink" Target="http://bit.ly/2eeftvo" TargetMode="External"/><Relationship Id="rId17" Type="http://schemas.openxmlformats.org/officeDocument/2006/relationships/hyperlink" Target="http://bit.ly/2j16P6o" TargetMode="External"/><Relationship Id="rId18" Type="http://schemas.openxmlformats.org/officeDocument/2006/relationships/hyperlink" Target="http://bit.ly/2grkaPw" TargetMode="External"/><Relationship Id="rId19" Type="http://schemas.openxmlformats.org/officeDocument/2006/relationships/hyperlink" Target="http://bit.ly/2fysVZJ" TargetMode="External"/><Relationship Id="rId37" Type="http://schemas.openxmlformats.org/officeDocument/2006/relationships/hyperlink" Target="http://bit.ly/2iJ8qgz" TargetMode="External"/><Relationship Id="rId38" Type="http://schemas.openxmlformats.org/officeDocument/2006/relationships/hyperlink" Target="http://bit.ly/2ifuW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8AEA-EFE9-644D-8A94-65B1C1399D8B}">
  <ds:schemaRefs>
    <ds:schemaRef ds:uri="http://schemas.openxmlformats.org/officeDocument/2006/bibliography"/>
  </ds:schemaRefs>
</ds:datastoreItem>
</file>

<file path=customXml/itemProps2.xml><?xml version="1.0" encoding="utf-8"?>
<ds:datastoreItem xmlns:ds="http://schemas.openxmlformats.org/officeDocument/2006/customXml" ds:itemID="{533092CD-36C1-CC46-B14D-72F9AD77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21315</Words>
  <Characters>121500</Characters>
  <Application>Microsoft Macintosh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142530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Zinta</dc:creator>
  <cp:keywords/>
  <dc:description/>
  <cp:lastModifiedBy>margaret.kavaras@opengovpartnership.org</cp:lastModifiedBy>
  <cp:revision>2</cp:revision>
  <cp:lastPrinted>2017-08-04T14:38:00Z</cp:lastPrinted>
  <dcterms:created xsi:type="dcterms:W3CDTF">2017-09-05T18:04:00Z</dcterms:created>
  <dcterms:modified xsi:type="dcterms:W3CDTF">2017-09-05T18:04:00Z</dcterms:modified>
</cp:coreProperties>
</file>